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charts/chart19.xml" ContentType="application/vnd.openxmlformats-officedocument.drawingml.chart+xml"/>
  <Override PartName="/word/theme/themeOverride17.xml" ContentType="application/vnd.openxmlformats-officedocument.themeOverride+xml"/>
  <Override PartName="/word/charts/chart20.xml" ContentType="application/vnd.openxmlformats-officedocument.drawingml.chart+xml"/>
  <Override PartName="/word/theme/themeOverride18.xml" ContentType="application/vnd.openxmlformats-officedocument.themeOverride+xml"/>
  <Override PartName="/word/charts/chart21.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theme/themeOverride20.xml" ContentType="application/vnd.openxmlformats-officedocument.themeOverride+xml"/>
  <Override PartName="/word/charts/chart23.xml" ContentType="application/vnd.openxmlformats-officedocument.drawingml.chart+xml"/>
  <Override PartName="/word/theme/themeOverride21.xml" ContentType="application/vnd.openxmlformats-officedocument.themeOverride+xml"/>
  <Override PartName="/word/charts/chart24.xml" ContentType="application/vnd.openxmlformats-officedocument.drawingml.chart+xml"/>
  <Override PartName="/word/theme/themeOverride22.xml" ContentType="application/vnd.openxmlformats-officedocument.themeOverride+xml"/>
  <Override PartName="/word/charts/chart25.xml" ContentType="application/vnd.openxmlformats-officedocument.drawingml.chart+xml"/>
  <Override PartName="/word/theme/themeOverride23.xml" ContentType="application/vnd.openxmlformats-officedocument.themeOverride+xml"/>
  <Override PartName="/word/charts/chart26.xml" ContentType="application/vnd.openxmlformats-officedocument.drawingml.chart+xml"/>
  <Override PartName="/word/theme/themeOverride24.xml" ContentType="application/vnd.openxmlformats-officedocument.themeOverride+xml"/>
  <Override PartName="/word/charts/chart27.xml" ContentType="application/vnd.openxmlformats-officedocument.drawingml.chart+xml"/>
  <Override PartName="/word/theme/themeOverride25.xml" ContentType="application/vnd.openxmlformats-officedocument.themeOverride+xml"/>
  <Override PartName="/word/charts/chart28.xml" ContentType="application/vnd.openxmlformats-officedocument.drawingml.chart+xml"/>
  <Override PartName="/word/theme/themeOverride26.xml" ContentType="application/vnd.openxmlformats-officedocument.themeOverride+xml"/>
  <Override PartName="/word/charts/chart29.xml" ContentType="application/vnd.openxmlformats-officedocument.drawingml.chart+xml"/>
  <Override PartName="/word/theme/themeOverride27.xml" ContentType="application/vnd.openxmlformats-officedocument.themeOverride+xml"/>
  <Override PartName="/word/charts/chart30.xml" ContentType="application/vnd.openxmlformats-officedocument.drawingml.chart+xml"/>
  <Override PartName="/word/theme/themeOverride28.xml" ContentType="application/vnd.openxmlformats-officedocument.themeOverride+xml"/>
  <Override PartName="/word/charts/chart31.xml" ContentType="application/vnd.openxmlformats-officedocument.drawingml.chart+xml"/>
  <Override PartName="/word/theme/themeOverride29.xml" ContentType="application/vnd.openxmlformats-officedocument.themeOverride+xml"/>
  <Override PartName="/word/charts/chart32.xml" ContentType="application/vnd.openxmlformats-officedocument.drawingml.chart+xml"/>
  <Override PartName="/word/theme/themeOverride30.xml" ContentType="application/vnd.openxmlformats-officedocument.themeOverride+xml"/>
  <Override PartName="/word/charts/chart33.xml" ContentType="application/vnd.openxmlformats-officedocument.drawingml.chart+xml"/>
  <Override PartName="/word/theme/themeOverride31.xml" ContentType="application/vnd.openxmlformats-officedocument.themeOverride+xml"/>
  <Override PartName="/word/charts/chart34.xml" ContentType="application/vnd.openxmlformats-officedocument.drawingml.chart+xml"/>
  <Override PartName="/word/theme/themeOverride32.xml" ContentType="application/vnd.openxmlformats-officedocument.themeOverride+xml"/>
  <Override PartName="/word/charts/chart3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6.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3.xml" ContentType="application/vnd.openxmlformats-officedocument.themeOverride+xml"/>
  <Override PartName="/word/charts/chart3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4.xml" ContentType="application/vnd.openxmlformats-officedocument.themeOverride+xml"/>
  <Override PartName="/word/charts/chart38.xml" ContentType="application/vnd.openxmlformats-officedocument.drawingml.chart+xml"/>
  <Override PartName="/word/theme/themeOverride35.xml" ContentType="application/vnd.openxmlformats-officedocument.themeOverride+xml"/>
  <Override PartName="/word/charts/chart39.xml" ContentType="application/vnd.openxmlformats-officedocument.drawingml.chart+xml"/>
  <Override PartName="/word/theme/themeOverride36.xml" ContentType="application/vnd.openxmlformats-officedocument.themeOverride+xml"/>
  <Override PartName="/word/charts/chart4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7.xml" ContentType="application/vnd.openxmlformats-officedocument.themeOverride+xml"/>
  <Override PartName="/word/charts/chart41.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8.xml" ContentType="application/vnd.openxmlformats-officedocument.themeOverride+xml"/>
  <Override PartName="/word/charts/chart42.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9.xml" ContentType="application/vnd.openxmlformats-officedocument.themeOverride+xml"/>
  <Override PartName="/word/charts/chart4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40.xml" ContentType="application/vnd.openxmlformats-officedocument.themeOverride+xml"/>
  <Override PartName="/word/charts/chart44.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1.xml" ContentType="application/vnd.openxmlformats-officedocument.themeOverride+xml"/>
  <Override PartName="/word/charts/chart45.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42.xml" ContentType="application/vnd.openxmlformats-officedocument.themeOverride+xml"/>
  <Override PartName="/word/charts/chart46.xml" ContentType="application/vnd.openxmlformats-officedocument.drawingml.chart+xml"/>
  <Override PartName="/word/theme/themeOverride43.xml" ContentType="application/vnd.openxmlformats-officedocument.themeOverride+xml"/>
  <Override PartName="/word/charts/chart47.xml" ContentType="application/vnd.openxmlformats-officedocument.drawingml.chart+xml"/>
  <Override PartName="/word/theme/themeOverride44.xml" ContentType="application/vnd.openxmlformats-officedocument.themeOverride+xml"/>
  <Override PartName="/word/charts/chart48.xml" ContentType="application/vnd.openxmlformats-officedocument.drawingml.chart+xml"/>
  <Override PartName="/word/theme/themeOverride45.xml" ContentType="application/vnd.openxmlformats-officedocument.themeOverride+xml"/>
  <Override PartName="/word/charts/chart49.xml" ContentType="application/vnd.openxmlformats-officedocument.drawingml.chart+xml"/>
  <Override PartName="/word/theme/themeOverride46.xml" ContentType="application/vnd.openxmlformats-officedocument.themeOverride+xml"/>
  <Override PartName="/word/charts/chart50.xml" ContentType="application/vnd.openxmlformats-officedocument.drawingml.chart+xml"/>
  <Override PartName="/word/theme/themeOverride47.xml" ContentType="application/vnd.openxmlformats-officedocument.themeOverride+xml"/>
  <Override PartName="/word/charts/chart51.xml" ContentType="application/vnd.openxmlformats-officedocument.drawingml.chart+xml"/>
  <Override PartName="/word/theme/themeOverride48.xml" ContentType="application/vnd.openxmlformats-officedocument.themeOverride+xml"/>
  <Override PartName="/word/charts/chart52.xml" ContentType="application/vnd.openxmlformats-officedocument.drawingml.chart+xml"/>
  <Override PartName="/word/theme/themeOverride49.xml" ContentType="application/vnd.openxmlformats-officedocument.themeOverride+xml"/>
  <Override PartName="/word/charts/chart53.xml" ContentType="application/vnd.openxmlformats-officedocument.drawingml.chart+xml"/>
  <Override PartName="/word/theme/themeOverride50.xml" ContentType="application/vnd.openxmlformats-officedocument.themeOverride+xml"/>
  <Override PartName="/word/charts/chart54.xml" ContentType="application/vnd.openxmlformats-officedocument.drawingml.chart+xml"/>
  <Override PartName="/word/theme/themeOverride51.xml" ContentType="application/vnd.openxmlformats-officedocument.themeOverride+xml"/>
  <Override PartName="/word/charts/chart55.xml" ContentType="application/vnd.openxmlformats-officedocument.drawingml.chart+xml"/>
  <Override PartName="/word/theme/themeOverride52.xml" ContentType="application/vnd.openxmlformats-officedocument.themeOverride+xml"/>
  <Override PartName="/word/charts/chart56.xml" ContentType="application/vnd.openxmlformats-officedocument.drawingml.chart+xml"/>
  <Override PartName="/word/theme/themeOverride53.xml" ContentType="application/vnd.openxmlformats-officedocument.themeOverride+xml"/>
  <Override PartName="/word/charts/chart57.xml" ContentType="application/vnd.openxmlformats-officedocument.drawingml.chart+xml"/>
  <Override PartName="/word/theme/themeOverride54.xml" ContentType="application/vnd.openxmlformats-officedocument.themeOverride+xml"/>
  <Override PartName="/word/charts/chart58.xml" ContentType="application/vnd.openxmlformats-officedocument.drawingml.chart+xml"/>
  <Override PartName="/word/theme/themeOverride55.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charts/chart59.xml" ContentType="application/vnd.openxmlformats-officedocument.drawingml.chart+xml"/>
  <Override PartName="/word/theme/themeOverride56.xml" ContentType="application/vnd.openxmlformats-officedocument.themeOverride+xml"/>
  <Override PartName="/word/charts/chart60.xml" ContentType="application/vnd.openxmlformats-officedocument.drawingml.chart+xml"/>
  <Override PartName="/word/theme/themeOverride57.xml" ContentType="application/vnd.openxmlformats-officedocument.themeOverride+xml"/>
  <Override PartName="/word/charts/chart61.xml" ContentType="application/vnd.openxmlformats-officedocument.drawingml.chart+xml"/>
  <Override PartName="/word/theme/themeOverride58.xml" ContentType="application/vnd.openxmlformats-officedocument.themeOverride+xml"/>
  <Override PartName="/word/charts/chart62.xml" ContentType="application/vnd.openxmlformats-officedocument.drawingml.chart+xml"/>
  <Override PartName="/word/theme/themeOverride59.xml" ContentType="application/vnd.openxmlformats-officedocument.themeOverride+xml"/>
  <Override PartName="/word/charts/chart63.xml" ContentType="application/vnd.openxmlformats-officedocument.drawingml.chart+xml"/>
  <Override PartName="/word/theme/themeOverride60.xml" ContentType="application/vnd.openxmlformats-officedocument.themeOverride+xml"/>
  <Override PartName="/word/header7.xml" ContentType="application/vnd.openxmlformats-officedocument.wordprocessingml.header+xml"/>
  <Override PartName="/word/charts/chart64.xml" ContentType="application/vnd.openxmlformats-officedocument.drawingml.chart+xml"/>
  <Override PartName="/word/theme/themeOverride61.xml" ContentType="application/vnd.openxmlformats-officedocument.themeOverride+xml"/>
  <Override PartName="/word/header8.xml" ContentType="application/vnd.openxmlformats-officedocument.wordprocessingml.header+xml"/>
  <Override PartName="/word/charts/chart65.xml" ContentType="application/vnd.openxmlformats-officedocument.drawingml.chart+xml"/>
  <Override PartName="/word/theme/themeOverride62.xml" ContentType="application/vnd.openxmlformats-officedocument.themeOverride+xml"/>
  <Override PartName="/word/charts/chart66.xml" ContentType="application/vnd.openxmlformats-officedocument.drawingml.chart+xml"/>
  <Override PartName="/word/theme/themeOverride63.xml" ContentType="application/vnd.openxmlformats-officedocument.themeOverride+xml"/>
  <Override PartName="/word/header9.xml" ContentType="application/vnd.openxmlformats-officedocument.wordprocessingml.header+xml"/>
  <Override PartName="/word/charts/chart67.xml" ContentType="application/vnd.openxmlformats-officedocument.drawingml.chart+xml"/>
  <Override PartName="/word/theme/themeOverride64.xml" ContentType="application/vnd.openxmlformats-officedocument.themeOverride+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976C1" w14:textId="7863D941" w:rsidR="001C411D" w:rsidRPr="00C921DE" w:rsidRDefault="0082459C" w:rsidP="0059556D">
      <w:pPr>
        <w:tabs>
          <w:tab w:val="left" w:pos="0"/>
        </w:tabs>
        <w:spacing w:line="360" w:lineRule="auto"/>
        <w:jc w:val="center"/>
        <w:rPr>
          <w:rFonts w:ascii="GHEA Grapalat" w:hAnsi="GHEA Grapalat"/>
          <w:b/>
          <w:lang w:val="en-US"/>
        </w:rPr>
      </w:pPr>
      <w:r w:rsidRPr="00C921DE">
        <w:rPr>
          <w:rFonts w:ascii="GHEA Grapalat" w:hAnsi="GHEA Grapalat"/>
          <w:b/>
          <w:lang w:val="en-US"/>
        </w:rPr>
        <w:t>Հ</w:t>
      </w:r>
      <w:r w:rsidR="001C411D" w:rsidRPr="00C921DE">
        <w:rPr>
          <w:rFonts w:ascii="GHEA Grapalat" w:hAnsi="GHEA Grapalat"/>
          <w:b/>
          <w:lang w:val="en-US"/>
        </w:rPr>
        <w:t>ԱՅԱՍՏԱՆԻ ՀԱՆՐԱՊԵՏՈՒԹՅԱՆ 202</w:t>
      </w:r>
      <w:r w:rsidR="005F4409" w:rsidRPr="00C921DE">
        <w:rPr>
          <w:rFonts w:ascii="GHEA Grapalat" w:hAnsi="GHEA Grapalat"/>
          <w:b/>
          <w:lang w:val="en-US"/>
        </w:rPr>
        <w:t>3</w:t>
      </w:r>
      <w:r w:rsidR="001C411D" w:rsidRPr="00C921DE">
        <w:rPr>
          <w:rFonts w:ascii="GHEA Grapalat" w:hAnsi="GHEA Grapalat"/>
          <w:b/>
          <w:lang w:val="en-US"/>
        </w:rPr>
        <w:t xml:space="preserve"> ԹՎԱԿԱՆԻ ՊԵՏԱԿԱՆ ԲՅՈՒՋԵԻ</w:t>
      </w:r>
    </w:p>
    <w:p w14:paraId="078D9259" w14:textId="77777777" w:rsidR="001C411D" w:rsidRPr="00C921DE" w:rsidRDefault="001C411D" w:rsidP="0059556D">
      <w:pPr>
        <w:tabs>
          <w:tab w:val="left" w:pos="0"/>
        </w:tabs>
        <w:spacing w:line="360" w:lineRule="auto"/>
        <w:jc w:val="center"/>
        <w:rPr>
          <w:rFonts w:ascii="GHEA Grapalat" w:hAnsi="GHEA Grapalat"/>
          <w:b/>
          <w:lang w:val="en-US"/>
        </w:rPr>
      </w:pPr>
      <w:r w:rsidRPr="00C921DE">
        <w:rPr>
          <w:rFonts w:ascii="GHEA Grapalat" w:hAnsi="GHEA Grapalat"/>
          <w:b/>
          <w:lang w:val="en-US"/>
        </w:rPr>
        <w:t>ԿԱՏԱՐՄԱՆ ՎԵՐԼՈՒԾՈՒԹՅՈՒՆ</w:t>
      </w:r>
    </w:p>
    <w:p w14:paraId="5D3417B4" w14:textId="77777777" w:rsidR="001C411D" w:rsidRPr="00C921DE" w:rsidRDefault="001C411D" w:rsidP="00EA4DFC">
      <w:pPr>
        <w:pStyle w:val="TOC1"/>
        <w:rPr>
          <w:color w:val="auto"/>
        </w:rPr>
      </w:pPr>
    </w:p>
    <w:p w14:paraId="327E3726" w14:textId="77777777" w:rsidR="001C411D" w:rsidRPr="00C921DE" w:rsidRDefault="001C411D" w:rsidP="00D07995">
      <w:pPr>
        <w:pStyle w:val="TOC1"/>
        <w:jc w:val="center"/>
        <w:rPr>
          <w:color w:val="auto"/>
        </w:rPr>
      </w:pPr>
      <w:r w:rsidRPr="00C921DE">
        <w:rPr>
          <w:color w:val="auto"/>
        </w:rPr>
        <w:t>ԲՈՎԱՆԴԱԿՈՒԹՅՈՒՆ</w:t>
      </w:r>
    </w:p>
    <w:p w14:paraId="2F166FB8" w14:textId="77777777" w:rsidR="001C411D" w:rsidRPr="00C921DE" w:rsidRDefault="001C411D" w:rsidP="00250F7B">
      <w:pPr>
        <w:rPr>
          <w:lang w:val="en-US"/>
        </w:rPr>
      </w:pPr>
    </w:p>
    <w:bookmarkStart w:id="0" w:name="_Toc354657489"/>
    <w:bookmarkStart w:id="1" w:name="_Toc353882532"/>
    <w:bookmarkStart w:id="2" w:name="_Toc322445784"/>
    <w:bookmarkStart w:id="3" w:name="_Toc322445706"/>
    <w:bookmarkStart w:id="4" w:name="_Toc291747924"/>
    <w:bookmarkStart w:id="5" w:name="_Toc291747554"/>
    <w:bookmarkStart w:id="6" w:name="_Toc291747225"/>
    <w:bookmarkStart w:id="7" w:name="_Toc290409635"/>
    <w:p w14:paraId="54967034" w14:textId="12AAF920" w:rsidR="004A7F14" w:rsidRPr="00C921DE" w:rsidRDefault="001C411D">
      <w:pPr>
        <w:pStyle w:val="TOC1"/>
        <w:rPr>
          <w:rFonts w:asciiTheme="minorHAnsi" w:eastAsiaTheme="minorEastAsia" w:hAnsiTheme="minorHAnsi" w:cstheme="minorBidi"/>
          <w:b w:val="0"/>
          <w:bCs w:val="0"/>
          <w:caps w:val="0"/>
          <w:color w:val="auto"/>
          <w:sz w:val="22"/>
          <w:szCs w:val="22"/>
        </w:rPr>
      </w:pPr>
      <w:r w:rsidRPr="00C921DE">
        <w:rPr>
          <w:color w:val="auto"/>
        </w:rPr>
        <w:fldChar w:fldCharType="begin"/>
      </w:r>
      <w:r w:rsidRPr="00C921DE">
        <w:rPr>
          <w:color w:val="auto"/>
        </w:rPr>
        <w:instrText xml:space="preserve"> TOC \o "1-3" \h \z \u </w:instrText>
      </w:r>
      <w:r w:rsidRPr="00C921DE">
        <w:rPr>
          <w:color w:val="auto"/>
        </w:rPr>
        <w:fldChar w:fldCharType="separate"/>
      </w:r>
      <w:hyperlink w:anchor="_Toc163745414" w:history="1">
        <w:r w:rsidR="004A7F14" w:rsidRPr="00C921DE">
          <w:rPr>
            <w:rStyle w:val="Hyperlink"/>
            <w:rFonts w:cs="Sylfaen"/>
          </w:rPr>
          <w:t>ՕԳՏԱԳՈՐԾՎԱԾ ՀԱՊԱՎՈՒՄՆԵՐ</w:t>
        </w:r>
        <w:r w:rsidR="004A7F14" w:rsidRPr="00C921DE">
          <w:rPr>
            <w:webHidden/>
          </w:rPr>
          <w:tab/>
        </w:r>
        <w:r w:rsidR="004A7F14" w:rsidRPr="00C921DE">
          <w:rPr>
            <w:webHidden/>
          </w:rPr>
          <w:fldChar w:fldCharType="begin"/>
        </w:r>
        <w:r w:rsidR="004A7F14" w:rsidRPr="00C921DE">
          <w:rPr>
            <w:webHidden/>
          </w:rPr>
          <w:instrText xml:space="preserve"> PAGEREF _Toc163745414 \h </w:instrText>
        </w:r>
        <w:r w:rsidR="004A7F14" w:rsidRPr="00C921DE">
          <w:rPr>
            <w:webHidden/>
          </w:rPr>
        </w:r>
        <w:r w:rsidR="004A7F14" w:rsidRPr="00C921DE">
          <w:rPr>
            <w:webHidden/>
          </w:rPr>
          <w:fldChar w:fldCharType="separate"/>
        </w:r>
        <w:r w:rsidR="00ED7DBB" w:rsidRPr="00C921DE">
          <w:rPr>
            <w:webHidden/>
          </w:rPr>
          <w:t>7</w:t>
        </w:r>
        <w:r w:rsidR="004A7F14" w:rsidRPr="00C921DE">
          <w:rPr>
            <w:webHidden/>
          </w:rPr>
          <w:fldChar w:fldCharType="end"/>
        </w:r>
      </w:hyperlink>
    </w:p>
    <w:p w14:paraId="203C400D" w14:textId="77777777" w:rsidR="004A7F14" w:rsidRPr="00C921DE" w:rsidRDefault="004A7F14">
      <w:pPr>
        <w:pStyle w:val="TOC1"/>
        <w:rPr>
          <w:rStyle w:val="Hyperlink"/>
        </w:rPr>
      </w:pPr>
    </w:p>
    <w:p w14:paraId="2A5B5ACD" w14:textId="30BD4D9D"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15" w:history="1">
        <w:r w:rsidR="004A7F14" w:rsidRPr="00C921DE">
          <w:rPr>
            <w:rStyle w:val="Hyperlink"/>
            <w:rFonts w:cs="Sylfaen"/>
          </w:rPr>
          <w:t>ՀԱՅԱՍՏԱՆԻ ՀԱՆՐԱՊԵՏՈՒԹՅԱՆ 2023 ԹՎԱԿԱՆԻ ՊԵՏԱԿԱՆ ԲՅՈՒՋԵԻ ԿԱՏԱՐՄԱՆ</w:t>
        </w:r>
        <w:r w:rsidR="009418FF" w:rsidRPr="00C921DE">
          <w:rPr>
            <w:rStyle w:val="Hyperlink"/>
            <w:rFonts w:cs="Sylfaen"/>
          </w:rPr>
          <w:t xml:space="preserve">      </w:t>
        </w:r>
        <w:r w:rsidR="004A7F14" w:rsidRPr="00C921DE">
          <w:rPr>
            <w:rStyle w:val="Hyperlink"/>
            <w:rFonts w:cs="Sylfaen"/>
          </w:rPr>
          <w:t>ԱՄՓՈՓԱԳԻՐ</w:t>
        </w:r>
        <w:r w:rsidR="004A7F14" w:rsidRPr="00C921DE">
          <w:rPr>
            <w:webHidden/>
          </w:rPr>
          <w:tab/>
        </w:r>
        <w:r w:rsidR="004A7F14" w:rsidRPr="00C921DE">
          <w:rPr>
            <w:webHidden/>
          </w:rPr>
          <w:fldChar w:fldCharType="begin"/>
        </w:r>
        <w:r w:rsidR="004A7F14" w:rsidRPr="00C921DE">
          <w:rPr>
            <w:webHidden/>
          </w:rPr>
          <w:instrText xml:space="preserve"> PAGEREF _Toc163745415 \h </w:instrText>
        </w:r>
        <w:r w:rsidR="004A7F14" w:rsidRPr="00C921DE">
          <w:rPr>
            <w:webHidden/>
          </w:rPr>
        </w:r>
        <w:r w:rsidR="004A7F14" w:rsidRPr="00C921DE">
          <w:rPr>
            <w:webHidden/>
          </w:rPr>
          <w:fldChar w:fldCharType="separate"/>
        </w:r>
        <w:r w:rsidR="00ED7DBB" w:rsidRPr="00C921DE">
          <w:rPr>
            <w:webHidden/>
          </w:rPr>
          <w:t>9</w:t>
        </w:r>
        <w:r w:rsidR="004A7F14" w:rsidRPr="00C921DE">
          <w:rPr>
            <w:webHidden/>
          </w:rPr>
          <w:fldChar w:fldCharType="end"/>
        </w:r>
      </w:hyperlink>
    </w:p>
    <w:p w14:paraId="304CCCF5" w14:textId="77777777" w:rsidR="004A7F14" w:rsidRPr="00C921DE" w:rsidRDefault="004A7F14">
      <w:pPr>
        <w:pStyle w:val="TOC1"/>
        <w:rPr>
          <w:rStyle w:val="Hyperlink"/>
        </w:rPr>
      </w:pPr>
    </w:p>
    <w:p w14:paraId="0DB73122" w14:textId="5362831D"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16" w:history="1">
        <w:r w:rsidR="004A7F14" w:rsidRPr="00C921DE">
          <w:rPr>
            <w:rStyle w:val="Hyperlink"/>
            <w:rFonts w:cs="Sylfaen"/>
          </w:rPr>
          <w:t>2023 ԹՎԱԿԱՆԻ ՍՈՑԻԱԼ-ՏՆՏԵՍԱԿԱՆ ԶԱՐԳԱՑՄԱՆ ԵՎ ՀԱՐԿԱԲՅՈՒՋԵՏԱՅԻՆ ՔԱՂԱՔԱԿԱՆՈՒԹՅԱՆ ՀԻՄՆԱԿԱՆ ՈՒՂՂՈՒԹՅՈՒՆՆԵՐԸ</w:t>
        </w:r>
        <w:r w:rsidR="004A7F14" w:rsidRPr="00C921DE">
          <w:rPr>
            <w:webHidden/>
          </w:rPr>
          <w:tab/>
        </w:r>
        <w:r w:rsidR="004A7F14" w:rsidRPr="00C921DE">
          <w:rPr>
            <w:webHidden/>
          </w:rPr>
          <w:fldChar w:fldCharType="begin"/>
        </w:r>
        <w:r w:rsidR="004A7F14" w:rsidRPr="00C921DE">
          <w:rPr>
            <w:webHidden/>
          </w:rPr>
          <w:instrText xml:space="preserve"> PAGEREF _Toc163745416 \h </w:instrText>
        </w:r>
        <w:r w:rsidR="004A7F14" w:rsidRPr="00C921DE">
          <w:rPr>
            <w:webHidden/>
          </w:rPr>
        </w:r>
        <w:r w:rsidR="004A7F14" w:rsidRPr="00C921DE">
          <w:rPr>
            <w:webHidden/>
          </w:rPr>
          <w:fldChar w:fldCharType="separate"/>
        </w:r>
        <w:r w:rsidR="00ED7DBB" w:rsidRPr="00C921DE">
          <w:rPr>
            <w:webHidden/>
          </w:rPr>
          <w:t>17</w:t>
        </w:r>
        <w:r w:rsidR="004A7F14" w:rsidRPr="00C921DE">
          <w:rPr>
            <w:webHidden/>
          </w:rPr>
          <w:fldChar w:fldCharType="end"/>
        </w:r>
      </w:hyperlink>
    </w:p>
    <w:p w14:paraId="02219C61" w14:textId="77777777" w:rsidR="004A7F14" w:rsidRPr="00C921DE" w:rsidRDefault="004A7F14">
      <w:pPr>
        <w:pStyle w:val="TOC2"/>
        <w:rPr>
          <w:rStyle w:val="Hyperlink"/>
        </w:rPr>
      </w:pPr>
    </w:p>
    <w:p w14:paraId="47E4A3D7" w14:textId="6C74A974" w:rsidR="004A7F14" w:rsidRPr="00C921DE" w:rsidRDefault="00B94C14">
      <w:pPr>
        <w:pStyle w:val="TOC2"/>
        <w:rPr>
          <w:rFonts w:asciiTheme="minorHAnsi" w:eastAsiaTheme="minorEastAsia" w:hAnsiTheme="minorHAnsi" w:cstheme="minorBidi"/>
          <w:bCs w:val="0"/>
          <w:sz w:val="22"/>
          <w:szCs w:val="22"/>
          <w:lang w:val="en-US"/>
        </w:rPr>
      </w:pPr>
      <w:hyperlink w:anchor="_Toc163745417" w:history="1">
        <w:r w:rsidR="004A7F14" w:rsidRPr="00C921DE">
          <w:rPr>
            <w:rStyle w:val="Hyperlink"/>
          </w:rPr>
          <w:t>Տնտեսական զարգացում</w:t>
        </w:r>
        <w:r w:rsidR="004A7F14" w:rsidRPr="00C921DE">
          <w:rPr>
            <w:webHidden/>
          </w:rPr>
          <w:tab/>
        </w:r>
        <w:r w:rsidR="004A7F14" w:rsidRPr="00C921DE">
          <w:rPr>
            <w:webHidden/>
          </w:rPr>
          <w:fldChar w:fldCharType="begin"/>
        </w:r>
        <w:r w:rsidR="004A7F14" w:rsidRPr="00C921DE">
          <w:rPr>
            <w:webHidden/>
          </w:rPr>
          <w:instrText xml:space="preserve"> PAGEREF _Toc163745417 \h </w:instrText>
        </w:r>
        <w:r w:rsidR="004A7F14" w:rsidRPr="00C921DE">
          <w:rPr>
            <w:webHidden/>
          </w:rPr>
        </w:r>
        <w:r w:rsidR="004A7F14" w:rsidRPr="00C921DE">
          <w:rPr>
            <w:webHidden/>
          </w:rPr>
          <w:fldChar w:fldCharType="separate"/>
        </w:r>
        <w:r w:rsidR="00ED7DBB" w:rsidRPr="00C921DE">
          <w:rPr>
            <w:webHidden/>
          </w:rPr>
          <w:t>18</w:t>
        </w:r>
        <w:r w:rsidR="004A7F14" w:rsidRPr="00C921DE">
          <w:rPr>
            <w:webHidden/>
          </w:rPr>
          <w:fldChar w:fldCharType="end"/>
        </w:r>
      </w:hyperlink>
    </w:p>
    <w:p w14:paraId="296E5BAE" w14:textId="5275A1AF" w:rsidR="004A7F14" w:rsidRPr="00C921DE" w:rsidRDefault="00B94C14">
      <w:pPr>
        <w:pStyle w:val="TOC2"/>
        <w:rPr>
          <w:rFonts w:asciiTheme="minorHAnsi" w:eastAsiaTheme="minorEastAsia" w:hAnsiTheme="minorHAnsi" w:cstheme="minorBidi"/>
          <w:bCs w:val="0"/>
          <w:sz w:val="22"/>
          <w:szCs w:val="22"/>
          <w:lang w:val="en-US"/>
        </w:rPr>
      </w:pPr>
      <w:hyperlink w:anchor="_Toc163745418" w:history="1">
        <w:r w:rsidR="004A7F14" w:rsidRPr="00C921DE">
          <w:rPr>
            <w:rStyle w:val="Hyperlink"/>
          </w:rPr>
          <w:t>Տարածքային կառավարում և տեղական ինքնակառավարում</w:t>
        </w:r>
        <w:r w:rsidR="004A7F14" w:rsidRPr="00C921DE">
          <w:rPr>
            <w:webHidden/>
          </w:rPr>
          <w:tab/>
        </w:r>
        <w:r w:rsidR="004A7F14" w:rsidRPr="00C921DE">
          <w:rPr>
            <w:webHidden/>
          </w:rPr>
          <w:fldChar w:fldCharType="begin"/>
        </w:r>
        <w:r w:rsidR="004A7F14" w:rsidRPr="00C921DE">
          <w:rPr>
            <w:webHidden/>
          </w:rPr>
          <w:instrText xml:space="preserve"> PAGEREF _Toc163745418 \h </w:instrText>
        </w:r>
        <w:r w:rsidR="004A7F14" w:rsidRPr="00C921DE">
          <w:rPr>
            <w:webHidden/>
          </w:rPr>
        </w:r>
        <w:r w:rsidR="004A7F14" w:rsidRPr="00C921DE">
          <w:rPr>
            <w:webHidden/>
          </w:rPr>
          <w:fldChar w:fldCharType="separate"/>
        </w:r>
        <w:r w:rsidR="00ED7DBB" w:rsidRPr="00C921DE">
          <w:rPr>
            <w:webHidden/>
          </w:rPr>
          <w:t>32</w:t>
        </w:r>
        <w:r w:rsidR="004A7F14" w:rsidRPr="00C921DE">
          <w:rPr>
            <w:webHidden/>
          </w:rPr>
          <w:fldChar w:fldCharType="end"/>
        </w:r>
      </w:hyperlink>
    </w:p>
    <w:p w14:paraId="09BFDD42" w14:textId="7BFF912A" w:rsidR="004A7F14" w:rsidRPr="00C921DE" w:rsidRDefault="00B94C14">
      <w:pPr>
        <w:pStyle w:val="TOC2"/>
        <w:rPr>
          <w:rFonts w:asciiTheme="minorHAnsi" w:eastAsiaTheme="minorEastAsia" w:hAnsiTheme="minorHAnsi" w:cstheme="minorBidi"/>
          <w:bCs w:val="0"/>
          <w:sz w:val="22"/>
          <w:szCs w:val="22"/>
          <w:lang w:val="en-US"/>
        </w:rPr>
      </w:pPr>
      <w:hyperlink w:anchor="_Toc163745419" w:history="1">
        <w:r w:rsidR="004A7F14" w:rsidRPr="00C921DE">
          <w:rPr>
            <w:rStyle w:val="Hyperlink"/>
          </w:rPr>
          <w:t>Ճանապարհային տնտեսություն</w:t>
        </w:r>
        <w:r w:rsidR="004A7F14" w:rsidRPr="00C921DE">
          <w:rPr>
            <w:webHidden/>
          </w:rPr>
          <w:tab/>
        </w:r>
        <w:r w:rsidR="004A7F14" w:rsidRPr="00C921DE">
          <w:rPr>
            <w:webHidden/>
          </w:rPr>
          <w:fldChar w:fldCharType="begin"/>
        </w:r>
        <w:r w:rsidR="004A7F14" w:rsidRPr="00C921DE">
          <w:rPr>
            <w:webHidden/>
          </w:rPr>
          <w:instrText xml:space="preserve"> PAGEREF _Toc163745419 \h </w:instrText>
        </w:r>
        <w:r w:rsidR="004A7F14" w:rsidRPr="00C921DE">
          <w:rPr>
            <w:webHidden/>
          </w:rPr>
        </w:r>
        <w:r w:rsidR="004A7F14" w:rsidRPr="00C921DE">
          <w:rPr>
            <w:webHidden/>
          </w:rPr>
          <w:fldChar w:fldCharType="separate"/>
        </w:r>
        <w:r w:rsidR="00ED7DBB" w:rsidRPr="00C921DE">
          <w:rPr>
            <w:webHidden/>
          </w:rPr>
          <w:t>37</w:t>
        </w:r>
        <w:r w:rsidR="004A7F14" w:rsidRPr="00C921DE">
          <w:rPr>
            <w:webHidden/>
          </w:rPr>
          <w:fldChar w:fldCharType="end"/>
        </w:r>
      </w:hyperlink>
    </w:p>
    <w:p w14:paraId="2097E58D" w14:textId="081AEB7B" w:rsidR="004A7F14" w:rsidRPr="00C921DE" w:rsidRDefault="00B94C14">
      <w:pPr>
        <w:pStyle w:val="TOC2"/>
        <w:rPr>
          <w:rFonts w:asciiTheme="minorHAnsi" w:eastAsiaTheme="minorEastAsia" w:hAnsiTheme="minorHAnsi" w:cstheme="minorBidi"/>
          <w:bCs w:val="0"/>
          <w:sz w:val="22"/>
          <w:szCs w:val="22"/>
          <w:lang w:val="en-US"/>
        </w:rPr>
      </w:pPr>
      <w:hyperlink w:anchor="_Toc163745420" w:history="1">
        <w:r w:rsidR="004A7F14" w:rsidRPr="00C921DE">
          <w:rPr>
            <w:rStyle w:val="Hyperlink"/>
          </w:rPr>
          <w:t>Էներգետիկա</w:t>
        </w:r>
        <w:r w:rsidR="004A7F14" w:rsidRPr="00C921DE">
          <w:rPr>
            <w:webHidden/>
          </w:rPr>
          <w:tab/>
        </w:r>
        <w:r w:rsidR="004A7F14" w:rsidRPr="00C921DE">
          <w:rPr>
            <w:webHidden/>
          </w:rPr>
          <w:fldChar w:fldCharType="begin"/>
        </w:r>
        <w:r w:rsidR="004A7F14" w:rsidRPr="00C921DE">
          <w:rPr>
            <w:webHidden/>
          </w:rPr>
          <w:instrText xml:space="preserve"> PAGEREF _Toc163745420 \h </w:instrText>
        </w:r>
        <w:r w:rsidR="004A7F14" w:rsidRPr="00C921DE">
          <w:rPr>
            <w:webHidden/>
          </w:rPr>
        </w:r>
        <w:r w:rsidR="004A7F14" w:rsidRPr="00C921DE">
          <w:rPr>
            <w:webHidden/>
          </w:rPr>
          <w:fldChar w:fldCharType="separate"/>
        </w:r>
        <w:r w:rsidR="00ED7DBB" w:rsidRPr="00C921DE">
          <w:rPr>
            <w:webHidden/>
          </w:rPr>
          <w:t>40</w:t>
        </w:r>
        <w:r w:rsidR="004A7F14" w:rsidRPr="00C921DE">
          <w:rPr>
            <w:webHidden/>
          </w:rPr>
          <w:fldChar w:fldCharType="end"/>
        </w:r>
      </w:hyperlink>
    </w:p>
    <w:p w14:paraId="7E4E0B04" w14:textId="26DBEA63" w:rsidR="004A7F14" w:rsidRPr="00C921DE" w:rsidRDefault="00B94C14">
      <w:pPr>
        <w:pStyle w:val="TOC2"/>
        <w:rPr>
          <w:rFonts w:asciiTheme="minorHAnsi" w:eastAsiaTheme="minorEastAsia" w:hAnsiTheme="minorHAnsi" w:cstheme="minorBidi"/>
          <w:bCs w:val="0"/>
          <w:sz w:val="22"/>
          <w:szCs w:val="22"/>
          <w:lang w:val="en-US"/>
        </w:rPr>
      </w:pPr>
      <w:hyperlink w:anchor="_Toc163745421" w:history="1">
        <w:r w:rsidR="004A7F14" w:rsidRPr="00C921DE">
          <w:rPr>
            <w:rStyle w:val="Hyperlink"/>
          </w:rPr>
          <w:t>Ջրային տնտեսություն</w:t>
        </w:r>
        <w:r w:rsidR="004A7F14" w:rsidRPr="00C921DE">
          <w:rPr>
            <w:webHidden/>
          </w:rPr>
          <w:tab/>
        </w:r>
        <w:r w:rsidR="004A7F14" w:rsidRPr="00C921DE">
          <w:rPr>
            <w:webHidden/>
          </w:rPr>
          <w:fldChar w:fldCharType="begin"/>
        </w:r>
        <w:r w:rsidR="004A7F14" w:rsidRPr="00C921DE">
          <w:rPr>
            <w:webHidden/>
          </w:rPr>
          <w:instrText xml:space="preserve"> PAGEREF _Toc163745421 \h </w:instrText>
        </w:r>
        <w:r w:rsidR="004A7F14" w:rsidRPr="00C921DE">
          <w:rPr>
            <w:webHidden/>
          </w:rPr>
        </w:r>
        <w:r w:rsidR="004A7F14" w:rsidRPr="00C921DE">
          <w:rPr>
            <w:webHidden/>
          </w:rPr>
          <w:fldChar w:fldCharType="separate"/>
        </w:r>
        <w:r w:rsidR="00ED7DBB" w:rsidRPr="00C921DE">
          <w:rPr>
            <w:webHidden/>
          </w:rPr>
          <w:t>44</w:t>
        </w:r>
        <w:r w:rsidR="004A7F14" w:rsidRPr="00C921DE">
          <w:rPr>
            <w:webHidden/>
          </w:rPr>
          <w:fldChar w:fldCharType="end"/>
        </w:r>
      </w:hyperlink>
    </w:p>
    <w:p w14:paraId="13098C85" w14:textId="00F507CD" w:rsidR="004A7F14" w:rsidRPr="00C921DE" w:rsidRDefault="00B94C14">
      <w:pPr>
        <w:pStyle w:val="TOC2"/>
        <w:rPr>
          <w:rFonts w:asciiTheme="minorHAnsi" w:eastAsiaTheme="minorEastAsia" w:hAnsiTheme="minorHAnsi" w:cstheme="minorBidi"/>
          <w:bCs w:val="0"/>
          <w:sz w:val="22"/>
          <w:szCs w:val="22"/>
          <w:lang w:val="en-US"/>
        </w:rPr>
      </w:pPr>
      <w:hyperlink w:anchor="_Toc163745422" w:history="1">
        <w:r w:rsidR="004A7F14" w:rsidRPr="00C921DE">
          <w:rPr>
            <w:rStyle w:val="Hyperlink"/>
          </w:rPr>
          <w:t>Հանրային ծառայությունների կարգավորում</w:t>
        </w:r>
        <w:r w:rsidR="004A7F14" w:rsidRPr="00C921DE">
          <w:rPr>
            <w:webHidden/>
          </w:rPr>
          <w:tab/>
        </w:r>
        <w:r w:rsidR="004A7F14" w:rsidRPr="00C921DE">
          <w:rPr>
            <w:webHidden/>
          </w:rPr>
          <w:fldChar w:fldCharType="begin"/>
        </w:r>
        <w:r w:rsidR="004A7F14" w:rsidRPr="00C921DE">
          <w:rPr>
            <w:webHidden/>
          </w:rPr>
          <w:instrText xml:space="preserve"> PAGEREF _Toc163745422 \h </w:instrText>
        </w:r>
        <w:r w:rsidR="004A7F14" w:rsidRPr="00C921DE">
          <w:rPr>
            <w:webHidden/>
          </w:rPr>
        </w:r>
        <w:r w:rsidR="004A7F14" w:rsidRPr="00C921DE">
          <w:rPr>
            <w:webHidden/>
          </w:rPr>
          <w:fldChar w:fldCharType="separate"/>
        </w:r>
        <w:r w:rsidR="00ED7DBB" w:rsidRPr="00C921DE">
          <w:rPr>
            <w:webHidden/>
          </w:rPr>
          <w:t>46</w:t>
        </w:r>
        <w:r w:rsidR="004A7F14" w:rsidRPr="00C921DE">
          <w:rPr>
            <w:webHidden/>
          </w:rPr>
          <w:fldChar w:fldCharType="end"/>
        </w:r>
      </w:hyperlink>
    </w:p>
    <w:p w14:paraId="70608BBA" w14:textId="4C103252" w:rsidR="004A7F14" w:rsidRPr="00C921DE" w:rsidRDefault="00B94C14">
      <w:pPr>
        <w:pStyle w:val="TOC2"/>
        <w:rPr>
          <w:rFonts w:asciiTheme="minorHAnsi" w:eastAsiaTheme="minorEastAsia" w:hAnsiTheme="minorHAnsi" w:cstheme="minorBidi"/>
          <w:bCs w:val="0"/>
          <w:sz w:val="22"/>
          <w:szCs w:val="22"/>
          <w:lang w:val="en-US"/>
        </w:rPr>
      </w:pPr>
      <w:hyperlink w:anchor="_Toc163745423" w:history="1">
        <w:r w:rsidR="004A7F14" w:rsidRPr="00C921DE">
          <w:rPr>
            <w:rStyle w:val="Hyperlink"/>
          </w:rPr>
          <w:t>Քաղաքացիական ավիացիա</w:t>
        </w:r>
        <w:r w:rsidR="004A7F14" w:rsidRPr="00C921DE">
          <w:rPr>
            <w:webHidden/>
          </w:rPr>
          <w:tab/>
        </w:r>
        <w:r w:rsidR="004A7F14" w:rsidRPr="00C921DE">
          <w:rPr>
            <w:webHidden/>
          </w:rPr>
          <w:fldChar w:fldCharType="begin"/>
        </w:r>
        <w:r w:rsidR="004A7F14" w:rsidRPr="00C921DE">
          <w:rPr>
            <w:webHidden/>
          </w:rPr>
          <w:instrText xml:space="preserve"> PAGEREF _Toc163745423 \h </w:instrText>
        </w:r>
        <w:r w:rsidR="004A7F14" w:rsidRPr="00C921DE">
          <w:rPr>
            <w:webHidden/>
          </w:rPr>
        </w:r>
        <w:r w:rsidR="004A7F14" w:rsidRPr="00C921DE">
          <w:rPr>
            <w:webHidden/>
          </w:rPr>
          <w:fldChar w:fldCharType="separate"/>
        </w:r>
        <w:r w:rsidR="00ED7DBB" w:rsidRPr="00C921DE">
          <w:rPr>
            <w:webHidden/>
          </w:rPr>
          <w:t>50</w:t>
        </w:r>
        <w:r w:rsidR="004A7F14" w:rsidRPr="00C921DE">
          <w:rPr>
            <w:webHidden/>
          </w:rPr>
          <w:fldChar w:fldCharType="end"/>
        </w:r>
      </w:hyperlink>
    </w:p>
    <w:p w14:paraId="42DD4E5D" w14:textId="29CF2E86" w:rsidR="004A7F14" w:rsidRPr="00C921DE" w:rsidRDefault="00B94C14">
      <w:pPr>
        <w:pStyle w:val="TOC2"/>
        <w:rPr>
          <w:rFonts w:asciiTheme="minorHAnsi" w:eastAsiaTheme="minorEastAsia" w:hAnsiTheme="minorHAnsi" w:cstheme="minorBidi"/>
          <w:bCs w:val="0"/>
          <w:sz w:val="22"/>
          <w:szCs w:val="22"/>
          <w:lang w:val="en-US"/>
        </w:rPr>
      </w:pPr>
      <w:hyperlink w:anchor="_Toc163745424" w:history="1">
        <w:r w:rsidR="004A7F14" w:rsidRPr="00C921DE">
          <w:rPr>
            <w:rStyle w:val="Hyperlink"/>
          </w:rPr>
          <w:t>Պետական գույքի կառավարում</w:t>
        </w:r>
        <w:r w:rsidR="004A7F14" w:rsidRPr="00C921DE">
          <w:rPr>
            <w:webHidden/>
          </w:rPr>
          <w:tab/>
        </w:r>
        <w:r w:rsidR="004A7F14" w:rsidRPr="00C921DE">
          <w:rPr>
            <w:webHidden/>
          </w:rPr>
          <w:fldChar w:fldCharType="begin"/>
        </w:r>
        <w:r w:rsidR="004A7F14" w:rsidRPr="00C921DE">
          <w:rPr>
            <w:webHidden/>
          </w:rPr>
          <w:instrText xml:space="preserve"> PAGEREF _Toc163745424 \h </w:instrText>
        </w:r>
        <w:r w:rsidR="004A7F14" w:rsidRPr="00C921DE">
          <w:rPr>
            <w:webHidden/>
          </w:rPr>
        </w:r>
        <w:r w:rsidR="004A7F14" w:rsidRPr="00C921DE">
          <w:rPr>
            <w:webHidden/>
          </w:rPr>
          <w:fldChar w:fldCharType="separate"/>
        </w:r>
        <w:r w:rsidR="00ED7DBB" w:rsidRPr="00C921DE">
          <w:rPr>
            <w:webHidden/>
          </w:rPr>
          <w:t>51</w:t>
        </w:r>
        <w:r w:rsidR="004A7F14" w:rsidRPr="00C921DE">
          <w:rPr>
            <w:webHidden/>
          </w:rPr>
          <w:fldChar w:fldCharType="end"/>
        </w:r>
      </w:hyperlink>
    </w:p>
    <w:p w14:paraId="3F141FED" w14:textId="72CA6278" w:rsidR="004A7F14" w:rsidRPr="00C921DE" w:rsidRDefault="00B94C14">
      <w:pPr>
        <w:pStyle w:val="TOC2"/>
        <w:rPr>
          <w:rFonts w:asciiTheme="minorHAnsi" w:eastAsiaTheme="minorEastAsia" w:hAnsiTheme="minorHAnsi" w:cstheme="minorBidi"/>
          <w:bCs w:val="0"/>
          <w:sz w:val="22"/>
          <w:szCs w:val="22"/>
          <w:lang w:val="en-US"/>
        </w:rPr>
      </w:pPr>
      <w:hyperlink w:anchor="_Toc163745425" w:history="1">
        <w:r w:rsidR="004A7F14" w:rsidRPr="00C921DE">
          <w:rPr>
            <w:rStyle w:val="Hyperlink"/>
          </w:rPr>
          <w:t>Միգրացիա</w:t>
        </w:r>
        <w:r w:rsidR="004A7F14" w:rsidRPr="00C921DE">
          <w:rPr>
            <w:webHidden/>
          </w:rPr>
          <w:tab/>
        </w:r>
        <w:r w:rsidR="004A7F14" w:rsidRPr="00C921DE">
          <w:rPr>
            <w:webHidden/>
          </w:rPr>
          <w:fldChar w:fldCharType="begin"/>
        </w:r>
        <w:r w:rsidR="004A7F14" w:rsidRPr="00C921DE">
          <w:rPr>
            <w:webHidden/>
          </w:rPr>
          <w:instrText xml:space="preserve"> PAGEREF _Toc163745425 \h </w:instrText>
        </w:r>
        <w:r w:rsidR="004A7F14" w:rsidRPr="00C921DE">
          <w:rPr>
            <w:webHidden/>
          </w:rPr>
        </w:r>
        <w:r w:rsidR="004A7F14" w:rsidRPr="00C921DE">
          <w:rPr>
            <w:webHidden/>
          </w:rPr>
          <w:fldChar w:fldCharType="separate"/>
        </w:r>
        <w:r w:rsidR="00ED7DBB" w:rsidRPr="00C921DE">
          <w:rPr>
            <w:webHidden/>
          </w:rPr>
          <w:t>52</w:t>
        </w:r>
        <w:r w:rsidR="004A7F14" w:rsidRPr="00C921DE">
          <w:rPr>
            <w:webHidden/>
          </w:rPr>
          <w:fldChar w:fldCharType="end"/>
        </w:r>
      </w:hyperlink>
    </w:p>
    <w:p w14:paraId="02198E49" w14:textId="380C4390" w:rsidR="004A7F14" w:rsidRPr="00C921DE" w:rsidRDefault="00B94C14">
      <w:pPr>
        <w:pStyle w:val="TOC2"/>
        <w:rPr>
          <w:rFonts w:asciiTheme="minorHAnsi" w:eastAsiaTheme="minorEastAsia" w:hAnsiTheme="minorHAnsi" w:cstheme="minorBidi"/>
          <w:bCs w:val="0"/>
          <w:sz w:val="22"/>
          <w:szCs w:val="22"/>
          <w:lang w:val="en-US"/>
        </w:rPr>
      </w:pPr>
      <w:hyperlink w:anchor="_Toc163745426" w:history="1">
        <w:r w:rsidR="004A7F14" w:rsidRPr="00C921DE">
          <w:rPr>
            <w:rStyle w:val="Hyperlink"/>
          </w:rPr>
          <w:t>Բարձր տեխնոլոգիական արդյունաբերություն</w:t>
        </w:r>
        <w:r w:rsidR="004A7F14" w:rsidRPr="00C921DE">
          <w:rPr>
            <w:webHidden/>
          </w:rPr>
          <w:tab/>
        </w:r>
        <w:r w:rsidR="004A7F14" w:rsidRPr="00C921DE">
          <w:rPr>
            <w:webHidden/>
          </w:rPr>
          <w:fldChar w:fldCharType="begin"/>
        </w:r>
        <w:r w:rsidR="004A7F14" w:rsidRPr="00C921DE">
          <w:rPr>
            <w:webHidden/>
          </w:rPr>
          <w:instrText xml:space="preserve"> PAGEREF _Toc163745426 \h </w:instrText>
        </w:r>
        <w:r w:rsidR="004A7F14" w:rsidRPr="00C921DE">
          <w:rPr>
            <w:webHidden/>
          </w:rPr>
        </w:r>
        <w:r w:rsidR="004A7F14" w:rsidRPr="00C921DE">
          <w:rPr>
            <w:webHidden/>
          </w:rPr>
          <w:fldChar w:fldCharType="separate"/>
        </w:r>
        <w:r w:rsidR="00ED7DBB" w:rsidRPr="00C921DE">
          <w:rPr>
            <w:webHidden/>
          </w:rPr>
          <w:t>56</w:t>
        </w:r>
        <w:r w:rsidR="004A7F14" w:rsidRPr="00C921DE">
          <w:rPr>
            <w:webHidden/>
          </w:rPr>
          <w:fldChar w:fldCharType="end"/>
        </w:r>
      </w:hyperlink>
    </w:p>
    <w:p w14:paraId="29742910" w14:textId="1F8D1481" w:rsidR="004A7F14" w:rsidRPr="00C921DE" w:rsidRDefault="00B94C14">
      <w:pPr>
        <w:pStyle w:val="TOC2"/>
        <w:rPr>
          <w:rFonts w:asciiTheme="minorHAnsi" w:eastAsiaTheme="minorEastAsia" w:hAnsiTheme="minorHAnsi" w:cstheme="minorBidi"/>
          <w:bCs w:val="0"/>
          <w:sz w:val="22"/>
          <w:szCs w:val="22"/>
          <w:lang w:val="en-US"/>
        </w:rPr>
      </w:pPr>
      <w:hyperlink w:anchor="_Toc163745427" w:history="1">
        <w:r w:rsidR="004A7F14" w:rsidRPr="00C921DE">
          <w:rPr>
            <w:rStyle w:val="Hyperlink"/>
          </w:rPr>
          <w:t>Քաղաքաշինություն</w:t>
        </w:r>
        <w:r w:rsidR="004A7F14" w:rsidRPr="00C921DE">
          <w:rPr>
            <w:webHidden/>
          </w:rPr>
          <w:tab/>
        </w:r>
        <w:r w:rsidR="004A7F14" w:rsidRPr="00C921DE">
          <w:rPr>
            <w:webHidden/>
          </w:rPr>
          <w:fldChar w:fldCharType="begin"/>
        </w:r>
        <w:r w:rsidR="004A7F14" w:rsidRPr="00C921DE">
          <w:rPr>
            <w:webHidden/>
          </w:rPr>
          <w:instrText xml:space="preserve"> PAGEREF _Toc163745427 \h </w:instrText>
        </w:r>
        <w:r w:rsidR="004A7F14" w:rsidRPr="00C921DE">
          <w:rPr>
            <w:webHidden/>
          </w:rPr>
        </w:r>
        <w:r w:rsidR="004A7F14" w:rsidRPr="00C921DE">
          <w:rPr>
            <w:webHidden/>
          </w:rPr>
          <w:fldChar w:fldCharType="separate"/>
        </w:r>
        <w:r w:rsidR="00ED7DBB" w:rsidRPr="00C921DE">
          <w:rPr>
            <w:webHidden/>
          </w:rPr>
          <w:t>57</w:t>
        </w:r>
        <w:r w:rsidR="004A7F14" w:rsidRPr="00C921DE">
          <w:rPr>
            <w:webHidden/>
          </w:rPr>
          <w:fldChar w:fldCharType="end"/>
        </w:r>
      </w:hyperlink>
    </w:p>
    <w:p w14:paraId="68581A89" w14:textId="149FE74D" w:rsidR="004A7F14" w:rsidRPr="00C921DE" w:rsidRDefault="00B94C14">
      <w:pPr>
        <w:pStyle w:val="TOC2"/>
        <w:rPr>
          <w:rFonts w:asciiTheme="minorHAnsi" w:eastAsiaTheme="minorEastAsia" w:hAnsiTheme="minorHAnsi" w:cstheme="minorBidi"/>
          <w:bCs w:val="0"/>
          <w:sz w:val="22"/>
          <w:szCs w:val="22"/>
          <w:lang w:val="en-US"/>
        </w:rPr>
      </w:pPr>
      <w:hyperlink w:anchor="_Toc163745428" w:history="1">
        <w:r w:rsidR="004A7F14" w:rsidRPr="00C921DE">
          <w:rPr>
            <w:rStyle w:val="Hyperlink"/>
          </w:rPr>
          <w:t>Արտակարգ իրավիճակների բնագավառ</w:t>
        </w:r>
        <w:r w:rsidR="004A7F14" w:rsidRPr="00C921DE">
          <w:rPr>
            <w:webHidden/>
          </w:rPr>
          <w:tab/>
        </w:r>
        <w:r w:rsidR="004A7F14" w:rsidRPr="00C921DE">
          <w:rPr>
            <w:webHidden/>
          </w:rPr>
          <w:fldChar w:fldCharType="begin"/>
        </w:r>
        <w:r w:rsidR="004A7F14" w:rsidRPr="00C921DE">
          <w:rPr>
            <w:webHidden/>
          </w:rPr>
          <w:instrText xml:space="preserve"> PAGEREF _Toc163745428 \h </w:instrText>
        </w:r>
        <w:r w:rsidR="004A7F14" w:rsidRPr="00C921DE">
          <w:rPr>
            <w:webHidden/>
          </w:rPr>
        </w:r>
        <w:r w:rsidR="004A7F14" w:rsidRPr="00C921DE">
          <w:rPr>
            <w:webHidden/>
          </w:rPr>
          <w:fldChar w:fldCharType="separate"/>
        </w:r>
        <w:r w:rsidR="00ED7DBB" w:rsidRPr="00C921DE">
          <w:rPr>
            <w:webHidden/>
          </w:rPr>
          <w:t>59</w:t>
        </w:r>
        <w:r w:rsidR="004A7F14" w:rsidRPr="00C921DE">
          <w:rPr>
            <w:webHidden/>
          </w:rPr>
          <w:fldChar w:fldCharType="end"/>
        </w:r>
      </w:hyperlink>
    </w:p>
    <w:p w14:paraId="16FEF4CE" w14:textId="24D80388" w:rsidR="004A7F14" w:rsidRPr="00C921DE" w:rsidRDefault="00B94C14">
      <w:pPr>
        <w:pStyle w:val="TOC2"/>
        <w:rPr>
          <w:rFonts w:asciiTheme="minorHAnsi" w:eastAsiaTheme="minorEastAsia" w:hAnsiTheme="minorHAnsi" w:cstheme="minorBidi"/>
          <w:bCs w:val="0"/>
          <w:sz w:val="22"/>
          <w:szCs w:val="22"/>
          <w:lang w:val="en-US"/>
        </w:rPr>
      </w:pPr>
      <w:hyperlink w:anchor="_Toc163745429" w:history="1">
        <w:r w:rsidR="004A7F14" w:rsidRPr="00C921DE">
          <w:rPr>
            <w:rStyle w:val="Hyperlink"/>
          </w:rPr>
          <w:t>Արտաքին քաղաքականություն</w:t>
        </w:r>
        <w:r w:rsidR="004A7F14" w:rsidRPr="00C921DE">
          <w:rPr>
            <w:webHidden/>
          </w:rPr>
          <w:tab/>
        </w:r>
        <w:r w:rsidR="004A7F14" w:rsidRPr="00C921DE">
          <w:rPr>
            <w:webHidden/>
          </w:rPr>
          <w:fldChar w:fldCharType="begin"/>
        </w:r>
        <w:r w:rsidR="004A7F14" w:rsidRPr="00C921DE">
          <w:rPr>
            <w:webHidden/>
          </w:rPr>
          <w:instrText xml:space="preserve"> PAGEREF _Toc163745429 \h </w:instrText>
        </w:r>
        <w:r w:rsidR="004A7F14" w:rsidRPr="00C921DE">
          <w:rPr>
            <w:webHidden/>
          </w:rPr>
        </w:r>
        <w:r w:rsidR="004A7F14" w:rsidRPr="00C921DE">
          <w:rPr>
            <w:webHidden/>
          </w:rPr>
          <w:fldChar w:fldCharType="separate"/>
        </w:r>
        <w:r w:rsidR="00ED7DBB" w:rsidRPr="00C921DE">
          <w:rPr>
            <w:webHidden/>
          </w:rPr>
          <w:t>62</w:t>
        </w:r>
        <w:r w:rsidR="004A7F14" w:rsidRPr="00C921DE">
          <w:rPr>
            <w:webHidden/>
          </w:rPr>
          <w:fldChar w:fldCharType="end"/>
        </w:r>
      </w:hyperlink>
    </w:p>
    <w:p w14:paraId="4E02400D" w14:textId="05F07846" w:rsidR="004A7F14" w:rsidRPr="00C921DE" w:rsidRDefault="00B94C14">
      <w:pPr>
        <w:pStyle w:val="TOC2"/>
        <w:rPr>
          <w:rFonts w:asciiTheme="minorHAnsi" w:eastAsiaTheme="minorEastAsia" w:hAnsiTheme="minorHAnsi" w:cstheme="minorBidi"/>
          <w:bCs w:val="0"/>
          <w:sz w:val="22"/>
          <w:szCs w:val="22"/>
          <w:lang w:val="en-US"/>
        </w:rPr>
      </w:pPr>
      <w:hyperlink w:anchor="_Toc163745430" w:history="1">
        <w:r w:rsidR="004A7F14" w:rsidRPr="00C921DE">
          <w:rPr>
            <w:rStyle w:val="Hyperlink"/>
          </w:rPr>
          <w:t>Սփյուռք</w:t>
        </w:r>
        <w:r w:rsidR="004A7F14" w:rsidRPr="00C921DE">
          <w:rPr>
            <w:webHidden/>
          </w:rPr>
          <w:tab/>
        </w:r>
        <w:r w:rsidR="004A7F14" w:rsidRPr="00C921DE">
          <w:rPr>
            <w:webHidden/>
          </w:rPr>
          <w:fldChar w:fldCharType="begin"/>
        </w:r>
        <w:r w:rsidR="004A7F14" w:rsidRPr="00C921DE">
          <w:rPr>
            <w:webHidden/>
          </w:rPr>
          <w:instrText xml:space="preserve"> PAGEREF _Toc163745430 \h </w:instrText>
        </w:r>
        <w:r w:rsidR="004A7F14" w:rsidRPr="00C921DE">
          <w:rPr>
            <w:webHidden/>
          </w:rPr>
        </w:r>
        <w:r w:rsidR="004A7F14" w:rsidRPr="00C921DE">
          <w:rPr>
            <w:webHidden/>
          </w:rPr>
          <w:fldChar w:fldCharType="separate"/>
        </w:r>
        <w:r w:rsidR="00ED7DBB" w:rsidRPr="00C921DE">
          <w:rPr>
            <w:webHidden/>
          </w:rPr>
          <w:t>71</w:t>
        </w:r>
        <w:r w:rsidR="004A7F14" w:rsidRPr="00C921DE">
          <w:rPr>
            <w:webHidden/>
          </w:rPr>
          <w:fldChar w:fldCharType="end"/>
        </w:r>
      </w:hyperlink>
    </w:p>
    <w:p w14:paraId="47601BEC" w14:textId="1FD72A4C" w:rsidR="004A7F14" w:rsidRPr="00C921DE" w:rsidRDefault="00B94C14">
      <w:pPr>
        <w:pStyle w:val="TOC2"/>
        <w:rPr>
          <w:rFonts w:asciiTheme="minorHAnsi" w:eastAsiaTheme="minorEastAsia" w:hAnsiTheme="minorHAnsi" w:cstheme="minorBidi"/>
          <w:bCs w:val="0"/>
          <w:sz w:val="22"/>
          <w:szCs w:val="22"/>
          <w:lang w:val="en-US"/>
        </w:rPr>
      </w:pPr>
      <w:hyperlink w:anchor="_Toc163745431" w:history="1">
        <w:r w:rsidR="004A7F14" w:rsidRPr="00C921DE">
          <w:rPr>
            <w:rStyle w:val="Hyperlink"/>
          </w:rPr>
          <w:t>Արդարադատություն</w:t>
        </w:r>
        <w:r w:rsidR="004A7F14" w:rsidRPr="00C921DE">
          <w:rPr>
            <w:webHidden/>
          </w:rPr>
          <w:tab/>
        </w:r>
        <w:r w:rsidR="004A7F14" w:rsidRPr="00C921DE">
          <w:rPr>
            <w:webHidden/>
          </w:rPr>
          <w:fldChar w:fldCharType="begin"/>
        </w:r>
        <w:r w:rsidR="004A7F14" w:rsidRPr="00C921DE">
          <w:rPr>
            <w:webHidden/>
          </w:rPr>
          <w:instrText xml:space="preserve"> PAGEREF _Toc163745431 \h </w:instrText>
        </w:r>
        <w:r w:rsidR="004A7F14" w:rsidRPr="00C921DE">
          <w:rPr>
            <w:webHidden/>
          </w:rPr>
        </w:r>
        <w:r w:rsidR="004A7F14" w:rsidRPr="00C921DE">
          <w:rPr>
            <w:webHidden/>
          </w:rPr>
          <w:fldChar w:fldCharType="separate"/>
        </w:r>
        <w:r w:rsidR="00ED7DBB" w:rsidRPr="00C921DE">
          <w:rPr>
            <w:webHidden/>
          </w:rPr>
          <w:t>74</w:t>
        </w:r>
        <w:r w:rsidR="004A7F14" w:rsidRPr="00C921DE">
          <w:rPr>
            <w:webHidden/>
          </w:rPr>
          <w:fldChar w:fldCharType="end"/>
        </w:r>
      </w:hyperlink>
    </w:p>
    <w:p w14:paraId="4D1C0779" w14:textId="39FDC6B2" w:rsidR="004A7F14" w:rsidRPr="00C921DE" w:rsidRDefault="00B94C14">
      <w:pPr>
        <w:pStyle w:val="TOC2"/>
        <w:rPr>
          <w:rFonts w:asciiTheme="minorHAnsi" w:eastAsiaTheme="minorEastAsia" w:hAnsiTheme="minorHAnsi" w:cstheme="minorBidi"/>
          <w:bCs w:val="0"/>
          <w:sz w:val="22"/>
          <w:szCs w:val="22"/>
          <w:lang w:val="en-US"/>
        </w:rPr>
      </w:pPr>
      <w:hyperlink w:anchor="_Toc163745432" w:history="1">
        <w:r w:rsidR="004A7F14" w:rsidRPr="00C921DE">
          <w:rPr>
            <w:rStyle w:val="Hyperlink"/>
          </w:rPr>
          <w:t>Կրթություն</w:t>
        </w:r>
        <w:r w:rsidR="004A7F14" w:rsidRPr="00C921DE">
          <w:rPr>
            <w:webHidden/>
          </w:rPr>
          <w:tab/>
        </w:r>
        <w:r w:rsidR="004A7F14" w:rsidRPr="00C921DE">
          <w:rPr>
            <w:webHidden/>
          </w:rPr>
          <w:fldChar w:fldCharType="begin"/>
        </w:r>
        <w:r w:rsidR="004A7F14" w:rsidRPr="00C921DE">
          <w:rPr>
            <w:webHidden/>
          </w:rPr>
          <w:instrText xml:space="preserve"> PAGEREF _Toc163745432 \h </w:instrText>
        </w:r>
        <w:r w:rsidR="004A7F14" w:rsidRPr="00C921DE">
          <w:rPr>
            <w:webHidden/>
          </w:rPr>
        </w:r>
        <w:r w:rsidR="004A7F14" w:rsidRPr="00C921DE">
          <w:rPr>
            <w:webHidden/>
          </w:rPr>
          <w:fldChar w:fldCharType="separate"/>
        </w:r>
        <w:r w:rsidR="00ED7DBB" w:rsidRPr="00C921DE">
          <w:rPr>
            <w:webHidden/>
          </w:rPr>
          <w:t>82</w:t>
        </w:r>
        <w:r w:rsidR="004A7F14" w:rsidRPr="00C921DE">
          <w:rPr>
            <w:webHidden/>
          </w:rPr>
          <w:fldChar w:fldCharType="end"/>
        </w:r>
      </w:hyperlink>
    </w:p>
    <w:p w14:paraId="47578586" w14:textId="70BAADF8" w:rsidR="004A7F14" w:rsidRPr="00C921DE" w:rsidRDefault="00B94C14">
      <w:pPr>
        <w:pStyle w:val="TOC2"/>
        <w:rPr>
          <w:rFonts w:asciiTheme="minorHAnsi" w:eastAsiaTheme="minorEastAsia" w:hAnsiTheme="minorHAnsi" w:cstheme="minorBidi"/>
          <w:bCs w:val="0"/>
          <w:sz w:val="22"/>
          <w:szCs w:val="22"/>
          <w:lang w:val="en-US"/>
        </w:rPr>
      </w:pPr>
      <w:hyperlink w:anchor="_Toc163745433" w:history="1">
        <w:r w:rsidR="004A7F14" w:rsidRPr="00C921DE">
          <w:rPr>
            <w:rStyle w:val="Hyperlink"/>
          </w:rPr>
          <w:t>Գիտություն</w:t>
        </w:r>
        <w:r w:rsidR="004A7F14" w:rsidRPr="00C921DE">
          <w:rPr>
            <w:webHidden/>
          </w:rPr>
          <w:tab/>
        </w:r>
        <w:r w:rsidR="004A7F14" w:rsidRPr="00C921DE">
          <w:rPr>
            <w:webHidden/>
          </w:rPr>
          <w:fldChar w:fldCharType="begin"/>
        </w:r>
        <w:r w:rsidR="004A7F14" w:rsidRPr="00C921DE">
          <w:rPr>
            <w:webHidden/>
          </w:rPr>
          <w:instrText xml:space="preserve"> PAGEREF _Toc163745433 \h </w:instrText>
        </w:r>
        <w:r w:rsidR="004A7F14" w:rsidRPr="00C921DE">
          <w:rPr>
            <w:webHidden/>
          </w:rPr>
        </w:r>
        <w:r w:rsidR="004A7F14" w:rsidRPr="00C921DE">
          <w:rPr>
            <w:webHidden/>
          </w:rPr>
          <w:fldChar w:fldCharType="separate"/>
        </w:r>
        <w:r w:rsidR="00ED7DBB" w:rsidRPr="00C921DE">
          <w:rPr>
            <w:webHidden/>
          </w:rPr>
          <w:t>86</w:t>
        </w:r>
        <w:r w:rsidR="004A7F14" w:rsidRPr="00C921DE">
          <w:rPr>
            <w:webHidden/>
          </w:rPr>
          <w:fldChar w:fldCharType="end"/>
        </w:r>
      </w:hyperlink>
    </w:p>
    <w:p w14:paraId="03AA33FC" w14:textId="528572A3" w:rsidR="004A7F14" w:rsidRPr="00C921DE" w:rsidRDefault="00B94C14">
      <w:pPr>
        <w:pStyle w:val="TOC2"/>
        <w:rPr>
          <w:rFonts w:asciiTheme="minorHAnsi" w:eastAsiaTheme="minorEastAsia" w:hAnsiTheme="minorHAnsi" w:cstheme="minorBidi"/>
          <w:bCs w:val="0"/>
          <w:sz w:val="22"/>
          <w:szCs w:val="22"/>
          <w:lang w:val="en-US"/>
        </w:rPr>
      </w:pPr>
      <w:hyperlink w:anchor="_Toc163745434" w:history="1">
        <w:r w:rsidR="004A7F14" w:rsidRPr="00C921DE">
          <w:rPr>
            <w:rStyle w:val="Hyperlink"/>
          </w:rPr>
          <w:t>Մշակույթ</w:t>
        </w:r>
        <w:r w:rsidR="004A7F14" w:rsidRPr="00C921DE">
          <w:rPr>
            <w:webHidden/>
          </w:rPr>
          <w:tab/>
        </w:r>
        <w:r w:rsidR="004A7F14" w:rsidRPr="00C921DE">
          <w:rPr>
            <w:webHidden/>
          </w:rPr>
          <w:fldChar w:fldCharType="begin"/>
        </w:r>
        <w:r w:rsidR="004A7F14" w:rsidRPr="00C921DE">
          <w:rPr>
            <w:webHidden/>
          </w:rPr>
          <w:instrText xml:space="preserve"> PAGEREF _Toc163745434 \h </w:instrText>
        </w:r>
        <w:r w:rsidR="004A7F14" w:rsidRPr="00C921DE">
          <w:rPr>
            <w:webHidden/>
          </w:rPr>
        </w:r>
        <w:r w:rsidR="004A7F14" w:rsidRPr="00C921DE">
          <w:rPr>
            <w:webHidden/>
          </w:rPr>
          <w:fldChar w:fldCharType="separate"/>
        </w:r>
        <w:r w:rsidR="00ED7DBB" w:rsidRPr="00C921DE">
          <w:rPr>
            <w:webHidden/>
          </w:rPr>
          <w:t>89</w:t>
        </w:r>
        <w:r w:rsidR="004A7F14" w:rsidRPr="00C921DE">
          <w:rPr>
            <w:webHidden/>
          </w:rPr>
          <w:fldChar w:fldCharType="end"/>
        </w:r>
      </w:hyperlink>
    </w:p>
    <w:p w14:paraId="3398F6E8" w14:textId="5DE359F4" w:rsidR="004A7F14" w:rsidRPr="00C921DE" w:rsidRDefault="00B94C14">
      <w:pPr>
        <w:pStyle w:val="TOC2"/>
        <w:rPr>
          <w:rFonts w:asciiTheme="minorHAnsi" w:eastAsiaTheme="minorEastAsia" w:hAnsiTheme="minorHAnsi" w:cstheme="minorBidi"/>
          <w:bCs w:val="0"/>
          <w:sz w:val="22"/>
          <w:szCs w:val="22"/>
          <w:lang w:val="en-US"/>
        </w:rPr>
      </w:pPr>
      <w:hyperlink w:anchor="_Toc163745435" w:history="1">
        <w:r w:rsidR="004A7F14" w:rsidRPr="00C921DE">
          <w:rPr>
            <w:rStyle w:val="Hyperlink"/>
          </w:rPr>
          <w:t>Սպորտ</w:t>
        </w:r>
        <w:r w:rsidR="004A7F14" w:rsidRPr="00C921DE">
          <w:rPr>
            <w:webHidden/>
          </w:rPr>
          <w:tab/>
        </w:r>
        <w:r w:rsidR="004A7F14" w:rsidRPr="00C921DE">
          <w:rPr>
            <w:webHidden/>
          </w:rPr>
          <w:fldChar w:fldCharType="begin"/>
        </w:r>
        <w:r w:rsidR="004A7F14" w:rsidRPr="00C921DE">
          <w:rPr>
            <w:webHidden/>
          </w:rPr>
          <w:instrText xml:space="preserve"> PAGEREF _Toc163745435 \h </w:instrText>
        </w:r>
        <w:r w:rsidR="004A7F14" w:rsidRPr="00C921DE">
          <w:rPr>
            <w:webHidden/>
          </w:rPr>
        </w:r>
        <w:r w:rsidR="004A7F14" w:rsidRPr="00C921DE">
          <w:rPr>
            <w:webHidden/>
          </w:rPr>
          <w:fldChar w:fldCharType="separate"/>
        </w:r>
        <w:r w:rsidR="00ED7DBB" w:rsidRPr="00C921DE">
          <w:rPr>
            <w:webHidden/>
          </w:rPr>
          <w:t>91</w:t>
        </w:r>
        <w:r w:rsidR="004A7F14" w:rsidRPr="00C921DE">
          <w:rPr>
            <w:webHidden/>
          </w:rPr>
          <w:fldChar w:fldCharType="end"/>
        </w:r>
      </w:hyperlink>
    </w:p>
    <w:p w14:paraId="0E44EA24" w14:textId="4DB34D6D" w:rsidR="004A7F14" w:rsidRPr="00C921DE" w:rsidRDefault="00B94C14">
      <w:pPr>
        <w:pStyle w:val="TOC2"/>
        <w:rPr>
          <w:rFonts w:asciiTheme="minorHAnsi" w:eastAsiaTheme="minorEastAsia" w:hAnsiTheme="minorHAnsi" w:cstheme="minorBidi"/>
          <w:bCs w:val="0"/>
          <w:sz w:val="22"/>
          <w:szCs w:val="22"/>
          <w:lang w:val="en-US"/>
        </w:rPr>
      </w:pPr>
      <w:hyperlink w:anchor="_Toc163745436" w:history="1">
        <w:r w:rsidR="004A7F14" w:rsidRPr="00C921DE">
          <w:rPr>
            <w:rStyle w:val="Hyperlink"/>
          </w:rPr>
          <w:t>Երիտասարդություն</w:t>
        </w:r>
        <w:r w:rsidR="004A7F14" w:rsidRPr="00C921DE">
          <w:rPr>
            <w:webHidden/>
          </w:rPr>
          <w:tab/>
        </w:r>
        <w:r w:rsidR="004A7F14" w:rsidRPr="00C921DE">
          <w:rPr>
            <w:webHidden/>
          </w:rPr>
          <w:fldChar w:fldCharType="begin"/>
        </w:r>
        <w:r w:rsidR="004A7F14" w:rsidRPr="00C921DE">
          <w:rPr>
            <w:webHidden/>
          </w:rPr>
          <w:instrText xml:space="preserve"> PAGEREF _Toc163745436 \h </w:instrText>
        </w:r>
        <w:r w:rsidR="004A7F14" w:rsidRPr="00C921DE">
          <w:rPr>
            <w:webHidden/>
          </w:rPr>
        </w:r>
        <w:r w:rsidR="004A7F14" w:rsidRPr="00C921DE">
          <w:rPr>
            <w:webHidden/>
          </w:rPr>
          <w:fldChar w:fldCharType="separate"/>
        </w:r>
        <w:r w:rsidR="00ED7DBB" w:rsidRPr="00C921DE">
          <w:rPr>
            <w:webHidden/>
          </w:rPr>
          <w:t>93</w:t>
        </w:r>
        <w:r w:rsidR="004A7F14" w:rsidRPr="00C921DE">
          <w:rPr>
            <w:webHidden/>
          </w:rPr>
          <w:fldChar w:fldCharType="end"/>
        </w:r>
      </w:hyperlink>
    </w:p>
    <w:p w14:paraId="04D721FA" w14:textId="1F71956E" w:rsidR="004A7F14" w:rsidRPr="00C921DE" w:rsidRDefault="00B94C14">
      <w:pPr>
        <w:pStyle w:val="TOC2"/>
        <w:rPr>
          <w:rFonts w:asciiTheme="minorHAnsi" w:eastAsiaTheme="minorEastAsia" w:hAnsiTheme="minorHAnsi" w:cstheme="minorBidi"/>
          <w:bCs w:val="0"/>
          <w:sz w:val="22"/>
          <w:szCs w:val="22"/>
          <w:lang w:val="en-US"/>
        </w:rPr>
      </w:pPr>
      <w:hyperlink w:anchor="_Toc163745437" w:history="1">
        <w:r w:rsidR="004A7F14" w:rsidRPr="00C921DE">
          <w:rPr>
            <w:rStyle w:val="Hyperlink"/>
          </w:rPr>
          <w:t>Առողջապահություն</w:t>
        </w:r>
        <w:r w:rsidR="004A7F14" w:rsidRPr="00C921DE">
          <w:rPr>
            <w:webHidden/>
          </w:rPr>
          <w:tab/>
        </w:r>
        <w:r w:rsidR="004A7F14" w:rsidRPr="00C921DE">
          <w:rPr>
            <w:webHidden/>
          </w:rPr>
          <w:fldChar w:fldCharType="begin"/>
        </w:r>
        <w:r w:rsidR="004A7F14" w:rsidRPr="00C921DE">
          <w:rPr>
            <w:webHidden/>
          </w:rPr>
          <w:instrText xml:space="preserve"> PAGEREF _Toc163745437 \h </w:instrText>
        </w:r>
        <w:r w:rsidR="004A7F14" w:rsidRPr="00C921DE">
          <w:rPr>
            <w:webHidden/>
          </w:rPr>
        </w:r>
        <w:r w:rsidR="004A7F14" w:rsidRPr="00C921DE">
          <w:rPr>
            <w:webHidden/>
          </w:rPr>
          <w:fldChar w:fldCharType="separate"/>
        </w:r>
        <w:r w:rsidR="00ED7DBB" w:rsidRPr="00C921DE">
          <w:rPr>
            <w:webHidden/>
          </w:rPr>
          <w:t>93</w:t>
        </w:r>
        <w:r w:rsidR="004A7F14" w:rsidRPr="00C921DE">
          <w:rPr>
            <w:webHidden/>
          </w:rPr>
          <w:fldChar w:fldCharType="end"/>
        </w:r>
      </w:hyperlink>
    </w:p>
    <w:p w14:paraId="4C3F1E74" w14:textId="015099CF" w:rsidR="004A7F14" w:rsidRPr="00C921DE" w:rsidRDefault="00B94C14">
      <w:pPr>
        <w:pStyle w:val="TOC2"/>
        <w:rPr>
          <w:rFonts w:asciiTheme="minorHAnsi" w:eastAsiaTheme="minorEastAsia" w:hAnsiTheme="minorHAnsi" w:cstheme="minorBidi"/>
          <w:bCs w:val="0"/>
          <w:sz w:val="22"/>
          <w:szCs w:val="22"/>
          <w:lang w:val="en-US"/>
        </w:rPr>
      </w:pPr>
      <w:hyperlink w:anchor="_Toc163745438" w:history="1">
        <w:r w:rsidR="004A7F14" w:rsidRPr="00C921DE">
          <w:rPr>
            <w:rStyle w:val="Hyperlink"/>
          </w:rPr>
          <w:t>Աշխատանքի և սոցիալական պաշտպանություն</w:t>
        </w:r>
        <w:r w:rsidR="004A7F14" w:rsidRPr="00C921DE">
          <w:rPr>
            <w:webHidden/>
          </w:rPr>
          <w:tab/>
        </w:r>
        <w:r w:rsidR="004A7F14" w:rsidRPr="00C921DE">
          <w:rPr>
            <w:webHidden/>
          </w:rPr>
          <w:fldChar w:fldCharType="begin"/>
        </w:r>
        <w:r w:rsidR="004A7F14" w:rsidRPr="00C921DE">
          <w:rPr>
            <w:webHidden/>
          </w:rPr>
          <w:instrText xml:space="preserve"> PAGEREF _Toc163745438 \h </w:instrText>
        </w:r>
        <w:r w:rsidR="004A7F14" w:rsidRPr="00C921DE">
          <w:rPr>
            <w:webHidden/>
          </w:rPr>
        </w:r>
        <w:r w:rsidR="004A7F14" w:rsidRPr="00C921DE">
          <w:rPr>
            <w:webHidden/>
          </w:rPr>
          <w:fldChar w:fldCharType="separate"/>
        </w:r>
        <w:r w:rsidR="00ED7DBB" w:rsidRPr="00C921DE">
          <w:rPr>
            <w:webHidden/>
          </w:rPr>
          <w:t>96</w:t>
        </w:r>
        <w:r w:rsidR="004A7F14" w:rsidRPr="00C921DE">
          <w:rPr>
            <w:webHidden/>
          </w:rPr>
          <w:fldChar w:fldCharType="end"/>
        </w:r>
      </w:hyperlink>
    </w:p>
    <w:p w14:paraId="2C802F8B" w14:textId="28F467BF" w:rsidR="004A7F14" w:rsidRPr="00C921DE" w:rsidRDefault="00B94C14">
      <w:pPr>
        <w:pStyle w:val="TOC2"/>
        <w:rPr>
          <w:rFonts w:asciiTheme="minorHAnsi" w:eastAsiaTheme="minorEastAsia" w:hAnsiTheme="minorHAnsi" w:cstheme="minorBidi"/>
          <w:bCs w:val="0"/>
          <w:sz w:val="22"/>
          <w:szCs w:val="22"/>
          <w:lang w:val="en-US"/>
        </w:rPr>
      </w:pPr>
      <w:hyperlink w:anchor="_Toc163745439" w:history="1">
        <w:r w:rsidR="004A7F14" w:rsidRPr="00C921DE">
          <w:rPr>
            <w:rStyle w:val="Hyperlink"/>
          </w:rPr>
          <w:t>Շրջակա միջավայր</w:t>
        </w:r>
        <w:r w:rsidR="004A7F14" w:rsidRPr="00C921DE">
          <w:rPr>
            <w:webHidden/>
          </w:rPr>
          <w:tab/>
        </w:r>
        <w:r w:rsidR="004A7F14" w:rsidRPr="00C921DE">
          <w:rPr>
            <w:webHidden/>
          </w:rPr>
          <w:fldChar w:fldCharType="begin"/>
        </w:r>
        <w:r w:rsidR="004A7F14" w:rsidRPr="00C921DE">
          <w:rPr>
            <w:webHidden/>
          </w:rPr>
          <w:instrText xml:space="preserve"> PAGEREF _Toc163745439 \h </w:instrText>
        </w:r>
        <w:r w:rsidR="004A7F14" w:rsidRPr="00C921DE">
          <w:rPr>
            <w:webHidden/>
          </w:rPr>
        </w:r>
        <w:r w:rsidR="004A7F14" w:rsidRPr="00C921DE">
          <w:rPr>
            <w:webHidden/>
          </w:rPr>
          <w:fldChar w:fldCharType="separate"/>
        </w:r>
        <w:r w:rsidR="00ED7DBB" w:rsidRPr="00C921DE">
          <w:rPr>
            <w:webHidden/>
          </w:rPr>
          <w:t>111</w:t>
        </w:r>
        <w:r w:rsidR="004A7F14" w:rsidRPr="00C921DE">
          <w:rPr>
            <w:webHidden/>
          </w:rPr>
          <w:fldChar w:fldCharType="end"/>
        </w:r>
      </w:hyperlink>
    </w:p>
    <w:p w14:paraId="4CACB472" w14:textId="0D595CDE" w:rsidR="004A7F14" w:rsidRPr="00C921DE" w:rsidRDefault="00B94C14">
      <w:pPr>
        <w:pStyle w:val="TOC2"/>
        <w:rPr>
          <w:rFonts w:asciiTheme="minorHAnsi" w:eastAsiaTheme="minorEastAsia" w:hAnsiTheme="minorHAnsi" w:cstheme="minorBidi"/>
          <w:bCs w:val="0"/>
          <w:sz w:val="22"/>
          <w:szCs w:val="22"/>
          <w:lang w:val="en-US"/>
        </w:rPr>
      </w:pPr>
      <w:hyperlink w:anchor="_Toc163745440" w:history="1">
        <w:r w:rsidR="004A7F14" w:rsidRPr="00C921DE">
          <w:rPr>
            <w:rStyle w:val="Hyperlink"/>
          </w:rPr>
          <w:t>Բյուջեների կազմման բնագավառ</w:t>
        </w:r>
        <w:r w:rsidR="004A7F14" w:rsidRPr="00C921DE">
          <w:rPr>
            <w:webHidden/>
          </w:rPr>
          <w:tab/>
        </w:r>
        <w:r w:rsidR="004A7F14" w:rsidRPr="00C921DE">
          <w:rPr>
            <w:webHidden/>
          </w:rPr>
          <w:fldChar w:fldCharType="begin"/>
        </w:r>
        <w:r w:rsidR="004A7F14" w:rsidRPr="00C921DE">
          <w:rPr>
            <w:webHidden/>
          </w:rPr>
          <w:instrText xml:space="preserve"> PAGEREF _Toc163745440 \h </w:instrText>
        </w:r>
        <w:r w:rsidR="004A7F14" w:rsidRPr="00C921DE">
          <w:rPr>
            <w:webHidden/>
          </w:rPr>
        </w:r>
        <w:r w:rsidR="004A7F14" w:rsidRPr="00C921DE">
          <w:rPr>
            <w:webHidden/>
          </w:rPr>
          <w:fldChar w:fldCharType="separate"/>
        </w:r>
        <w:r w:rsidR="00ED7DBB" w:rsidRPr="00C921DE">
          <w:rPr>
            <w:webHidden/>
          </w:rPr>
          <w:t>116</w:t>
        </w:r>
        <w:r w:rsidR="004A7F14" w:rsidRPr="00C921DE">
          <w:rPr>
            <w:webHidden/>
          </w:rPr>
          <w:fldChar w:fldCharType="end"/>
        </w:r>
      </w:hyperlink>
    </w:p>
    <w:p w14:paraId="18936829" w14:textId="683673F0" w:rsidR="004A7F14" w:rsidRPr="00C921DE" w:rsidRDefault="00B94C14">
      <w:pPr>
        <w:pStyle w:val="TOC2"/>
        <w:rPr>
          <w:rFonts w:asciiTheme="minorHAnsi" w:eastAsiaTheme="minorEastAsia" w:hAnsiTheme="minorHAnsi" w:cstheme="minorBidi"/>
          <w:bCs w:val="0"/>
          <w:sz w:val="22"/>
          <w:szCs w:val="22"/>
          <w:lang w:val="en-US"/>
        </w:rPr>
      </w:pPr>
      <w:hyperlink w:anchor="_Toc163745441" w:history="1">
        <w:r w:rsidR="004A7F14" w:rsidRPr="00C921DE">
          <w:rPr>
            <w:rStyle w:val="Hyperlink"/>
          </w:rPr>
          <w:t>Հաշվապահական հաշվառում և աուդիտորական գործունեություն</w:t>
        </w:r>
        <w:r w:rsidR="004A7F14" w:rsidRPr="00C921DE">
          <w:rPr>
            <w:webHidden/>
          </w:rPr>
          <w:tab/>
        </w:r>
        <w:r w:rsidR="004A7F14" w:rsidRPr="00C921DE">
          <w:rPr>
            <w:webHidden/>
          </w:rPr>
          <w:fldChar w:fldCharType="begin"/>
        </w:r>
        <w:r w:rsidR="004A7F14" w:rsidRPr="00C921DE">
          <w:rPr>
            <w:webHidden/>
          </w:rPr>
          <w:instrText xml:space="preserve"> PAGEREF _Toc163745441 \h </w:instrText>
        </w:r>
        <w:r w:rsidR="004A7F14" w:rsidRPr="00C921DE">
          <w:rPr>
            <w:webHidden/>
          </w:rPr>
        </w:r>
        <w:r w:rsidR="004A7F14" w:rsidRPr="00C921DE">
          <w:rPr>
            <w:webHidden/>
          </w:rPr>
          <w:fldChar w:fldCharType="separate"/>
        </w:r>
        <w:r w:rsidR="00ED7DBB" w:rsidRPr="00C921DE">
          <w:rPr>
            <w:webHidden/>
          </w:rPr>
          <w:t>117</w:t>
        </w:r>
        <w:r w:rsidR="004A7F14" w:rsidRPr="00C921DE">
          <w:rPr>
            <w:webHidden/>
          </w:rPr>
          <w:fldChar w:fldCharType="end"/>
        </w:r>
      </w:hyperlink>
    </w:p>
    <w:p w14:paraId="6A0FB233" w14:textId="10EF4E42" w:rsidR="004A7F14" w:rsidRPr="00C921DE" w:rsidRDefault="00B94C14">
      <w:pPr>
        <w:pStyle w:val="TOC2"/>
        <w:rPr>
          <w:rFonts w:asciiTheme="minorHAnsi" w:eastAsiaTheme="minorEastAsia" w:hAnsiTheme="minorHAnsi" w:cstheme="minorBidi"/>
          <w:bCs w:val="0"/>
          <w:sz w:val="22"/>
          <w:szCs w:val="22"/>
          <w:lang w:val="en-US"/>
        </w:rPr>
      </w:pPr>
      <w:hyperlink w:anchor="_Toc163745442" w:history="1">
        <w:r w:rsidR="004A7F14" w:rsidRPr="00C921DE">
          <w:rPr>
            <w:rStyle w:val="Hyperlink"/>
          </w:rPr>
          <w:t>Եկամուտների քաղաքականություն</w:t>
        </w:r>
        <w:r w:rsidR="004A7F14" w:rsidRPr="00C921DE">
          <w:rPr>
            <w:webHidden/>
          </w:rPr>
          <w:tab/>
        </w:r>
        <w:r w:rsidR="004A7F14" w:rsidRPr="00C921DE">
          <w:rPr>
            <w:webHidden/>
          </w:rPr>
          <w:fldChar w:fldCharType="begin"/>
        </w:r>
        <w:r w:rsidR="004A7F14" w:rsidRPr="00C921DE">
          <w:rPr>
            <w:webHidden/>
          </w:rPr>
          <w:instrText xml:space="preserve"> PAGEREF _Toc163745442 \h </w:instrText>
        </w:r>
        <w:r w:rsidR="004A7F14" w:rsidRPr="00C921DE">
          <w:rPr>
            <w:webHidden/>
          </w:rPr>
        </w:r>
        <w:r w:rsidR="004A7F14" w:rsidRPr="00C921DE">
          <w:rPr>
            <w:webHidden/>
          </w:rPr>
          <w:fldChar w:fldCharType="separate"/>
        </w:r>
        <w:r w:rsidR="00ED7DBB" w:rsidRPr="00C921DE">
          <w:rPr>
            <w:webHidden/>
          </w:rPr>
          <w:t>118</w:t>
        </w:r>
        <w:r w:rsidR="004A7F14" w:rsidRPr="00C921DE">
          <w:rPr>
            <w:webHidden/>
          </w:rPr>
          <w:fldChar w:fldCharType="end"/>
        </w:r>
      </w:hyperlink>
    </w:p>
    <w:p w14:paraId="77344F67" w14:textId="76097A64" w:rsidR="004A7F14" w:rsidRPr="00C921DE" w:rsidRDefault="00B94C14">
      <w:pPr>
        <w:pStyle w:val="TOC2"/>
        <w:rPr>
          <w:rFonts w:asciiTheme="minorHAnsi" w:eastAsiaTheme="minorEastAsia" w:hAnsiTheme="minorHAnsi" w:cstheme="minorBidi"/>
          <w:bCs w:val="0"/>
          <w:sz w:val="22"/>
          <w:szCs w:val="22"/>
          <w:lang w:val="en-US"/>
        </w:rPr>
      </w:pPr>
      <w:hyperlink w:anchor="_Toc163745443" w:history="1">
        <w:r w:rsidR="004A7F14" w:rsidRPr="00C921DE">
          <w:rPr>
            <w:rStyle w:val="Hyperlink"/>
          </w:rPr>
          <w:t>Պետական եկամուտների վարչարարություն</w:t>
        </w:r>
        <w:r w:rsidR="004A7F14" w:rsidRPr="00C921DE">
          <w:rPr>
            <w:webHidden/>
          </w:rPr>
          <w:tab/>
        </w:r>
        <w:r w:rsidR="004A7F14" w:rsidRPr="00C921DE">
          <w:rPr>
            <w:webHidden/>
          </w:rPr>
          <w:fldChar w:fldCharType="begin"/>
        </w:r>
        <w:r w:rsidR="004A7F14" w:rsidRPr="00C921DE">
          <w:rPr>
            <w:webHidden/>
          </w:rPr>
          <w:instrText xml:space="preserve"> PAGEREF _Toc163745443 \h </w:instrText>
        </w:r>
        <w:r w:rsidR="004A7F14" w:rsidRPr="00C921DE">
          <w:rPr>
            <w:webHidden/>
          </w:rPr>
        </w:r>
        <w:r w:rsidR="004A7F14" w:rsidRPr="00C921DE">
          <w:rPr>
            <w:webHidden/>
          </w:rPr>
          <w:fldChar w:fldCharType="separate"/>
        </w:r>
        <w:r w:rsidR="00ED7DBB" w:rsidRPr="00C921DE">
          <w:rPr>
            <w:webHidden/>
          </w:rPr>
          <w:t>119</w:t>
        </w:r>
        <w:r w:rsidR="004A7F14" w:rsidRPr="00C921DE">
          <w:rPr>
            <w:webHidden/>
          </w:rPr>
          <w:fldChar w:fldCharType="end"/>
        </w:r>
      </w:hyperlink>
    </w:p>
    <w:p w14:paraId="2CD70C71" w14:textId="4A009993" w:rsidR="004A7F14" w:rsidRPr="00C921DE" w:rsidRDefault="00B94C14">
      <w:pPr>
        <w:pStyle w:val="TOC2"/>
        <w:rPr>
          <w:rFonts w:asciiTheme="minorHAnsi" w:eastAsiaTheme="minorEastAsia" w:hAnsiTheme="minorHAnsi" w:cstheme="minorBidi"/>
          <w:bCs w:val="0"/>
          <w:sz w:val="22"/>
          <w:szCs w:val="22"/>
          <w:lang w:val="en-US"/>
        </w:rPr>
      </w:pPr>
      <w:hyperlink w:anchor="_Toc163745444" w:history="1">
        <w:r w:rsidR="004A7F14" w:rsidRPr="00C921DE">
          <w:rPr>
            <w:rStyle w:val="Hyperlink"/>
          </w:rPr>
          <w:t>Անշարժ գույքի կադաստր</w:t>
        </w:r>
        <w:r w:rsidR="004A7F14" w:rsidRPr="00C921DE">
          <w:rPr>
            <w:webHidden/>
          </w:rPr>
          <w:tab/>
        </w:r>
        <w:r w:rsidR="004A7F14" w:rsidRPr="00C921DE">
          <w:rPr>
            <w:webHidden/>
          </w:rPr>
          <w:fldChar w:fldCharType="begin"/>
        </w:r>
        <w:r w:rsidR="004A7F14" w:rsidRPr="00C921DE">
          <w:rPr>
            <w:webHidden/>
          </w:rPr>
          <w:instrText xml:space="preserve"> PAGEREF _Toc163745444 \h </w:instrText>
        </w:r>
        <w:r w:rsidR="004A7F14" w:rsidRPr="00C921DE">
          <w:rPr>
            <w:webHidden/>
          </w:rPr>
        </w:r>
        <w:r w:rsidR="004A7F14" w:rsidRPr="00C921DE">
          <w:rPr>
            <w:webHidden/>
          </w:rPr>
          <w:fldChar w:fldCharType="separate"/>
        </w:r>
        <w:r w:rsidR="00ED7DBB" w:rsidRPr="00C921DE">
          <w:rPr>
            <w:webHidden/>
          </w:rPr>
          <w:t>125</w:t>
        </w:r>
        <w:r w:rsidR="004A7F14" w:rsidRPr="00C921DE">
          <w:rPr>
            <w:webHidden/>
          </w:rPr>
          <w:fldChar w:fldCharType="end"/>
        </w:r>
      </w:hyperlink>
    </w:p>
    <w:p w14:paraId="510525CA" w14:textId="58248838" w:rsidR="004A7F14" w:rsidRPr="00C921DE" w:rsidRDefault="00B94C14">
      <w:pPr>
        <w:pStyle w:val="TOC2"/>
        <w:rPr>
          <w:rFonts w:asciiTheme="minorHAnsi" w:eastAsiaTheme="minorEastAsia" w:hAnsiTheme="minorHAnsi" w:cstheme="minorBidi"/>
          <w:bCs w:val="0"/>
          <w:sz w:val="22"/>
          <w:szCs w:val="22"/>
          <w:lang w:val="en-US"/>
        </w:rPr>
      </w:pPr>
      <w:hyperlink w:anchor="_Toc163745445" w:history="1">
        <w:r w:rsidR="004A7F14" w:rsidRPr="00C921DE">
          <w:rPr>
            <w:rStyle w:val="Hyperlink"/>
          </w:rPr>
          <w:t>Հասարակական կարգի պահպանություն</w:t>
        </w:r>
        <w:r w:rsidR="004A7F14" w:rsidRPr="00C921DE">
          <w:rPr>
            <w:webHidden/>
          </w:rPr>
          <w:tab/>
        </w:r>
        <w:r w:rsidR="004A7F14" w:rsidRPr="00C921DE">
          <w:rPr>
            <w:webHidden/>
          </w:rPr>
          <w:fldChar w:fldCharType="begin"/>
        </w:r>
        <w:r w:rsidR="004A7F14" w:rsidRPr="00C921DE">
          <w:rPr>
            <w:webHidden/>
          </w:rPr>
          <w:instrText xml:space="preserve"> PAGEREF _Toc163745445 \h </w:instrText>
        </w:r>
        <w:r w:rsidR="004A7F14" w:rsidRPr="00C921DE">
          <w:rPr>
            <w:webHidden/>
          </w:rPr>
        </w:r>
        <w:r w:rsidR="004A7F14" w:rsidRPr="00C921DE">
          <w:rPr>
            <w:webHidden/>
          </w:rPr>
          <w:fldChar w:fldCharType="separate"/>
        </w:r>
        <w:r w:rsidR="00ED7DBB" w:rsidRPr="00C921DE">
          <w:rPr>
            <w:webHidden/>
          </w:rPr>
          <w:t>129</w:t>
        </w:r>
        <w:r w:rsidR="004A7F14" w:rsidRPr="00C921DE">
          <w:rPr>
            <w:webHidden/>
          </w:rPr>
          <w:fldChar w:fldCharType="end"/>
        </w:r>
      </w:hyperlink>
    </w:p>
    <w:p w14:paraId="2B60DC0E" w14:textId="77777777" w:rsidR="004A7F14" w:rsidRPr="00C921DE" w:rsidRDefault="004A7F14">
      <w:pPr>
        <w:pStyle w:val="TOC1"/>
        <w:rPr>
          <w:rStyle w:val="Hyperlink"/>
        </w:rPr>
      </w:pPr>
    </w:p>
    <w:p w14:paraId="4D878EF3" w14:textId="3E6986FF"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46" w:history="1">
        <w:r w:rsidR="004A7F14" w:rsidRPr="00C921DE">
          <w:rPr>
            <w:rStyle w:val="Hyperlink"/>
            <w:rFonts w:cs="Sylfaen"/>
          </w:rPr>
          <w:t>ՀԱՅԱՍՏԱՆԻ ՀԱՆՐԱՊԵՏՈՒԹՅԱՆ ՄԱԿՐՈՏՆՏԵՍԱԿԱՆ ԵՎ ՀԱՐԿԱԲՅՈՒՋԵՏԱՅԻՆ</w:t>
        </w:r>
        <w:r w:rsidR="009418FF" w:rsidRPr="00C921DE">
          <w:rPr>
            <w:rStyle w:val="Hyperlink"/>
            <w:rFonts w:cs="Sylfaen"/>
          </w:rPr>
          <w:t xml:space="preserve">   </w:t>
        </w:r>
        <w:r w:rsidR="004A7F14" w:rsidRPr="00C921DE">
          <w:rPr>
            <w:rStyle w:val="Hyperlink"/>
            <w:rFonts w:cs="Sylfaen"/>
          </w:rPr>
          <w:t>ԶԱՐԳԱՑՈՒՄՆԵՐԸ 2023 ԹՎԱԿԱՆԻՆ</w:t>
        </w:r>
        <w:r w:rsidR="004A7F14" w:rsidRPr="00C921DE">
          <w:rPr>
            <w:webHidden/>
          </w:rPr>
          <w:tab/>
        </w:r>
        <w:r w:rsidR="004A7F14" w:rsidRPr="00C921DE">
          <w:rPr>
            <w:webHidden/>
          </w:rPr>
          <w:fldChar w:fldCharType="begin"/>
        </w:r>
        <w:r w:rsidR="004A7F14" w:rsidRPr="00C921DE">
          <w:rPr>
            <w:webHidden/>
          </w:rPr>
          <w:instrText xml:space="preserve"> PAGEREF _Toc163745446 \h </w:instrText>
        </w:r>
        <w:r w:rsidR="004A7F14" w:rsidRPr="00C921DE">
          <w:rPr>
            <w:webHidden/>
          </w:rPr>
        </w:r>
        <w:r w:rsidR="004A7F14" w:rsidRPr="00C921DE">
          <w:rPr>
            <w:webHidden/>
          </w:rPr>
          <w:fldChar w:fldCharType="separate"/>
        </w:r>
        <w:r w:rsidR="00ED7DBB" w:rsidRPr="00C921DE">
          <w:rPr>
            <w:webHidden/>
          </w:rPr>
          <w:t>135</w:t>
        </w:r>
        <w:r w:rsidR="004A7F14" w:rsidRPr="00C921DE">
          <w:rPr>
            <w:webHidden/>
          </w:rPr>
          <w:fldChar w:fldCharType="end"/>
        </w:r>
      </w:hyperlink>
    </w:p>
    <w:p w14:paraId="7017752C" w14:textId="77777777" w:rsidR="004A7F14" w:rsidRPr="00C921DE" w:rsidRDefault="004A7F14">
      <w:pPr>
        <w:pStyle w:val="TOC2"/>
        <w:rPr>
          <w:rStyle w:val="Hyperlink"/>
        </w:rPr>
      </w:pPr>
    </w:p>
    <w:p w14:paraId="6483CE93" w14:textId="73194865" w:rsidR="004A7F14" w:rsidRPr="00C921DE" w:rsidRDefault="00B94C14">
      <w:pPr>
        <w:pStyle w:val="TOC2"/>
        <w:rPr>
          <w:rFonts w:asciiTheme="minorHAnsi" w:eastAsiaTheme="minorEastAsia" w:hAnsiTheme="minorHAnsi" w:cstheme="minorBidi"/>
          <w:bCs w:val="0"/>
          <w:sz w:val="22"/>
          <w:szCs w:val="22"/>
          <w:lang w:val="en-US"/>
        </w:rPr>
      </w:pPr>
      <w:hyperlink w:anchor="_Toc163745447" w:history="1">
        <w:r w:rsidR="004A7F14" w:rsidRPr="00C921DE">
          <w:rPr>
            <w:rStyle w:val="Hyperlink"/>
          </w:rPr>
          <w:t>ՄԱԿՐՈՏՆՏԵՍԱԿԱՆ ԶԱՐԳԱՑՈՒՄՆԵՐ</w:t>
        </w:r>
        <w:r w:rsidR="004A7F14" w:rsidRPr="00C921DE">
          <w:rPr>
            <w:webHidden/>
          </w:rPr>
          <w:tab/>
        </w:r>
        <w:r w:rsidR="004A7F14" w:rsidRPr="00C921DE">
          <w:rPr>
            <w:webHidden/>
          </w:rPr>
          <w:fldChar w:fldCharType="begin"/>
        </w:r>
        <w:r w:rsidR="004A7F14" w:rsidRPr="00C921DE">
          <w:rPr>
            <w:webHidden/>
          </w:rPr>
          <w:instrText xml:space="preserve"> PAGEREF _Toc163745447 \h </w:instrText>
        </w:r>
        <w:r w:rsidR="004A7F14" w:rsidRPr="00C921DE">
          <w:rPr>
            <w:webHidden/>
          </w:rPr>
        </w:r>
        <w:r w:rsidR="004A7F14" w:rsidRPr="00C921DE">
          <w:rPr>
            <w:webHidden/>
          </w:rPr>
          <w:fldChar w:fldCharType="separate"/>
        </w:r>
        <w:r w:rsidR="00ED7DBB" w:rsidRPr="00C921DE">
          <w:rPr>
            <w:webHidden/>
          </w:rPr>
          <w:t>135</w:t>
        </w:r>
        <w:r w:rsidR="004A7F14" w:rsidRPr="00C921DE">
          <w:rPr>
            <w:webHidden/>
          </w:rPr>
          <w:fldChar w:fldCharType="end"/>
        </w:r>
      </w:hyperlink>
    </w:p>
    <w:p w14:paraId="2F98D67D" w14:textId="624CC6BF" w:rsidR="004A7F14" w:rsidRPr="00C921DE" w:rsidRDefault="00B94C14">
      <w:pPr>
        <w:pStyle w:val="TOC2"/>
        <w:rPr>
          <w:rFonts w:asciiTheme="minorHAnsi" w:eastAsiaTheme="minorEastAsia" w:hAnsiTheme="minorHAnsi" w:cstheme="minorBidi"/>
          <w:bCs w:val="0"/>
          <w:sz w:val="22"/>
          <w:szCs w:val="22"/>
          <w:lang w:val="en-US"/>
        </w:rPr>
      </w:pPr>
      <w:hyperlink w:anchor="_Toc163745448" w:history="1">
        <w:r w:rsidR="004A7F14" w:rsidRPr="00C921DE">
          <w:rPr>
            <w:rStyle w:val="Hyperlink"/>
          </w:rPr>
          <w:t>Արտաքին միջավայրի զարգացումներ</w:t>
        </w:r>
        <w:r w:rsidR="004A7F14" w:rsidRPr="00C921DE">
          <w:rPr>
            <w:webHidden/>
          </w:rPr>
          <w:tab/>
        </w:r>
        <w:r w:rsidR="004A7F14" w:rsidRPr="00C921DE">
          <w:rPr>
            <w:webHidden/>
          </w:rPr>
          <w:fldChar w:fldCharType="begin"/>
        </w:r>
        <w:r w:rsidR="004A7F14" w:rsidRPr="00C921DE">
          <w:rPr>
            <w:webHidden/>
          </w:rPr>
          <w:instrText xml:space="preserve"> PAGEREF _Toc163745448 \h </w:instrText>
        </w:r>
        <w:r w:rsidR="004A7F14" w:rsidRPr="00C921DE">
          <w:rPr>
            <w:webHidden/>
          </w:rPr>
        </w:r>
        <w:r w:rsidR="004A7F14" w:rsidRPr="00C921DE">
          <w:rPr>
            <w:webHidden/>
          </w:rPr>
          <w:fldChar w:fldCharType="separate"/>
        </w:r>
        <w:r w:rsidR="00ED7DBB" w:rsidRPr="00C921DE">
          <w:rPr>
            <w:webHidden/>
          </w:rPr>
          <w:t>135</w:t>
        </w:r>
        <w:r w:rsidR="004A7F14" w:rsidRPr="00C921DE">
          <w:rPr>
            <w:webHidden/>
          </w:rPr>
          <w:fldChar w:fldCharType="end"/>
        </w:r>
      </w:hyperlink>
    </w:p>
    <w:p w14:paraId="15694145" w14:textId="3B71A120" w:rsidR="004A7F14" w:rsidRPr="00C921DE" w:rsidRDefault="00B94C14">
      <w:pPr>
        <w:pStyle w:val="TOC2"/>
        <w:rPr>
          <w:rFonts w:asciiTheme="minorHAnsi" w:eastAsiaTheme="minorEastAsia" w:hAnsiTheme="minorHAnsi" w:cstheme="minorBidi"/>
          <w:bCs w:val="0"/>
          <w:sz w:val="22"/>
          <w:szCs w:val="22"/>
          <w:lang w:val="en-US"/>
        </w:rPr>
      </w:pPr>
      <w:hyperlink w:anchor="_Toc163745449" w:history="1">
        <w:r w:rsidR="004A7F14" w:rsidRPr="00C921DE">
          <w:rPr>
            <w:rStyle w:val="Hyperlink"/>
          </w:rPr>
          <w:t>ՀՀ մակրոտնտեսական զարգացումներ</w:t>
        </w:r>
        <w:r w:rsidR="004A7F14" w:rsidRPr="00C921DE">
          <w:rPr>
            <w:webHidden/>
          </w:rPr>
          <w:tab/>
        </w:r>
        <w:r w:rsidR="004A7F14" w:rsidRPr="00C921DE">
          <w:rPr>
            <w:webHidden/>
          </w:rPr>
          <w:fldChar w:fldCharType="begin"/>
        </w:r>
        <w:r w:rsidR="004A7F14" w:rsidRPr="00C921DE">
          <w:rPr>
            <w:webHidden/>
          </w:rPr>
          <w:instrText xml:space="preserve"> PAGEREF _Toc163745449 \h </w:instrText>
        </w:r>
        <w:r w:rsidR="004A7F14" w:rsidRPr="00C921DE">
          <w:rPr>
            <w:webHidden/>
          </w:rPr>
        </w:r>
        <w:r w:rsidR="004A7F14" w:rsidRPr="00C921DE">
          <w:rPr>
            <w:webHidden/>
          </w:rPr>
          <w:fldChar w:fldCharType="separate"/>
        </w:r>
        <w:r w:rsidR="00ED7DBB" w:rsidRPr="00C921DE">
          <w:rPr>
            <w:webHidden/>
          </w:rPr>
          <w:t>138</w:t>
        </w:r>
        <w:r w:rsidR="004A7F14" w:rsidRPr="00C921DE">
          <w:rPr>
            <w:webHidden/>
          </w:rPr>
          <w:fldChar w:fldCharType="end"/>
        </w:r>
      </w:hyperlink>
    </w:p>
    <w:p w14:paraId="01F9AEF7" w14:textId="3DAFA5B0" w:rsidR="004A7F14" w:rsidRPr="00C921DE" w:rsidRDefault="00B94C14">
      <w:pPr>
        <w:pStyle w:val="TOC2"/>
        <w:rPr>
          <w:rFonts w:asciiTheme="minorHAnsi" w:eastAsiaTheme="minorEastAsia" w:hAnsiTheme="minorHAnsi" w:cstheme="minorBidi"/>
          <w:bCs w:val="0"/>
          <w:sz w:val="22"/>
          <w:szCs w:val="22"/>
          <w:lang w:val="en-US"/>
        </w:rPr>
      </w:pPr>
      <w:hyperlink w:anchor="_Toc163745450" w:history="1">
        <w:r w:rsidR="004A7F14" w:rsidRPr="00C921DE">
          <w:rPr>
            <w:rStyle w:val="Hyperlink"/>
          </w:rPr>
          <w:t>ՀԱՐԿԱԲՅՈՒՋԵՏԱՅԻՆ ՔԱՂԱՔԱԿԱՆՈՒԹՅԱՆ ՀԻՄՆԱԿԱՆ ԶԱՐԳԱՑՈՒՄՆԵՐԸ</w:t>
        </w:r>
        <w:r w:rsidR="004A7F14" w:rsidRPr="00C921DE">
          <w:rPr>
            <w:webHidden/>
          </w:rPr>
          <w:tab/>
        </w:r>
        <w:r w:rsidR="004A7F14" w:rsidRPr="00C921DE">
          <w:rPr>
            <w:webHidden/>
          </w:rPr>
          <w:fldChar w:fldCharType="begin"/>
        </w:r>
        <w:r w:rsidR="004A7F14" w:rsidRPr="00C921DE">
          <w:rPr>
            <w:webHidden/>
          </w:rPr>
          <w:instrText xml:space="preserve"> PAGEREF _Toc163745450 \h </w:instrText>
        </w:r>
        <w:r w:rsidR="004A7F14" w:rsidRPr="00C921DE">
          <w:rPr>
            <w:webHidden/>
          </w:rPr>
        </w:r>
        <w:r w:rsidR="004A7F14" w:rsidRPr="00C921DE">
          <w:rPr>
            <w:webHidden/>
          </w:rPr>
          <w:fldChar w:fldCharType="separate"/>
        </w:r>
        <w:r w:rsidR="00ED7DBB" w:rsidRPr="00C921DE">
          <w:rPr>
            <w:webHidden/>
          </w:rPr>
          <w:t>161</w:t>
        </w:r>
        <w:r w:rsidR="004A7F14" w:rsidRPr="00C921DE">
          <w:rPr>
            <w:webHidden/>
          </w:rPr>
          <w:fldChar w:fldCharType="end"/>
        </w:r>
      </w:hyperlink>
    </w:p>
    <w:p w14:paraId="1A4B6CAC" w14:textId="77777777" w:rsidR="004A7F14" w:rsidRPr="00C921DE" w:rsidRDefault="004A7F14">
      <w:pPr>
        <w:pStyle w:val="TOC1"/>
        <w:rPr>
          <w:rStyle w:val="Hyperlink"/>
        </w:rPr>
      </w:pPr>
    </w:p>
    <w:p w14:paraId="62B9E45D" w14:textId="0163486D"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51" w:history="1">
        <w:r w:rsidR="004A7F14" w:rsidRPr="00C921DE">
          <w:rPr>
            <w:rStyle w:val="Hyperlink"/>
            <w:rFonts w:cs="Sylfaen"/>
          </w:rPr>
          <w:t>ՀԱՅԱՍՏԱՆԻ ՀԱՆՐԱՊԵՏՈՒԹՅԱՆ 2023 ԹՎԱԿԱՆԻ ՊԵՏԱԿԱՆ ԲՅՈՒՋԵԻ ՑՈՒՑԱՆԻՇՆԵՐԸ</w:t>
        </w:r>
        <w:r w:rsidR="004A7F14" w:rsidRPr="00C921DE">
          <w:rPr>
            <w:webHidden/>
          </w:rPr>
          <w:tab/>
        </w:r>
        <w:r w:rsidR="004A7F14" w:rsidRPr="00C921DE">
          <w:rPr>
            <w:webHidden/>
          </w:rPr>
          <w:fldChar w:fldCharType="begin"/>
        </w:r>
        <w:r w:rsidR="004A7F14" w:rsidRPr="00C921DE">
          <w:rPr>
            <w:webHidden/>
          </w:rPr>
          <w:instrText xml:space="preserve"> PAGEREF _Toc163745451 \h </w:instrText>
        </w:r>
        <w:r w:rsidR="004A7F14" w:rsidRPr="00C921DE">
          <w:rPr>
            <w:webHidden/>
          </w:rPr>
        </w:r>
        <w:r w:rsidR="004A7F14" w:rsidRPr="00C921DE">
          <w:rPr>
            <w:webHidden/>
          </w:rPr>
          <w:fldChar w:fldCharType="separate"/>
        </w:r>
        <w:r w:rsidR="00ED7DBB" w:rsidRPr="00C921DE">
          <w:rPr>
            <w:webHidden/>
          </w:rPr>
          <w:t>173</w:t>
        </w:r>
        <w:r w:rsidR="004A7F14" w:rsidRPr="00C921DE">
          <w:rPr>
            <w:webHidden/>
          </w:rPr>
          <w:fldChar w:fldCharType="end"/>
        </w:r>
      </w:hyperlink>
    </w:p>
    <w:p w14:paraId="27B6C083" w14:textId="77777777" w:rsidR="004A7F14" w:rsidRPr="00C921DE" w:rsidRDefault="004A7F14">
      <w:pPr>
        <w:pStyle w:val="TOC1"/>
        <w:rPr>
          <w:rStyle w:val="Hyperlink"/>
        </w:rPr>
      </w:pPr>
    </w:p>
    <w:p w14:paraId="107AAB31" w14:textId="5F3895A2"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52" w:history="1">
        <w:r w:rsidR="004A7F14" w:rsidRPr="00C921DE">
          <w:rPr>
            <w:rStyle w:val="Hyperlink"/>
            <w:rFonts w:cs="Sylfaen"/>
          </w:rPr>
          <w:t>ՀԱՅԱՍՏԱՆԻ ՀԱՆՐԱՊԵՏՈՒԹՅԱՆ 2023 ԹՎԱԿԱՆԻ ՊԵՏԱԿԱՆ ԲՅՈՒՋԵԻ ԵԿԱՄՈՒՏՆԵՐԸ</w:t>
        </w:r>
        <w:r w:rsidR="004A7F14" w:rsidRPr="00C921DE">
          <w:rPr>
            <w:webHidden/>
          </w:rPr>
          <w:tab/>
        </w:r>
        <w:r w:rsidR="004A7F14" w:rsidRPr="00C921DE">
          <w:rPr>
            <w:webHidden/>
          </w:rPr>
          <w:fldChar w:fldCharType="begin"/>
        </w:r>
        <w:r w:rsidR="004A7F14" w:rsidRPr="00C921DE">
          <w:rPr>
            <w:webHidden/>
          </w:rPr>
          <w:instrText xml:space="preserve"> PAGEREF _Toc163745452 \h </w:instrText>
        </w:r>
        <w:r w:rsidR="004A7F14" w:rsidRPr="00C921DE">
          <w:rPr>
            <w:webHidden/>
          </w:rPr>
        </w:r>
        <w:r w:rsidR="004A7F14" w:rsidRPr="00C921DE">
          <w:rPr>
            <w:webHidden/>
          </w:rPr>
          <w:fldChar w:fldCharType="separate"/>
        </w:r>
        <w:r w:rsidR="00ED7DBB" w:rsidRPr="00C921DE">
          <w:rPr>
            <w:webHidden/>
          </w:rPr>
          <w:t>175</w:t>
        </w:r>
        <w:r w:rsidR="004A7F14" w:rsidRPr="00C921DE">
          <w:rPr>
            <w:webHidden/>
          </w:rPr>
          <w:fldChar w:fldCharType="end"/>
        </w:r>
      </w:hyperlink>
    </w:p>
    <w:p w14:paraId="6D6D19EF" w14:textId="77777777" w:rsidR="004A7F14" w:rsidRPr="00C921DE" w:rsidRDefault="004A7F14">
      <w:pPr>
        <w:pStyle w:val="TOC2"/>
        <w:rPr>
          <w:rStyle w:val="Hyperlink"/>
        </w:rPr>
      </w:pPr>
    </w:p>
    <w:p w14:paraId="4D063464" w14:textId="32B4883A" w:rsidR="004A7F14" w:rsidRPr="00C921DE" w:rsidRDefault="00B94C14">
      <w:pPr>
        <w:pStyle w:val="TOC2"/>
        <w:rPr>
          <w:rFonts w:asciiTheme="minorHAnsi" w:eastAsiaTheme="minorEastAsia" w:hAnsiTheme="minorHAnsi" w:cstheme="minorBidi"/>
          <w:bCs w:val="0"/>
          <w:sz w:val="22"/>
          <w:szCs w:val="22"/>
          <w:lang w:val="en-US"/>
        </w:rPr>
      </w:pPr>
      <w:hyperlink w:anchor="_Toc163745453" w:history="1">
        <w:r w:rsidR="004A7F14" w:rsidRPr="00C921DE">
          <w:rPr>
            <w:rStyle w:val="Hyperlink"/>
          </w:rPr>
          <w:t>Հարկային եկամուտներ և պետական տուրքեր</w:t>
        </w:r>
        <w:r w:rsidR="004A7F14" w:rsidRPr="00C921DE">
          <w:rPr>
            <w:webHidden/>
          </w:rPr>
          <w:tab/>
        </w:r>
        <w:r w:rsidR="004A7F14" w:rsidRPr="00C921DE">
          <w:rPr>
            <w:webHidden/>
          </w:rPr>
          <w:fldChar w:fldCharType="begin"/>
        </w:r>
        <w:r w:rsidR="004A7F14" w:rsidRPr="00C921DE">
          <w:rPr>
            <w:webHidden/>
          </w:rPr>
          <w:instrText xml:space="preserve"> PAGEREF _Toc163745453 \h </w:instrText>
        </w:r>
        <w:r w:rsidR="004A7F14" w:rsidRPr="00C921DE">
          <w:rPr>
            <w:webHidden/>
          </w:rPr>
        </w:r>
        <w:r w:rsidR="004A7F14" w:rsidRPr="00C921DE">
          <w:rPr>
            <w:webHidden/>
          </w:rPr>
          <w:fldChar w:fldCharType="separate"/>
        </w:r>
        <w:r w:rsidR="00ED7DBB" w:rsidRPr="00C921DE">
          <w:rPr>
            <w:webHidden/>
          </w:rPr>
          <w:t>176</w:t>
        </w:r>
        <w:r w:rsidR="004A7F14" w:rsidRPr="00C921DE">
          <w:rPr>
            <w:webHidden/>
          </w:rPr>
          <w:fldChar w:fldCharType="end"/>
        </w:r>
      </w:hyperlink>
    </w:p>
    <w:p w14:paraId="0214C603" w14:textId="339D3237" w:rsidR="004A7F14" w:rsidRPr="00C921DE" w:rsidRDefault="00B94C14">
      <w:pPr>
        <w:pStyle w:val="TOC2"/>
        <w:rPr>
          <w:rFonts w:asciiTheme="minorHAnsi" w:eastAsiaTheme="minorEastAsia" w:hAnsiTheme="minorHAnsi" w:cstheme="minorBidi"/>
          <w:bCs w:val="0"/>
          <w:sz w:val="22"/>
          <w:szCs w:val="22"/>
          <w:lang w:val="en-US"/>
        </w:rPr>
      </w:pPr>
      <w:hyperlink w:anchor="_Toc163745454" w:history="1">
        <w:r w:rsidR="004A7F14" w:rsidRPr="00C921DE">
          <w:rPr>
            <w:rStyle w:val="Hyperlink"/>
          </w:rPr>
          <w:t>Պաշտոնական դրամաշնորհներ</w:t>
        </w:r>
        <w:r w:rsidR="004A7F14" w:rsidRPr="00C921DE">
          <w:rPr>
            <w:webHidden/>
          </w:rPr>
          <w:tab/>
        </w:r>
        <w:r w:rsidR="004A7F14" w:rsidRPr="00C921DE">
          <w:rPr>
            <w:webHidden/>
          </w:rPr>
          <w:fldChar w:fldCharType="begin"/>
        </w:r>
        <w:r w:rsidR="004A7F14" w:rsidRPr="00C921DE">
          <w:rPr>
            <w:webHidden/>
          </w:rPr>
          <w:instrText xml:space="preserve"> PAGEREF _Toc163745454 \h </w:instrText>
        </w:r>
        <w:r w:rsidR="004A7F14" w:rsidRPr="00C921DE">
          <w:rPr>
            <w:webHidden/>
          </w:rPr>
        </w:r>
        <w:r w:rsidR="004A7F14" w:rsidRPr="00C921DE">
          <w:rPr>
            <w:webHidden/>
          </w:rPr>
          <w:fldChar w:fldCharType="separate"/>
        </w:r>
        <w:r w:rsidR="00ED7DBB" w:rsidRPr="00C921DE">
          <w:rPr>
            <w:webHidden/>
          </w:rPr>
          <w:t>190</w:t>
        </w:r>
        <w:r w:rsidR="004A7F14" w:rsidRPr="00C921DE">
          <w:rPr>
            <w:webHidden/>
          </w:rPr>
          <w:fldChar w:fldCharType="end"/>
        </w:r>
      </w:hyperlink>
    </w:p>
    <w:p w14:paraId="71FD00DB" w14:textId="74D82F7E" w:rsidR="004A7F14" w:rsidRPr="00C921DE" w:rsidRDefault="00B94C14">
      <w:pPr>
        <w:pStyle w:val="TOC2"/>
        <w:rPr>
          <w:rFonts w:asciiTheme="minorHAnsi" w:eastAsiaTheme="minorEastAsia" w:hAnsiTheme="minorHAnsi" w:cstheme="minorBidi"/>
          <w:bCs w:val="0"/>
          <w:sz w:val="22"/>
          <w:szCs w:val="22"/>
          <w:lang w:val="en-US"/>
        </w:rPr>
      </w:pPr>
      <w:hyperlink w:anchor="_Toc163745455" w:history="1">
        <w:r w:rsidR="004A7F14" w:rsidRPr="00C921DE">
          <w:rPr>
            <w:rStyle w:val="Hyperlink"/>
          </w:rPr>
          <w:t>Այլ եկամուտներ</w:t>
        </w:r>
        <w:r w:rsidR="004A7F14" w:rsidRPr="00C921DE">
          <w:rPr>
            <w:webHidden/>
          </w:rPr>
          <w:tab/>
        </w:r>
        <w:r w:rsidR="004A7F14" w:rsidRPr="00C921DE">
          <w:rPr>
            <w:webHidden/>
          </w:rPr>
          <w:fldChar w:fldCharType="begin"/>
        </w:r>
        <w:r w:rsidR="004A7F14" w:rsidRPr="00C921DE">
          <w:rPr>
            <w:webHidden/>
          </w:rPr>
          <w:instrText xml:space="preserve"> PAGEREF _Toc163745455 \h </w:instrText>
        </w:r>
        <w:r w:rsidR="004A7F14" w:rsidRPr="00C921DE">
          <w:rPr>
            <w:webHidden/>
          </w:rPr>
        </w:r>
        <w:r w:rsidR="004A7F14" w:rsidRPr="00C921DE">
          <w:rPr>
            <w:webHidden/>
          </w:rPr>
          <w:fldChar w:fldCharType="separate"/>
        </w:r>
        <w:r w:rsidR="00ED7DBB" w:rsidRPr="00C921DE">
          <w:rPr>
            <w:webHidden/>
          </w:rPr>
          <w:t>193</w:t>
        </w:r>
        <w:r w:rsidR="004A7F14" w:rsidRPr="00C921DE">
          <w:rPr>
            <w:webHidden/>
          </w:rPr>
          <w:fldChar w:fldCharType="end"/>
        </w:r>
      </w:hyperlink>
    </w:p>
    <w:p w14:paraId="46DF99DB" w14:textId="77777777" w:rsidR="004A7F14" w:rsidRPr="00C921DE" w:rsidRDefault="004A7F14">
      <w:pPr>
        <w:pStyle w:val="TOC1"/>
        <w:rPr>
          <w:rStyle w:val="Hyperlink"/>
        </w:rPr>
      </w:pPr>
    </w:p>
    <w:p w14:paraId="1216D25E" w14:textId="1B0FE766"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56" w:history="1">
        <w:r w:rsidR="004A7F14" w:rsidRPr="00C921DE">
          <w:rPr>
            <w:rStyle w:val="Hyperlink"/>
            <w:rFonts w:cs="Sylfaen"/>
          </w:rPr>
          <w:t>ՀԱՅԱՍՏԱՆԻ</w:t>
        </w:r>
        <w:r w:rsidR="004A7F14" w:rsidRPr="00C921DE">
          <w:rPr>
            <w:rStyle w:val="Hyperlink"/>
            <w:rFonts w:cs="Sylfaen"/>
            <w:lang w:val="de-AT"/>
          </w:rPr>
          <w:t xml:space="preserve"> </w:t>
        </w:r>
        <w:r w:rsidR="004A7F14" w:rsidRPr="00C921DE">
          <w:rPr>
            <w:rStyle w:val="Hyperlink"/>
            <w:rFonts w:cs="Sylfaen"/>
          </w:rPr>
          <w:t>ՀԱՆՐԱՊԵՏՈՒԹՅԱՆ 2023 ԹՎԱԿԱՆԻ ՊԵՏԱԿԱՆ ԲՅՈՒՋԵԻ ԾԱԽՍԵՐԸ</w:t>
        </w:r>
        <w:r w:rsidR="004A7F14" w:rsidRPr="00C921DE">
          <w:rPr>
            <w:webHidden/>
          </w:rPr>
          <w:tab/>
        </w:r>
        <w:r w:rsidR="004A7F14" w:rsidRPr="00C921DE">
          <w:rPr>
            <w:webHidden/>
          </w:rPr>
          <w:fldChar w:fldCharType="begin"/>
        </w:r>
        <w:r w:rsidR="004A7F14" w:rsidRPr="00C921DE">
          <w:rPr>
            <w:webHidden/>
          </w:rPr>
          <w:instrText xml:space="preserve"> PAGEREF _Toc163745456 \h </w:instrText>
        </w:r>
        <w:r w:rsidR="004A7F14" w:rsidRPr="00C921DE">
          <w:rPr>
            <w:webHidden/>
          </w:rPr>
        </w:r>
        <w:r w:rsidR="004A7F14" w:rsidRPr="00C921DE">
          <w:rPr>
            <w:webHidden/>
          </w:rPr>
          <w:fldChar w:fldCharType="separate"/>
        </w:r>
        <w:r w:rsidR="00ED7DBB" w:rsidRPr="00C921DE">
          <w:rPr>
            <w:webHidden/>
          </w:rPr>
          <w:t>197</w:t>
        </w:r>
        <w:r w:rsidR="004A7F14" w:rsidRPr="00C921DE">
          <w:rPr>
            <w:webHidden/>
          </w:rPr>
          <w:fldChar w:fldCharType="end"/>
        </w:r>
      </w:hyperlink>
    </w:p>
    <w:p w14:paraId="7976EC90" w14:textId="77777777" w:rsidR="004A7F14" w:rsidRPr="00C921DE" w:rsidRDefault="004A7F14">
      <w:pPr>
        <w:pStyle w:val="TOC2"/>
        <w:rPr>
          <w:rStyle w:val="Hyperlink"/>
        </w:rPr>
      </w:pPr>
    </w:p>
    <w:p w14:paraId="10910D7C" w14:textId="7100467B" w:rsidR="004A7F14" w:rsidRPr="00C921DE" w:rsidRDefault="00B94C14">
      <w:pPr>
        <w:pStyle w:val="TOC2"/>
        <w:rPr>
          <w:rFonts w:asciiTheme="minorHAnsi" w:eastAsiaTheme="minorEastAsia" w:hAnsiTheme="minorHAnsi" w:cstheme="minorBidi"/>
          <w:bCs w:val="0"/>
          <w:sz w:val="22"/>
          <w:szCs w:val="22"/>
          <w:lang w:val="en-US"/>
        </w:rPr>
      </w:pPr>
      <w:hyperlink w:anchor="_Toc163745457" w:history="1">
        <w:r w:rsidR="004A7F14" w:rsidRPr="00C921DE">
          <w:rPr>
            <w:rStyle w:val="Hyperlink"/>
          </w:rPr>
          <w:t>Տնտեսագիտական դասակարգում</w:t>
        </w:r>
        <w:r w:rsidR="004A7F14" w:rsidRPr="00C921DE">
          <w:rPr>
            <w:webHidden/>
          </w:rPr>
          <w:tab/>
        </w:r>
        <w:r w:rsidR="004A7F14" w:rsidRPr="00C921DE">
          <w:rPr>
            <w:webHidden/>
          </w:rPr>
          <w:fldChar w:fldCharType="begin"/>
        </w:r>
        <w:r w:rsidR="004A7F14" w:rsidRPr="00C921DE">
          <w:rPr>
            <w:webHidden/>
          </w:rPr>
          <w:instrText xml:space="preserve"> PAGEREF _Toc163745457 \h </w:instrText>
        </w:r>
        <w:r w:rsidR="004A7F14" w:rsidRPr="00C921DE">
          <w:rPr>
            <w:webHidden/>
          </w:rPr>
        </w:r>
        <w:r w:rsidR="004A7F14" w:rsidRPr="00C921DE">
          <w:rPr>
            <w:webHidden/>
          </w:rPr>
          <w:fldChar w:fldCharType="separate"/>
        </w:r>
        <w:r w:rsidR="00ED7DBB" w:rsidRPr="00C921DE">
          <w:rPr>
            <w:webHidden/>
          </w:rPr>
          <w:t>197</w:t>
        </w:r>
        <w:r w:rsidR="004A7F14" w:rsidRPr="00C921DE">
          <w:rPr>
            <w:webHidden/>
          </w:rPr>
          <w:fldChar w:fldCharType="end"/>
        </w:r>
      </w:hyperlink>
    </w:p>
    <w:p w14:paraId="27BEFD67" w14:textId="46A7A414" w:rsidR="004A7F14" w:rsidRPr="00C921DE" w:rsidRDefault="00B94C14">
      <w:pPr>
        <w:pStyle w:val="TOC2"/>
        <w:rPr>
          <w:rFonts w:asciiTheme="minorHAnsi" w:eastAsiaTheme="minorEastAsia" w:hAnsiTheme="minorHAnsi" w:cstheme="minorBidi"/>
          <w:bCs w:val="0"/>
          <w:sz w:val="22"/>
          <w:szCs w:val="22"/>
          <w:lang w:val="en-US"/>
        </w:rPr>
      </w:pPr>
      <w:hyperlink w:anchor="_Toc163745458" w:history="1">
        <w:r w:rsidR="004A7F14" w:rsidRPr="00C921DE">
          <w:rPr>
            <w:rStyle w:val="Hyperlink"/>
          </w:rPr>
          <w:t>Ծրագրային դասակարգում</w:t>
        </w:r>
        <w:r w:rsidR="004A7F14" w:rsidRPr="00C921DE">
          <w:rPr>
            <w:webHidden/>
          </w:rPr>
          <w:tab/>
        </w:r>
        <w:r w:rsidR="004A7F14" w:rsidRPr="00C921DE">
          <w:rPr>
            <w:webHidden/>
          </w:rPr>
          <w:fldChar w:fldCharType="begin"/>
        </w:r>
        <w:r w:rsidR="004A7F14" w:rsidRPr="00C921DE">
          <w:rPr>
            <w:webHidden/>
          </w:rPr>
          <w:instrText xml:space="preserve"> PAGEREF _Toc163745458 \h </w:instrText>
        </w:r>
        <w:r w:rsidR="004A7F14" w:rsidRPr="00C921DE">
          <w:rPr>
            <w:webHidden/>
          </w:rPr>
        </w:r>
        <w:r w:rsidR="004A7F14" w:rsidRPr="00C921DE">
          <w:rPr>
            <w:webHidden/>
          </w:rPr>
          <w:fldChar w:fldCharType="separate"/>
        </w:r>
        <w:r w:rsidR="00ED7DBB" w:rsidRPr="00C921DE">
          <w:rPr>
            <w:webHidden/>
          </w:rPr>
          <w:t>205</w:t>
        </w:r>
        <w:r w:rsidR="004A7F14" w:rsidRPr="00C921DE">
          <w:rPr>
            <w:webHidden/>
          </w:rPr>
          <w:fldChar w:fldCharType="end"/>
        </w:r>
      </w:hyperlink>
    </w:p>
    <w:p w14:paraId="68C157D8" w14:textId="77777777" w:rsidR="004A7F14" w:rsidRPr="00C921DE" w:rsidRDefault="004A7F14">
      <w:pPr>
        <w:pStyle w:val="TOC1"/>
        <w:rPr>
          <w:rStyle w:val="Hyperlink"/>
        </w:rPr>
      </w:pPr>
    </w:p>
    <w:p w14:paraId="650C2A76" w14:textId="616F30FE"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59" w:history="1">
        <w:r w:rsidR="004A7F14" w:rsidRPr="00C921DE">
          <w:rPr>
            <w:rStyle w:val="Hyperlink"/>
            <w:rFonts w:cs="Sylfaen"/>
          </w:rPr>
          <w:t>ՀԱՅԱՍՏԱՆԻ ՀԱՆՐԱՊԵՏՈՒԹՅԱՆ 2023 ԹՎԱԿԱՆԻ ՊԵՏԱԿԱՆ ԲՅՈՒՋԵԻ ՊԱԿԱՍՈՒՐԴԸ</w:t>
        </w:r>
        <w:r w:rsidR="004A7F14" w:rsidRPr="00C921DE">
          <w:rPr>
            <w:webHidden/>
          </w:rPr>
          <w:tab/>
        </w:r>
        <w:r w:rsidR="004A7F14" w:rsidRPr="00C921DE">
          <w:rPr>
            <w:webHidden/>
          </w:rPr>
          <w:fldChar w:fldCharType="begin"/>
        </w:r>
        <w:r w:rsidR="004A7F14" w:rsidRPr="00C921DE">
          <w:rPr>
            <w:webHidden/>
          </w:rPr>
          <w:instrText xml:space="preserve"> PAGEREF _Toc163745459 \h </w:instrText>
        </w:r>
        <w:r w:rsidR="004A7F14" w:rsidRPr="00C921DE">
          <w:rPr>
            <w:webHidden/>
          </w:rPr>
        </w:r>
        <w:r w:rsidR="004A7F14" w:rsidRPr="00C921DE">
          <w:rPr>
            <w:webHidden/>
          </w:rPr>
          <w:fldChar w:fldCharType="separate"/>
        </w:r>
        <w:r w:rsidR="00ED7DBB" w:rsidRPr="00C921DE">
          <w:rPr>
            <w:webHidden/>
          </w:rPr>
          <w:t>320</w:t>
        </w:r>
        <w:r w:rsidR="004A7F14" w:rsidRPr="00C921DE">
          <w:rPr>
            <w:webHidden/>
          </w:rPr>
          <w:fldChar w:fldCharType="end"/>
        </w:r>
      </w:hyperlink>
    </w:p>
    <w:p w14:paraId="3325BB54" w14:textId="77777777" w:rsidR="004A7F14" w:rsidRPr="00C921DE" w:rsidRDefault="004A7F14">
      <w:pPr>
        <w:pStyle w:val="TOC1"/>
        <w:rPr>
          <w:rStyle w:val="Hyperlink"/>
        </w:rPr>
      </w:pPr>
    </w:p>
    <w:p w14:paraId="1EC5ED1A" w14:textId="72173B8F" w:rsidR="004A7F14" w:rsidRPr="00C921DE" w:rsidRDefault="00B94C14">
      <w:pPr>
        <w:pStyle w:val="TOC1"/>
        <w:rPr>
          <w:rFonts w:asciiTheme="minorHAnsi" w:eastAsiaTheme="minorEastAsia" w:hAnsiTheme="minorHAnsi" w:cstheme="minorBidi"/>
          <w:b w:val="0"/>
          <w:bCs w:val="0"/>
          <w:caps w:val="0"/>
          <w:color w:val="auto"/>
          <w:sz w:val="22"/>
          <w:szCs w:val="22"/>
        </w:rPr>
      </w:pPr>
      <w:hyperlink w:anchor="_Toc163745460" w:history="1">
        <w:r w:rsidR="004A7F14" w:rsidRPr="00C921DE">
          <w:rPr>
            <w:rStyle w:val="Hyperlink"/>
            <w:rFonts w:cs="Sylfaen"/>
          </w:rPr>
          <w:t>ՀԱՅԱՍՏԱՆԻ ՀԱՆՐԱՊԵՏՈՒԹՅԱՆ ՊԵՏԱԿԱՆ ՊԱՐՏՔԸ 2023 ԹՎԱԿԱՆԻՆ</w:t>
        </w:r>
        <w:r w:rsidR="004A7F14" w:rsidRPr="00C921DE">
          <w:rPr>
            <w:webHidden/>
          </w:rPr>
          <w:tab/>
        </w:r>
        <w:r w:rsidR="004A7F14" w:rsidRPr="00C921DE">
          <w:rPr>
            <w:webHidden/>
          </w:rPr>
          <w:fldChar w:fldCharType="begin"/>
        </w:r>
        <w:r w:rsidR="004A7F14" w:rsidRPr="00C921DE">
          <w:rPr>
            <w:webHidden/>
          </w:rPr>
          <w:instrText xml:space="preserve"> PAGEREF _Toc163745460 \h </w:instrText>
        </w:r>
        <w:r w:rsidR="004A7F14" w:rsidRPr="00C921DE">
          <w:rPr>
            <w:webHidden/>
          </w:rPr>
        </w:r>
        <w:r w:rsidR="004A7F14" w:rsidRPr="00C921DE">
          <w:rPr>
            <w:webHidden/>
          </w:rPr>
          <w:fldChar w:fldCharType="separate"/>
        </w:r>
        <w:r w:rsidR="00ED7DBB" w:rsidRPr="00C921DE">
          <w:rPr>
            <w:webHidden/>
          </w:rPr>
          <w:t>331</w:t>
        </w:r>
        <w:r w:rsidR="004A7F14" w:rsidRPr="00C921DE">
          <w:rPr>
            <w:webHidden/>
          </w:rPr>
          <w:fldChar w:fldCharType="end"/>
        </w:r>
      </w:hyperlink>
    </w:p>
    <w:p w14:paraId="74B907BC" w14:textId="3F59015F" w:rsidR="001C411D" w:rsidRPr="00C921DE" w:rsidRDefault="001C411D" w:rsidP="00EA7A56">
      <w:pPr>
        <w:rPr>
          <w:rFonts w:ascii="GHEA Grapalat" w:hAnsi="GHEA Grapalat"/>
          <w:b/>
          <w:sz w:val="20"/>
          <w:szCs w:val="20"/>
          <w:lang w:val="en-US"/>
        </w:rPr>
        <w:sectPr w:rsidR="001C411D" w:rsidRPr="00C921DE" w:rsidSect="00A41AD1">
          <w:headerReference w:type="default" r:id="rId8"/>
          <w:footerReference w:type="default" r:id="rId9"/>
          <w:pgSz w:w="11909" w:h="16834" w:code="9"/>
          <w:pgMar w:top="1134" w:right="567" w:bottom="567" w:left="1134" w:header="720" w:footer="397" w:gutter="0"/>
          <w:pgNumType w:start="5"/>
          <w:cols w:space="720"/>
          <w:docGrid w:linePitch="360"/>
        </w:sectPr>
      </w:pPr>
      <w:r w:rsidRPr="00C921DE">
        <w:fldChar w:fldCharType="end"/>
      </w:r>
      <w:bookmarkEnd w:id="0"/>
      <w:bookmarkEnd w:id="1"/>
      <w:bookmarkEnd w:id="2"/>
      <w:bookmarkEnd w:id="3"/>
      <w:bookmarkEnd w:id="4"/>
      <w:bookmarkEnd w:id="5"/>
      <w:bookmarkEnd w:id="6"/>
      <w:bookmarkEnd w:id="7"/>
    </w:p>
    <w:p w14:paraId="796AAC8E" w14:textId="77777777" w:rsidR="001C411D" w:rsidRPr="00C921DE" w:rsidRDefault="001C411D" w:rsidP="00F80CD0">
      <w:pPr>
        <w:pStyle w:val="Heading1"/>
        <w:rPr>
          <w:rFonts w:ascii="GHEA Grapalat" w:hAnsi="GHEA Grapalat" w:cs="Sylfaen"/>
          <w:sz w:val="22"/>
          <w:szCs w:val="22"/>
        </w:rPr>
      </w:pPr>
      <w:bookmarkStart w:id="8" w:name="_Toc163745414"/>
      <w:bookmarkStart w:id="9" w:name="_Toc511744930"/>
      <w:bookmarkStart w:id="10" w:name="_Toc6389277"/>
      <w:r w:rsidRPr="00C921DE">
        <w:rPr>
          <w:rFonts w:ascii="GHEA Grapalat" w:hAnsi="GHEA Grapalat" w:cs="Sylfaen"/>
          <w:sz w:val="22"/>
          <w:szCs w:val="22"/>
        </w:rPr>
        <w:lastRenderedPageBreak/>
        <w:t>ՕԳՏԱԳՈՐԾՎԱԾ ՀԱՊԱՎՈՒՄՆԵՐ</w:t>
      </w:r>
      <w:bookmarkEnd w:id="8"/>
    </w:p>
    <w:p w14:paraId="0C6ACE22" w14:textId="77777777" w:rsidR="001C411D" w:rsidRPr="00C921DE" w:rsidRDefault="001C411D" w:rsidP="00ED5303">
      <w:pPr>
        <w:ind w:firstLine="567"/>
        <w:rPr>
          <w:rFonts w:ascii="GHEA Grapalat" w:hAnsi="GHEA Grapalat"/>
          <w:sz w:val="22"/>
          <w:szCs w:val="22"/>
          <w:lang w:val="en-US"/>
        </w:rPr>
      </w:pPr>
    </w:p>
    <w:p w14:paraId="78729C48"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ՀՀ – Հայաստանի Հանրապետություն</w:t>
      </w:r>
    </w:p>
    <w:p w14:paraId="5FE25D42"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ԱՊՀ – Անկախ պետությունների համագործակցություն</w:t>
      </w:r>
    </w:p>
    <w:p w14:paraId="0A20846C"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ԱՄՆ – Ամերիկայի Միացյալ Նահանգներ</w:t>
      </w:r>
    </w:p>
    <w:p w14:paraId="1C84D5BD"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ԱՄՆ ՄԶԳ – Ամերիկայի Միացյալ Նահանգների Միջազգային զարգացման գործակալություն</w:t>
      </w:r>
    </w:p>
    <w:p w14:paraId="2F087779"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ՌԴ – Ռուսաստանի Դաշնություն</w:t>
      </w:r>
    </w:p>
    <w:p w14:paraId="72DC1F31"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ՄԱԿ – Միավորված ազգերի կազմակերպություն</w:t>
      </w:r>
    </w:p>
    <w:p w14:paraId="01A58A86"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ՅՈՒՆԵՍԿՕ – Միավորված ազգերի կրթական, գիտական և մշակութային կազմակերպություն</w:t>
      </w:r>
    </w:p>
    <w:p w14:paraId="46BFE390"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ԱՄՀ – Արժույթի միջազգային հիմնադրամ</w:t>
      </w:r>
    </w:p>
    <w:p w14:paraId="4A89DD96"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ՀԲ – Համաշխարհային բանկ</w:t>
      </w:r>
    </w:p>
    <w:p w14:paraId="2606935E"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ՎԶՄԲ – Վերակառուցման և զարգացման միջազգային բանկ</w:t>
      </w:r>
    </w:p>
    <w:p w14:paraId="655048C0"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ԶՄԸ – Զարգացման միջազգային ընկերակցություն</w:t>
      </w:r>
    </w:p>
    <w:p w14:paraId="5403D227"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ԵՄ – Եվրոպական միություն</w:t>
      </w:r>
    </w:p>
    <w:p w14:paraId="31A20B4B"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ԵՆԲ – Եվրոպական ներդրումային բանկ</w:t>
      </w:r>
    </w:p>
    <w:p w14:paraId="30981004"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ՎԶԵԲ – Վերակառուցման և զարգացման եվրոպական բանկ</w:t>
      </w:r>
    </w:p>
    <w:p w14:paraId="54AB4623"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ԱՀԿ – Առևտրի համաշխարհային կազմակերպություն</w:t>
      </w:r>
    </w:p>
    <w:p w14:paraId="49AEA101"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ԱԶԲ – Ասիական զարգացման բանկ</w:t>
      </w:r>
    </w:p>
    <w:p w14:paraId="4B63799B"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ԵԱՏՄ – Եվրասիական տնտեսական միություն</w:t>
      </w:r>
    </w:p>
    <w:p w14:paraId="423D0BC5"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ԱՍՀՆ – Աշխատանքի և սոցիալական հարցերի նախարարություն</w:t>
      </w:r>
    </w:p>
    <w:p w14:paraId="3AF963F3"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ԲՏԱՆ – Բարձր տեխնոլոգիական արդյունաբերության նախարարություն</w:t>
      </w:r>
    </w:p>
    <w:p w14:paraId="0C7C43E3"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ԿԳՄՍՆ – Կրթության, գիտության, մշակույթի և սպորտի նախարարություն</w:t>
      </w:r>
    </w:p>
    <w:p w14:paraId="16451071"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ՏԿԵՆ – Տարածքային կառավարման և ենթակառուցվածքների նախարարություն</w:t>
      </w:r>
    </w:p>
    <w:p w14:paraId="729482A2"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ՖՆ – Ֆինանսների նախարարություն</w:t>
      </w:r>
    </w:p>
    <w:p w14:paraId="46647AE9"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ԿԲ – Կենտրոնական բանկ</w:t>
      </w:r>
    </w:p>
    <w:p w14:paraId="17CC1271"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ՊԵԿ – Պետական եկամուտների կոմիտե</w:t>
      </w:r>
    </w:p>
    <w:p w14:paraId="0AEC2BB5"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ՄՍԾ – Միասնական սոցիալական ծառայություն</w:t>
      </w:r>
    </w:p>
    <w:p w14:paraId="21556A24"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ՓԲԸ – Փակ բաժնետիրական ընկերություն</w:t>
      </w:r>
    </w:p>
    <w:p w14:paraId="64D5A112"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ՓՄՁ – Փոքր և միջին ձեռնարկատիրություն / ձեռնարկություն</w:t>
      </w:r>
    </w:p>
    <w:p w14:paraId="72912001" w14:textId="65FACFF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ՊՈԱԿ – Պետական ոչ առևտրային կազմակերպություն</w:t>
      </w:r>
    </w:p>
    <w:p w14:paraId="20B9C6F4" w14:textId="3144059B" w:rsidR="00571296" w:rsidRPr="00C921DE" w:rsidRDefault="00571296" w:rsidP="00571296">
      <w:pPr>
        <w:spacing w:line="360" w:lineRule="auto"/>
        <w:ind w:firstLine="567"/>
        <w:jc w:val="both"/>
        <w:rPr>
          <w:rFonts w:ascii="GHEA Grapalat" w:hAnsi="GHEA Grapalat"/>
          <w:sz w:val="22"/>
          <w:szCs w:val="22"/>
        </w:rPr>
      </w:pPr>
      <w:r w:rsidRPr="00C921DE">
        <w:rPr>
          <w:rFonts w:ascii="GHEA Grapalat" w:hAnsi="GHEA Grapalat"/>
          <w:sz w:val="22"/>
          <w:szCs w:val="22"/>
          <w:lang w:val="en-US"/>
        </w:rPr>
        <w:t>Հ</w:t>
      </w:r>
      <w:r w:rsidRPr="00C921DE">
        <w:rPr>
          <w:rFonts w:ascii="GHEA Grapalat" w:hAnsi="GHEA Grapalat"/>
          <w:sz w:val="22"/>
          <w:szCs w:val="22"/>
        </w:rPr>
        <w:t xml:space="preserve">ՈԱԿ – </w:t>
      </w:r>
      <w:r w:rsidRPr="00C921DE">
        <w:rPr>
          <w:rFonts w:ascii="GHEA Grapalat" w:hAnsi="GHEA Grapalat"/>
          <w:sz w:val="22"/>
          <w:szCs w:val="22"/>
          <w:lang w:val="en-US"/>
        </w:rPr>
        <w:t>Համայնքային</w:t>
      </w:r>
      <w:r w:rsidRPr="00C921DE">
        <w:rPr>
          <w:rFonts w:ascii="GHEA Grapalat" w:hAnsi="GHEA Grapalat"/>
          <w:sz w:val="22"/>
          <w:szCs w:val="22"/>
        </w:rPr>
        <w:t xml:space="preserve"> ոչ առևտրային կազմակերպություն</w:t>
      </w:r>
    </w:p>
    <w:p w14:paraId="59117203"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ՀՆԱ – Համախառն ներքին արդյունք</w:t>
      </w:r>
    </w:p>
    <w:p w14:paraId="0D4FCFBC"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t>ԱԱՀ – Ավելացված արժեքի հարկ</w:t>
      </w:r>
    </w:p>
    <w:p w14:paraId="5A15CD8D" w14:textId="77777777" w:rsidR="001C411D" w:rsidRPr="00C921DE" w:rsidRDefault="001C411D" w:rsidP="00637812">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ԶԼՄ – Զանգվածային լրատվության միջոց</w:t>
      </w:r>
    </w:p>
    <w:p w14:paraId="117B715E" w14:textId="381A3AB4" w:rsidR="001C411D" w:rsidRPr="00C921DE" w:rsidRDefault="001C411D" w:rsidP="00E57D9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ՀԸԳՀ - </w:t>
      </w:r>
      <w:r w:rsidRPr="00C921DE">
        <w:rPr>
          <w:rFonts w:ascii="GHEA Grapalat" w:hAnsi="GHEA Grapalat"/>
          <w:sz w:val="22"/>
          <w:szCs w:val="22"/>
          <w:lang w:val="en-US"/>
        </w:rPr>
        <w:t>Հ</w:t>
      </w:r>
      <w:r w:rsidRPr="00C921DE">
        <w:rPr>
          <w:rFonts w:ascii="GHEA Grapalat" w:hAnsi="GHEA Grapalat"/>
          <w:sz w:val="22"/>
          <w:szCs w:val="22"/>
        </w:rPr>
        <w:t xml:space="preserve">ամապարփակ </w:t>
      </w:r>
      <w:r w:rsidRPr="00C921DE">
        <w:rPr>
          <w:rFonts w:ascii="GHEA Grapalat" w:hAnsi="GHEA Grapalat"/>
          <w:sz w:val="22"/>
          <w:szCs w:val="22"/>
          <w:lang w:val="en-US"/>
        </w:rPr>
        <w:t>և</w:t>
      </w:r>
      <w:r w:rsidRPr="00C921DE">
        <w:rPr>
          <w:rFonts w:ascii="GHEA Grapalat" w:hAnsi="GHEA Grapalat"/>
          <w:sz w:val="22"/>
          <w:szCs w:val="22"/>
        </w:rPr>
        <w:t xml:space="preserve"> ընդլայնված գործընկերության համաձայնագիր</w:t>
      </w:r>
    </w:p>
    <w:p w14:paraId="614AEAA0" w14:textId="1BAF0185" w:rsidR="0066074C" w:rsidRPr="00C921DE" w:rsidRDefault="0066074C" w:rsidP="00E57D98">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ԼՂ – Լեռնային Ղարաբաղ</w:t>
      </w:r>
    </w:p>
    <w:p w14:paraId="47B8E024" w14:textId="76DA25AD" w:rsidR="001C411D" w:rsidRPr="00C921DE" w:rsidRDefault="0066074C" w:rsidP="0066074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ՊՄԳ - </w:t>
      </w:r>
      <w:r w:rsidRPr="00C921DE">
        <w:rPr>
          <w:rFonts w:ascii="GHEA Grapalat" w:hAnsi="GHEA Grapalat"/>
          <w:sz w:val="22"/>
          <w:szCs w:val="22"/>
        </w:rPr>
        <w:t>Պետություն-մասնավոր գործընկերություն</w:t>
      </w:r>
    </w:p>
    <w:p w14:paraId="3C8DC278" w14:textId="77777777" w:rsidR="0066074C" w:rsidRPr="00C921DE" w:rsidRDefault="0066074C" w:rsidP="0066074C">
      <w:pPr>
        <w:spacing w:line="360" w:lineRule="auto"/>
        <w:jc w:val="both"/>
        <w:rPr>
          <w:rFonts w:ascii="GHEA Grapalat" w:hAnsi="GHEA Grapalat"/>
          <w:sz w:val="22"/>
          <w:szCs w:val="22"/>
        </w:rPr>
        <w:sectPr w:rsidR="0066074C" w:rsidRPr="00C921DE" w:rsidSect="00A41AD1">
          <w:headerReference w:type="default" r:id="rId10"/>
          <w:pgSz w:w="11909" w:h="16834" w:code="9"/>
          <w:pgMar w:top="1134" w:right="567" w:bottom="567" w:left="1134" w:header="720" w:footer="397" w:gutter="0"/>
          <w:cols w:space="720"/>
          <w:docGrid w:linePitch="360"/>
        </w:sectPr>
      </w:pPr>
    </w:p>
    <w:p w14:paraId="1A7B9960" w14:textId="77777777" w:rsidR="001C411D" w:rsidRPr="00C921DE" w:rsidRDefault="001C411D" w:rsidP="00F80CD0">
      <w:pPr>
        <w:pStyle w:val="Heading1"/>
        <w:rPr>
          <w:rFonts w:ascii="GHEA Grapalat" w:hAnsi="GHEA Grapalat" w:cs="Sylfaen"/>
          <w:sz w:val="22"/>
          <w:szCs w:val="22"/>
        </w:rPr>
      </w:pPr>
      <w:bookmarkStart w:id="11" w:name="_Toc163745415"/>
      <w:bookmarkStart w:id="12" w:name="_Toc100247626"/>
      <w:r w:rsidRPr="00C921DE">
        <w:rPr>
          <w:rFonts w:ascii="GHEA Grapalat" w:hAnsi="GHEA Grapalat" w:cs="Sylfaen"/>
          <w:sz w:val="22"/>
          <w:szCs w:val="22"/>
        </w:rPr>
        <w:lastRenderedPageBreak/>
        <w:t>ՀԱՅԱՍՏԱՆԻ ՀԱՆՐԱՊԵՏՈՒԹՅԱՆ 202</w:t>
      </w:r>
      <w:r w:rsidR="007B1281" w:rsidRPr="00C921DE">
        <w:rPr>
          <w:rFonts w:ascii="GHEA Grapalat" w:hAnsi="GHEA Grapalat" w:cs="Sylfaen"/>
          <w:sz w:val="22"/>
          <w:szCs w:val="22"/>
          <w:lang w:val="en-US"/>
        </w:rPr>
        <w:t>3</w:t>
      </w:r>
      <w:r w:rsidRPr="00C921DE">
        <w:rPr>
          <w:rFonts w:ascii="GHEA Grapalat" w:hAnsi="GHEA Grapalat" w:cs="Sylfaen"/>
          <w:sz w:val="22"/>
          <w:szCs w:val="22"/>
        </w:rPr>
        <w:t xml:space="preserve"> ԹՎԱԿԱՆԻ ՊԵՏԱԿԱՆ ԲՅՈՒՋԵԻ ԿԱՏԱՐՄԱՆ ԱՄՓՈՓԱԳԻՐ</w:t>
      </w:r>
      <w:r w:rsidRPr="00C921DE">
        <w:rPr>
          <w:rStyle w:val="FootnoteReference"/>
          <w:rFonts w:ascii="GHEA Grapalat" w:hAnsi="GHEA Grapalat"/>
          <w:sz w:val="22"/>
          <w:szCs w:val="22"/>
        </w:rPr>
        <w:footnoteReference w:id="1"/>
      </w:r>
      <w:bookmarkEnd w:id="11"/>
    </w:p>
    <w:p w14:paraId="12B7B89E" w14:textId="77777777" w:rsidR="001C411D" w:rsidRPr="00C921DE"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14:paraId="2D32367A" w14:textId="77777777" w:rsidR="001C411D" w:rsidRPr="00C921DE" w:rsidRDefault="001C411D" w:rsidP="00AA5F3D">
      <w:pPr>
        <w:spacing w:line="360" w:lineRule="auto"/>
        <w:rPr>
          <w:rFonts w:ascii="GHEA Grapalat" w:hAnsi="GHEA Grapalat"/>
          <w:b/>
          <w:sz w:val="22"/>
          <w:szCs w:val="22"/>
        </w:rPr>
      </w:pPr>
      <w:r w:rsidRPr="00C921DE">
        <w:rPr>
          <w:rFonts w:ascii="GHEA Grapalat" w:hAnsi="GHEA Grapalat"/>
          <w:b/>
          <w:sz w:val="22"/>
          <w:szCs w:val="22"/>
        </w:rPr>
        <w:t>ՄԱԿՐՈՏՆՏԵՍԱԿԱՆ ԵՎ ՀԱՐԿԱԲՅՈՒՋԵՏԱՅԻՆ ԱՄՓՈՓԱԳԻՐ</w:t>
      </w:r>
      <w:bookmarkEnd w:id="12"/>
    </w:p>
    <w:p w14:paraId="7EBB0B1A" w14:textId="0D68D1C3" w:rsidR="00123C94" w:rsidRPr="00C921DE" w:rsidRDefault="001C411D"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 xml:space="preserve"> </w:t>
      </w:r>
      <w:r w:rsidR="00123C94" w:rsidRPr="00C921DE">
        <w:rPr>
          <w:rFonts w:ascii="GHEA Grapalat" w:hAnsi="GHEA Grapalat"/>
          <w:lang w:val="af-ZA"/>
        </w:rPr>
        <w:t xml:space="preserve">2023 </w:t>
      </w:r>
      <w:r w:rsidR="00123C94" w:rsidRPr="00C921DE">
        <w:rPr>
          <w:rFonts w:ascii="GHEA Grapalat" w:hAnsi="GHEA Grapalat"/>
          <w:lang w:val="hy-AM"/>
        </w:rPr>
        <w:t>թվականին,</w:t>
      </w:r>
      <w:r w:rsidR="00123C94" w:rsidRPr="00C921DE">
        <w:rPr>
          <w:rFonts w:ascii="GHEA Grapalat" w:hAnsi="GHEA Grapalat"/>
          <w:lang w:val="af-ZA"/>
        </w:rPr>
        <w:t xml:space="preserve"> </w:t>
      </w:r>
      <w:r w:rsidR="00123C94" w:rsidRPr="00C921DE">
        <w:rPr>
          <w:rFonts w:ascii="GHEA Grapalat" w:hAnsi="GHEA Grapalat"/>
          <w:lang w:val="hy-AM"/>
        </w:rPr>
        <w:t>չնայած շարունակվող դրամավարկային խստացման և աշխարհաքաղաքական անորոշություններ</w:t>
      </w:r>
      <w:r w:rsidR="007B138B" w:rsidRPr="00C921DE">
        <w:rPr>
          <w:rFonts w:ascii="GHEA Grapalat" w:hAnsi="GHEA Grapalat"/>
          <w:lang w:val="en-US"/>
        </w:rPr>
        <w:t>ի</w:t>
      </w:r>
      <w:r w:rsidR="00123C94" w:rsidRPr="00C921DE">
        <w:rPr>
          <w:rFonts w:ascii="GHEA Grapalat" w:hAnsi="GHEA Grapalat"/>
          <w:lang w:val="hy-AM"/>
        </w:rPr>
        <w:t>ն, համաշխարհային տնտեսությունում և ՀՀ հիմնական գործընկեր երկրներում</w:t>
      </w:r>
      <w:r w:rsidR="007B138B" w:rsidRPr="00C921DE">
        <w:rPr>
          <w:rFonts w:ascii="GHEA Grapalat" w:hAnsi="GHEA Grapalat"/>
          <w:lang w:val="en-US"/>
        </w:rPr>
        <w:t>,</w:t>
      </w:r>
      <w:r w:rsidR="00123C94" w:rsidRPr="00C921DE">
        <w:rPr>
          <w:rFonts w:ascii="GHEA Grapalat" w:hAnsi="GHEA Grapalat"/>
          <w:lang w:val="hy-AM"/>
        </w:rPr>
        <w:t xml:space="preserve"> բացառությամբ Եվրագոտու,</w:t>
      </w:r>
      <w:r w:rsidR="00123C94" w:rsidRPr="00C921DE">
        <w:rPr>
          <w:rFonts w:ascii="GHEA Grapalat" w:hAnsi="GHEA Grapalat"/>
          <w:lang w:val="af-ZA"/>
        </w:rPr>
        <w:t xml:space="preserve"> </w:t>
      </w:r>
      <w:r w:rsidR="00123C94" w:rsidRPr="00C921DE">
        <w:rPr>
          <w:rFonts w:ascii="GHEA Grapalat" w:hAnsi="GHEA Grapalat"/>
          <w:lang w:val="hy-AM"/>
        </w:rPr>
        <w:t>նախորդ տարվա նկատմամբ դիտվել է տնտեսական աճի տեմպերի արագացում: Տնտեսական աճի արագացմանը նպաստել են պետական ու մասնավոր սպառման աճը, իսկ Եվրագոտում արձանագրված թույլ աճ</w:t>
      </w:r>
      <w:r w:rsidR="007B138B" w:rsidRPr="00C921DE">
        <w:rPr>
          <w:rFonts w:ascii="GHEA Grapalat" w:hAnsi="GHEA Grapalat"/>
          <w:lang w:val="en-US"/>
        </w:rPr>
        <w:t>ն</w:t>
      </w:r>
      <w:r w:rsidR="00123C94" w:rsidRPr="00C921DE">
        <w:rPr>
          <w:rFonts w:ascii="GHEA Grapalat" w:hAnsi="GHEA Grapalat"/>
          <w:lang w:val="hy-AM"/>
        </w:rPr>
        <w:t xml:space="preserve"> արտացոլում էր սպառողական թույլ տրամադրությունները, էներգակիրների բարձր գների երկարաձգված ազդեցությունը, ինչպես նաև մշակող արդյունաբերության և գործարար թույլ ակտիվությունը: Կենտրոնական բանկերի շարունակվող խիստ դրամավարկային քաղաքականության արդյունքում նկատվել է գնաճի տեմպերի դանդաղում:</w:t>
      </w:r>
    </w:p>
    <w:p w14:paraId="68A5D6DC" w14:textId="77777777" w:rsidR="00123C94" w:rsidRPr="00C921DE" w:rsidRDefault="00123C94" w:rsidP="00123C94">
      <w:pPr>
        <w:pStyle w:val="ListParagraph"/>
        <w:numPr>
          <w:ilvl w:val="0"/>
          <w:numId w:val="10"/>
        </w:numPr>
        <w:spacing w:before="100" w:beforeAutospacing="1" w:after="0" w:afterAutospacing="1" w:line="360" w:lineRule="auto"/>
        <w:ind w:left="426" w:hanging="426"/>
        <w:contextualSpacing w:val="0"/>
        <w:jc w:val="both"/>
        <w:rPr>
          <w:rFonts w:ascii="GHEA Grapalat" w:hAnsi="GHEA Grapalat"/>
          <w:lang w:val="hy-AM"/>
        </w:rPr>
      </w:pPr>
      <w:r w:rsidRPr="00C921DE">
        <w:rPr>
          <w:rFonts w:ascii="GHEA Grapalat" w:hAnsi="GHEA Grapalat"/>
          <w:lang w:val="hy-AM"/>
        </w:rPr>
        <w:t>2022 թվականի ՀՀ տնտեսության համար ձևավորված նպաստավոր արտաքին տնտեսական պայմանների դերի նվազման հետևանքով 2023 թվականին տնտեսական աճի տեմպը դանդաղել է, սակայն շարունակել է բարձր մնալ նոր գործոնների ազդեցությամբ: Մասնավորապես` տնտեսական աճի բարձր տեմպն իր վրա է կրել պետական բյուջեից կապիտալ ծախսերի և շարունակվող բնակարանաշինության բարձր աճերի ազդեցությունը, սեպտեմբերի վերջից Լեռնային Ղարաբաղից ՀՀ բռնի տեղահանված մեր հայրենակիցների` ՀՀ տնտեսության վրա ունեցած տնտեսական ազդեցությունները, ինչպես նաև նոյեմբեր-դեկտեմբեր ամիսներին ոսկերչական արտադրատեսակների արտադրության կտրուկ աճի ազդեցությունը:</w:t>
      </w:r>
      <w:r w:rsidRPr="00C921DE" w:rsidDel="0018063F">
        <w:rPr>
          <w:rFonts w:ascii="GHEA Grapalat" w:hAnsi="GHEA Grapalat"/>
          <w:lang w:val="hy-AM"/>
        </w:rPr>
        <w:t xml:space="preserve"> </w:t>
      </w:r>
      <w:r w:rsidRPr="00C921DE">
        <w:rPr>
          <w:rFonts w:ascii="GHEA Grapalat" w:hAnsi="GHEA Grapalat"/>
          <w:lang w:val="hy-AM"/>
        </w:rPr>
        <w:t>Արդյունքում 2023 թվականին գրանցվել է ՀՆԱ-ի 8.7% իրական աճ: 2023 թվականին տնտեսության բոլոր ճյուղերում գրանցվել է ավելացված արժեքի աճ: Տնտեսական աճն ուղեկցվել է ներքին և արտաքին պահանջարկի աճով:</w:t>
      </w:r>
    </w:p>
    <w:p w14:paraId="3D309DD9" w14:textId="27AC6DC5" w:rsidR="00123C94" w:rsidRPr="00C921DE" w:rsidRDefault="00123C94" w:rsidP="00123C94">
      <w:pPr>
        <w:pStyle w:val="ListParagraph"/>
        <w:numPr>
          <w:ilvl w:val="0"/>
          <w:numId w:val="10"/>
        </w:numPr>
        <w:spacing w:before="100" w:beforeAutospacing="1" w:after="0" w:afterAutospacing="1" w:line="360" w:lineRule="auto"/>
        <w:ind w:left="426" w:hanging="426"/>
        <w:contextualSpacing w:val="0"/>
        <w:jc w:val="both"/>
        <w:rPr>
          <w:rFonts w:ascii="GHEA Grapalat" w:hAnsi="GHEA Grapalat"/>
          <w:lang w:val="hy-AM"/>
        </w:rPr>
      </w:pPr>
      <w:r w:rsidRPr="00C921DE">
        <w:rPr>
          <w:rFonts w:ascii="GHEA Grapalat" w:hAnsi="GHEA Grapalat"/>
          <w:lang w:val="hy-AM"/>
        </w:rPr>
        <w:t>2023 թվականի պետական բյուջեով 2023 թվականի համար թիրախավորվում էր 7.0% տնտեսական աճ, սակայն, պայմանավորված դեռևս նախորդ տարվանից ձևավորված նպաստավոր տնտեսական պայմանների պահպանմամբ և սպասվածից ավելի դրական ընթացիկ տնտեսական զարգացումներով, 2024 թվականի պետական բյուջեով 2023 թվականի տնտեսական աճի կանխատեսումը վերանայվեց 7.4%-ի։ Սակայն հետագա տնտեսական զարգացումներն ընթացան սպասվածից ավելի նպաստավոր պայմաններում</w:t>
      </w:r>
      <w:r w:rsidR="008C7F85" w:rsidRPr="00C921DE">
        <w:rPr>
          <w:rFonts w:ascii="GHEA Grapalat" w:hAnsi="GHEA Grapalat"/>
          <w:lang w:val="en-US"/>
        </w:rPr>
        <w:t>,</w:t>
      </w:r>
      <w:r w:rsidRPr="00C921DE">
        <w:rPr>
          <w:rFonts w:ascii="GHEA Grapalat" w:hAnsi="GHEA Grapalat"/>
          <w:lang w:val="hy-AM"/>
        </w:rPr>
        <w:t xml:space="preserve"> և արդյունքում գրանցվեց 8.7% տնտեսական աճ՝ սկզբնական կանխատեսումից շեղվելով 1.7, իսկ </w:t>
      </w:r>
      <w:r w:rsidRPr="00C921DE">
        <w:rPr>
          <w:rFonts w:ascii="GHEA Grapalat" w:hAnsi="GHEA Grapalat"/>
          <w:lang w:val="hy-AM"/>
        </w:rPr>
        <w:lastRenderedPageBreak/>
        <w:t>վերանայվածից՝ 1.3 տոկոսային կետով։ Արդյունքում, 2023 թվականին անվանական ՀՆԱ-ն կազմել է 9,502.8 մլրդ դրամ՝ 2023 թվականի պետական բյուջեով կանխատեսված ցուցանիշը գերազանցելով 184.9 մլրդ դրամով, իսկ 2024 թվականի պետական բյուջ</w:t>
      </w:r>
      <w:r w:rsidR="008C7F85" w:rsidRPr="00C921DE">
        <w:rPr>
          <w:rFonts w:ascii="GHEA Grapalat" w:hAnsi="GHEA Grapalat"/>
          <w:lang w:val="en-US"/>
        </w:rPr>
        <w:t>ե</w:t>
      </w:r>
      <w:r w:rsidRPr="00C921DE">
        <w:rPr>
          <w:rFonts w:ascii="GHEA Grapalat" w:hAnsi="GHEA Grapalat"/>
          <w:lang w:val="hy-AM"/>
        </w:rPr>
        <w:t>ի համեմատ՝ 52.7 մլրդ դրամով:</w:t>
      </w:r>
    </w:p>
    <w:p w14:paraId="0D246534" w14:textId="0CFB8FC1" w:rsidR="00123C94" w:rsidRPr="00C921DE" w:rsidRDefault="00123C94"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թվականին ընթացիկ հաշվի պակասուրդը ՀՆԱ-ում կազմել է 2.1%</w:t>
      </w:r>
      <w:r w:rsidR="008C7F85" w:rsidRPr="00C921DE">
        <w:rPr>
          <w:rFonts w:ascii="GHEA Grapalat" w:hAnsi="GHEA Grapalat"/>
          <w:lang w:val="en-US"/>
        </w:rPr>
        <w:t>՝</w:t>
      </w:r>
      <w:r w:rsidRPr="00C921DE">
        <w:rPr>
          <w:rFonts w:ascii="GHEA Grapalat" w:hAnsi="GHEA Grapalat"/>
          <w:lang w:val="hy-AM"/>
        </w:rPr>
        <w:t xml:space="preserve"> կանխատեսված 5.7%-ի փոխարեն՝ 2022 թվականի համեմատ վատթարանալով 2.9 տոկոսային կետով՝ պայմանավորված հիմնականում ՀՆԱ–ում </w:t>
      </w:r>
      <w:r w:rsidR="008C7F85" w:rsidRPr="00C921DE">
        <w:rPr>
          <w:rFonts w:ascii="GHEA Grapalat" w:hAnsi="GHEA Grapalat"/>
          <w:lang w:val="hy-AM"/>
        </w:rPr>
        <w:t xml:space="preserve">դրամական փոխանցումների </w:t>
      </w:r>
      <w:r w:rsidRPr="00C921DE">
        <w:rPr>
          <w:rFonts w:ascii="GHEA Grapalat" w:hAnsi="GHEA Grapalat"/>
          <w:lang w:val="hy-AM"/>
        </w:rPr>
        <w:t>դերի զգալի նվազմամբ: Ընթացիկ հաշվի և նրա բաղադրատարրերի ցուցանիշների կանխատեսումներից շեղումը հիմնականում պայմանավորվել է ռուս-ուկրաինական հակամարտության և ՌԴ-ի նկատմամբ կիրառվող պատժամիջոցների հետևանքով դեպի ՀՀ սպա</w:t>
      </w:r>
      <w:r w:rsidR="00F429A4" w:rsidRPr="00C921DE">
        <w:rPr>
          <w:rFonts w:ascii="GHEA Grapalat" w:hAnsi="GHEA Grapalat"/>
          <w:lang w:val="en-US"/>
        </w:rPr>
        <w:t>ս</w:t>
      </w:r>
      <w:r w:rsidRPr="00C921DE">
        <w:rPr>
          <w:rFonts w:ascii="GHEA Grapalat" w:hAnsi="GHEA Grapalat"/>
          <w:lang w:val="hy-AM"/>
        </w:rPr>
        <w:t>վածից ավելի բարձր</w:t>
      </w:r>
      <w:r w:rsidRPr="00C921DE" w:rsidDel="00635300">
        <w:rPr>
          <w:rFonts w:ascii="GHEA Grapalat" w:hAnsi="GHEA Grapalat"/>
          <w:lang w:val="hy-AM"/>
        </w:rPr>
        <w:t xml:space="preserve"> </w:t>
      </w:r>
      <w:r w:rsidRPr="00C921DE">
        <w:rPr>
          <w:rFonts w:ascii="GHEA Grapalat" w:hAnsi="GHEA Grapalat"/>
          <w:lang w:val="hy-AM"/>
        </w:rPr>
        <w:t>տուրիստական հոսքերով:</w:t>
      </w:r>
    </w:p>
    <w:p w14:paraId="484B276C" w14:textId="59801DD4" w:rsidR="00123C94" w:rsidRPr="00C921DE" w:rsidRDefault="00123C94"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թվականին միջին գնաճը կազմել է 2.0%</w:t>
      </w:r>
      <w:r w:rsidR="008C7F85" w:rsidRPr="00C921DE">
        <w:rPr>
          <w:rFonts w:ascii="GHEA Grapalat" w:hAnsi="GHEA Grapalat"/>
          <w:lang w:val="en-US"/>
        </w:rPr>
        <w:t>՝</w:t>
      </w:r>
      <w:r w:rsidRPr="00C921DE">
        <w:rPr>
          <w:rFonts w:ascii="GHEA Grapalat" w:hAnsi="GHEA Grapalat"/>
          <w:lang w:val="hy-AM"/>
        </w:rPr>
        <w:t xml:space="preserve"> կանխատեսված 5</w:t>
      </w:r>
      <w:r w:rsidRPr="00C921DE">
        <w:rPr>
          <w:rFonts w:ascii="Cambria Math" w:hAnsi="Cambria Math" w:cs="Cambria Math"/>
          <w:lang w:val="hy-AM"/>
        </w:rPr>
        <w:t>․</w:t>
      </w:r>
      <w:r w:rsidRPr="00C921DE">
        <w:rPr>
          <w:rFonts w:ascii="GHEA Grapalat" w:hAnsi="GHEA Grapalat"/>
          <w:lang w:val="hy-AM"/>
        </w:rPr>
        <w:t>6%-ի փոխարեն՝ զգալիորեն դանդաղելով տարեսկզբից միջազգային շուկաներից փոխանցված գնանկումային ազդեցությունների, ինչպես նաև 2021-2022թթ</w:t>
      </w:r>
      <w:r w:rsidRPr="00C921DE">
        <w:rPr>
          <w:rFonts w:ascii="Cambria Math" w:hAnsi="Cambria Math" w:cs="Cambria Math"/>
          <w:lang w:val="hy-AM"/>
        </w:rPr>
        <w:t>․</w:t>
      </w:r>
      <w:r w:rsidRPr="00C921DE">
        <w:rPr>
          <w:rFonts w:ascii="GHEA Grapalat" w:hAnsi="GHEA Grapalat"/>
          <w:lang w:val="hy-AM"/>
        </w:rPr>
        <w:t xml:space="preserve"> իրականացած զսպող դրամավարկային քաղաքականության ազդեցության ներքո գնաճային սպասումների նվազման և աշխատաշուկայից ածանցվող գնաճային ճնշումների թուլացման ներքո: Այս պայմ</w:t>
      </w:r>
      <w:r w:rsidR="00314DF1" w:rsidRPr="00C921DE">
        <w:rPr>
          <w:rFonts w:ascii="GHEA Grapalat" w:hAnsi="GHEA Grapalat"/>
          <w:lang w:val="hy-AM"/>
        </w:rPr>
        <w:t>աններում ԿԲ</w:t>
      </w:r>
      <w:r w:rsidR="00314DF1" w:rsidRPr="00C921DE">
        <w:rPr>
          <w:rFonts w:ascii="GHEA Grapalat" w:hAnsi="GHEA Grapalat"/>
          <w:lang w:val="hy-AM"/>
        </w:rPr>
        <w:noBreakHyphen/>
      </w:r>
      <w:r w:rsidR="00FC4B4A" w:rsidRPr="00C921DE">
        <w:rPr>
          <w:rFonts w:ascii="GHEA Grapalat" w:hAnsi="GHEA Grapalat"/>
          <w:lang w:val="en-US"/>
        </w:rPr>
        <w:t>ն</w:t>
      </w:r>
      <w:r w:rsidRPr="00C921DE">
        <w:rPr>
          <w:rFonts w:ascii="GHEA Grapalat" w:hAnsi="GHEA Grapalat"/>
          <w:lang w:val="hy-AM"/>
        </w:rPr>
        <w:t xml:space="preserve"> զգալիորեն թուլացրել է դրամավարկային պայմանները և քաղաքականության տոկոսադրույքը նվազեցրել 1.5 տոկոսային կետով` դեկտեմբերին սահմանելով այն 9.25%-ի մակարդակում: </w:t>
      </w:r>
    </w:p>
    <w:p w14:paraId="06344888" w14:textId="60957C74" w:rsidR="00123C94" w:rsidRPr="00C921DE" w:rsidRDefault="00123C94"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թվականին ինչպես ռեզիդենտների վարկերի, այնպես էլ ավանդների ծավալների աճն առաջանցիկ է եղել տնտեսության համեմատ, ինչը հանգեցրել է ՀՆԱ համեմատ դրանց մակարդակի բարձրացմանը համապատասխանաբար 4</w:t>
      </w:r>
      <w:r w:rsidRPr="00C921DE">
        <w:rPr>
          <w:rFonts w:ascii="Cambria Math" w:hAnsi="Cambria Math" w:cs="Cambria Math"/>
          <w:lang w:val="hy-AM"/>
        </w:rPr>
        <w:t>․</w:t>
      </w:r>
      <w:r w:rsidRPr="00C921DE">
        <w:rPr>
          <w:rFonts w:ascii="GHEA Grapalat" w:hAnsi="GHEA Grapalat"/>
          <w:lang w:val="hy-AM"/>
        </w:rPr>
        <w:t xml:space="preserve">2 </w:t>
      </w:r>
      <w:r w:rsidRPr="00C921DE">
        <w:rPr>
          <w:rFonts w:ascii="GHEA Grapalat" w:hAnsi="GHEA Grapalat" w:cs="GHEA Grapalat"/>
          <w:lang w:val="hy-AM"/>
        </w:rPr>
        <w:t>և</w:t>
      </w:r>
      <w:r w:rsidRPr="00C921DE">
        <w:rPr>
          <w:rFonts w:ascii="GHEA Grapalat" w:hAnsi="GHEA Grapalat"/>
          <w:lang w:val="hy-AM"/>
        </w:rPr>
        <w:t xml:space="preserve"> 2.0 </w:t>
      </w:r>
      <w:r w:rsidRPr="00C921DE">
        <w:rPr>
          <w:rFonts w:ascii="GHEA Grapalat" w:hAnsi="GHEA Grapalat" w:cs="GHEA Grapalat"/>
          <w:lang w:val="hy-AM"/>
        </w:rPr>
        <w:t>տոկոսային</w:t>
      </w:r>
      <w:r w:rsidRPr="00C921DE">
        <w:rPr>
          <w:rFonts w:ascii="GHEA Grapalat" w:hAnsi="GHEA Grapalat"/>
          <w:lang w:val="hy-AM"/>
        </w:rPr>
        <w:t xml:space="preserve"> </w:t>
      </w:r>
      <w:r w:rsidRPr="00C921DE">
        <w:rPr>
          <w:rFonts w:ascii="GHEA Grapalat" w:hAnsi="GHEA Grapalat" w:cs="GHEA Grapalat"/>
          <w:lang w:val="hy-AM"/>
        </w:rPr>
        <w:t>կետերով</w:t>
      </w:r>
      <w:r w:rsidRPr="00C921DE">
        <w:rPr>
          <w:rFonts w:ascii="GHEA Grapalat" w:hAnsi="GHEA Grapalat"/>
          <w:lang w:val="hy-AM"/>
        </w:rPr>
        <w:t>։ Ընդ որում, վարկերի աճը դարձել է առավել ընդգրկուն, իսկ դրա տեմպը մոտեցել է ավանդների ծավալների աճի տեմպին՝ այդպիսով կանգնեցնելով 2022</w:t>
      </w:r>
      <w:r w:rsidR="00C3783C" w:rsidRPr="00C921DE">
        <w:rPr>
          <w:rFonts w:ascii="GHEA Grapalat" w:hAnsi="GHEA Grapalat"/>
          <w:lang w:val="en-US"/>
        </w:rPr>
        <w:t xml:space="preserve"> </w:t>
      </w:r>
      <w:r w:rsidRPr="00C921DE">
        <w:rPr>
          <w:rFonts w:ascii="GHEA Grapalat" w:hAnsi="GHEA Grapalat"/>
          <w:lang w:val="hy-AM"/>
        </w:rPr>
        <w:t>թ</w:t>
      </w:r>
      <w:r w:rsidR="00C3783C" w:rsidRPr="00C921DE">
        <w:rPr>
          <w:rFonts w:ascii="GHEA Grapalat" w:hAnsi="GHEA Grapalat"/>
          <w:lang w:val="en-US"/>
        </w:rPr>
        <w:t>վականին</w:t>
      </w:r>
      <w:r w:rsidRPr="00C921DE">
        <w:rPr>
          <w:rFonts w:ascii="GHEA Grapalat" w:hAnsi="GHEA Grapalat"/>
          <w:lang w:val="hy-AM"/>
        </w:rPr>
        <w:t xml:space="preserve"> </w:t>
      </w:r>
      <w:r w:rsidRPr="00C921DE">
        <w:rPr>
          <w:rFonts w:ascii="GHEA Grapalat" w:hAnsi="GHEA Grapalat" w:cs="GHEA Grapalat"/>
          <w:lang w:val="hy-AM"/>
        </w:rPr>
        <w:t>սկսած</w:t>
      </w:r>
      <w:r w:rsidRPr="00C921DE">
        <w:rPr>
          <w:rFonts w:ascii="GHEA Grapalat" w:hAnsi="GHEA Grapalat"/>
          <w:lang w:val="hy-AM"/>
        </w:rPr>
        <w:t xml:space="preserve"> </w:t>
      </w:r>
      <w:r w:rsidRPr="00C921DE">
        <w:rPr>
          <w:rFonts w:ascii="GHEA Grapalat" w:hAnsi="GHEA Grapalat" w:cs="GHEA Grapalat"/>
          <w:lang w:val="hy-AM"/>
        </w:rPr>
        <w:t>լրացուցիչ</w:t>
      </w:r>
      <w:r w:rsidRPr="00C921DE">
        <w:rPr>
          <w:rFonts w:ascii="GHEA Grapalat" w:hAnsi="GHEA Grapalat"/>
          <w:lang w:val="hy-AM"/>
        </w:rPr>
        <w:t xml:space="preserve"> </w:t>
      </w:r>
      <w:r w:rsidRPr="00C921DE">
        <w:rPr>
          <w:rFonts w:ascii="GHEA Grapalat" w:hAnsi="GHEA Grapalat" w:cs="GHEA Grapalat"/>
          <w:lang w:val="hy-AM"/>
        </w:rPr>
        <w:t>իրացվելիության</w:t>
      </w:r>
      <w:r w:rsidRPr="00C921DE">
        <w:rPr>
          <w:rFonts w:ascii="GHEA Grapalat" w:hAnsi="GHEA Grapalat"/>
          <w:lang w:val="hy-AM"/>
        </w:rPr>
        <w:t xml:space="preserve"> </w:t>
      </w:r>
      <w:r w:rsidRPr="00C921DE">
        <w:rPr>
          <w:rFonts w:ascii="GHEA Grapalat" w:hAnsi="GHEA Grapalat" w:cs="GHEA Grapalat"/>
          <w:lang w:val="hy-AM"/>
        </w:rPr>
        <w:t>կուտակման</w:t>
      </w:r>
      <w:r w:rsidRPr="00C921DE">
        <w:rPr>
          <w:rFonts w:ascii="GHEA Grapalat" w:hAnsi="GHEA Grapalat"/>
          <w:lang w:val="hy-AM"/>
        </w:rPr>
        <w:t xml:space="preserve"> </w:t>
      </w:r>
      <w:r w:rsidRPr="00C921DE">
        <w:rPr>
          <w:rFonts w:ascii="GHEA Grapalat" w:hAnsi="GHEA Grapalat" w:cs="GHEA Grapalat"/>
          <w:lang w:val="hy-AM"/>
        </w:rPr>
        <w:t>գործընթացը</w:t>
      </w:r>
      <w:r w:rsidRPr="00C921DE">
        <w:rPr>
          <w:rFonts w:ascii="GHEA Grapalat" w:hAnsi="GHEA Grapalat"/>
          <w:lang w:val="hy-AM"/>
        </w:rPr>
        <w:t>։</w:t>
      </w:r>
    </w:p>
    <w:p w14:paraId="1ECF4B45" w14:textId="1C2C5C50" w:rsidR="00123C94" w:rsidRPr="00C921DE" w:rsidRDefault="00123C94"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w:t>
      </w:r>
      <w:r w:rsidR="00C3783C" w:rsidRPr="00C921DE">
        <w:rPr>
          <w:rFonts w:ascii="GHEA Grapalat" w:hAnsi="GHEA Grapalat"/>
          <w:lang w:val="en-US"/>
        </w:rPr>
        <w:t xml:space="preserve"> </w:t>
      </w:r>
      <w:r w:rsidRPr="00C921DE">
        <w:rPr>
          <w:rFonts w:ascii="GHEA Grapalat" w:hAnsi="GHEA Grapalat"/>
          <w:lang w:val="hy-AM"/>
        </w:rPr>
        <w:t>թ</w:t>
      </w:r>
      <w:r w:rsidR="00C3783C" w:rsidRPr="00C921DE">
        <w:rPr>
          <w:rFonts w:ascii="GHEA Grapalat" w:hAnsi="GHEA Grapalat"/>
          <w:lang w:val="en-US"/>
        </w:rPr>
        <w:t>վական</w:t>
      </w:r>
      <w:r w:rsidRPr="00C921DE">
        <w:rPr>
          <w:rFonts w:ascii="GHEA Grapalat" w:hAnsi="GHEA Grapalat"/>
          <w:lang w:val="hy-AM"/>
        </w:rPr>
        <w:t>ի ընթացքում պետական պարտատոմսերի տոկոսադրույքները նվազել են բարձր պահանջարկի և դրամավարկային քաղաքականության տոկոսադրույքի նվազման, իսկ եվրոբոնդերի տոկոսադրույքները նվազել են</w:t>
      </w:r>
      <w:r w:rsidR="00C3783C" w:rsidRPr="00C921DE">
        <w:rPr>
          <w:rFonts w:ascii="GHEA Grapalat" w:hAnsi="GHEA Grapalat"/>
          <w:lang w:val="hy-AM"/>
        </w:rPr>
        <w:t xml:space="preserve"> </w:t>
      </w:r>
      <w:r w:rsidRPr="00C921DE">
        <w:rPr>
          <w:rFonts w:ascii="GHEA Grapalat" w:hAnsi="GHEA Grapalat"/>
          <w:lang w:val="hy-AM"/>
        </w:rPr>
        <w:t>ՀՀ երկրի ռիսկերի գնահատականների նվազման արդյունքում։ Մինչդեռ վարկերի և ավանդների տոկոսադրույքները հստակ միտումներ չեն ունեցել բացառությամբ առանձին վարկատեսակների (հիպո</w:t>
      </w:r>
      <w:r w:rsidR="00BE60E1" w:rsidRPr="00C921DE">
        <w:rPr>
          <w:rFonts w:ascii="GHEA Grapalat" w:hAnsi="GHEA Grapalat"/>
          <w:lang w:val="en-US"/>
        </w:rPr>
        <w:t>տ</w:t>
      </w:r>
      <w:r w:rsidRPr="00C921DE">
        <w:rPr>
          <w:rFonts w:ascii="GHEA Grapalat" w:hAnsi="GHEA Grapalat"/>
          <w:lang w:val="hy-AM"/>
        </w:rPr>
        <w:t>ե</w:t>
      </w:r>
      <w:r w:rsidR="00BE60E1" w:rsidRPr="00C921DE">
        <w:rPr>
          <w:rFonts w:ascii="GHEA Grapalat" w:hAnsi="GHEA Grapalat"/>
          <w:lang w:val="en-US"/>
        </w:rPr>
        <w:t>կ</w:t>
      </w:r>
      <w:r w:rsidRPr="00C921DE">
        <w:rPr>
          <w:rFonts w:ascii="GHEA Grapalat" w:hAnsi="GHEA Grapalat"/>
          <w:lang w:val="hy-AM"/>
        </w:rPr>
        <w:t>ային և սպա</w:t>
      </w:r>
      <w:r w:rsidR="00C3783C" w:rsidRPr="00C921DE">
        <w:rPr>
          <w:rFonts w:ascii="GHEA Grapalat" w:hAnsi="GHEA Grapalat"/>
          <w:lang w:val="hy-AM"/>
        </w:rPr>
        <w:t>ռողական), որոնց տոկոսադրույքներն</w:t>
      </w:r>
      <w:r w:rsidRPr="00C921DE">
        <w:rPr>
          <w:rFonts w:ascii="GHEA Grapalat" w:hAnsi="GHEA Grapalat"/>
          <w:lang w:val="hy-AM"/>
        </w:rPr>
        <w:t xml:space="preserve"> աճել են բարձր պահանջարկի ներգործությամբ։ </w:t>
      </w:r>
    </w:p>
    <w:p w14:paraId="118762F2" w14:textId="6CDE309E" w:rsidR="00123C94" w:rsidRPr="00C921DE" w:rsidRDefault="00123C94" w:rsidP="00123C94">
      <w:pPr>
        <w:pStyle w:val="ListParagraph"/>
        <w:numPr>
          <w:ilvl w:val="0"/>
          <w:numId w:val="10"/>
        </w:numPr>
        <w:spacing w:before="100" w:beforeAutospacing="1" w:after="100" w:afterAutospacing="1" w:line="336" w:lineRule="auto"/>
        <w:ind w:left="426" w:hanging="358"/>
        <w:contextualSpacing w:val="0"/>
        <w:jc w:val="both"/>
        <w:rPr>
          <w:rFonts w:ascii="GHEA Grapalat" w:hAnsi="GHEA Grapalat"/>
          <w:lang w:val="hy-AM"/>
        </w:rPr>
      </w:pPr>
      <w:r w:rsidRPr="00C921DE">
        <w:rPr>
          <w:rFonts w:ascii="GHEA Grapalat" w:hAnsi="GHEA Grapalat"/>
          <w:lang w:val="hy-AM"/>
        </w:rPr>
        <w:t>2023 թվականին հարկաբյուջետային քաղաքականությունն ուղղված է եղել ՀՀ կառավարության 2021-2026թթ. ծրագրին համահունչ թիրախավորված 7% տնտեսական աճի ապահովմանը՝ ապահովելով պետական ներդրումների մակարդակի բարձրացում և ծախսերի իրականացման արդյունավետության աճ, ինչպես նաև՝ պարտքի կայունության պահպանմանը:</w:t>
      </w:r>
      <w:r w:rsidRPr="00C921DE" w:rsidDel="00FD6EE4">
        <w:rPr>
          <w:rFonts w:ascii="GHEA Grapalat" w:hAnsi="GHEA Grapalat"/>
          <w:lang w:val="hy-AM"/>
        </w:rPr>
        <w:t xml:space="preserve"> </w:t>
      </w:r>
      <w:r w:rsidR="00C3783C" w:rsidRPr="00C921DE">
        <w:rPr>
          <w:rFonts w:ascii="GHEA Grapalat" w:hAnsi="GHEA Grapalat"/>
          <w:lang w:val="hy-AM"/>
        </w:rPr>
        <w:t>Այդ նպատակներից ելնելով՝</w:t>
      </w:r>
      <w:r w:rsidRPr="00C921DE">
        <w:rPr>
          <w:rFonts w:ascii="GHEA Grapalat" w:hAnsi="GHEA Grapalat"/>
          <w:lang w:val="hy-AM"/>
        </w:rPr>
        <w:t xml:space="preserve"> տարվա ընթացքում կանխատեսվածից բարձր տնտեսական աճի </w:t>
      </w:r>
      <w:r w:rsidRPr="00C921DE">
        <w:rPr>
          <w:rFonts w:ascii="GHEA Grapalat" w:hAnsi="GHEA Grapalat"/>
          <w:lang w:val="hy-AM"/>
        </w:rPr>
        <w:lastRenderedPageBreak/>
        <w:t>պայմաններում կառավարությունը պլանավորված չեզոք հարկաբյուջետային քաղաքականության փոխարեն իրականաց</w:t>
      </w:r>
      <w:r w:rsidR="00C3783C" w:rsidRPr="00C921DE">
        <w:rPr>
          <w:rFonts w:ascii="GHEA Grapalat" w:hAnsi="GHEA Grapalat"/>
          <w:lang w:val="en-US"/>
        </w:rPr>
        <w:t>ր</w:t>
      </w:r>
      <w:r w:rsidRPr="00C921DE">
        <w:rPr>
          <w:rFonts w:ascii="GHEA Grapalat" w:hAnsi="GHEA Grapalat"/>
          <w:lang w:val="hy-AM"/>
        </w:rPr>
        <w:t xml:space="preserve">ել է զսպող քաղաքականություն (առավելապես պայմանավորված պետական բյուջեի եկամուտների առաջանցիկ աճով)՝ միևնույն ժամանակ իրականացնելով տնտեսական ներուժի բարձրացմանը միտված միջոցառումներ և նպաստելով պարտքի կայունության ապահովմանը: </w:t>
      </w:r>
    </w:p>
    <w:p w14:paraId="11EB9F54" w14:textId="5CA1F56C" w:rsidR="00123C94" w:rsidRPr="00C921DE" w:rsidRDefault="00123C94" w:rsidP="00123C94">
      <w:pPr>
        <w:pStyle w:val="ListParagraph"/>
        <w:numPr>
          <w:ilvl w:val="0"/>
          <w:numId w:val="10"/>
        </w:numPr>
        <w:spacing w:before="100" w:beforeAutospacing="1" w:after="0" w:afterAutospacing="1" w:line="360" w:lineRule="auto"/>
        <w:ind w:left="426" w:hanging="426"/>
        <w:contextualSpacing w:val="0"/>
        <w:jc w:val="both"/>
        <w:rPr>
          <w:rFonts w:ascii="GHEA Grapalat" w:hAnsi="GHEA Grapalat"/>
          <w:lang w:val="hy-AM"/>
        </w:rPr>
      </w:pPr>
      <w:r w:rsidRPr="00C921DE">
        <w:rPr>
          <w:rFonts w:ascii="GHEA Grapalat" w:hAnsi="GHEA Grapalat"/>
          <w:lang w:val="hy-AM"/>
        </w:rPr>
        <w:t>2023 թվականի պետական բյուջեով կանխատեսվել է 2,203</w:t>
      </w:r>
      <w:r w:rsidRPr="00C921DE">
        <w:rPr>
          <w:rFonts w:ascii="Cambria Math" w:hAnsi="Cambria Math" w:cs="Cambria Math"/>
          <w:lang w:val="hy-AM"/>
        </w:rPr>
        <w:t>․</w:t>
      </w:r>
      <w:r w:rsidRPr="00C921DE">
        <w:rPr>
          <w:rFonts w:ascii="GHEA Grapalat" w:hAnsi="GHEA Grapalat"/>
          <w:lang w:val="hy-AM"/>
        </w:rPr>
        <w:t>7 մլրդ դրամի հարկային եկամուտների ցուցանիշ, որը կազմում է կանխատեսված ՀՆԱ-ի 23.7%-ը։ Կանխատեսվածից շուրջ 184</w:t>
      </w:r>
      <w:r w:rsidRPr="00C921DE">
        <w:rPr>
          <w:rFonts w:ascii="Cambria Math" w:hAnsi="Cambria Math"/>
          <w:lang w:val="hy-AM"/>
        </w:rPr>
        <w:t>․</w:t>
      </w:r>
      <w:r w:rsidRPr="00C921DE">
        <w:rPr>
          <w:rFonts w:ascii="GHEA Grapalat" w:hAnsi="GHEA Grapalat"/>
          <w:lang w:val="hy-AM"/>
        </w:rPr>
        <w:t>9 մլրդ դրամով ավելի բարձր անվանական ՀՆԱ ձևավորման պայմաններում փաստացի հարկային եկամուտների ցուցանիշը գերազանցել է կանխատեսված</w:t>
      </w:r>
      <w:r w:rsidR="00AE221F" w:rsidRPr="00C921DE">
        <w:rPr>
          <w:rFonts w:ascii="GHEA Grapalat" w:hAnsi="GHEA Grapalat"/>
          <w:lang w:val="en-US"/>
        </w:rPr>
        <w:t>ը</w:t>
      </w:r>
      <w:r w:rsidRPr="00C921DE">
        <w:rPr>
          <w:rFonts w:ascii="GHEA Grapalat" w:hAnsi="GHEA Grapalat"/>
          <w:lang w:val="hy-AM"/>
        </w:rPr>
        <w:t xml:space="preserve"> շուրջ 18</w:t>
      </w:r>
      <w:r w:rsidRPr="00C921DE">
        <w:rPr>
          <w:rFonts w:ascii="Cambria Math" w:hAnsi="Cambria Math" w:cs="Cambria Math"/>
          <w:lang w:val="hy-AM"/>
        </w:rPr>
        <w:t>․</w:t>
      </w:r>
      <w:r w:rsidRPr="00C921DE">
        <w:rPr>
          <w:rFonts w:ascii="GHEA Grapalat" w:hAnsi="GHEA Grapalat"/>
          <w:lang w:val="hy-AM"/>
        </w:rPr>
        <w:t>2 մլրդ դրամով և կազմել</w:t>
      </w:r>
      <w:r w:rsidR="00C3783C" w:rsidRPr="00C921DE">
        <w:rPr>
          <w:rFonts w:ascii="GHEA Grapalat" w:hAnsi="GHEA Grapalat"/>
          <w:lang w:val="hy-AM"/>
        </w:rPr>
        <w:t xml:space="preserve"> </w:t>
      </w:r>
      <w:r w:rsidRPr="00C921DE">
        <w:rPr>
          <w:rFonts w:ascii="GHEA Grapalat" w:hAnsi="GHEA Grapalat"/>
          <w:lang w:val="hy-AM"/>
        </w:rPr>
        <w:t>2,221.9 մլրդ դրամ, մինչդեռ հարկեր/ՀՆԱ ցուցանիշը կազմել է 23</w:t>
      </w:r>
      <w:r w:rsidRPr="00C921DE">
        <w:rPr>
          <w:rFonts w:ascii="Cambria Math" w:hAnsi="Cambria Math" w:cs="Cambria Math"/>
          <w:lang w:val="hy-AM"/>
        </w:rPr>
        <w:t>․</w:t>
      </w:r>
      <w:r w:rsidRPr="00C921DE">
        <w:rPr>
          <w:rFonts w:ascii="GHEA Grapalat" w:hAnsi="GHEA Grapalat"/>
          <w:lang w:val="hy-AM"/>
        </w:rPr>
        <w:t>4%` ցածր լինելով կանխատեսվող ցուցանիշից 0</w:t>
      </w:r>
      <w:r w:rsidRPr="00C921DE">
        <w:rPr>
          <w:rFonts w:ascii="Cambria Math" w:hAnsi="Cambria Math" w:cs="Cambria Math"/>
          <w:lang w:val="hy-AM"/>
        </w:rPr>
        <w:t>․</w:t>
      </w:r>
      <w:r w:rsidRPr="00C921DE">
        <w:rPr>
          <w:rFonts w:ascii="GHEA Grapalat" w:hAnsi="GHEA Grapalat"/>
          <w:lang w:val="hy-AM"/>
        </w:rPr>
        <w:t>3</w:t>
      </w:r>
      <w:r w:rsidR="00AE221F" w:rsidRPr="00C921DE">
        <w:rPr>
          <w:rFonts w:ascii="GHEA Grapalat" w:hAnsi="GHEA Grapalat"/>
          <w:lang w:val="en-US"/>
        </w:rPr>
        <w:t xml:space="preserve"> տոկոս</w:t>
      </w:r>
      <w:r w:rsidRPr="00C921DE">
        <w:rPr>
          <w:rFonts w:ascii="GHEA Grapalat" w:hAnsi="GHEA Grapalat"/>
          <w:lang w:val="hy-AM"/>
        </w:rPr>
        <w:t xml:space="preserve">ային կետով: Հարկեր/ՀՆԱ և հարկային եկամուտների ցուցանիշի տարբեր ուղղություններով շեղումները պայմանավորված են ՀՆԱ-ի սպասվածից բարձր ձևավորված մասի՝ ոլորտային կառուցվածքի տեսակետից առավել արտոնյալ հարկային ռեժիմում գտնվելու հանգամանքով (օրինակ՝ ՏՀՏ ոլորտ կամ ընդհանուր առմամբ արտահանելի այլ ոլորտներ)։ </w:t>
      </w:r>
    </w:p>
    <w:p w14:paraId="174C22F3" w14:textId="77777777" w:rsidR="00123C94" w:rsidRPr="00C921DE" w:rsidRDefault="00123C94" w:rsidP="00123C94">
      <w:pPr>
        <w:pStyle w:val="ListParagraph"/>
        <w:numPr>
          <w:ilvl w:val="0"/>
          <w:numId w:val="10"/>
        </w:numPr>
        <w:spacing w:before="100" w:beforeAutospacing="1" w:after="100" w:afterAutospacing="1" w:line="336" w:lineRule="auto"/>
        <w:ind w:left="426" w:hanging="358"/>
        <w:contextualSpacing w:val="0"/>
        <w:jc w:val="both"/>
        <w:rPr>
          <w:rFonts w:ascii="GHEA Grapalat" w:hAnsi="GHEA Grapalat"/>
          <w:lang w:val="hy-AM"/>
        </w:rPr>
      </w:pPr>
      <w:r w:rsidRPr="00C921DE">
        <w:rPr>
          <w:rFonts w:ascii="GHEA Grapalat" w:hAnsi="GHEA Grapalat"/>
          <w:lang w:val="hy-AM"/>
        </w:rPr>
        <w:t xml:space="preserve">Հարկաբյուջետային քաղաքականության վերոնշյալ ուղղության ապահովման պայմաններում հնարավոր է եղել պետական բյուջեի պակասուրդը պահպանել այնպիսի մակարդակում, որը թույլ է տվել կառավարության պարտքի բեռը պահպանել ապահով մակարդակում: Արդյունքում, բյուջեով պլանավորված` ՀՆԱ-ի նկատմամբ 3.1% պակասուրդը տարվա ընթացքում վերանայվել է դեպի ներքև և փաստացի կազմել է 2.0%՝ նախորդ տարվա համեմատ նվազելով 0.1 տոկոսային կետով: </w:t>
      </w:r>
    </w:p>
    <w:p w14:paraId="5EE5780D" w14:textId="302264BE" w:rsidR="00123C94" w:rsidRPr="00C921DE" w:rsidRDefault="00123C94" w:rsidP="00123C94">
      <w:pPr>
        <w:pStyle w:val="ListParagraph"/>
        <w:numPr>
          <w:ilvl w:val="0"/>
          <w:numId w:val="10"/>
        </w:numPr>
        <w:spacing w:before="100" w:beforeAutospacing="1" w:after="100" w:afterAutospacing="1" w:line="336" w:lineRule="auto"/>
        <w:ind w:left="426" w:hanging="358"/>
        <w:contextualSpacing w:val="0"/>
        <w:jc w:val="both"/>
        <w:rPr>
          <w:rFonts w:ascii="GHEA Grapalat" w:hAnsi="GHEA Grapalat"/>
          <w:lang w:val="hy-AM"/>
        </w:rPr>
      </w:pPr>
      <w:bookmarkStart w:id="13" w:name="_Hlk131890515"/>
      <w:r w:rsidRPr="00C921DE">
        <w:rPr>
          <w:rFonts w:ascii="GHEA Grapalat" w:hAnsi="GHEA Grapalat"/>
          <w:lang w:val="hy-AM"/>
        </w:rPr>
        <w:t>Կառավարության պարտք/ՀՆԱ հարաբերակցությունը պահպանվել է 50%-ից ցածր մակարդակում՝ կանխատեսված 49.8% ցուցանիշի դիմաց կազմելով 48.1%: Կառավարության պարտք/ՀՆԱ ցուցանիշը նախորդ տարվա նկատմամբ աճել է 1.4 տոկոսային կետով, ինչին նպաստել են</w:t>
      </w:r>
      <w:r w:rsidR="000918D9" w:rsidRPr="00C921DE">
        <w:rPr>
          <w:rFonts w:ascii="GHEA Grapalat" w:hAnsi="GHEA Grapalat"/>
          <w:lang w:val="en-US"/>
        </w:rPr>
        <w:t xml:space="preserve"> </w:t>
      </w:r>
      <w:r w:rsidR="003A66D0" w:rsidRPr="00C921DE">
        <w:rPr>
          <w:rFonts w:ascii="GHEA Grapalat" w:hAnsi="GHEA Grapalat"/>
          <w:lang w:val="hy-AM"/>
        </w:rPr>
        <w:t>Լեռնային Ղարաբաղի կառավարության, նրա ստեղծած հիմնադրամների և սահմանված չափանիշներին բավարարող այլ ԼՂ ֆիզիկական և իրավաբանական անձանց պարտավորությունների փոխանցման գործարքը</w:t>
      </w:r>
      <w:r w:rsidRPr="00C921DE">
        <w:rPr>
          <w:rFonts w:ascii="GHEA Grapalat" w:hAnsi="GHEA Grapalat"/>
          <w:lang w:val="hy-AM"/>
        </w:rPr>
        <w:t>,</w:t>
      </w:r>
      <w:r w:rsidR="006A4044" w:rsidRPr="00C921DE">
        <w:rPr>
          <w:rFonts w:ascii="GHEA Grapalat" w:hAnsi="GHEA Grapalat"/>
          <w:lang w:val="en-US"/>
        </w:rPr>
        <w:t xml:space="preserve"> </w:t>
      </w:r>
      <w:r w:rsidRPr="00C921DE">
        <w:rPr>
          <w:rFonts w:ascii="GHEA Grapalat" w:hAnsi="GHEA Grapalat"/>
          <w:lang w:val="hy-AM"/>
        </w:rPr>
        <w:t>փոխարժեքի որոշակի արժեզրկումը</w:t>
      </w:r>
      <w:r w:rsidR="00C56B66" w:rsidRPr="00C921DE">
        <w:rPr>
          <w:rFonts w:ascii="GHEA Grapalat" w:hAnsi="GHEA Grapalat"/>
          <w:lang w:val="en-US"/>
        </w:rPr>
        <w:t xml:space="preserve"> (2023 թվականի դեկտեմբերի 31-ի դրությամբ նախորդ տարվա դեկտեմբերի 31-ի համեմատ)</w:t>
      </w:r>
      <w:r w:rsidRPr="00C921DE">
        <w:rPr>
          <w:rFonts w:ascii="GHEA Grapalat" w:hAnsi="GHEA Grapalat"/>
          <w:lang w:val="hy-AM"/>
        </w:rPr>
        <w:t xml:space="preserve"> և միջազգային ֆինանսական շուկայում տոկոսադրույքների բարձրացման պայմաններում պարտքի տոկոսադրույքների աճը։</w:t>
      </w:r>
      <w:r w:rsidR="00C3783C" w:rsidRPr="00C921DE">
        <w:rPr>
          <w:rFonts w:ascii="GHEA Grapalat" w:hAnsi="GHEA Grapalat"/>
          <w:lang w:val="hy-AM"/>
        </w:rPr>
        <w:t xml:space="preserve"> </w:t>
      </w:r>
      <w:bookmarkEnd w:id="13"/>
    </w:p>
    <w:p w14:paraId="243B7845" w14:textId="275FD556" w:rsidR="00123C94" w:rsidRPr="00C921DE" w:rsidRDefault="00123C94"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Հարկաբյուջետային քաղաքականության ուղղությանը համահունչ 2023 թվականի արդյունքներով տեղի է ունեցել պետական բյուջեի ծախսերի կառուցվածքի բարելավում ընթացիկ ծախսերի նվազման և կապիտալ ծախսերի աճի տեսքով: Մասնավորապես՝ ընթացիկ ծախսերի կշիռը ՀՆԱ</w:t>
      </w:r>
      <w:r w:rsidR="001016F5" w:rsidRPr="00C921DE">
        <w:rPr>
          <w:rFonts w:ascii="GHEA Grapalat" w:hAnsi="GHEA Grapalat"/>
          <w:lang w:val="hy-AM"/>
        </w:rPr>
        <w:noBreakHyphen/>
      </w:r>
      <w:r w:rsidRPr="00C921DE">
        <w:rPr>
          <w:rFonts w:ascii="GHEA Grapalat" w:hAnsi="GHEA Grapalat"/>
          <w:lang w:val="hy-AM"/>
        </w:rPr>
        <w:t>ի նկատմամբ կազմել է 21.8%</w:t>
      </w:r>
      <w:r w:rsidR="001016F5" w:rsidRPr="00C921DE">
        <w:rPr>
          <w:rFonts w:ascii="GHEA Grapalat" w:hAnsi="GHEA Grapalat"/>
          <w:lang w:val="en-US"/>
        </w:rPr>
        <w:t>՝</w:t>
      </w:r>
      <w:r w:rsidRPr="00C921DE">
        <w:rPr>
          <w:rFonts w:ascii="GHEA Grapalat" w:hAnsi="GHEA Grapalat"/>
          <w:lang w:val="hy-AM"/>
        </w:rPr>
        <w:t xml:space="preserve"> նախորդ տարվա համեմատ նվազելով 0.1 տոկոսային կետով, </w:t>
      </w:r>
      <w:r w:rsidRPr="00C921DE">
        <w:rPr>
          <w:rFonts w:ascii="GHEA Grapalat" w:hAnsi="GHEA Grapalat"/>
          <w:lang w:val="hy-AM"/>
        </w:rPr>
        <w:lastRenderedPageBreak/>
        <w:t>իսկ կապիտալ ծախսերի (ոչ ֆինանսական ակտիվների գծով ծախսեր) կշիռը ՀՆԱ-ի նկատմամբ կազմել է 5.2%` նախորդ տարվա համեմատ աճելով 0.6 տոկոսային կետով: Պետական բյուջեի ծախսեր/ՀՆԱ ցուցանիշը կանխատեսվածից</w:t>
      </w:r>
      <w:r w:rsidR="00C3783C" w:rsidRPr="00C921DE">
        <w:rPr>
          <w:rFonts w:ascii="GHEA Grapalat" w:hAnsi="GHEA Grapalat"/>
          <w:lang w:val="hy-AM"/>
        </w:rPr>
        <w:t xml:space="preserve"> </w:t>
      </w:r>
      <w:r w:rsidRPr="00C921DE">
        <w:rPr>
          <w:rFonts w:ascii="GHEA Grapalat" w:hAnsi="GHEA Grapalat"/>
          <w:lang w:val="hy-AM"/>
        </w:rPr>
        <w:t>ցածր է եղել շուրջ 1.0 տոկոսային կետով, որը հիմնականում պայմանավորվել է ոչ ֆինանսական ակտիվների հետ</w:t>
      </w:r>
      <w:r w:rsidR="00C3783C" w:rsidRPr="00C921DE">
        <w:rPr>
          <w:rFonts w:ascii="GHEA Grapalat" w:hAnsi="GHEA Grapalat"/>
          <w:lang w:val="hy-AM"/>
        </w:rPr>
        <w:t xml:space="preserve"> </w:t>
      </w:r>
      <w:r w:rsidRPr="00C921DE">
        <w:rPr>
          <w:rFonts w:ascii="GHEA Grapalat" w:hAnsi="GHEA Grapalat"/>
          <w:lang w:val="hy-AM"/>
        </w:rPr>
        <w:t xml:space="preserve">գործառնությունների՝ կանխատեսվածից շուրջ 0.9 տոկոսային կետով փոքր փաստացի ցուցանիշով։ </w:t>
      </w:r>
    </w:p>
    <w:p w14:paraId="7A60BF2F" w14:textId="55472513" w:rsidR="001C411D" w:rsidRPr="00C921DE" w:rsidRDefault="00123C94" w:rsidP="00123C94">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թվականին տնտեսական ներուժի բարձրացմանը, առանձին ոլորտներում առաջացող հիմնախնդիրներին և ԼՂ</w:t>
      </w:r>
      <w:r w:rsidR="004634B9" w:rsidRPr="00C921DE">
        <w:rPr>
          <w:rFonts w:ascii="GHEA Grapalat" w:hAnsi="GHEA Grapalat"/>
          <w:lang w:val="en-US"/>
        </w:rPr>
        <w:t>-ից բռնի տեղահանված</w:t>
      </w:r>
      <w:r w:rsidRPr="00C921DE">
        <w:rPr>
          <w:rFonts w:ascii="GHEA Grapalat" w:hAnsi="GHEA Grapalat"/>
          <w:lang w:val="hy-AM"/>
        </w:rPr>
        <w:t xml:space="preserve"> բնակչության սոցիալական կարիքներին ուղղված հարկաբյուջետային աջակցության ծրագրերը շարունակական են եղել: Մասնավորապես, տնտեսության արդիականացմանը պետական աջակցության միջոցառման ներքո տնտեսավարողներին որպես աջակցություն տրամադրվել է 7.9 մլրդ դրամ, տեղեկատվական տեխնոլոգիաների ոլորտում գործունեություն իրականացնող առևտրային կազմակերպություններին և անհատ ձեռնարկատերերին որպես աջակցություն է տրամադրվել 12.7 մլրդ դրամ, իսկ գյուղատնտեսության ոլորտի աջակցության տարբեր ծրագրերով ծախսվել է 42.0 մլրդ դրամ։ ԼՂ բռնի տեղահանված </w:t>
      </w:r>
      <w:r w:rsidR="004634B9" w:rsidRPr="00C921DE">
        <w:rPr>
          <w:rFonts w:ascii="GHEA Grapalat" w:hAnsi="GHEA Grapalat"/>
          <w:lang w:val="hy-AM"/>
        </w:rPr>
        <w:t>բնակչության</w:t>
      </w:r>
      <w:r w:rsidR="004634B9" w:rsidRPr="00C921DE">
        <w:rPr>
          <w:rFonts w:ascii="GHEA Grapalat" w:hAnsi="GHEA Grapalat"/>
          <w:lang w:val="en-US"/>
        </w:rPr>
        <w:t>ը</w:t>
      </w:r>
      <w:r w:rsidR="004634B9" w:rsidRPr="00C921DE">
        <w:rPr>
          <w:rFonts w:ascii="GHEA Grapalat" w:hAnsi="GHEA Grapalat"/>
          <w:lang w:val="hy-AM"/>
        </w:rPr>
        <w:t xml:space="preserve"> </w:t>
      </w:r>
      <w:r w:rsidRPr="00C921DE">
        <w:rPr>
          <w:rFonts w:ascii="GHEA Grapalat" w:hAnsi="GHEA Grapalat"/>
          <w:lang w:val="hy-AM"/>
        </w:rPr>
        <w:t>սոցիալական տարբեր ծրագրերով տրամադրվել է 38.4 մլրդ դրամի աջակցություն։</w:t>
      </w:r>
    </w:p>
    <w:p w14:paraId="6C93583F" w14:textId="77777777" w:rsidR="001C411D" w:rsidRPr="00C921DE" w:rsidRDefault="001C411D" w:rsidP="00EA053A">
      <w:pPr>
        <w:pStyle w:val="ListParagraph"/>
        <w:autoSpaceDE w:val="0"/>
        <w:autoSpaceDN w:val="0"/>
        <w:adjustRightInd w:val="0"/>
        <w:spacing w:after="0" w:line="336" w:lineRule="auto"/>
        <w:ind w:left="426"/>
        <w:jc w:val="both"/>
        <w:rPr>
          <w:rFonts w:ascii="GHEA Grapalat" w:hAnsi="GHEA Grapalat"/>
          <w:lang w:val="en-US"/>
        </w:rPr>
      </w:pPr>
    </w:p>
    <w:p w14:paraId="6BAD518F" w14:textId="77777777" w:rsidR="001C411D" w:rsidRPr="00C921DE" w:rsidRDefault="001C411D" w:rsidP="00AA5F3D">
      <w:pPr>
        <w:spacing w:line="360" w:lineRule="auto"/>
        <w:rPr>
          <w:rFonts w:ascii="GHEA Grapalat" w:hAnsi="GHEA Grapalat"/>
          <w:b/>
          <w:sz w:val="22"/>
          <w:szCs w:val="22"/>
        </w:rPr>
      </w:pPr>
      <w:r w:rsidRPr="00C921DE">
        <w:rPr>
          <w:rFonts w:ascii="GHEA Grapalat" w:hAnsi="GHEA Grapalat"/>
          <w:b/>
          <w:sz w:val="22"/>
          <w:szCs w:val="22"/>
        </w:rPr>
        <w:t>ՀՀ ՊԵՏԱԿԱՆ ԲՅՈՒՋԵԻ ԿԱՏԱՐՄԱՆ ԱՄՓՈՓ ՑՈՒՑԱՆԻՇՆԵՐԸ</w:t>
      </w:r>
    </w:p>
    <w:p w14:paraId="62568FC6" w14:textId="4F03873F" w:rsidR="002500ED" w:rsidRPr="00C921DE" w:rsidRDefault="002500ED"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ՀՀ 202</w:t>
      </w:r>
      <w:r w:rsidR="00AA36C5" w:rsidRPr="00C921DE">
        <w:rPr>
          <w:rFonts w:ascii="GHEA Grapalat" w:hAnsi="GHEA Grapalat"/>
          <w:lang w:val="hy-AM"/>
        </w:rPr>
        <w:t>3</w:t>
      </w:r>
      <w:r w:rsidRPr="00C921DE">
        <w:rPr>
          <w:rFonts w:ascii="GHEA Grapalat" w:hAnsi="GHEA Grapalat"/>
          <w:lang w:val="hy-AM"/>
        </w:rPr>
        <w:t xml:space="preserve"> թվականի պետական բյուջեի մասին օրենքով հաստատված եկամուտների և ծախսերի` Կառավարությանն օրենսդրությամբ վերապահված լիազորությունների շրջանակներում կատարված փոփոխությունների արդյունքում ձևավորված ծրագրային ցուցանիշները կատարվել են եկամուտների գծով՝ 100.</w:t>
      </w:r>
      <w:r w:rsidR="00AA18B4" w:rsidRPr="00C921DE">
        <w:rPr>
          <w:rFonts w:ascii="GHEA Grapalat" w:hAnsi="GHEA Grapalat"/>
          <w:lang w:val="hy-AM"/>
        </w:rPr>
        <w:t>1</w:t>
      </w:r>
      <w:r w:rsidRPr="00C921DE">
        <w:rPr>
          <w:rFonts w:ascii="GHEA Grapalat" w:hAnsi="GHEA Grapalat"/>
          <w:lang w:val="hy-AM"/>
        </w:rPr>
        <w:t xml:space="preserve">%-ով՝ կազմելով </w:t>
      </w:r>
      <w:r w:rsidR="00AA18B4" w:rsidRPr="00C921DE">
        <w:rPr>
          <w:rFonts w:ascii="GHEA Grapalat" w:hAnsi="GHEA Grapalat"/>
          <w:lang w:val="hy-AM"/>
        </w:rPr>
        <w:t>2,358.8</w:t>
      </w:r>
      <w:r w:rsidRPr="00C921DE">
        <w:rPr>
          <w:rFonts w:ascii="GHEA Grapalat" w:hAnsi="GHEA Grapalat"/>
          <w:lang w:val="hy-AM"/>
        </w:rPr>
        <w:t xml:space="preserve"> մլրդ դրամ, ծախսերի գծով՝ 9</w:t>
      </w:r>
      <w:r w:rsidR="00AA18B4" w:rsidRPr="00C921DE">
        <w:rPr>
          <w:rFonts w:ascii="GHEA Grapalat" w:hAnsi="GHEA Grapalat"/>
          <w:lang w:val="hy-AM"/>
        </w:rPr>
        <w:t>7.1</w:t>
      </w:r>
      <w:r w:rsidRPr="00C921DE">
        <w:rPr>
          <w:rFonts w:ascii="GHEA Grapalat" w:hAnsi="GHEA Grapalat"/>
          <w:lang w:val="hy-AM"/>
        </w:rPr>
        <w:t>%-ով՝ կազմելով 2,</w:t>
      </w:r>
      <w:r w:rsidR="00AA18B4" w:rsidRPr="00C921DE">
        <w:rPr>
          <w:rFonts w:ascii="GHEA Grapalat" w:hAnsi="GHEA Grapalat"/>
          <w:lang w:val="hy-AM"/>
        </w:rPr>
        <w:t>547.</w:t>
      </w:r>
      <w:r w:rsidRPr="00C921DE">
        <w:rPr>
          <w:rFonts w:ascii="GHEA Grapalat" w:hAnsi="GHEA Grapalat"/>
          <w:lang w:val="hy-AM"/>
        </w:rPr>
        <w:t>6 մլրդ դրամ: Հարկ է նշել, որ հաշվետու տարում ապահովվել է պետական բյուջեի ծախսային ծրագրերի շրջանակներում պետական մարմինների կողմից սահմանված կարգով ստանձնված պարտավորությունների ամբողջական և ժամանակին կատարումը:</w:t>
      </w:r>
    </w:p>
    <w:p w14:paraId="731ED1B5" w14:textId="77886D13" w:rsidR="001C411D" w:rsidRPr="00C921DE" w:rsidRDefault="002500ED"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 xml:space="preserve">Նախորդ տարվա համեմատ պետական բյուջեի և՛ եկամուտներում, և՛ ծախսերում արձանագրվել է աճ: Մասնավորապես՝ եկամուտներն աճել են </w:t>
      </w:r>
      <w:r w:rsidR="00AA18B4" w:rsidRPr="00C921DE">
        <w:rPr>
          <w:rFonts w:ascii="GHEA Grapalat" w:hAnsi="GHEA Grapalat"/>
          <w:lang w:val="hy-AM"/>
        </w:rPr>
        <w:t>14.3</w:t>
      </w:r>
      <w:r w:rsidRPr="00C921DE">
        <w:rPr>
          <w:rFonts w:ascii="GHEA Grapalat" w:hAnsi="GHEA Grapalat"/>
          <w:lang w:val="hy-AM"/>
        </w:rPr>
        <w:t>%</w:t>
      </w:r>
      <w:r w:rsidRPr="00C921DE">
        <w:rPr>
          <w:rFonts w:ascii="GHEA Grapalat" w:hAnsi="GHEA Grapalat"/>
          <w:lang w:val="hy-AM"/>
        </w:rPr>
        <w:noBreakHyphen/>
        <w:t xml:space="preserve">ով կամ </w:t>
      </w:r>
      <w:r w:rsidR="00AA18B4" w:rsidRPr="00C921DE">
        <w:rPr>
          <w:rFonts w:ascii="GHEA Grapalat" w:hAnsi="GHEA Grapalat"/>
          <w:lang w:val="hy-AM"/>
        </w:rPr>
        <w:t>295.7</w:t>
      </w:r>
      <w:r w:rsidRPr="00C921DE">
        <w:rPr>
          <w:rFonts w:ascii="GHEA Grapalat" w:hAnsi="GHEA Grapalat"/>
          <w:lang w:val="hy-AM"/>
        </w:rPr>
        <w:t xml:space="preserve"> մլրդ դրամով՝ հիմնականում պայմանավորված հարկային եկամուտների և պետական տուրքերի աճով, ծախսերը՝ 1</w:t>
      </w:r>
      <w:r w:rsidR="00AA18B4" w:rsidRPr="00C921DE">
        <w:rPr>
          <w:rFonts w:ascii="GHEA Grapalat" w:hAnsi="GHEA Grapalat"/>
          <w:lang w:val="hy-AM"/>
        </w:rPr>
        <w:t>3.6</w:t>
      </w:r>
      <w:r w:rsidRPr="00C921DE">
        <w:rPr>
          <w:rFonts w:ascii="GHEA Grapalat" w:hAnsi="GHEA Grapalat"/>
          <w:lang w:val="hy-AM"/>
        </w:rPr>
        <w:t xml:space="preserve">%-ով կամ </w:t>
      </w:r>
      <w:r w:rsidR="00AA18B4" w:rsidRPr="00C921DE">
        <w:rPr>
          <w:rFonts w:ascii="GHEA Grapalat" w:hAnsi="GHEA Grapalat"/>
          <w:lang w:val="hy-AM"/>
        </w:rPr>
        <w:t>305</w:t>
      </w:r>
      <w:r w:rsidRPr="00C921DE">
        <w:rPr>
          <w:lang w:val="hy-AM"/>
        </w:rPr>
        <w:t> </w:t>
      </w:r>
      <w:r w:rsidRPr="00C921DE">
        <w:rPr>
          <w:rFonts w:ascii="GHEA Grapalat" w:hAnsi="GHEA Grapalat"/>
          <w:lang w:val="hy-AM"/>
        </w:rPr>
        <w:t xml:space="preserve">մլրդ դրամով՝ մեծ մասամբ պայմանավորված </w:t>
      </w:r>
      <w:r w:rsidR="00FF2677" w:rsidRPr="00C921DE">
        <w:rPr>
          <w:rFonts w:ascii="GHEA Grapalat" w:hAnsi="GHEA Grapalat"/>
          <w:lang w:val="hy-AM"/>
        </w:rPr>
        <w:t xml:space="preserve">կապիտալ ծախսերի, սոցիալական նպաստների և կենսաթոշակների, տոկոսավճարների և դրամաշնորհների </w:t>
      </w:r>
      <w:r w:rsidRPr="00C921DE">
        <w:rPr>
          <w:rFonts w:ascii="GHEA Grapalat" w:hAnsi="GHEA Grapalat"/>
          <w:lang w:val="hy-AM"/>
        </w:rPr>
        <w:t>աճով:</w:t>
      </w:r>
    </w:p>
    <w:p w14:paraId="00600937" w14:textId="77777777" w:rsidR="001C411D" w:rsidRPr="00C921DE"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14:paraId="7F4E2B37" w14:textId="77777777" w:rsidR="001C411D" w:rsidRPr="00C921DE" w:rsidRDefault="001C411D" w:rsidP="00AA5F3D">
      <w:pPr>
        <w:spacing w:line="360" w:lineRule="auto"/>
        <w:ind w:firstLine="284"/>
        <w:rPr>
          <w:rFonts w:ascii="GHEA Grapalat" w:hAnsi="GHEA Grapalat"/>
          <w:b/>
          <w:sz w:val="22"/>
          <w:szCs w:val="22"/>
        </w:rPr>
      </w:pPr>
      <w:r w:rsidRPr="00C921DE">
        <w:rPr>
          <w:rFonts w:ascii="GHEA Grapalat" w:hAnsi="GHEA Grapalat"/>
          <w:b/>
          <w:sz w:val="22"/>
          <w:szCs w:val="22"/>
        </w:rPr>
        <w:t>Հ</w:t>
      </w:r>
      <w:r w:rsidRPr="00C921DE">
        <w:rPr>
          <w:rFonts w:ascii="GHEA Grapalat" w:hAnsi="GHEA Grapalat"/>
          <w:b/>
          <w:sz w:val="22"/>
          <w:szCs w:val="22"/>
          <w:lang w:val="en-US"/>
        </w:rPr>
        <w:t>Հ</w:t>
      </w:r>
      <w:r w:rsidRPr="00C921DE">
        <w:rPr>
          <w:rFonts w:ascii="GHEA Grapalat" w:hAnsi="GHEA Grapalat"/>
          <w:b/>
          <w:sz w:val="22"/>
          <w:szCs w:val="22"/>
        </w:rPr>
        <w:t xml:space="preserve"> պետական բյուջեի եկամուտները</w:t>
      </w:r>
    </w:p>
    <w:p w14:paraId="35EC8F2D" w14:textId="1967D176" w:rsidR="002500ED" w:rsidRPr="00C921DE" w:rsidRDefault="009B10DB"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 xml:space="preserve">2023 թվականի պետական բյուջեի եկամուտներում 2022 թվականի համեմատ </w:t>
      </w:r>
      <w:r w:rsidR="00B20A80" w:rsidRPr="00C921DE">
        <w:rPr>
          <w:rFonts w:ascii="GHEA Grapalat" w:hAnsi="GHEA Grapalat"/>
          <w:lang w:val="en-US"/>
        </w:rPr>
        <w:t xml:space="preserve">ավելի քան </w:t>
      </w:r>
      <w:r w:rsidRPr="00C921DE">
        <w:rPr>
          <w:rFonts w:ascii="GHEA Grapalat" w:hAnsi="GHEA Grapalat"/>
          <w:lang w:val="hy-AM"/>
        </w:rPr>
        <w:t xml:space="preserve">0.8 տոկոսային կետով ավելացել է հարկային եկամուտների և պետական տուրքերի տեսակարար </w:t>
      </w:r>
      <w:r w:rsidRPr="00C921DE">
        <w:rPr>
          <w:rFonts w:ascii="GHEA Grapalat" w:hAnsi="GHEA Grapalat"/>
          <w:lang w:val="hy-AM"/>
        </w:rPr>
        <w:lastRenderedPageBreak/>
        <w:t>կշիռը, իսկ պաշտոնական դրամաշնորհների և այլ եկամուտների տեսակարար կշիռները նվազել են համապատասխանաբար 0.2 և 0.7 տոկոսային կետով:</w:t>
      </w:r>
    </w:p>
    <w:p w14:paraId="4F3D92D4" w14:textId="7AC3CB91" w:rsidR="002500ED" w:rsidRPr="00C921DE" w:rsidRDefault="002500ED"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w:t>
      </w:r>
      <w:r w:rsidR="0045037D" w:rsidRPr="00C921DE">
        <w:rPr>
          <w:rFonts w:ascii="GHEA Grapalat" w:hAnsi="GHEA Grapalat"/>
          <w:lang w:val="hy-AM"/>
        </w:rPr>
        <w:t>3 թվականին</w:t>
      </w:r>
      <w:r w:rsidRPr="00C921DE">
        <w:rPr>
          <w:rFonts w:ascii="GHEA Grapalat" w:hAnsi="GHEA Grapalat"/>
          <w:lang w:val="hy-AM"/>
        </w:rPr>
        <w:t xml:space="preserve"> ՀՀ պետական բյուջե են մուտքագրվել </w:t>
      </w:r>
      <w:r w:rsidR="0045037D" w:rsidRPr="00C921DE">
        <w:rPr>
          <w:rFonts w:ascii="GHEA Grapalat" w:hAnsi="GHEA Grapalat"/>
          <w:lang w:val="hy-AM"/>
        </w:rPr>
        <w:t>2,221.9 մլրդ դրամ հարկային եկամուտներ և պետական տուրքեր, որոնք 100.8%</w:t>
      </w:r>
      <w:r w:rsidR="0045037D" w:rsidRPr="00C921DE">
        <w:rPr>
          <w:rFonts w:ascii="GHEA Grapalat" w:hAnsi="GHEA Grapalat"/>
          <w:lang w:val="hy-AM"/>
        </w:rPr>
        <w:noBreakHyphen/>
        <w:t>ով ապահովել</w:t>
      </w:r>
      <w:r w:rsidR="0045037D" w:rsidRPr="00C921DE">
        <w:rPr>
          <w:lang w:val="hy-AM"/>
        </w:rPr>
        <w:t> </w:t>
      </w:r>
      <w:r w:rsidR="0045037D" w:rsidRPr="00C921DE">
        <w:rPr>
          <w:rFonts w:ascii="GHEA Grapalat" w:hAnsi="GHEA Grapalat"/>
          <w:lang w:val="hy-AM"/>
        </w:rPr>
        <w:t>են Օրենքով հաստատված ցուցանիշը և 99.9%</w:t>
      </w:r>
      <w:r w:rsidR="0045037D" w:rsidRPr="00C921DE">
        <w:rPr>
          <w:rFonts w:ascii="GHEA Grapalat" w:hAnsi="GHEA Grapalat"/>
          <w:lang w:val="hy-AM"/>
        </w:rPr>
        <w:noBreakHyphen/>
        <w:t>ով՝ ճշտված ծրագրով սահմանված ցուցանիշը: 2022 թվականի համեմատ հարկային եկամուտներն ու պետական տուրքերն աճել են 15.4%</w:t>
      </w:r>
      <w:r w:rsidR="0045037D" w:rsidRPr="00C921DE">
        <w:rPr>
          <w:rFonts w:ascii="GHEA Grapalat" w:hAnsi="GHEA Grapalat"/>
          <w:lang w:val="hy-AM"/>
        </w:rPr>
        <w:noBreakHyphen/>
        <w:t>ով կամ 296 մլրդ դրամով, որը հիմնականում պայմանավորված է շահութահարկի, ԱԱՀ-ի և եկամտային հարկի գծով մուտքերի աճով: 2022 թվականի համեմատ գրեթե բոլոր հարկատեսակների գծով արձանագրվել է մուտքերի աճ, բացառությամբ պետական տուրքի ու բնօգտագործման վճարների գծով մուտքերի: Հարկ է նշել, որ 2023 թվականի պետական բյուջեի հարկային եկամուտների ցուցանիշի վրա դրական ազդեցություն են ունեցել տնտեսական ակտիվության, ներմուծման և արտահանման աճը, հարկունակ ոլորտների իրացման շրջանառությունների, աշխատատեղերի ու միջին աշխատավարձի ավելացումը: Միաժամանակ, 2023 թվականի պետական բյուջեի հարկային եկամուտների ցուցանիշի վրա նվազեցնող ազդեցություն է ունեցել ԱԱՀ-ի, եկամտային հարկի, ակցիզային հարկի, շահութահարկի և սոցիալական վճարների գծով վերադարձված գումարների աճը, որոնք կազմել են շուրջ 362.9 մլրդ դրամ՝ 38.1%</w:t>
      </w:r>
      <w:r w:rsidR="0045037D" w:rsidRPr="00C921DE">
        <w:rPr>
          <w:rFonts w:ascii="GHEA Grapalat" w:hAnsi="GHEA Grapalat"/>
          <w:lang w:val="hy-AM"/>
        </w:rPr>
        <w:noBreakHyphen/>
        <w:t>ով գերազանցելով նախորդ տարվա համապատասխան ցուցանիշը:</w:t>
      </w:r>
    </w:p>
    <w:p w14:paraId="0836B4EC" w14:textId="5D9B05F3" w:rsidR="002500ED" w:rsidRPr="00C921DE" w:rsidRDefault="002500ED" w:rsidP="00BD2D8B">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w:t>
      </w:r>
      <w:r w:rsidR="00B27AFB" w:rsidRPr="00C921DE">
        <w:rPr>
          <w:rFonts w:ascii="GHEA Grapalat" w:hAnsi="GHEA Grapalat"/>
          <w:lang w:val="hy-AM"/>
        </w:rPr>
        <w:t>3</w:t>
      </w:r>
      <w:r w:rsidRPr="00C921DE">
        <w:rPr>
          <w:rFonts w:ascii="GHEA Grapalat" w:hAnsi="GHEA Grapalat"/>
          <w:lang w:val="hy-AM"/>
        </w:rPr>
        <w:t xml:space="preserve"> թվականին արտաքին աղբյուրներից տրամադրվել են </w:t>
      </w:r>
      <w:r w:rsidR="00B27AFB" w:rsidRPr="00C921DE">
        <w:rPr>
          <w:rFonts w:ascii="GHEA Grapalat" w:hAnsi="GHEA Grapalat"/>
          <w:lang w:val="hy-AM"/>
        </w:rPr>
        <w:t>13.1</w:t>
      </w:r>
      <w:r w:rsidRPr="00C921DE">
        <w:rPr>
          <w:rFonts w:ascii="GHEA Grapalat" w:hAnsi="GHEA Grapalat"/>
          <w:lang w:val="hy-AM"/>
        </w:rPr>
        <w:t xml:space="preserve"> մլրդ դրամ պաշտոնական դրամաշնորհներ` </w:t>
      </w:r>
      <w:r w:rsidR="00B27AFB" w:rsidRPr="00C921DE">
        <w:rPr>
          <w:rFonts w:ascii="GHEA Grapalat" w:hAnsi="GHEA Grapalat"/>
          <w:lang w:val="hy-AM"/>
        </w:rPr>
        <w:t xml:space="preserve">6.3%-ով գերազանցելով </w:t>
      </w:r>
      <w:r w:rsidRPr="00C921DE">
        <w:rPr>
          <w:rFonts w:ascii="GHEA Grapalat" w:hAnsi="GHEA Grapalat"/>
          <w:lang w:val="hy-AM"/>
        </w:rPr>
        <w:t>տարեկան ճշտված ծրագ</w:t>
      </w:r>
      <w:r w:rsidR="00B27AFB" w:rsidRPr="00C921DE">
        <w:rPr>
          <w:rFonts w:ascii="GHEA Grapalat" w:hAnsi="GHEA Grapalat"/>
          <w:lang w:val="hy-AM"/>
        </w:rPr>
        <w:t>իրը</w:t>
      </w:r>
      <w:r w:rsidRPr="00C921DE">
        <w:rPr>
          <w:rFonts w:ascii="GHEA Grapalat" w:hAnsi="GHEA Grapalat"/>
          <w:lang w:val="hy-AM"/>
        </w:rPr>
        <w:t xml:space="preserve">: Դրամաշնորհներից </w:t>
      </w:r>
      <w:r w:rsidR="00513958" w:rsidRPr="00C921DE">
        <w:rPr>
          <w:rFonts w:ascii="GHEA Grapalat" w:hAnsi="GHEA Grapalat"/>
          <w:lang w:val="hy-AM"/>
        </w:rPr>
        <w:t>9.3</w:t>
      </w:r>
      <w:r w:rsidRPr="00C921DE">
        <w:rPr>
          <w:rFonts w:ascii="GHEA Grapalat" w:hAnsi="GHEA Grapalat"/>
          <w:lang w:val="hy-AM"/>
        </w:rPr>
        <w:t xml:space="preserve"> մլրդ դրամը ստացվել է նպատակային, իսկ </w:t>
      </w:r>
      <w:r w:rsidR="00513958" w:rsidRPr="00C921DE">
        <w:rPr>
          <w:rFonts w:ascii="GHEA Grapalat" w:hAnsi="GHEA Grapalat"/>
          <w:lang w:val="hy-AM"/>
        </w:rPr>
        <w:t>3.8</w:t>
      </w:r>
      <w:r w:rsidRPr="00C921DE">
        <w:rPr>
          <w:rFonts w:ascii="GHEA Grapalat" w:hAnsi="GHEA Grapalat"/>
          <w:lang w:val="hy-AM"/>
        </w:rPr>
        <w:t xml:space="preserve"> մլրդ դրամը՝ բյուջետային աջակցության շրջանակներում, որոնք ապահովել են համապատասխանաբար </w:t>
      </w:r>
      <w:r w:rsidR="00513958" w:rsidRPr="00C921DE">
        <w:rPr>
          <w:rFonts w:ascii="GHEA Grapalat" w:hAnsi="GHEA Grapalat"/>
          <w:lang w:val="hy-AM"/>
        </w:rPr>
        <w:t>82.8</w:t>
      </w:r>
      <w:r w:rsidRPr="00C921DE">
        <w:rPr>
          <w:rFonts w:ascii="GHEA Grapalat" w:hAnsi="GHEA Grapalat"/>
          <w:lang w:val="hy-AM"/>
        </w:rPr>
        <w:t xml:space="preserve">% և </w:t>
      </w:r>
      <w:r w:rsidR="00513958" w:rsidRPr="00C921DE">
        <w:rPr>
          <w:rFonts w:ascii="GHEA Grapalat" w:hAnsi="GHEA Grapalat"/>
          <w:lang w:val="hy-AM"/>
        </w:rPr>
        <w:t>349.3</w:t>
      </w:r>
      <w:r w:rsidRPr="00C921DE">
        <w:rPr>
          <w:rFonts w:ascii="GHEA Grapalat" w:hAnsi="GHEA Grapalat"/>
          <w:lang w:val="hy-AM"/>
        </w:rPr>
        <w:t xml:space="preserve">% կատարողական: Պաշտոնական դրամաշնորհների </w:t>
      </w:r>
      <w:r w:rsidR="00513958" w:rsidRPr="00C921DE">
        <w:rPr>
          <w:rFonts w:ascii="GHEA Grapalat" w:hAnsi="GHEA Grapalat"/>
          <w:lang w:val="hy-AM"/>
        </w:rPr>
        <w:t>կատարողական</w:t>
      </w:r>
      <w:r w:rsidRPr="00C921DE">
        <w:rPr>
          <w:rFonts w:ascii="GHEA Grapalat" w:hAnsi="GHEA Grapalat"/>
          <w:lang w:val="hy-AM"/>
        </w:rPr>
        <w:t xml:space="preserve">ը </w:t>
      </w:r>
      <w:r w:rsidR="00513958" w:rsidRPr="00C921DE">
        <w:rPr>
          <w:rFonts w:ascii="GHEA Grapalat" w:hAnsi="GHEA Grapalat"/>
          <w:lang w:val="hy-AM"/>
        </w:rPr>
        <w:t xml:space="preserve">պայմանավորված է </w:t>
      </w:r>
      <w:r w:rsidR="007A45EC" w:rsidRPr="00C921DE">
        <w:rPr>
          <w:rFonts w:ascii="GHEA Grapalat" w:hAnsi="GHEA Grapalat"/>
          <w:lang w:val="hy-AM"/>
        </w:rPr>
        <w:t>ԵՄ բյուջետային աջակցության շրջանակներում ստացված դրամաշնորհներով, որոնք գերազանցել են ծրագրված ցուցանիշը 3.5 անգամ՝ կազմելով շուրջ 3.8</w:t>
      </w:r>
      <w:r w:rsidR="007A45EC" w:rsidRPr="00C921DE">
        <w:rPr>
          <w:lang w:val="hy-AM"/>
        </w:rPr>
        <w:t> </w:t>
      </w:r>
      <w:r w:rsidR="007A45EC" w:rsidRPr="00C921DE">
        <w:rPr>
          <w:rFonts w:ascii="GHEA Grapalat" w:hAnsi="GHEA Grapalat"/>
          <w:lang w:val="hy-AM"/>
        </w:rPr>
        <w:t>մլրդ դրամ</w:t>
      </w:r>
      <w:r w:rsidRPr="00C921DE">
        <w:rPr>
          <w:rFonts w:ascii="GHEA Grapalat" w:hAnsi="GHEA Grapalat"/>
          <w:lang w:val="hy-AM"/>
        </w:rPr>
        <w:t>:</w:t>
      </w:r>
      <w:r w:rsidR="00BD2D8B" w:rsidRPr="00C921DE">
        <w:rPr>
          <w:rFonts w:ascii="GHEA Grapalat" w:hAnsi="GHEA Grapalat"/>
          <w:lang w:val="hy-AM"/>
        </w:rPr>
        <w:t xml:space="preserve"> 2023 թվականի ընթացքում պետական բյուջե մուտքագրված պաշտոնական դրամաշնորհները 12.5%-ով կամ 1.9 մլրդ դրամով զիջել են նախորդ տարվա ցուցանիշը, որը հիմնականում պայմանավորված է բյուջետային աջակցության ծրագրերի շրջանակներում ստացված դրամաշնորհների նվազմամբ:</w:t>
      </w:r>
    </w:p>
    <w:p w14:paraId="74DCCB93" w14:textId="517722D3" w:rsidR="001C411D" w:rsidRPr="00C921DE" w:rsidRDefault="00F75977"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թվականին ՀՀ պետական բյուջեի այլ եկամուտները կազմել են 123.7 մլրդ դրամ՝ 3.3%-ով գերազանցելով տարեկան ծրագրված ցուցանիշը: Վերջինս հիմնականում պայմանավորված է բանկերում և այլ ֆինանսավարկային հաստատություններում բյուջեի ժամանակավոր ազատ միջոցների տեղաբաշխումից ու դեպոզիտներից ստացված տոկոսավճարների ու oրենքով և իրավական այլ ակտերով սահմանված՝ պետական բյուջե մուտքագրվող այլ եկամուտների ծրագրային ցուցանիշների գերազանցմամբ: Նախորդ տարվա համեմատ այլ եկամուտներն աճել են 1.3%</w:t>
      </w:r>
      <w:r w:rsidRPr="00C921DE">
        <w:rPr>
          <w:rFonts w:ascii="GHEA Grapalat" w:hAnsi="GHEA Grapalat"/>
          <w:lang w:val="hy-AM"/>
        </w:rPr>
        <w:noBreakHyphen/>
        <w:t xml:space="preserve">ով կամ 1.6 մլրդ դրամով, որը հիմնականում պայմանավորված է բանկերում և այլ </w:t>
      </w:r>
      <w:r w:rsidRPr="00C921DE">
        <w:rPr>
          <w:rFonts w:ascii="GHEA Grapalat" w:hAnsi="GHEA Grapalat"/>
          <w:lang w:val="hy-AM"/>
        </w:rPr>
        <w:lastRenderedPageBreak/>
        <w:t>ֆինանսավարկային հաստատություններում բյուջեի ժամանակավոր ազատ միջոցների տեղաբաշխումից և դեպոզիտներից ստացվող տոկոսավճարների և իրավախախտումների համար գործադիր, դատական մարմինների կողմից կիրառվող պատժամիջոցներից մուտքերի աճով:</w:t>
      </w:r>
    </w:p>
    <w:p w14:paraId="557AB286" w14:textId="77777777" w:rsidR="001C411D" w:rsidRPr="00C921DE"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14:paraId="5F1F9CB7" w14:textId="77777777" w:rsidR="001C411D" w:rsidRPr="00C921DE" w:rsidRDefault="001C411D" w:rsidP="00AA5F3D">
      <w:pPr>
        <w:spacing w:line="360" w:lineRule="auto"/>
        <w:ind w:firstLine="284"/>
        <w:rPr>
          <w:rFonts w:ascii="GHEA Grapalat" w:hAnsi="GHEA Grapalat"/>
          <w:b/>
          <w:sz w:val="22"/>
          <w:szCs w:val="22"/>
        </w:rPr>
      </w:pPr>
      <w:r w:rsidRPr="00C921DE">
        <w:rPr>
          <w:rFonts w:ascii="GHEA Grapalat" w:hAnsi="GHEA Grapalat"/>
          <w:b/>
          <w:sz w:val="22"/>
          <w:szCs w:val="22"/>
        </w:rPr>
        <w:t>ՀՀ պետական բյուջեի ծախսերը</w:t>
      </w:r>
    </w:p>
    <w:p w14:paraId="6E37B075" w14:textId="22FC0926" w:rsidR="002500ED" w:rsidRPr="00C921DE" w:rsidRDefault="0089423D"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ՀՀ 2023 թվականի պետական բյուջեի մասին օրենքով նախատեսվել էր 172 ծրագրերի իրականացում 47 պետական մարմինների և Կառավարության պատասխանատվության ներքո: Կառավարության կատարած ճշտումների արդյունքում նախատեսված ծրագրերի թիվը կազմել է 176, որից փաստացի միջոցներ են օգտագործվել 171-ի գծով, իսկ Կառավարության պատասխանատվությամբ 3 ծրագրերի շրջանակներում նախատեսված միջոցներն ըստ անհրաժեշտության վերաբաշխվել են համապատասխան ծրագրերին և միջոցառումներին:</w:t>
      </w:r>
    </w:p>
    <w:p w14:paraId="69795B2F" w14:textId="1D2D3842" w:rsidR="002500ED" w:rsidRPr="00C921DE" w:rsidRDefault="002500ED"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 xml:space="preserve">ՀՀ </w:t>
      </w:r>
      <w:r w:rsidR="005C498A" w:rsidRPr="00C921DE">
        <w:rPr>
          <w:rFonts w:ascii="GHEA Grapalat" w:hAnsi="GHEA Grapalat"/>
          <w:lang w:val="hy-AM"/>
        </w:rPr>
        <w:t>պետական բյուջեի փաստացի ծախսերում ամենամեծ տեսակարար կշիռները՝ 27.7% և 20.7%, ունեցել են համապատասխանաբար ՀՀ աշխատանքի և սոցիալական հարցերի նախարարության ու ՀՀ պաշտպանության նախարարության պատասխանատվությամբ իրականացվող ծրագրերը:</w:t>
      </w:r>
    </w:p>
    <w:p w14:paraId="26CA3C7F" w14:textId="0F6BE337" w:rsidR="005C498A" w:rsidRPr="00C921DE" w:rsidRDefault="005C498A"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2022 թվականի համեմատ ՀՀ պետական բյուջեի ծախսերի 13.6% աճը հիմնականում պայմանավորված է ՀՀ աշխատանքի և սոցիալական հարցերի</w:t>
      </w:r>
      <w:r w:rsidR="00B52334" w:rsidRPr="00C921DE">
        <w:rPr>
          <w:rFonts w:ascii="GHEA Grapalat" w:hAnsi="GHEA Grapalat"/>
          <w:lang w:val="hy-AM"/>
        </w:rPr>
        <w:t xml:space="preserve"> նախարարության ծախսերի՝ 15%</w:t>
      </w:r>
      <w:r w:rsidRPr="00C921DE">
        <w:rPr>
          <w:rFonts w:ascii="GHEA Grapalat" w:hAnsi="GHEA Grapalat"/>
          <w:lang w:val="hy-AM"/>
        </w:rPr>
        <w:t>, ՀՀ ֆինանսների</w:t>
      </w:r>
      <w:r w:rsidR="00B52334" w:rsidRPr="00C921DE">
        <w:rPr>
          <w:rFonts w:ascii="GHEA Grapalat" w:hAnsi="GHEA Grapalat"/>
          <w:lang w:val="hy-AM"/>
        </w:rPr>
        <w:t xml:space="preserve"> նախարարության ծախսերի՝ 27.8%</w:t>
      </w:r>
      <w:r w:rsidRPr="00C921DE">
        <w:rPr>
          <w:rFonts w:ascii="GHEA Grapalat" w:hAnsi="GHEA Grapalat"/>
          <w:lang w:val="hy-AM"/>
        </w:rPr>
        <w:t>, ՀՀ պաշտպանության</w:t>
      </w:r>
      <w:r w:rsidR="00B52334" w:rsidRPr="00C921DE">
        <w:rPr>
          <w:rFonts w:ascii="GHEA Grapalat" w:hAnsi="GHEA Grapalat"/>
          <w:lang w:val="hy-AM"/>
        </w:rPr>
        <w:t xml:space="preserve"> նախարարության ծախսերի՝ 9.9%</w:t>
      </w:r>
      <w:r w:rsidRPr="00C921DE">
        <w:rPr>
          <w:rFonts w:ascii="GHEA Grapalat" w:hAnsi="GHEA Grapalat"/>
          <w:lang w:val="hy-AM"/>
        </w:rPr>
        <w:t xml:space="preserve"> և ՀՀ տարածքային կառավարման և ենթակառուցվածքների </w:t>
      </w:r>
      <w:r w:rsidR="00B52334" w:rsidRPr="00C921DE">
        <w:rPr>
          <w:rFonts w:ascii="GHEA Grapalat" w:hAnsi="GHEA Grapalat"/>
          <w:lang w:val="hy-AM"/>
        </w:rPr>
        <w:t xml:space="preserve">նախարարության ծախսերի 20.9% </w:t>
      </w:r>
      <w:r w:rsidRPr="00C921DE">
        <w:rPr>
          <w:rFonts w:ascii="GHEA Grapalat" w:hAnsi="GHEA Grapalat"/>
          <w:lang w:val="hy-AM"/>
        </w:rPr>
        <w:t>աճով:</w:t>
      </w:r>
    </w:p>
    <w:p w14:paraId="5ACBF0BF" w14:textId="39DC0DBE" w:rsidR="001C411D" w:rsidRPr="00C921DE" w:rsidRDefault="002500ED"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Ըստ տնտեսագիտական կառուցվածքի պետական բյուջեի ծախսերի 8</w:t>
      </w:r>
      <w:r w:rsidR="00F35607" w:rsidRPr="00C921DE">
        <w:rPr>
          <w:rFonts w:ascii="GHEA Grapalat" w:hAnsi="GHEA Grapalat"/>
          <w:lang w:val="hy-AM"/>
        </w:rPr>
        <w:t>1.4</w:t>
      </w:r>
      <w:r w:rsidRPr="00C921DE">
        <w:rPr>
          <w:rFonts w:ascii="GHEA Grapalat" w:hAnsi="GHEA Grapalat"/>
          <w:lang w:val="hy-AM"/>
        </w:rPr>
        <w:t xml:space="preserve">%-ը կամ </w:t>
      </w:r>
      <w:r w:rsidR="00F35607" w:rsidRPr="00C921DE">
        <w:rPr>
          <w:rFonts w:ascii="GHEA Grapalat" w:hAnsi="GHEA Grapalat"/>
          <w:lang w:val="hy-AM"/>
        </w:rPr>
        <w:t>2,075.1</w:t>
      </w:r>
      <w:r w:rsidRPr="00C921DE">
        <w:rPr>
          <w:rFonts w:ascii="GHEA Grapalat" w:hAnsi="GHEA Grapalat"/>
          <w:lang w:val="hy-AM"/>
        </w:rPr>
        <w:t xml:space="preserve"> մլրդ դրամը բաժին է ընկել ընթացիկ ծախսերին, 1</w:t>
      </w:r>
      <w:r w:rsidR="00F35607" w:rsidRPr="00C921DE">
        <w:rPr>
          <w:rFonts w:ascii="GHEA Grapalat" w:hAnsi="GHEA Grapalat"/>
          <w:lang w:val="hy-AM"/>
        </w:rPr>
        <w:t>8.6</w:t>
      </w:r>
      <w:r w:rsidRPr="00C921DE">
        <w:rPr>
          <w:rFonts w:ascii="GHEA Grapalat" w:hAnsi="GHEA Grapalat"/>
          <w:lang w:val="hy-AM"/>
        </w:rPr>
        <w:t xml:space="preserve">%-ը կամ </w:t>
      </w:r>
      <w:r w:rsidR="00F35607" w:rsidRPr="00C921DE">
        <w:rPr>
          <w:rFonts w:ascii="GHEA Grapalat" w:hAnsi="GHEA Grapalat"/>
          <w:lang w:val="hy-AM"/>
        </w:rPr>
        <w:t>472.6</w:t>
      </w:r>
      <w:r w:rsidRPr="00C921DE">
        <w:rPr>
          <w:rFonts w:ascii="GHEA Grapalat" w:hAnsi="GHEA Grapalat"/>
          <w:lang w:val="hy-AM"/>
        </w:rPr>
        <w:t xml:space="preserve"> մլրդ դրամը՝ ոչ ֆինանսական ակտիվների հետ գործառնություններին: Կապիտալ ծախսերի առաջանցիկ աճով պայմանավորված՝ պետական բյուջեի ծախսերում </w:t>
      </w:r>
      <w:r w:rsidR="00BD58DB" w:rsidRPr="00C921DE">
        <w:rPr>
          <w:rFonts w:ascii="GHEA Grapalat" w:hAnsi="GHEA Grapalat"/>
          <w:lang w:val="hy-AM"/>
        </w:rPr>
        <w:t>1.6</w:t>
      </w:r>
      <w:r w:rsidRPr="00C921DE">
        <w:rPr>
          <w:rFonts w:ascii="GHEA Grapalat" w:hAnsi="GHEA Grapalat"/>
          <w:lang w:val="hy-AM"/>
        </w:rPr>
        <w:t xml:space="preserve"> տոկոսային կետով նվազել է ընթացիկ ծախսերի տեսակարար կշիռը և նույնքան ավելացել ոչ ֆինանսական ակտիվների հետ գործառնությունների տեսակարար կշիռը:</w:t>
      </w:r>
    </w:p>
    <w:p w14:paraId="5CDFA82D" w14:textId="77777777" w:rsidR="001C411D" w:rsidRPr="00C921DE"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14:paraId="0B43A98E" w14:textId="77777777" w:rsidR="001C411D" w:rsidRPr="00C921DE" w:rsidRDefault="001C411D" w:rsidP="00AA5F3D">
      <w:pPr>
        <w:spacing w:line="360" w:lineRule="auto"/>
        <w:ind w:firstLine="284"/>
        <w:rPr>
          <w:rFonts w:ascii="GHEA Grapalat" w:hAnsi="GHEA Grapalat"/>
          <w:b/>
          <w:sz w:val="22"/>
          <w:szCs w:val="22"/>
        </w:rPr>
      </w:pPr>
      <w:r w:rsidRPr="00C921DE">
        <w:rPr>
          <w:rFonts w:ascii="GHEA Grapalat" w:hAnsi="GHEA Grapalat"/>
          <w:b/>
          <w:sz w:val="22"/>
          <w:szCs w:val="22"/>
        </w:rPr>
        <w:t>ՀՀ պետական բյուջեի պակասուրդը</w:t>
      </w:r>
    </w:p>
    <w:p w14:paraId="334EB30D" w14:textId="77777777" w:rsidR="00ED4D16" w:rsidRPr="00C921DE" w:rsidRDefault="004A095C"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թվականին ՀՀ պետական բյուջեն կատարվել է 188.9</w:t>
      </w:r>
      <w:r w:rsidRPr="00C921DE">
        <w:rPr>
          <w:lang w:val="hy-AM"/>
        </w:rPr>
        <w:t> </w:t>
      </w:r>
      <w:r w:rsidRPr="00C921DE">
        <w:rPr>
          <w:rFonts w:ascii="GHEA Grapalat" w:hAnsi="GHEA Grapalat"/>
          <w:lang w:val="hy-AM"/>
        </w:rPr>
        <w:t>մլրդ դրամ պակասուրդով՝ կազմելով ծրագրի 70.5%-ը և 5.2%-ով (9.3 մլրդ դրամով) գերազանցելով նախորդ տարվա ցուցանիշը: Ծրագրի համեմատ պակասուրդի ցածր մակարդակը հիմնականում պայմանավորված է եկամուտների՝ ծրագրվածից ավել հավաքագրման և ծախսերի համեմատաբար ցածր կատարողականով:</w:t>
      </w:r>
      <w:r w:rsidR="002500ED" w:rsidRPr="00C921DE">
        <w:rPr>
          <w:rFonts w:ascii="GHEA Grapalat" w:hAnsi="GHEA Grapalat"/>
          <w:lang w:val="hy-AM"/>
        </w:rPr>
        <w:t xml:space="preserve"> </w:t>
      </w:r>
    </w:p>
    <w:p w14:paraId="0A39D6D0" w14:textId="035A3F42" w:rsidR="002500ED" w:rsidRPr="00C921DE" w:rsidRDefault="00ED4D16" w:rsidP="006461BD">
      <w:pPr>
        <w:pStyle w:val="ListParagraph"/>
        <w:numPr>
          <w:ilvl w:val="0"/>
          <w:numId w:val="10"/>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lastRenderedPageBreak/>
        <w:t xml:space="preserve">2023 թվականին, ինչպես և նախորդ տարի, պակասուրդն ամբողջությամբ ֆինանսավորվել է ներքին աղբյուրների հաշվին, իսկ արտաքին աղբյուրներից </w:t>
      </w:r>
      <w:r w:rsidR="00446B94" w:rsidRPr="00C921DE">
        <w:rPr>
          <w:rFonts w:ascii="GHEA Grapalat" w:hAnsi="GHEA Grapalat"/>
          <w:lang w:val="en-US"/>
        </w:rPr>
        <w:t xml:space="preserve">զուտ </w:t>
      </w:r>
      <w:r w:rsidRPr="00C921DE">
        <w:rPr>
          <w:rFonts w:ascii="GHEA Grapalat" w:hAnsi="GHEA Grapalat"/>
          <w:lang w:val="hy-AM"/>
        </w:rPr>
        <w:t>ֆինանսավորումը եղել է բացասական:</w:t>
      </w:r>
      <w:r w:rsidR="006663D0" w:rsidRPr="00C921DE">
        <w:rPr>
          <w:rFonts w:ascii="GHEA Grapalat" w:hAnsi="GHEA Grapalat"/>
          <w:lang w:val="hy-AM"/>
        </w:rPr>
        <w:t xml:space="preserve"> Ներքին աղբյուրների հաշվին ֆինանսավորումը կազմել է</w:t>
      </w:r>
      <w:r w:rsidR="002500ED" w:rsidRPr="00C921DE">
        <w:rPr>
          <w:rFonts w:ascii="GHEA Grapalat" w:hAnsi="GHEA Grapalat"/>
          <w:lang w:val="hy-AM"/>
        </w:rPr>
        <w:t xml:space="preserve"> </w:t>
      </w:r>
      <w:r w:rsidR="004A095C" w:rsidRPr="00C921DE">
        <w:rPr>
          <w:rFonts w:ascii="GHEA Grapalat" w:hAnsi="GHEA Grapalat"/>
          <w:lang w:val="hy-AM"/>
        </w:rPr>
        <w:t>412.3</w:t>
      </w:r>
      <w:r w:rsidR="002500ED" w:rsidRPr="00C921DE">
        <w:rPr>
          <w:rFonts w:ascii="GHEA Grapalat" w:hAnsi="GHEA Grapalat"/>
          <w:lang w:val="hy-AM"/>
        </w:rPr>
        <w:t xml:space="preserve"> մլրդ դրամ (9</w:t>
      </w:r>
      <w:r w:rsidR="004A095C" w:rsidRPr="00C921DE">
        <w:rPr>
          <w:rFonts w:ascii="GHEA Grapalat" w:hAnsi="GHEA Grapalat"/>
          <w:lang w:val="hy-AM"/>
        </w:rPr>
        <w:t>6</w:t>
      </w:r>
      <w:r w:rsidR="002500ED" w:rsidRPr="00C921DE">
        <w:rPr>
          <w:rFonts w:ascii="GHEA Grapalat" w:hAnsi="GHEA Grapalat"/>
          <w:lang w:val="hy-AM"/>
        </w:rPr>
        <w:t xml:space="preserve">% կատարողական), </w:t>
      </w:r>
      <w:r w:rsidR="006663D0" w:rsidRPr="00C921DE">
        <w:rPr>
          <w:rFonts w:ascii="GHEA Grapalat" w:hAnsi="GHEA Grapalat"/>
          <w:lang w:val="hy-AM"/>
        </w:rPr>
        <w:t xml:space="preserve">արտաքին աղբյուրների հաշվին՝ </w:t>
      </w:r>
      <w:r w:rsidR="004A095C" w:rsidRPr="00C921DE">
        <w:rPr>
          <w:rFonts w:ascii="GHEA Grapalat" w:hAnsi="GHEA Grapalat"/>
          <w:lang w:val="hy-AM"/>
        </w:rPr>
        <w:noBreakHyphen/>
        <w:t>223.5</w:t>
      </w:r>
      <w:r w:rsidR="004A095C" w:rsidRPr="00C921DE">
        <w:rPr>
          <w:lang w:val="hy-AM"/>
        </w:rPr>
        <w:t> </w:t>
      </w:r>
      <w:r w:rsidR="002500ED" w:rsidRPr="00C921DE">
        <w:rPr>
          <w:rFonts w:ascii="GHEA Grapalat" w:hAnsi="GHEA Grapalat"/>
          <w:lang w:val="hy-AM"/>
        </w:rPr>
        <w:t>մլրդ դրամով (138</w:t>
      </w:r>
      <w:r w:rsidR="004A095C" w:rsidRPr="00C921DE">
        <w:rPr>
          <w:rFonts w:ascii="GHEA Grapalat" w:hAnsi="GHEA Grapalat"/>
          <w:lang w:val="hy-AM"/>
        </w:rPr>
        <w:t>.1</w:t>
      </w:r>
      <w:r w:rsidR="006663D0" w:rsidRPr="00C921DE">
        <w:rPr>
          <w:rFonts w:ascii="GHEA Grapalat" w:hAnsi="GHEA Grapalat"/>
          <w:lang w:val="hy-AM"/>
        </w:rPr>
        <w:t>% կատարողական)</w:t>
      </w:r>
      <w:r w:rsidR="002500ED" w:rsidRPr="00C921DE">
        <w:rPr>
          <w:rFonts w:ascii="GHEA Grapalat" w:hAnsi="GHEA Grapalat"/>
          <w:lang w:val="hy-AM"/>
        </w:rPr>
        <w:t>:</w:t>
      </w:r>
    </w:p>
    <w:p w14:paraId="676276E4" w14:textId="77777777" w:rsidR="001C411D" w:rsidRPr="00C921DE" w:rsidRDefault="001C411D" w:rsidP="00757DFD">
      <w:pPr>
        <w:pStyle w:val="ListParagraph"/>
        <w:autoSpaceDE w:val="0"/>
        <w:autoSpaceDN w:val="0"/>
        <w:adjustRightInd w:val="0"/>
        <w:spacing w:after="0" w:line="336" w:lineRule="auto"/>
        <w:ind w:left="284"/>
        <w:contextualSpacing w:val="0"/>
        <w:jc w:val="both"/>
        <w:rPr>
          <w:rFonts w:ascii="GHEA Grapalat" w:hAnsi="GHEA Grapalat" w:cs="GHEA Grapalat"/>
          <w:lang w:val="hy-AM"/>
        </w:rPr>
      </w:pPr>
    </w:p>
    <w:p w14:paraId="477805E2" w14:textId="77777777" w:rsidR="001C411D" w:rsidRPr="00C921DE" w:rsidRDefault="001C411D" w:rsidP="00AA5F3D">
      <w:pPr>
        <w:spacing w:line="360" w:lineRule="auto"/>
        <w:rPr>
          <w:rFonts w:ascii="GHEA Grapalat" w:hAnsi="GHEA Grapalat"/>
          <w:b/>
          <w:sz w:val="22"/>
          <w:szCs w:val="22"/>
        </w:rPr>
      </w:pPr>
      <w:r w:rsidRPr="00C921DE">
        <w:rPr>
          <w:rFonts w:ascii="GHEA Grapalat" w:hAnsi="GHEA Grapalat"/>
          <w:b/>
          <w:sz w:val="22"/>
          <w:szCs w:val="22"/>
        </w:rPr>
        <w:t>ՀՀ ՊԵՏԱԿԱՆ ՊԱՐՏՔԸ</w:t>
      </w:r>
    </w:p>
    <w:p w14:paraId="22C78DB7" w14:textId="52515471" w:rsidR="006663D0" w:rsidRPr="00C921DE" w:rsidRDefault="006663D0" w:rsidP="0075023C">
      <w:pPr>
        <w:pStyle w:val="ListParagraph"/>
        <w:numPr>
          <w:ilvl w:val="0"/>
          <w:numId w:val="36"/>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2023 թվականի դեկտեմբերի 31-ի դրությամբ ՀՀ պետական պարտքը կազմել է 4,794.9 մլրդ</w:t>
      </w:r>
      <w:r w:rsidR="00446B94" w:rsidRPr="00C921DE">
        <w:rPr>
          <w:rFonts w:ascii="GHEA Grapalat" w:hAnsi="GHEA Grapalat"/>
          <w:lang w:val="hy-AM"/>
        </w:rPr>
        <w:t xml:space="preserve"> դրամ (11,845.</w:t>
      </w:r>
      <w:r w:rsidR="000C2D75" w:rsidRPr="00C921DE">
        <w:rPr>
          <w:rFonts w:ascii="GHEA Grapalat" w:hAnsi="GHEA Grapalat"/>
          <w:lang w:val="en-US"/>
        </w:rPr>
        <w:t>4</w:t>
      </w:r>
      <w:r w:rsidR="00446B94" w:rsidRPr="00C921DE">
        <w:rPr>
          <w:rFonts w:ascii="GHEA Grapalat" w:hAnsi="GHEA Grapalat"/>
          <w:lang w:val="hy-AM"/>
        </w:rPr>
        <w:t xml:space="preserve"> մլն ԱՄՆ դոլար), որից </w:t>
      </w:r>
      <w:r w:rsidRPr="00C921DE">
        <w:rPr>
          <w:rFonts w:ascii="GHEA Grapalat" w:hAnsi="GHEA Grapalat"/>
          <w:lang w:val="hy-AM"/>
        </w:rPr>
        <w:t>2,631.7 մլրդ դրամը (6,501.5 մլն ԱՄՆ դոլարը) կազմել է արտաքին պարտքը, 2,163.2 մլրդ դրամը (5,343.9 մլն ԱՄՆ դոլարը)՝ ներքին պարտքը:</w:t>
      </w:r>
      <w:r w:rsidR="00446B94" w:rsidRPr="00C921DE">
        <w:rPr>
          <w:rFonts w:ascii="GHEA Grapalat" w:hAnsi="GHEA Grapalat"/>
          <w:lang w:val="hy-AM"/>
        </w:rPr>
        <w:t xml:space="preserve"> </w:t>
      </w:r>
      <w:r w:rsidR="0075023C" w:rsidRPr="00C921DE">
        <w:rPr>
          <w:rFonts w:ascii="GHEA Grapalat" w:hAnsi="GHEA Grapalat"/>
          <w:lang w:val="hy-AM"/>
        </w:rPr>
        <w:t>2023 թվականի դեկտեմբերի 31-ի դրությամբ ՀՀ պետական պարտքը նախորդ տարվա համեմատ դրամային արտահայտությամբ աճել է 608.2 մլրդ դրամով</w:t>
      </w:r>
      <w:r w:rsidR="005948D4" w:rsidRPr="00C921DE">
        <w:rPr>
          <w:rFonts w:ascii="GHEA Grapalat" w:hAnsi="GHEA Grapalat"/>
          <w:lang w:val="hy-AM"/>
        </w:rPr>
        <w:t xml:space="preserve"> կամ 14.5%-ով</w:t>
      </w:r>
      <w:r w:rsidR="0075023C" w:rsidRPr="00C921DE">
        <w:rPr>
          <w:rFonts w:ascii="GHEA Grapalat" w:hAnsi="GHEA Grapalat"/>
          <w:lang w:val="hy-AM"/>
        </w:rPr>
        <w:t>, իսկ դոլարային արտահայտությամբ՝ 1,207.</w:t>
      </w:r>
      <w:r w:rsidR="00354788" w:rsidRPr="00C921DE">
        <w:rPr>
          <w:rFonts w:ascii="GHEA Grapalat" w:hAnsi="GHEA Grapalat"/>
          <w:lang w:val="en-US"/>
        </w:rPr>
        <w:t>7</w:t>
      </w:r>
      <w:r w:rsidR="0075023C" w:rsidRPr="00C921DE">
        <w:rPr>
          <w:rFonts w:ascii="GHEA Grapalat" w:hAnsi="GHEA Grapalat"/>
          <w:lang w:val="hy-AM"/>
        </w:rPr>
        <w:t xml:space="preserve"> մլն ԱՄՆ դոլարով</w:t>
      </w:r>
      <w:r w:rsidR="005948D4" w:rsidRPr="00C921DE">
        <w:rPr>
          <w:rFonts w:ascii="GHEA Grapalat" w:hAnsi="GHEA Grapalat"/>
          <w:lang w:val="hy-AM"/>
        </w:rPr>
        <w:t xml:space="preserve"> կամ 11.4%-ով</w:t>
      </w:r>
      <w:r w:rsidR="0075023C" w:rsidRPr="00C921DE">
        <w:rPr>
          <w:rFonts w:ascii="GHEA Grapalat" w:hAnsi="GHEA Grapalat"/>
          <w:lang w:val="hy-AM"/>
        </w:rPr>
        <w:t>: Եվ՛ դրամային, և՛ դոլարային արտահայտությամբ ՀՀ պետական պարտքի աճը հիմնականում պայմանավորված է ՀՀ կառավարության պարտքի աճով:</w:t>
      </w:r>
    </w:p>
    <w:p w14:paraId="62868F02" w14:textId="5FD66416" w:rsidR="001C411D" w:rsidRPr="00C921DE" w:rsidRDefault="002500ED" w:rsidP="0075023C">
      <w:pPr>
        <w:pStyle w:val="ListParagraph"/>
        <w:numPr>
          <w:ilvl w:val="0"/>
          <w:numId w:val="36"/>
        </w:numPr>
        <w:autoSpaceDE w:val="0"/>
        <w:autoSpaceDN w:val="0"/>
        <w:adjustRightInd w:val="0"/>
        <w:spacing w:after="0" w:line="336" w:lineRule="auto"/>
        <w:ind w:left="426" w:hanging="284"/>
        <w:contextualSpacing w:val="0"/>
        <w:jc w:val="both"/>
        <w:rPr>
          <w:rFonts w:ascii="GHEA Grapalat" w:hAnsi="GHEA Grapalat"/>
          <w:lang w:val="hy-AM"/>
        </w:rPr>
      </w:pPr>
      <w:r w:rsidRPr="00C921DE">
        <w:rPr>
          <w:rFonts w:ascii="GHEA Grapalat" w:hAnsi="GHEA Grapalat"/>
          <w:lang w:val="hy-AM"/>
        </w:rPr>
        <w:t>ՀՀ կառավարության պարտքը 202</w:t>
      </w:r>
      <w:r w:rsidR="00947AB2" w:rsidRPr="00C921DE">
        <w:rPr>
          <w:rFonts w:ascii="GHEA Grapalat" w:hAnsi="GHEA Grapalat"/>
          <w:lang w:val="hy-AM"/>
        </w:rPr>
        <w:t>3</w:t>
      </w:r>
      <w:r w:rsidRPr="00C921DE">
        <w:rPr>
          <w:rFonts w:ascii="GHEA Grapalat" w:hAnsi="GHEA Grapalat"/>
          <w:lang w:val="hy-AM"/>
        </w:rPr>
        <w:t xml:space="preserve"> թվականի դեկտեմբերի 31-ի դրությամբ կազմել է </w:t>
      </w:r>
      <w:r w:rsidR="00947AB2" w:rsidRPr="00C921DE">
        <w:rPr>
          <w:rFonts w:ascii="GHEA Grapalat" w:hAnsi="GHEA Grapalat"/>
          <w:lang w:val="hy-AM"/>
        </w:rPr>
        <w:t>4,571.9</w:t>
      </w:r>
      <w:r w:rsidRPr="00C921DE">
        <w:rPr>
          <w:lang w:val="hy-AM"/>
        </w:rPr>
        <w:t> </w:t>
      </w:r>
      <w:r w:rsidRPr="00C921DE">
        <w:rPr>
          <w:rFonts w:ascii="GHEA Grapalat" w:hAnsi="GHEA Grapalat"/>
          <w:lang w:val="hy-AM"/>
        </w:rPr>
        <w:t>մլրդ դրամ (</w:t>
      </w:r>
      <w:r w:rsidR="00947AB2" w:rsidRPr="00C921DE">
        <w:rPr>
          <w:rFonts w:ascii="GHEA Grapalat" w:hAnsi="GHEA Grapalat"/>
          <w:lang w:val="hy-AM"/>
        </w:rPr>
        <w:t>11</w:t>
      </w:r>
      <w:r w:rsidRPr="00C921DE">
        <w:rPr>
          <w:rFonts w:ascii="GHEA Grapalat" w:hAnsi="GHEA Grapalat"/>
          <w:lang w:val="hy-AM"/>
        </w:rPr>
        <w:t>,</w:t>
      </w:r>
      <w:r w:rsidR="00947AB2" w:rsidRPr="00C921DE">
        <w:rPr>
          <w:rFonts w:ascii="GHEA Grapalat" w:hAnsi="GHEA Grapalat"/>
          <w:lang w:val="hy-AM"/>
        </w:rPr>
        <w:t>294.6</w:t>
      </w:r>
      <w:r w:rsidRPr="00C921DE">
        <w:rPr>
          <w:rFonts w:ascii="GHEA Grapalat" w:hAnsi="GHEA Grapalat"/>
          <w:lang w:val="hy-AM"/>
        </w:rPr>
        <w:t xml:space="preserve"> մլն ԱՄՆ դոլար), որից արտաքին պարտքը՝ 2,</w:t>
      </w:r>
      <w:r w:rsidR="00947AB2" w:rsidRPr="00C921DE">
        <w:rPr>
          <w:rFonts w:ascii="GHEA Grapalat" w:hAnsi="GHEA Grapalat"/>
          <w:lang w:val="hy-AM"/>
        </w:rPr>
        <w:t>408.8</w:t>
      </w:r>
      <w:r w:rsidRPr="00C921DE">
        <w:rPr>
          <w:rFonts w:ascii="GHEA Grapalat" w:hAnsi="GHEA Grapalat"/>
          <w:lang w:val="hy-AM"/>
        </w:rPr>
        <w:t xml:space="preserve"> մլրդ դրամ (5,</w:t>
      </w:r>
      <w:r w:rsidR="00947AB2" w:rsidRPr="00C921DE">
        <w:rPr>
          <w:rFonts w:ascii="GHEA Grapalat" w:hAnsi="GHEA Grapalat"/>
          <w:lang w:val="hy-AM"/>
        </w:rPr>
        <w:t>950.7</w:t>
      </w:r>
      <w:r w:rsidRPr="00C921DE">
        <w:rPr>
          <w:rFonts w:ascii="GHEA Grapalat" w:hAnsi="GHEA Grapalat"/>
          <w:lang w:val="hy-AM"/>
        </w:rPr>
        <w:t xml:space="preserve"> մլն ԱՄՆ դոլար), իսկ ներքին պարտքը՝ </w:t>
      </w:r>
      <w:r w:rsidR="00947AB2" w:rsidRPr="00C921DE">
        <w:rPr>
          <w:rFonts w:ascii="GHEA Grapalat" w:hAnsi="GHEA Grapalat"/>
          <w:lang w:val="hy-AM"/>
        </w:rPr>
        <w:t>2,163.2</w:t>
      </w:r>
      <w:r w:rsidRPr="00C921DE">
        <w:rPr>
          <w:rFonts w:ascii="GHEA Grapalat" w:hAnsi="GHEA Grapalat"/>
          <w:lang w:val="hy-AM"/>
        </w:rPr>
        <w:t xml:space="preserve"> մլրդ դրամ (</w:t>
      </w:r>
      <w:r w:rsidR="00947AB2" w:rsidRPr="00C921DE">
        <w:rPr>
          <w:rFonts w:ascii="GHEA Grapalat" w:hAnsi="GHEA Grapalat"/>
          <w:lang w:val="hy-AM"/>
        </w:rPr>
        <w:t>5,343.9</w:t>
      </w:r>
      <w:r w:rsidRPr="00C921DE">
        <w:rPr>
          <w:rFonts w:ascii="GHEA Grapalat" w:hAnsi="GHEA Grapalat"/>
          <w:lang w:val="hy-AM"/>
        </w:rPr>
        <w:t xml:space="preserve"> մլն ԱՄՆ դոլար): Նախորդ տարեվերջի համեմատ Կառավարության պարտքը՝ արտահայտված դրամով և ԱՄՆ դոլարով, համապատասխանաբար </w:t>
      </w:r>
      <w:r w:rsidR="0090709A" w:rsidRPr="00C921DE">
        <w:rPr>
          <w:rFonts w:ascii="GHEA Grapalat" w:hAnsi="GHEA Grapalat"/>
          <w:lang w:val="hy-AM"/>
        </w:rPr>
        <w:t>աճ</w:t>
      </w:r>
      <w:r w:rsidRPr="00C921DE">
        <w:rPr>
          <w:rFonts w:ascii="GHEA Grapalat" w:hAnsi="GHEA Grapalat"/>
          <w:lang w:val="hy-AM"/>
        </w:rPr>
        <w:t xml:space="preserve">ել է </w:t>
      </w:r>
      <w:r w:rsidR="005948D4" w:rsidRPr="00C921DE">
        <w:rPr>
          <w:rFonts w:ascii="GHEA Grapalat" w:hAnsi="GHEA Grapalat"/>
          <w:lang w:val="hy-AM"/>
        </w:rPr>
        <w:t>15.2%-ով</w:t>
      </w:r>
      <w:r w:rsidR="00B6583A" w:rsidRPr="00C921DE">
        <w:rPr>
          <w:rFonts w:ascii="GHEA Grapalat" w:hAnsi="GHEA Grapalat"/>
          <w:lang w:val="hy-AM"/>
        </w:rPr>
        <w:t xml:space="preserve"> (602.3 մլրդ դրամով)</w:t>
      </w:r>
      <w:r w:rsidR="005948D4" w:rsidRPr="00C921DE">
        <w:rPr>
          <w:rFonts w:ascii="GHEA Grapalat" w:hAnsi="GHEA Grapalat"/>
          <w:lang w:val="hy-AM"/>
        </w:rPr>
        <w:t xml:space="preserve"> և 12.0%-ով</w:t>
      </w:r>
      <w:r w:rsidR="00B6583A" w:rsidRPr="00C921DE">
        <w:rPr>
          <w:rFonts w:ascii="GHEA Grapalat" w:hAnsi="GHEA Grapalat"/>
          <w:lang w:val="hy-AM"/>
        </w:rPr>
        <w:t xml:space="preserve"> (1,208.3 մլն ԱՄՆ</w:t>
      </w:r>
      <w:r w:rsidR="00B6583A" w:rsidRPr="00C921DE">
        <w:rPr>
          <w:rFonts w:ascii="GHEA Grapalat" w:hAnsi="GHEA Grapalat"/>
          <w:lang w:val="en-US"/>
        </w:rPr>
        <w:t xml:space="preserve"> դոլարով)</w:t>
      </w:r>
      <w:r w:rsidRPr="00C921DE">
        <w:rPr>
          <w:rFonts w:ascii="GHEA Grapalat" w:hAnsi="GHEA Grapalat"/>
          <w:lang w:val="hy-AM"/>
        </w:rPr>
        <w:t>:</w:t>
      </w:r>
    </w:p>
    <w:p w14:paraId="5F292CBF" w14:textId="77777777" w:rsidR="001C411D" w:rsidRPr="00C921DE" w:rsidRDefault="001C411D" w:rsidP="0040365A">
      <w:pPr>
        <w:autoSpaceDE w:val="0"/>
        <w:autoSpaceDN w:val="0"/>
        <w:adjustRightInd w:val="0"/>
        <w:spacing w:line="336" w:lineRule="auto"/>
        <w:jc w:val="both"/>
        <w:rPr>
          <w:rFonts w:ascii="GHEA Grapalat" w:hAnsi="GHEA Grapalat"/>
          <w:b/>
          <w:sz w:val="22"/>
          <w:szCs w:val="22"/>
          <w:lang w:val="en-US" w:eastAsia="ru-RU"/>
        </w:rPr>
      </w:pPr>
    </w:p>
    <w:p w14:paraId="49A6803D" w14:textId="474123A7" w:rsidR="001C411D" w:rsidRPr="00C921DE" w:rsidRDefault="001C411D" w:rsidP="0040365A">
      <w:pPr>
        <w:autoSpaceDE w:val="0"/>
        <w:autoSpaceDN w:val="0"/>
        <w:adjustRightInd w:val="0"/>
        <w:spacing w:line="336" w:lineRule="auto"/>
        <w:jc w:val="both"/>
        <w:rPr>
          <w:rFonts w:ascii="GHEA Grapalat" w:hAnsi="GHEA Grapalat"/>
          <w:sz w:val="22"/>
          <w:szCs w:val="22"/>
          <w:lang w:val="en-US"/>
        </w:rPr>
      </w:pPr>
      <w:r w:rsidRPr="00C921DE">
        <w:rPr>
          <w:rFonts w:ascii="GHEA Grapalat" w:hAnsi="GHEA Grapalat"/>
          <w:b/>
          <w:sz w:val="22"/>
          <w:szCs w:val="22"/>
          <w:lang w:eastAsia="ru-RU"/>
        </w:rPr>
        <w:t>Աղյուսակ</w:t>
      </w:r>
      <w:r w:rsidRPr="00C921DE">
        <w:rPr>
          <w:rFonts w:ascii="GHEA Grapalat" w:hAnsi="GHEA Grapalat"/>
          <w:b/>
          <w:sz w:val="22"/>
          <w:szCs w:val="22"/>
          <w:lang w:val="en-US" w:eastAsia="ru-RU"/>
        </w:rPr>
        <w:t xml:space="preserve"> 1</w:t>
      </w:r>
      <w:r w:rsidRPr="00C921DE">
        <w:rPr>
          <w:rFonts w:ascii="GHEA Grapalat" w:hAnsi="GHEA Grapalat"/>
          <w:b/>
          <w:sz w:val="22"/>
          <w:szCs w:val="22"/>
          <w:lang w:eastAsia="ru-RU"/>
        </w:rPr>
        <w:t xml:space="preserve">. </w:t>
      </w:r>
      <w:r w:rsidRPr="00C921DE">
        <w:rPr>
          <w:rFonts w:ascii="GHEA Grapalat" w:hAnsi="GHEA Grapalat"/>
          <w:sz w:val="22"/>
          <w:szCs w:val="22"/>
          <w:lang w:eastAsia="ru-RU"/>
        </w:rPr>
        <w:t>Մակրոտնտեսական և հարկաբյուջետային հիմնական ցուցանիշների միտումները 201</w:t>
      </w:r>
      <w:r w:rsidR="00AC5F11" w:rsidRPr="00C921DE">
        <w:rPr>
          <w:rFonts w:ascii="GHEA Grapalat" w:hAnsi="GHEA Grapalat"/>
          <w:sz w:val="22"/>
          <w:szCs w:val="22"/>
          <w:lang w:val="en-US" w:eastAsia="ru-RU"/>
        </w:rPr>
        <w:t>9</w:t>
      </w:r>
      <w:r w:rsidR="00AC5F11" w:rsidRPr="00C921DE">
        <w:rPr>
          <w:rFonts w:ascii="GHEA Grapalat" w:hAnsi="GHEA Grapalat"/>
          <w:sz w:val="22"/>
          <w:szCs w:val="22"/>
          <w:lang w:eastAsia="ru-RU"/>
        </w:rPr>
        <w:t>-2023</w:t>
      </w:r>
      <w:r w:rsidRPr="00C921DE">
        <w:rPr>
          <w:rFonts w:ascii="GHEA Grapalat" w:hAnsi="GHEA Grapalat"/>
          <w:sz w:val="22"/>
          <w:szCs w:val="22"/>
          <w:lang w:eastAsia="ru-RU"/>
        </w:rPr>
        <w:t xml:space="preserve"> թվականներին</w:t>
      </w:r>
      <w:r w:rsidRPr="00C921DE">
        <w:rPr>
          <w:rStyle w:val="FootnoteReference"/>
          <w:rFonts w:ascii="GHEA Grapalat" w:hAnsi="GHEA Grapalat"/>
          <w:sz w:val="22"/>
          <w:szCs w:val="22"/>
          <w:lang w:eastAsia="ru-RU"/>
        </w:rPr>
        <w:footnoteReference w:id="2"/>
      </w:r>
    </w:p>
    <w:tbl>
      <w:tblPr>
        <w:tblW w:w="10081"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3235"/>
        <w:gridCol w:w="9"/>
        <w:gridCol w:w="981"/>
        <w:gridCol w:w="31"/>
        <w:gridCol w:w="1104"/>
        <w:gridCol w:w="35"/>
        <w:gridCol w:w="957"/>
        <w:gridCol w:w="33"/>
        <w:gridCol w:w="990"/>
        <w:gridCol w:w="9"/>
        <w:gridCol w:w="1307"/>
        <w:gridCol w:w="34"/>
        <w:gridCol w:w="1349"/>
        <w:gridCol w:w="7"/>
      </w:tblGrid>
      <w:tr w:rsidR="00AC5F11" w:rsidRPr="00C921DE" w14:paraId="6571E8A4" w14:textId="77777777" w:rsidTr="00AC5F11">
        <w:trPr>
          <w:trHeight w:val="138"/>
          <w:jc w:val="center"/>
        </w:trPr>
        <w:tc>
          <w:tcPr>
            <w:tcW w:w="3244" w:type="dxa"/>
            <w:gridSpan w:val="2"/>
            <w:tcBorders>
              <w:right w:val="single" w:sz="4" w:space="0" w:color="FFFFFF"/>
            </w:tcBorders>
            <w:shd w:val="clear" w:color="auto" w:fill="4F81BD"/>
            <w:vAlign w:val="center"/>
          </w:tcPr>
          <w:p w14:paraId="2DE0B35A" w14:textId="77777777" w:rsidR="00AC5F11" w:rsidRPr="00C921DE" w:rsidRDefault="00AC5F11" w:rsidP="00AC5F11">
            <w:pPr>
              <w:autoSpaceDE w:val="0"/>
              <w:autoSpaceDN w:val="0"/>
              <w:adjustRightInd w:val="0"/>
              <w:jc w:val="center"/>
              <w:rPr>
                <w:rFonts w:ascii="GHEA Grapalat" w:eastAsia="Calibri" w:hAnsi="GHEA Grapalat" w:cs="Arial"/>
                <w:noProof w:val="0"/>
                <w:color w:val="FFFFFF"/>
                <w:sz w:val="18"/>
                <w:szCs w:val="18"/>
              </w:rPr>
            </w:pPr>
          </w:p>
        </w:tc>
        <w:tc>
          <w:tcPr>
            <w:tcW w:w="1012" w:type="dxa"/>
            <w:gridSpan w:val="2"/>
            <w:tcBorders>
              <w:left w:val="single" w:sz="4" w:space="0" w:color="FFFFFF"/>
              <w:right w:val="single" w:sz="4" w:space="0" w:color="FFFFFF"/>
            </w:tcBorders>
            <w:shd w:val="clear" w:color="auto" w:fill="4F81BD"/>
            <w:vAlign w:val="center"/>
          </w:tcPr>
          <w:p w14:paraId="204D5E83" w14:textId="77777777" w:rsidR="00AC5F11" w:rsidRPr="00C921DE" w:rsidRDefault="00AC5F11" w:rsidP="00AC5F11">
            <w:pPr>
              <w:autoSpaceDE w:val="0"/>
              <w:autoSpaceDN w:val="0"/>
              <w:adjustRightInd w:val="0"/>
              <w:jc w:val="center"/>
              <w:rPr>
                <w:rFonts w:ascii="GHEA Grapalat" w:eastAsia="Calibri" w:hAnsi="GHEA Grapalat" w:cs="Arial"/>
                <w:b/>
                <w:bCs/>
                <w:noProof w:val="0"/>
                <w:color w:val="FFFFFF"/>
                <w:sz w:val="18"/>
                <w:szCs w:val="18"/>
              </w:rPr>
            </w:pPr>
            <w:r w:rsidRPr="00C921DE">
              <w:rPr>
                <w:rFonts w:ascii="GHEA Grapalat" w:eastAsia="Calibri" w:hAnsi="GHEA Grapalat" w:cs="Arial"/>
                <w:b/>
                <w:bCs/>
                <w:noProof w:val="0"/>
                <w:color w:val="FFFFFF"/>
                <w:sz w:val="18"/>
                <w:szCs w:val="18"/>
              </w:rPr>
              <w:t>2019թ.</w:t>
            </w:r>
          </w:p>
        </w:tc>
        <w:tc>
          <w:tcPr>
            <w:tcW w:w="1104" w:type="dxa"/>
            <w:tcBorders>
              <w:left w:val="single" w:sz="4" w:space="0" w:color="FFFFFF"/>
              <w:right w:val="single" w:sz="4" w:space="0" w:color="FFFFFF"/>
            </w:tcBorders>
            <w:shd w:val="clear" w:color="auto" w:fill="4F81BD"/>
            <w:vAlign w:val="center"/>
          </w:tcPr>
          <w:p w14:paraId="532F80C2" w14:textId="77777777" w:rsidR="00AC5F11" w:rsidRPr="00C921DE" w:rsidRDefault="00AC5F11" w:rsidP="00AC5F11">
            <w:pPr>
              <w:autoSpaceDE w:val="0"/>
              <w:autoSpaceDN w:val="0"/>
              <w:adjustRightInd w:val="0"/>
              <w:jc w:val="center"/>
              <w:rPr>
                <w:rFonts w:ascii="GHEA Grapalat" w:eastAsia="Calibri" w:hAnsi="GHEA Grapalat" w:cs="Arial"/>
                <w:b/>
                <w:bCs/>
                <w:noProof w:val="0"/>
                <w:color w:val="FFFFFF"/>
                <w:sz w:val="18"/>
                <w:szCs w:val="18"/>
              </w:rPr>
            </w:pPr>
            <w:r w:rsidRPr="00C921DE">
              <w:rPr>
                <w:rFonts w:ascii="GHEA Grapalat" w:eastAsia="Calibri" w:hAnsi="GHEA Grapalat" w:cs="Arial"/>
                <w:b/>
                <w:bCs/>
                <w:noProof w:val="0"/>
                <w:color w:val="FFFFFF"/>
                <w:sz w:val="18"/>
                <w:szCs w:val="18"/>
              </w:rPr>
              <w:t>2020</w:t>
            </w:r>
            <w:r w:rsidRPr="00C921DE">
              <w:rPr>
                <w:rFonts w:ascii="GHEA Grapalat" w:eastAsia="Calibri" w:hAnsi="GHEA Grapalat"/>
                <w:b/>
                <w:bCs/>
                <w:noProof w:val="0"/>
                <w:color w:val="FFFFFF"/>
                <w:sz w:val="18"/>
                <w:szCs w:val="18"/>
              </w:rPr>
              <w:t>թ</w:t>
            </w:r>
            <w:r w:rsidRPr="00C921DE">
              <w:rPr>
                <w:rFonts w:ascii="GHEA Grapalat" w:eastAsia="Calibri" w:hAnsi="GHEA Grapalat" w:cs="Arial"/>
                <w:b/>
                <w:bCs/>
                <w:noProof w:val="0"/>
                <w:color w:val="FFFFFF"/>
                <w:sz w:val="18"/>
                <w:szCs w:val="18"/>
              </w:rPr>
              <w:t>.</w:t>
            </w:r>
          </w:p>
        </w:tc>
        <w:tc>
          <w:tcPr>
            <w:tcW w:w="992" w:type="dxa"/>
            <w:gridSpan w:val="2"/>
            <w:tcBorders>
              <w:left w:val="single" w:sz="4" w:space="0" w:color="FFFFFF"/>
              <w:right w:val="single" w:sz="4" w:space="0" w:color="FFFFFF"/>
            </w:tcBorders>
            <w:shd w:val="clear" w:color="auto" w:fill="4F81BD"/>
            <w:vAlign w:val="center"/>
          </w:tcPr>
          <w:p w14:paraId="606B8304" w14:textId="77777777" w:rsidR="00AC5F11" w:rsidRPr="00C921DE" w:rsidRDefault="00AC5F11" w:rsidP="00AC5F11">
            <w:pPr>
              <w:autoSpaceDE w:val="0"/>
              <w:autoSpaceDN w:val="0"/>
              <w:adjustRightInd w:val="0"/>
              <w:jc w:val="center"/>
              <w:rPr>
                <w:rFonts w:ascii="GHEA Grapalat" w:eastAsia="Calibri" w:hAnsi="GHEA Grapalat" w:cs="Arial"/>
                <w:b/>
                <w:bCs/>
                <w:noProof w:val="0"/>
                <w:color w:val="FFFFFF"/>
                <w:sz w:val="18"/>
                <w:szCs w:val="18"/>
              </w:rPr>
            </w:pPr>
            <w:r w:rsidRPr="00C921DE">
              <w:rPr>
                <w:rFonts w:ascii="GHEA Grapalat" w:eastAsia="Calibri" w:hAnsi="GHEA Grapalat" w:cs="Arial"/>
                <w:b/>
                <w:bCs/>
                <w:noProof w:val="0"/>
                <w:color w:val="FFFFFF"/>
                <w:sz w:val="18"/>
                <w:szCs w:val="18"/>
              </w:rPr>
              <w:t>2021</w:t>
            </w:r>
            <w:r w:rsidRPr="00C921DE">
              <w:rPr>
                <w:rFonts w:ascii="GHEA Grapalat" w:eastAsia="Calibri" w:hAnsi="GHEA Grapalat"/>
                <w:b/>
                <w:bCs/>
                <w:noProof w:val="0"/>
                <w:color w:val="FFFFFF"/>
                <w:sz w:val="18"/>
                <w:szCs w:val="18"/>
              </w:rPr>
              <w:t>թ</w:t>
            </w:r>
            <w:r w:rsidRPr="00C921DE">
              <w:rPr>
                <w:rFonts w:ascii="GHEA Grapalat" w:eastAsia="Calibri" w:hAnsi="GHEA Grapalat" w:cs="Arial"/>
                <w:b/>
                <w:bCs/>
                <w:noProof w:val="0"/>
                <w:color w:val="FFFFFF"/>
                <w:sz w:val="18"/>
                <w:szCs w:val="18"/>
              </w:rPr>
              <w:t>.</w:t>
            </w:r>
          </w:p>
        </w:tc>
        <w:tc>
          <w:tcPr>
            <w:tcW w:w="1032" w:type="dxa"/>
            <w:gridSpan w:val="3"/>
            <w:tcBorders>
              <w:left w:val="single" w:sz="4" w:space="0" w:color="FFFFFF"/>
              <w:right w:val="single" w:sz="4" w:space="0" w:color="FFFFFF"/>
            </w:tcBorders>
            <w:shd w:val="clear" w:color="auto" w:fill="4F81BD"/>
            <w:vAlign w:val="center"/>
          </w:tcPr>
          <w:p w14:paraId="178E29EA" w14:textId="77777777" w:rsidR="00AC5F11" w:rsidRPr="00C921DE" w:rsidRDefault="00AC5F11" w:rsidP="00AC5F11">
            <w:pPr>
              <w:autoSpaceDE w:val="0"/>
              <w:autoSpaceDN w:val="0"/>
              <w:adjustRightInd w:val="0"/>
              <w:jc w:val="center"/>
              <w:rPr>
                <w:rFonts w:ascii="GHEA Grapalat" w:eastAsia="Calibri" w:hAnsi="GHEA Grapalat" w:cs="Arial"/>
                <w:b/>
                <w:bCs/>
                <w:noProof w:val="0"/>
                <w:color w:val="FFFFFF"/>
                <w:sz w:val="18"/>
                <w:szCs w:val="18"/>
              </w:rPr>
            </w:pPr>
            <w:r w:rsidRPr="00C921DE">
              <w:rPr>
                <w:rFonts w:ascii="GHEA Grapalat" w:eastAsia="Calibri" w:hAnsi="GHEA Grapalat" w:cs="Arial"/>
                <w:b/>
                <w:bCs/>
                <w:noProof w:val="0"/>
                <w:color w:val="FFFFFF"/>
                <w:sz w:val="18"/>
                <w:szCs w:val="18"/>
              </w:rPr>
              <w:t>2022թ.</w:t>
            </w:r>
          </w:p>
        </w:tc>
        <w:tc>
          <w:tcPr>
            <w:tcW w:w="1307" w:type="dxa"/>
            <w:tcBorders>
              <w:left w:val="single" w:sz="4" w:space="0" w:color="FFFFFF"/>
              <w:right w:val="single" w:sz="4" w:space="0" w:color="FFFFFF"/>
            </w:tcBorders>
            <w:shd w:val="clear" w:color="auto" w:fill="4F81BD"/>
          </w:tcPr>
          <w:p w14:paraId="43EABA58" w14:textId="283C325E" w:rsidR="00AC5F11" w:rsidRPr="00C921DE" w:rsidRDefault="00013DFA" w:rsidP="00E0279E">
            <w:pPr>
              <w:autoSpaceDE w:val="0"/>
              <w:autoSpaceDN w:val="0"/>
              <w:adjustRightInd w:val="0"/>
              <w:jc w:val="center"/>
              <w:rPr>
                <w:rFonts w:ascii="GHEA Grapalat" w:eastAsia="Calibri" w:hAnsi="GHEA Grapalat" w:cs="Arial"/>
                <w:b/>
                <w:bCs/>
                <w:noProof w:val="0"/>
                <w:color w:val="FFFFFF"/>
                <w:sz w:val="18"/>
                <w:szCs w:val="18"/>
              </w:rPr>
            </w:pPr>
            <w:r w:rsidRPr="00C921DE">
              <w:rPr>
                <w:rFonts w:ascii="GHEA Grapalat" w:eastAsia="Calibri" w:hAnsi="GHEA Grapalat" w:cs="Arial"/>
                <w:b/>
                <w:bCs/>
                <w:noProof w:val="0"/>
                <w:color w:val="FFFFFF"/>
                <w:sz w:val="18"/>
                <w:szCs w:val="18"/>
              </w:rPr>
              <w:t>2023թ. պետական բյուջե</w:t>
            </w:r>
            <w:r w:rsidR="00E0279E" w:rsidRPr="00C921DE">
              <w:rPr>
                <w:rFonts w:ascii="GHEA Grapalat" w:eastAsia="Calibri" w:hAnsi="GHEA Grapalat" w:cs="Arial"/>
                <w:b/>
                <w:bCs/>
                <w:noProof w:val="0"/>
                <w:color w:val="FFFFFF"/>
                <w:sz w:val="18"/>
                <w:szCs w:val="18"/>
                <w:lang w:val="en-US"/>
              </w:rPr>
              <w:t>,</w:t>
            </w:r>
            <w:r w:rsidRPr="00C921DE">
              <w:rPr>
                <w:rFonts w:ascii="GHEA Grapalat" w:eastAsia="Calibri" w:hAnsi="GHEA Grapalat" w:cs="Arial"/>
                <w:b/>
                <w:bCs/>
                <w:noProof w:val="0"/>
                <w:color w:val="FFFFFF"/>
                <w:sz w:val="18"/>
                <w:szCs w:val="18"/>
              </w:rPr>
              <w:t xml:space="preserve"> օրենք / ուղերձ</w:t>
            </w:r>
          </w:p>
        </w:tc>
        <w:tc>
          <w:tcPr>
            <w:tcW w:w="1390" w:type="dxa"/>
            <w:gridSpan w:val="3"/>
            <w:tcBorders>
              <w:left w:val="single" w:sz="4" w:space="0" w:color="FFFFFF"/>
              <w:right w:val="single" w:sz="4" w:space="0" w:color="FFFFFF"/>
            </w:tcBorders>
            <w:shd w:val="clear" w:color="auto" w:fill="4F81BD"/>
            <w:vAlign w:val="center"/>
          </w:tcPr>
          <w:p w14:paraId="1EFB8E9F" w14:textId="77777777" w:rsidR="00AC5F11" w:rsidRPr="00C921DE" w:rsidRDefault="00AC5F11" w:rsidP="00AC5F11">
            <w:pPr>
              <w:autoSpaceDE w:val="0"/>
              <w:autoSpaceDN w:val="0"/>
              <w:adjustRightInd w:val="0"/>
              <w:jc w:val="center"/>
              <w:rPr>
                <w:rFonts w:ascii="GHEA Grapalat" w:eastAsia="Calibri" w:hAnsi="GHEA Grapalat" w:cs="Arial"/>
                <w:b/>
                <w:bCs/>
                <w:noProof w:val="0"/>
                <w:color w:val="FFFFFF"/>
                <w:sz w:val="18"/>
                <w:szCs w:val="18"/>
              </w:rPr>
            </w:pPr>
            <w:r w:rsidRPr="00C921DE">
              <w:rPr>
                <w:rFonts w:ascii="GHEA Grapalat" w:eastAsia="Calibri" w:hAnsi="GHEA Grapalat" w:cs="Arial"/>
                <w:b/>
                <w:bCs/>
                <w:noProof w:val="0"/>
                <w:color w:val="FFFFFF"/>
                <w:sz w:val="18"/>
                <w:szCs w:val="18"/>
              </w:rPr>
              <w:t>2023</w:t>
            </w:r>
            <w:r w:rsidRPr="00C921DE">
              <w:rPr>
                <w:rFonts w:ascii="GHEA Grapalat" w:eastAsia="Calibri" w:hAnsi="GHEA Grapalat"/>
                <w:b/>
                <w:bCs/>
                <w:noProof w:val="0"/>
                <w:color w:val="FFFFFF"/>
                <w:sz w:val="18"/>
                <w:szCs w:val="18"/>
              </w:rPr>
              <w:t>թ</w:t>
            </w:r>
            <w:r w:rsidRPr="00C921DE">
              <w:rPr>
                <w:rFonts w:ascii="GHEA Grapalat" w:eastAsia="Calibri" w:hAnsi="GHEA Grapalat" w:cs="Arial"/>
                <w:b/>
                <w:bCs/>
                <w:noProof w:val="0"/>
                <w:color w:val="FFFFFF"/>
                <w:sz w:val="18"/>
                <w:szCs w:val="18"/>
              </w:rPr>
              <w:t>.</w:t>
            </w:r>
          </w:p>
          <w:p w14:paraId="339B3CA2" w14:textId="77777777" w:rsidR="00AC5F11" w:rsidRPr="00C921DE" w:rsidRDefault="00AC5F11" w:rsidP="00AC5F11">
            <w:pPr>
              <w:autoSpaceDE w:val="0"/>
              <w:autoSpaceDN w:val="0"/>
              <w:adjustRightInd w:val="0"/>
              <w:jc w:val="center"/>
              <w:rPr>
                <w:rFonts w:ascii="GHEA Grapalat" w:eastAsia="Calibri" w:hAnsi="GHEA Grapalat" w:cs="Arial"/>
                <w:b/>
                <w:noProof w:val="0"/>
                <w:color w:val="FFFFFF"/>
                <w:sz w:val="18"/>
                <w:szCs w:val="18"/>
              </w:rPr>
            </w:pPr>
            <w:r w:rsidRPr="00C921DE">
              <w:rPr>
                <w:rFonts w:ascii="GHEA Grapalat" w:eastAsia="Calibri" w:hAnsi="GHEA Grapalat"/>
                <w:b/>
                <w:bCs/>
                <w:noProof w:val="0"/>
                <w:color w:val="FFFFFF"/>
                <w:sz w:val="18"/>
                <w:szCs w:val="18"/>
              </w:rPr>
              <w:t>փաստ</w:t>
            </w:r>
          </w:p>
        </w:tc>
      </w:tr>
      <w:tr w:rsidR="00AC5F11" w:rsidRPr="00C921DE" w14:paraId="5B366A8A" w14:textId="77777777" w:rsidTr="00AC5F11">
        <w:trPr>
          <w:trHeight w:val="217"/>
          <w:jc w:val="center"/>
        </w:trPr>
        <w:tc>
          <w:tcPr>
            <w:tcW w:w="3244" w:type="dxa"/>
            <w:gridSpan w:val="2"/>
            <w:tcBorders>
              <w:top w:val="single" w:sz="4" w:space="0" w:color="548DD4"/>
            </w:tcBorders>
          </w:tcPr>
          <w:p w14:paraId="3556DF76" w14:textId="77777777" w:rsidR="00AC5F11" w:rsidRPr="00C921DE" w:rsidRDefault="00AC5F11" w:rsidP="00AC5F11">
            <w:pPr>
              <w:autoSpaceDE w:val="0"/>
              <w:autoSpaceDN w:val="0"/>
              <w:adjustRightInd w:val="0"/>
              <w:rPr>
                <w:rFonts w:ascii="GHEA Grapalat" w:eastAsia="Calibri" w:hAnsi="GHEA Grapalat"/>
                <w:b/>
                <w:noProof w:val="0"/>
                <w:color w:val="000000"/>
                <w:sz w:val="18"/>
                <w:szCs w:val="18"/>
              </w:rPr>
            </w:pPr>
            <w:r w:rsidRPr="00C921DE">
              <w:rPr>
                <w:rFonts w:ascii="GHEA Grapalat" w:eastAsia="Calibri" w:hAnsi="GHEA Grapalat"/>
                <w:b/>
                <w:noProof w:val="0"/>
                <w:color w:val="000000"/>
                <w:sz w:val="18"/>
                <w:szCs w:val="18"/>
              </w:rPr>
              <w:t>Անվանական ՀՆԱ, մլրդ դրամ</w:t>
            </w:r>
          </w:p>
        </w:tc>
        <w:tc>
          <w:tcPr>
            <w:tcW w:w="1012" w:type="dxa"/>
            <w:gridSpan w:val="2"/>
            <w:tcBorders>
              <w:top w:val="single" w:sz="4" w:space="0" w:color="548DD4"/>
            </w:tcBorders>
            <w:vAlign w:val="center"/>
          </w:tcPr>
          <w:p w14:paraId="60C782CA" w14:textId="6B88C83A"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6</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543.3</w:t>
            </w:r>
          </w:p>
        </w:tc>
        <w:tc>
          <w:tcPr>
            <w:tcW w:w="1104" w:type="dxa"/>
            <w:tcBorders>
              <w:top w:val="single" w:sz="4" w:space="0" w:color="548DD4"/>
            </w:tcBorders>
            <w:vAlign w:val="center"/>
          </w:tcPr>
          <w:p w14:paraId="60F15FD0" w14:textId="37E8A590"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6</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181.9</w:t>
            </w:r>
          </w:p>
        </w:tc>
        <w:tc>
          <w:tcPr>
            <w:tcW w:w="992" w:type="dxa"/>
            <w:gridSpan w:val="2"/>
            <w:tcBorders>
              <w:top w:val="single" w:sz="4" w:space="0" w:color="548DD4"/>
            </w:tcBorders>
            <w:vAlign w:val="center"/>
          </w:tcPr>
          <w:p w14:paraId="26F5A600" w14:textId="5670CDED"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6</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991.8</w:t>
            </w:r>
          </w:p>
        </w:tc>
        <w:tc>
          <w:tcPr>
            <w:tcW w:w="1032" w:type="dxa"/>
            <w:gridSpan w:val="3"/>
            <w:tcBorders>
              <w:top w:val="single" w:sz="4" w:space="0" w:color="548DD4"/>
            </w:tcBorders>
            <w:vAlign w:val="center"/>
          </w:tcPr>
          <w:p w14:paraId="38EE1602" w14:textId="719A0AC5"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8</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501.4</w:t>
            </w:r>
          </w:p>
        </w:tc>
        <w:tc>
          <w:tcPr>
            <w:tcW w:w="1307" w:type="dxa"/>
            <w:tcBorders>
              <w:top w:val="single" w:sz="4" w:space="0" w:color="548DD4"/>
            </w:tcBorders>
            <w:vAlign w:val="center"/>
          </w:tcPr>
          <w:p w14:paraId="20CF138F" w14:textId="5C6B4B73"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9</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317.9</w:t>
            </w:r>
          </w:p>
        </w:tc>
        <w:tc>
          <w:tcPr>
            <w:tcW w:w="1390" w:type="dxa"/>
            <w:gridSpan w:val="3"/>
            <w:vAlign w:val="center"/>
          </w:tcPr>
          <w:p w14:paraId="432E1DB4" w14:textId="3BB2C211"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9</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502.8</w:t>
            </w:r>
          </w:p>
        </w:tc>
      </w:tr>
      <w:tr w:rsidR="00AC5F11" w:rsidRPr="00C921DE" w14:paraId="0BDF00EC" w14:textId="77777777" w:rsidTr="00AC5F11">
        <w:trPr>
          <w:trHeight w:val="217"/>
          <w:jc w:val="center"/>
        </w:trPr>
        <w:tc>
          <w:tcPr>
            <w:tcW w:w="3244" w:type="dxa"/>
            <w:gridSpan w:val="2"/>
          </w:tcPr>
          <w:p w14:paraId="51A21C67"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rPr>
            </w:pPr>
            <w:r w:rsidRPr="00C921DE">
              <w:rPr>
                <w:rFonts w:ascii="GHEA Grapalat" w:eastAsia="Calibri" w:hAnsi="GHEA Grapalat"/>
                <w:noProof w:val="0"/>
                <w:color w:val="000000"/>
                <w:sz w:val="18"/>
                <w:szCs w:val="18"/>
              </w:rPr>
              <w:t xml:space="preserve">ՀՆԱ-ի իրական աճ, % </w:t>
            </w:r>
          </w:p>
        </w:tc>
        <w:tc>
          <w:tcPr>
            <w:tcW w:w="1012" w:type="dxa"/>
            <w:gridSpan w:val="2"/>
            <w:vAlign w:val="center"/>
          </w:tcPr>
          <w:p w14:paraId="53288750"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7.6</w:t>
            </w:r>
          </w:p>
        </w:tc>
        <w:tc>
          <w:tcPr>
            <w:tcW w:w="1104" w:type="dxa"/>
            <w:vAlign w:val="center"/>
          </w:tcPr>
          <w:p w14:paraId="54DBF77B"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-7.2</w:t>
            </w:r>
          </w:p>
        </w:tc>
        <w:tc>
          <w:tcPr>
            <w:tcW w:w="992" w:type="dxa"/>
            <w:gridSpan w:val="2"/>
            <w:vAlign w:val="center"/>
          </w:tcPr>
          <w:p w14:paraId="15B20759"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5.8</w:t>
            </w:r>
          </w:p>
        </w:tc>
        <w:tc>
          <w:tcPr>
            <w:tcW w:w="1032" w:type="dxa"/>
            <w:gridSpan w:val="3"/>
            <w:vAlign w:val="center"/>
          </w:tcPr>
          <w:p w14:paraId="69D096C1"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12.6</w:t>
            </w:r>
          </w:p>
        </w:tc>
        <w:tc>
          <w:tcPr>
            <w:tcW w:w="1307" w:type="dxa"/>
            <w:vAlign w:val="center"/>
          </w:tcPr>
          <w:p w14:paraId="02345783" w14:textId="77777777"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7.0</w:t>
            </w:r>
          </w:p>
        </w:tc>
        <w:tc>
          <w:tcPr>
            <w:tcW w:w="1390" w:type="dxa"/>
            <w:gridSpan w:val="3"/>
            <w:vAlign w:val="center"/>
          </w:tcPr>
          <w:p w14:paraId="2D0DF78F" w14:textId="77777777"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8.7</w:t>
            </w:r>
          </w:p>
        </w:tc>
      </w:tr>
      <w:tr w:rsidR="00AC5F11" w:rsidRPr="00C921DE" w14:paraId="23E6341D" w14:textId="77777777" w:rsidTr="00AC5F11">
        <w:trPr>
          <w:trHeight w:val="217"/>
          <w:jc w:val="center"/>
        </w:trPr>
        <w:tc>
          <w:tcPr>
            <w:tcW w:w="3244" w:type="dxa"/>
            <w:gridSpan w:val="2"/>
          </w:tcPr>
          <w:p w14:paraId="05330B4B"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rPr>
            </w:pPr>
            <w:r w:rsidRPr="00C921DE">
              <w:rPr>
                <w:rFonts w:ascii="GHEA Grapalat" w:eastAsia="Calibri" w:hAnsi="GHEA Grapalat"/>
                <w:noProof w:val="0"/>
                <w:color w:val="000000"/>
                <w:sz w:val="18"/>
                <w:szCs w:val="18"/>
              </w:rPr>
              <w:t>ՀՆԱ դեֆլյատորի աճ, %</w:t>
            </w:r>
          </w:p>
        </w:tc>
        <w:tc>
          <w:tcPr>
            <w:tcW w:w="1012" w:type="dxa"/>
            <w:gridSpan w:val="2"/>
            <w:vAlign w:val="center"/>
          </w:tcPr>
          <w:p w14:paraId="12450082"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1.1</w:t>
            </w:r>
          </w:p>
        </w:tc>
        <w:tc>
          <w:tcPr>
            <w:tcW w:w="1104" w:type="dxa"/>
            <w:vAlign w:val="center"/>
          </w:tcPr>
          <w:p w14:paraId="7C3140E8"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1.8</w:t>
            </w:r>
          </w:p>
        </w:tc>
        <w:tc>
          <w:tcPr>
            <w:tcW w:w="992" w:type="dxa"/>
            <w:gridSpan w:val="2"/>
            <w:vAlign w:val="center"/>
          </w:tcPr>
          <w:p w14:paraId="089401A4"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6.9</w:t>
            </w:r>
          </w:p>
        </w:tc>
        <w:tc>
          <w:tcPr>
            <w:tcW w:w="1032" w:type="dxa"/>
            <w:gridSpan w:val="3"/>
            <w:vAlign w:val="center"/>
          </w:tcPr>
          <w:p w14:paraId="310F9FB6"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8.0</w:t>
            </w:r>
          </w:p>
        </w:tc>
        <w:tc>
          <w:tcPr>
            <w:tcW w:w="1307" w:type="dxa"/>
            <w:vAlign w:val="center"/>
          </w:tcPr>
          <w:p w14:paraId="3F6EC642" w14:textId="77777777"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5.0</w:t>
            </w:r>
          </w:p>
        </w:tc>
        <w:tc>
          <w:tcPr>
            <w:tcW w:w="1390" w:type="dxa"/>
            <w:gridSpan w:val="3"/>
            <w:vAlign w:val="center"/>
          </w:tcPr>
          <w:p w14:paraId="17B8B436" w14:textId="77777777"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2.8</w:t>
            </w:r>
          </w:p>
        </w:tc>
      </w:tr>
      <w:tr w:rsidR="00AC5F11" w:rsidRPr="00C921DE" w14:paraId="44607246" w14:textId="77777777" w:rsidTr="00AC5F11">
        <w:trPr>
          <w:trHeight w:val="217"/>
          <w:jc w:val="center"/>
        </w:trPr>
        <w:tc>
          <w:tcPr>
            <w:tcW w:w="3244" w:type="dxa"/>
            <w:gridSpan w:val="2"/>
          </w:tcPr>
          <w:p w14:paraId="516A14BA" w14:textId="77777777" w:rsidR="00AC5F11" w:rsidRPr="00C921DE" w:rsidRDefault="00AC5F11" w:rsidP="00AC5F11">
            <w:pPr>
              <w:autoSpaceDE w:val="0"/>
              <w:autoSpaceDN w:val="0"/>
              <w:adjustRightInd w:val="0"/>
              <w:rPr>
                <w:rFonts w:ascii="GHEA Grapalat" w:eastAsia="Calibri" w:hAnsi="GHEA Grapalat"/>
                <w:noProof w:val="0"/>
                <w:color w:val="000000" w:themeColor="text1"/>
                <w:sz w:val="18"/>
                <w:szCs w:val="18"/>
              </w:rPr>
            </w:pPr>
            <w:r w:rsidRPr="00C921DE">
              <w:rPr>
                <w:rFonts w:ascii="GHEA Grapalat" w:eastAsia="Calibri" w:hAnsi="GHEA Grapalat"/>
                <w:noProof w:val="0"/>
                <w:color w:val="000000" w:themeColor="text1"/>
                <w:sz w:val="18"/>
                <w:szCs w:val="18"/>
              </w:rPr>
              <w:t>Գնաճ (ժամանակաշրջանի վերջ), %</w:t>
            </w:r>
          </w:p>
        </w:tc>
        <w:tc>
          <w:tcPr>
            <w:tcW w:w="1012" w:type="dxa"/>
            <w:gridSpan w:val="2"/>
            <w:vAlign w:val="center"/>
          </w:tcPr>
          <w:p w14:paraId="6DA9F564" w14:textId="2EB86D65" w:rsidR="00AC5F11" w:rsidRPr="00C921DE" w:rsidRDefault="00D55E9C"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0.7</w:t>
            </w:r>
          </w:p>
        </w:tc>
        <w:tc>
          <w:tcPr>
            <w:tcW w:w="1104" w:type="dxa"/>
            <w:vAlign w:val="center"/>
          </w:tcPr>
          <w:p w14:paraId="2C37E4A8" w14:textId="71767410" w:rsidR="00AC5F11" w:rsidRPr="00C921DE" w:rsidRDefault="00D55E9C"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3.</w:t>
            </w:r>
            <w:r w:rsidR="00AC5F11" w:rsidRPr="00C921DE">
              <w:rPr>
                <w:rFonts w:ascii="GHEA Grapalat" w:eastAsia="Calibri" w:hAnsi="GHEA Grapalat" w:cs="Arial"/>
                <w:noProof w:val="0"/>
                <w:color w:val="000000" w:themeColor="text1"/>
                <w:sz w:val="18"/>
                <w:szCs w:val="18"/>
                <w:lang w:val="en-US"/>
              </w:rPr>
              <w:t>7</w:t>
            </w:r>
          </w:p>
        </w:tc>
        <w:tc>
          <w:tcPr>
            <w:tcW w:w="992" w:type="dxa"/>
            <w:gridSpan w:val="2"/>
            <w:vAlign w:val="center"/>
          </w:tcPr>
          <w:p w14:paraId="774BC716" w14:textId="7BDA077D" w:rsidR="00AC5F11" w:rsidRPr="00C921DE" w:rsidRDefault="00D55E9C"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7</w:t>
            </w:r>
            <w:r w:rsidR="00AC5F11" w:rsidRPr="00C921DE">
              <w:rPr>
                <w:rFonts w:ascii="GHEA Grapalat" w:eastAsia="Calibri" w:hAnsi="GHEA Grapalat" w:cs="Arial"/>
                <w:noProof w:val="0"/>
                <w:color w:val="000000" w:themeColor="text1"/>
                <w:sz w:val="18"/>
                <w:szCs w:val="18"/>
                <w:lang w:val="en-US"/>
              </w:rPr>
              <w:t>.7</w:t>
            </w:r>
          </w:p>
        </w:tc>
        <w:tc>
          <w:tcPr>
            <w:tcW w:w="1032" w:type="dxa"/>
            <w:gridSpan w:val="3"/>
            <w:vAlign w:val="center"/>
          </w:tcPr>
          <w:p w14:paraId="312190D4" w14:textId="77777777" w:rsidR="00AC5F11" w:rsidRPr="00C921DE" w:rsidRDefault="00AC5F11"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8.3</w:t>
            </w:r>
          </w:p>
        </w:tc>
        <w:tc>
          <w:tcPr>
            <w:tcW w:w="1307" w:type="dxa"/>
            <w:vAlign w:val="center"/>
          </w:tcPr>
          <w:p w14:paraId="6FBDD5FA" w14:textId="77777777" w:rsidR="00AC5F11" w:rsidRPr="00C921DE" w:rsidRDefault="00AC5F11" w:rsidP="00AC5F11">
            <w:pPr>
              <w:autoSpaceDE w:val="0"/>
              <w:autoSpaceDN w:val="0"/>
              <w:adjustRightInd w:val="0"/>
              <w:jc w:val="center"/>
              <w:rPr>
                <w:rFonts w:ascii="GHEA Grapalat" w:eastAsia="Calibri" w:hAnsi="GHEA Grapalat" w:cs="Arial"/>
                <w:noProof w:val="0"/>
                <w:color w:val="000000" w:themeColor="text1"/>
                <w:sz w:val="18"/>
                <w:szCs w:val="18"/>
              </w:rPr>
            </w:pPr>
            <w:r w:rsidRPr="00C921DE">
              <w:rPr>
                <w:rFonts w:ascii="GHEA Grapalat" w:eastAsia="Calibri" w:hAnsi="GHEA Grapalat" w:cs="Arial"/>
                <w:noProof w:val="0"/>
                <w:color w:val="000000" w:themeColor="text1"/>
                <w:sz w:val="18"/>
                <w:szCs w:val="18"/>
              </w:rPr>
              <w:t>3.6</w:t>
            </w:r>
          </w:p>
        </w:tc>
        <w:tc>
          <w:tcPr>
            <w:tcW w:w="1390" w:type="dxa"/>
            <w:gridSpan w:val="3"/>
            <w:vAlign w:val="center"/>
          </w:tcPr>
          <w:p w14:paraId="60C6C42A" w14:textId="77777777" w:rsidR="00AC5F11" w:rsidRPr="00C921DE" w:rsidRDefault="00AC5F11"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-0.6</w:t>
            </w:r>
          </w:p>
        </w:tc>
      </w:tr>
      <w:tr w:rsidR="00AC5F11" w:rsidRPr="00C921DE" w14:paraId="10FB5500" w14:textId="77777777" w:rsidTr="00AC5F11">
        <w:trPr>
          <w:trHeight w:val="217"/>
          <w:jc w:val="center"/>
        </w:trPr>
        <w:tc>
          <w:tcPr>
            <w:tcW w:w="3244" w:type="dxa"/>
            <w:gridSpan w:val="2"/>
          </w:tcPr>
          <w:p w14:paraId="430CBA4D" w14:textId="77777777" w:rsidR="00AC5F11" w:rsidRPr="00C921DE" w:rsidRDefault="00AC5F11" w:rsidP="00AC5F11">
            <w:pPr>
              <w:autoSpaceDE w:val="0"/>
              <w:autoSpaceDN w:val="0"/>
              <w:adjustRightInd w:val="0"/>
              <w:rPr>
                <w:rFonts w:ascii="GHEA Grapalat" w:eastAsia="Calibri" w:hAnsi="GHEA Grapalat"/>
                <w:noProof w:val="0"/>
                <w:color w:val="000000" w:themeColor="text1"/>
                <w:sz w:val="18"/>
                <w:szCs w:val="18"/>
              </w:rPr>
            </w:pPr>
            <w:r w:rsidRPr="00C921DE">
              <w:rPr>
                <w:rFonts w:ascii="GHEA Grapalat" w:eastAsia="Calibri" w:hAnsi="GHEA Grapalat"/>
                <w:noProof w:val="0"/>
                <w:color w:val="000000" w:themeColor="text1"/>
                <w:sz w:val="18"/>
                <w:szCs w:val="18"/>
              </w:rPr>
              <w:t>Գնաճ (միջին), %</w:t>
            </w:r>
          </w:p>
        </w:tc>
        <w:tc>
          <w:tcPr>
            <w:tcW w:w="1012" w:type="dxa"/>
            <w:gridSpan w:val="2"/>
            <w:vAlign w:val="center"/>
          </w:tcPr>
          <w:p w14:paraId="5A53F1C4" w14:textId="0D211E25" w:rsidR="00AC5F11" w:rsidRPr="00C921DE" w:rsidRDefault="00FC24CA"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1.4</w:t>
            </w:r>
          </w:p>
        </w:tc>
        <w:tc>
          <w:tcPr>
            <w:tcW w:w="1104" w:type="dxa"/>
            <w:vAlign w:val="center"/>
          </w:tcPr>
          <w:p w14:paraId="616EC537" w14:textId="6894071C" w:rsidR="00AC5F11" w:rsidRPr="00C921DE" w:rsidRDefault="00AC5F11" w:rsidP="00FC24CA">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1.</w:t>
            </w:r>
            <w:r w:rsidR="00FC24CA" w:rsidRPr="00C921DE">
              <w:rPr>
                <w:rFonts w:ascii="GHEA Grapalat" w:eastAsia="Calibri" w:hAnsi="GHEA Grapalat" w:cs="Arial"/>
                <w:noProof w:val="0"/>
                <w:color w:val="000000" w:themeColor="text1"/>
                <w:sz w:val="18"/>
                <w:szCs w:val="18"/>
                <w:lang w:val="en-US"/>
              </w:rPr>
              <w:t>2</w:t>
            </w:r>
          </w:p>
        </w:tc>
        <w:tc>
          <w:tcPr>
            <w:tcW w:w="992" w:type="dxa"/>
            <w:gridSpan w:val="2"/>
            <w:vAlign w:val="center"/>
          </w:tcPr>
          <w:p w14:paraId="7190C716" w14:textId="6A8B0F20" w:rsidR="00AC5F11" w:rsidRPr="00C921DE" w:rsidRDefault="00FC24CA"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7</w:t>
            </w:r>
            <w:r w:rsidR="00AC5F11" w:rsidRPr="00C921DE">
              <w:rPr>
                <w:rFonts w:ascii="GHEA Grapalat" w:eastAsia="Calibri" w:hAnsi="GHEA Grapalat" w:cs="Arial"/>
                <w:noProof w:val="0"/>
                <w:color w:val="000000" w:themeColor="text1"/>
                <w:sz w:val="18"/>
                <w:szCs w:val="18"/>
                <w:lang w:val="en-US"/>
              </w:rPr>
              <w:t>.2</w:t>
            </w:r>
          </w:p>
        </w:tc>
        <w:tc>
          <w:tcPr>
            <w:tcW w:w="1032" w:type="dxa"/>
            <w:gridSpan w:val="3"/>
            <w:vAlign w:val="center"/>
          </w:tcPr>
          <w:p w14:paraId="5A329DB6" w14:textId="77777777" w:rsidR="00AC5F11" w:rsidRPr="00C921DE" w:rsidRDefault="00AC5F11"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8.6</w:t>
            </w:r>
          </w:p>
        </w:tc>
        <w:tc>
          <w:tcPr>
            <w:tcW w:w="1307" w:type="dxa"/>
          </w:tcPr>
          <w:p w14:paraId="62D93FBC" w14:textId="77777777" w:rsidR="00AC5F11" w:rsidRPr="00C921DE" w:rsidRDefault="00AC5F11" w:rsidP="00AC5F11">
            <w:pPr>
              <w:autoSpaceDE w:val="0"/>
              <w:autoSpaceDN w:val="0"/>
              <w:adjustRightInd w:val="0"/>
              <w:jc w:val="center"/>
              <w:rPr>
                <w:rFonts w:ascii="GHEA Grapalat" w:eastAsia="Calibri" w:hAnsi="GHEA Grapalat" w:cs="Arial"/>
                <w:noProof w:val="0"/>
                <w:color w:val="000000" w:themeColor="text1"/>
                <w:sz w:val="18"/>
                <w:szCs w:val="18"/>
              </w:rPr>
            </w:pPr>
            <w:r w:rsidRPr="00C921DE">
              <w:rPr>
                <w:rFonts w:ascii="GHEA Grapalat" w:eastAsia="Calibri" w:hAnsi="GHEA Grapalat" w:cs="Arial"/>
                <w:noProof w:val="0"/>
                <w:color w:val="000000" w:themeColor="text1"/>
                <w:sz w:val="18"/>
                <w:szCs w:val="18"/>
              </w:rPr>
              <w:t>5.6</w:t>
            </w:r>
          </w:p>
        </w:tc>
        <w:tc>
          <w:tcPr>
            <w:tcW w:w="1390" w:type="dxa"/>
            <w:gridSpan w:val="3"/>
            <w:vAlign w:val="center"/>
          </w:tcPr>
          <w:p w14:paraId="436EE95C" w14:textId="77777777" w:rsidR="00AC5F11" w:rsidRPr="00C921DE" w:rsidRDefault="00AC5F11" w:rsidP="00AC5F11">
            <w:pPr>
              <w:autoSpaceDE w:val="0"/>
              <w:autoSpaceDN w:val="0"/>
              <w:adjustRightInd w:val="0"/>
              <w:jc w:val="center"/>
              <w:rPr>
                <w:rFonts w:ascii="GHEA Grapalat" w:eastAsia="Calibri" w:hAnsi="GHEA Grapalat" w:cs="Arial"/>
                <w:noProof w:val="0"/>
                <w:color w:val="000000" w:themeColor="text1"/>
                <w:sz w:val="18"/>
                <w:szCs w:val="18"/>
                <w:lang w:val="en-US"/>
              </w:rPr>
            </w:pPr>
            <w:r w:rsidRPr="00C921DE">
              <w:rPr>
                <w:rFonts w:ascii="GHEA Grapalat" w:eastAsia="Calibri" w:hAnsi="GHEA Grapalat" w:cs="Arial"/>
                <w:noProof w:val="0"/>
                <w:color w:val="000000" w:themeColor="text1"/>
                <w:sz w:val="18"/>
                <w:szCs w:val="18"/>
                <w:lang w:val="en-US"/>
              </w:rPr>
              <w:t>2.0</w:t>
            </w:r>
          </w:p>
        </w:tc>
      </w:tr>
      <w:tr w:rsidR="00AC5F11" w:rsidRPr="00C921DE" w14:paraId="0B075832" w14:textId="77777777" w:rsidTr="00AC5F11">
        <w:trPr>
          <w:trHeight w:val="117"/>
          <w:jc w:val="center"/>
        </w:trPr>
        <w:tc>
          <w:tcPr>
            <w:tcW w:w="3244" w:type="dxa"/>
            <w:gridSpan w:val="2"/>
          </w:tcPr>
          <w:p w14:paraId="14F8AE07"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rPr>
            </w:pPr>
            <w:r w:rsidRPr="00C921DE">
              <w:rPr>
                <w:rFonts w:ascii="GHEA Grapalat" w:eastAsia="Calibri" w:hAnsi="GHEA Grapalat"/>
                <w:noProof w:val="0"/>
                <w:color w:val="000000"/>
                <w:sz w:val="18"/>
                <w:szCs w:val="18"/>
              </w:rPr>
              <w:t xml:space="preserve">Գործազրկության մակարդակը </w:t>
            </w:r>
          </w:p>
        </w:tc>
        <w:tc>
          <w:tcPr>
            <w:tcW w:w="1012" w:type="dxa"/>
            <w:gridSpan w:val="2"/>
            <w:vAlign w:val="center"/>
          </w:tcPr>
          <w:p w14:paraId="233911E5"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18.3</w:t>
            </w:r>
          </w:p>
        </w:tc>
        <w:tc>
          <w:tcPr>
            <w:tcW w:w="1104" w:type="dxa"/>
            <w:vAlign w:val="center"/>
          </w:tcPr>
          <w:p w14:paraId="5F703F61"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18.2</w:t>
            </w:r>
          </w:p>
        </w:tc>
        <w:tc>
          <w:tcPr>
            <w:tcW w:w="992" w:type="dxa"/>
            <w:gridSpan w:val="2"/>
            <w:vAlign w:val="center"/>
          </w:tcPr>
          <w:p w14:paraId="703C4720"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15.5</w:t>
            </w:r>
          </w:p>
        </w:tc>
        <w:tc>
          <w:tcPr>
            <w:tcW w:w="1032" w:type="dxa"/>
            <w:gridSpan w:val="3"/>
            <w:vAlign w:val="center"/>
          </w:tcPr>
          <w:p w14:paraId="53817D20"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13.0</w:t>
            </w:r>
          </w:p>
        </w:tc>
        <w:tc>
          <w:tcPr>
            <w:tcW w:w="1307" w:type="dxa"/>
            <w:vAlign w:val="center"/>
          </w:tcPr>
          <w:p w14:paraId="29AA210C" w14:textId="77777777"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w:t>
            </w:r>
          </w:p>
        </w:tc>
        <w:tc>
          <w:tcPr>
            <w:tcW w:w="1390" w:type="dxa"/>
            <w:gridSpan w:val="3"/>
            <w:vAlign w:val="center"/>
          </w:tcPr>
          <w:p w14:paraId="7EC29CD3" w14:textId="77777777" w:rsidR="00AC5F11" w:rsidRPr="00C921DE" w:rsidRDefault="00AC5F11" w:rsidP="00AC5F11">
            <w:pPr>
              <w:autoSpaceDE w:val="0"/>
              <w:autoSpaceDN w:val="0"/>
              <w:adjustRightInd w:val="0"/>
              <w:jc w:val="center"/>
              <w:rPr>
                <w:rFonts w:ascii="GHEA Grapalat" w:hAnsi="GHEA Grapalat" w:cs="Arial"/>
                <w:noProof w:val="0"/>
                <w:color w:val="FF0000"/>
                <w:sz w:val="18"/>
                <w:szCs w:val="18"/>
                <w:lang w:val="en-US"/>
              </w:rPr>
            </w:pPr>
            <w:r w:rsidRPr="00C921DE">
              <w:rPr>
                <w:rFonts w:ascii="GHEA Grapalat" w:hAnsi="GHEA Grapalat" w:cs="Arial"/>
                <w:noProof w:val="0"/>
                <w:sz w:val="18"/>
                <w:szCs w:val="18"/>
                <w:lang w:val="en-US"/>
              </w:rPr>
              <w:t>12.6</w:t>
            </w:r>
          </w:p>
        </w:tc>
      </w:tr>
      <w:tr w:rsidR="00AC5F11" w:rsidRPr="00C921DE" w14:paraId="54549CBE" w14:textId="77777777" w:rsidTr="00AC5F11">
        <w:trPr>
          <w:trHeight w:val="117"/>
          <w:jc w:val="center"/>
        </w:trPr>
        <w:tc>
          <w:tcPr>
            <w:tcW w:w="3244" w:type="dxa"/>
            <w:gridSpan w:val="2"/>
          </w:tcPr>
          <w:p w14:paraId="33CF2E49"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rPr>
            </w:pPr>
            <w:r w:rsidRPr="00C921DE">
              <w:rPr>
                <w:rFonts w:ascii="GHEA Grapalat" w:eastAsia="Calibri" w:hAnsi="GHEA Grapalat"/>
                <w:noProof w:val="0"/>
                <w:color w:val="000000"/>
                <w:sz w:val="18"/>
                <w:szCs w:val="18"/>
              </w:rPr>
              <w:t>1 շնչին ընկնող ՀՆԱ, ԱՄՆ դոլար</w:t>
            </w:r>
            <w:r w:rsidRPr="00C921DE">
              <w:rPr>
                <w:rFonts w:ascii="GHEA Grapalat" w:eastAsia="Calibri" w:hAnsi="GHEA Grapalat"/>
                <w:noProof w:val="0"/>
                <w:color w:val="000000"/>
                <w:sz w:val="18"/>
                <w:szCs w:val="18"/>
                <w:vertAlign w:val="superscript"/>
              </w:rPr>
              <w:footnoteReference w:id="3"/>
            </w:r>
          </w:p>
        </w:tc>
        <w:tc>
          <w:tcPr>
            <w:tcW w:w="1012" w:type="dxa"/>
            <w:gridSpan w:val="2"/>
            <w:vAlign w:val="center"/>
          </w:tcPr>
          <w:p w14:paraId="2E2F823C" w14:textId="1DCAB4D5"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4</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597</w:t>
            </w:r>
          </w:p>
        </w:tc>
        <w:tc>
          <w:tcPr>
            <w:tcW w:w="1104" w:type="dxa"/>
            <w:vAlign w:val="center"/>
          </w:tcPr>
          <w:p w14:paraId="6FA3F7DC" w14:textId="250FF191"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4</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269</w:t>
            </w:r>
          </w:p>
        </w:tc>
        <w:tc>
          <w:tcPr>
            <w:tcW w:w="992" w:type="dxa"/>
            <w:gridSpan w:val="2"/>
            <w:vAlign w:val="center"/>
          </w:tcPr>
          <w:p w14:paraId="00689861" w14:textId="03F8ECB8"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4</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685</w:t>
            </w:r>
          </w:p>
        </w:tc>
        <w:tc>
          <w:tcPr>
            <w:tcW w:w="1032" w:type="dxa"/>
            <w:gridSpan w:val="3"/>
            <w:vAlign w:val="center"/>
          </w:tcPr>
          <w:p w14:paraId="47AA729E" w14:textId="28B4DA69"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6</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661</w:t>
            </w:r>
          </w:p>
        </w:tc>
        <w:tc>
          <w:tcPr>
            <w:tcW w:w="1307" w:type="dxa"/>
            <w:vAlign w:val="center"/>
          </w:tcPr>
          <w:p w14:paraId="70FBE5C6" w14:textId="30F1AF90" w:rsidR="00AC5F11" w:rsidRPr="00C921DE" w:rsidRDefault="00AC5F11" w:rsidP="00AC5F11">
            <w:pPr>
              <w:autoSpaceDE w:val="0"/>
              <w:autoSpaceDN w:val="0"/>
              <w:adjustRightInd w:val="0"/>
              <w:jc w:val="center"/>
              <w:rPr>
                <w:rFonts w:ascii="GHEA Grapalat" w:hAnsi="GHEA Grapalat" w:cs="Arial"/>
                <w:noProof w:val="0"/>
                <w:color w:val="FF0000"/>
                <w:sz w:val="18"/>
                <w:szCs w:val="18"/>
              </w:rPr>
            </w:pPr>
            <w:r w:rsidRPr="00C921DE">
              <w:rPr>
                <w:rFonts w:ascii="GHEA Grapalat" w:hAnsi="GHEA Grapalat" w:cs="Arial"/>
                <w:noProof w:val="0"/>
                <w:sz w:val="18"/>
                <w:szCs w:val="18"/>
              </w:rPr>
              <w:t>7</w:t>
            </w:r>
            <w:r w:rsidR="00E71113" w:rsidRPr="00C921DE">
              <w:rPr>
                <w:rFonts w:ascii="GHEA Grapalat" w:hAnsi="GHEA Grapalat" w:cs="Arial"/>
                <w:noProof w:val="0"/>
                <w:sz w:val="18"/>
                <w:szCs w:val="18"/>
                <w:lang w:val="en-US"/>
              </w:rPr>
              <w:t>,</w:t>
            </w:r>
            <w:r w:rsidRPr="00C921DE">
              <w:rPr>
                <w:rFonts w:ascii="GHEA Grapalat" w:hAnsi="GHEA Grapalat" w:cs="Arial"/>
                <w:noProof w:val="0"/>
                <w:sz w:val="18"/>
                <w:szCs w:val="18"/>
              </w:rPr>
              <w:t>212</w:t>
            </w:r>
          </w:p>
        </w:tc>
        <w:tc>
          <w:tcPr>
            <w:tcW w:w="1390" w:type="dxa"/>
            <w:gridSpan w:val="3"/>
            <w:vAlign w:val="center"/>
          </w:tcPr>
          <w:p w14:paraId="0AAAC502" w14:textId="62E6543E"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8</w:t>
            </w:r>
            <w:r w:rsidR="00BC0EAB" w:rsidRPr="00C921DE">
              <w:rPr>
                <w:rFonts w:ascii="GHEA Grapalat" w:hAnsi="GHEA Grapalat" w:cs="Arial"/>
                <w:noProof w:val="0"/>
                <w:sz w:val="18"/>
                <w:szCs w:val="18"/>
                <w:lang w:val="en-US"/>
              </w:rPr>
              <w:t>,</w:t>
            </w:r>
            <w:r w:rsidRPr="00C921DE">
              <w:rPr>
                <w:rFonts w:ascii="GHEA Grapalat" w:hAnsi="GHEA Grapalat" w:cs="Arial"/>
                <w:noProof w:val="0"/>
                <w:sz w:val="18"/>
                <w:szCs w:val="18"/>
              </w:rPr>
              <w:t>168</w:t>
            </w:r>
          </w:p>
        </w:tc>
      </w:tr>
      <w:tr w:rsidR="00AC5F11" w:rsidRPr="00C921DE" w14:paraId="40B712DD" w14:textId="77777777" w:rsidTr="00AC5F11">
        <w:trPr>
          <w:trHeight w:val="117"/>
          <w:jc w:val="center"/>
        </w:trPr>
        <w:tc>
          <w:tcPr>
            <w:tcW w:w="3244" w:type="dxa"/>
            <w:gridSpan w:val="2"/>
          </w:tcPr>
          <w:p w14:paraId="4D0DF5A5"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rPr>
            </w:pPr>
            <w:r w:rsidRPr="00C921DE">
              <w:rPr>
                <w:rFonts w:ascii="GHEA Grapalat" w:eastAsia="Calibri" w:hAnsi="GHEA Grapalat"/>
                <w:noProof w:val="0"/>
                <w:color w:val="000000"/>
                <w:sz w:val="18"/>
                <w:szCs w:val="18"/>
              </w:rPr>
              <w:t>Հիմնական միջոցներում ներդրումներ / ՀՆԱ, %</w:t>
            </w:r>
          </w:p>
        </w:tc>
        <w:tc>
          <w:tcPr>
            <w:tcW w:w="1012" w:type="dxa"/>
            <w:gridSpan w:val="2"/>
            <w:vAlign w:val="center"/>
          </w:tcPr>
          <w:p w14:paraId="2B95A5DE"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15.8</w:t>
            </w:r>
          </w:p>
        </w:tc>
        <w:tc>
          <w:tcPr>
            <w:tcW w:w="1104" w:type="dxa"/>
            <w:vAlign w:val="center"/>
          </w:tcPr>
          <w:p w14:paraId="2708F0D8"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17.8</w:t>
            </w:r>
          </w:p>
        </w:tc>
        <w:tc>
          <w:tcPr>
            <w:tcW w:w="992" w:type="dxa"/>
            <w:gridSpan w:val="2"/>
            <w:vAlign w:val="center"/>
          </w:tcPr>
          <w:p w14:paraId="1D0C54FB"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21.2</w:t>
            </w:r>
          </w:p>
        </w:tc>
        <w:tc>
          <w:tcPr>
            <w:tcW w:w="1032" w:type="dxa"/>
            <w:gridSpan w:val="3"/>
            <w:vAlign w:val="center"/>
          </w:tcPr>
          <w:p w14:paraId="7D24D1BC" w14:textId="77777777" w:rsidR="00AC5F11" w:rsidRPr="00C921DE" w:rsidRDefault="00AC5F11" w:rsidP="00AC5F11">
            <w:pPr>
              <w:autoSpaceDE w:val="0"/>
              <w:autoSpaceDN w:val="0"/>
              <w:adjustRightInd w:val="0"/>
              <w:jc w:val="center"/>
              <w:rPr>
                <w:rFonts w:ascii="GHEA Grapalat" w:hAnsi="GHEA Grapalat" w:cs="Arial"/>
                <w:noProof w:val="0"/>
                <w:sz w:val="18"/>
                <w:szCs w:val="18"/>
              </w:rPr>
            </w:pPr>
            <w:r w:rsidRPr="00C921DE">
              <w:rPr>
                <w:rFonts w:ascii="GHEA Grapalat" w:hAnsi="GHEA Grapalat" w:cs="Arial"/>
                <w:noProof w:val="0"/>
                <w:sz w:val="18"/>
                <w:szCs w:val="18"/>
              </w:rPr>
              <w:t>20.3</w:t>
            </w:r>
          </w:p>
        </w:tc>
        <w:tc>
          <w:tcPr>
            <w:tcW w:w="1307" w:type="dxa"/>
            <w:vAlign w:val="center"/>
          </w:tcPr>
          <w:p w14:paraId="088F0E1D" w14:textId="77777777" w:rsidR="00AC5F11" w:rsidRPr="00C921DE" w:rsidRDefault="00AC5F11" w:rsidP="00AC5F11">
            <w:pPr>
              <w:autoSpaceDE w:val="0"/>
              <w:autoSpaceDN w:val="0"/>
              <w:adjustRightInd w:val="0"/>
              <w:jc w:val="center"/>
              <w:rPr>
                <w:rFonts w:ascii="GHEA Grapalat" w:hAnsi="GHEA Grapalat"/>
                <w:noProof w:val="0"/>
                <w:color w:val="FF0000"/>
                <w:sz w:val="18"/>
                <w:szCs w:val="18"/>
                <w:lang w:val="en-US"/>
              </w:rPr>
            </w:pPr>
            <w:r w:rsidRPr="00C921DE">
              <w:rPr>
                <w:rFonts w:ascii="GHEA Grapalat" w:hAnsi="GHEA Grapalat"/>
                <w:noProof w:val="0"/>
                <w:sz w:val="18"/>
                <w:szCs w:val="18"/>
                <w:lang w:val="en-US"/>
              </w:rPr>
              <w:t>20.4</w:t>
            </w:r>
          </w:p>
        </w:tc>
        <w:tc>
          <w:tcPr>
            <w:tcW w:w="1390" w:type="dxa"/>
            <w:gridSpan w:val="3"/>
            <w:vAlign w:val="center"/>
          </w:tcPr>
          <w:p w14:paraId="731D28E7" w14:textId="77777777" w:rsidR="00AC5F11" w:rsidRPr="00C921DE" w:rsidRDefault="00AC5F11" w:rsidP="00AC5F11">
            <w:pPr>
              <w:autoSpaceDE w:val="0"/>
              <w:autoSpaceDN w:val="0"/>
              <w:adjustRightInd w:val="0"/>
              <w:jc w:val="center"/>
              <w:rPr>
                <w:rFonts w:ascii="GHEA Grapalat" w:hAnsi="GHEA Grapalat"/>
                <w:noProof w:val="0"/>
                <w:color w:val="FF0000"/>
                <w:sz w:val="18"/>
                <w:szCs w:val="18"/>
              </w:rPr>
            </w:pPr>
            <w:r w:rsidRPr="00C921DE">
              <w:rPr>
                <w:rFonts w:ascii="GHEA Grapalat" w:hAnsi="GHEA Grapalat"/>
                <w:noProof w:val="0"/>
                <w:sz w:val="18"/>
                <w:szCs w:val="18"/>
              </w:rPr>
              <w:t>20.8</w:t>
            </w:r>
          </w:p>
        </w:tc>
      </w:tr>
      <w:tr w:rsidR="00AC5F11" w:rsidRPr="00C921DE" w14:paraId="4C0D4D77" w14:textId="77777777" w:rsidTr="00AC5F11">
        <w:trPr>
          <w:trHeight w:val="117"/>
          <w:jc w:val="center"/>
        </w:trPr>
        <w:tc>
          <w:tcPr>
            <w:tcW w:w="3244" w:type="dxa"/>
            <w:gridSpan w:val="2"/>
          </w:tcPr>
          <w:p w14:paraId="4A5B8652"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rPr>
            </w:pPr>
            <w:r w:rsidRPr="00C921DE">
              <w:rPr>
                <w:rFonts w:ascii="GHEA Grapalat" w:eastAsia="Calibri" w:hAnsi="GHEA Grapalat"/>
                <w:noProof w:val="0"/>
                <w:color w:val="000000"/>
                <w:sz w:val="18"/>
                <w:szCs w:val="18"/>
              </w:rPr>
              <w:lastRenderedPageBreak/>
              <w:t>Արտահանում / ՀՆԱ, %</w:t>
            </w:r>
          </w:p>
        </w:tc>
        <w:tc>
          <w:tcPr>
            <w:tcW w:w="1012" w:type="dxa"/>
            <w:gridSpan w:val="2"/>
            <w:vAlign w:val="center"/>
          </w:tcPr>
          <w:p w14:paraId="343CD00E"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42.5</w:t>
            </w:r>
          </w:p>
        </w:tc>
        <w:tc>
          <w:tcPr>
            <w:tcW w:w="1104" w:type="dxa"/>
            <w:vAlign w:val="center"/>
          </w:tcPr>
          <w:p w14:paraId="1C0681E1"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30.2</w:t>
            </w:r>
          </w:p>
        </w:tc>
        <w:tc>
          <w:tcPr>
            <w:tcW w:w="992" w:type="dxa"/>
            <w:gridSpan w:val="2"/>
            <w:vAlign w:val="center"/>
          </w:tcPr>
          <w:p w14:paraId="40B15195"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36.1</w:t>
            </w:r>
          </w:p>
        </w:tc>
        <w:tc>
          <w:tcPr>
            <w:tcW w:w="1032" w:type="dxa"/>
            <w:gridSpan w:val="3"/>
            <w:vAlign w:val="center"/>
          </w:tcPr>
          <w:p w14:paraId="6D93877C"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51.4</w:t>
            </w:r>
          </w:p>
        </w:tc>
        <w:tc>
          <w:tcPr>
            <w:tcW w:w="1307" w:type="dxa"/>
            <w:vAlign w:val="center"/>
          </w:tcPr>
          <w:p w14:paraId="4FC18F64" w14:textId="77777777" w:rsidR="00AC5F11" w:rsidRPr="00C921DE" w:rsidRDefault="00AC5F11" w:rsidP="00AC5F11">
            <w:pPr>
              <w:autoSpaceDE w:val="0"/>
              <w:autoSpaceDN w:val="0"/>
              <w:adjustRightInd w:val="0"/>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41.1</w:t>
            </w:r>
          </w:p>
        </w:tc>
        <w:tc>
          <w:tcPr>
            <w:tcW w:w="1390" w:type="dxa"/>
            <w:gridSpan w:val="3"/>
            <w:vAlign w:val="center"/>
          </w:tcPr>
          <w:p w14:paraId="4FA6C62B"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58.4</w:t>
            </w:r>
          </w:p>
        </w:tc>
      </w:tr>
      <w:tr w:rsidR="00AC5F11" w:rsidRPr="00C921DE" w14:paraId="7F43CB7A" w14:textId="77777777" w:rsidTr="00AC5F11">
        <w:trPr>
          <w:trHeight w:val="117"/>
          <w:jc w:val="center"/>
        </w:trPr>
        <w:tc>
          <w:tcPr>
            <w:tcW w:w="3244" w:type="dxa"/>
            <w:gridSpan w:val="2"/>
          </w:tcPr>
          <w:p w14:paraId="3561B303" w14:textId="77777777" w:rsidR="00AC5F11" w:rsidRPr="00C921DE" w:rsidRDefault="00AC5F11" w:rsidP="00AC5F11">
            <w:pPr>
              <w:autoSpaceDE w:val="0"/>
              <w:autoSpaceDN w:val="0"/>
              <w:adjustRightInd w:val="0"/>
              <w:rPr>
                <w:rFonts w:ascii="GHEA Grapalat" w:eastAsia="Calibri" w:hAnsi="GHEA Grapalat"/>
                <w:noProof w:val="0"/>
                <w:color w:val="000000"/>
                <w:sz w:val="18"/>
                <w:szCs w:val="18"/>
                <w:lang w:val="en-GB"/>
              </w:rPr>
            </w:pPr>
            <w:r w:rsidRPr="00C921DE">
              <w:rPr>
                <w:rFonts w:ascii="GHEA Grapalat" w:eastAsia="Calibri" w:hAnsi="GHEA Grapalat"/>
                <w:noProof w:val="0"/>
                <w:color w:val="000000"/>
                <w:sz w:val="18"/>
                <w:szCs w:val="18"/>
              </w:rPr>
              <w:t xml:space="preserve">Ընթացիկ հաշիվ </w:t>
            </w:r>
            <w:r w:rsidRPr="00C921DE">
              <w:rPr>
                <w:rFonts w:ascii="GHEA Grapalat" w:eastAsia="Calibri" w:hAnsi="GHEA Grapalat"/>
                <w:noProof w:val="0"/>
                <w:color w:val="000000"/>
                <w:sz w:val="18"/>
                <w:szCs w:val="18"/>
                <w:lang w:val="en-GB"/>
              </w:rPr>
              <w:t>/</w:t>
            </w:r>
            <w:r w:rsidRPr="00C921DE">
              <w:rPr>
                <w:rFonts w:ascii="GHEA Grapalat" w:eastAsia="Calibri" w:hAnsi="GHEA Grapalat"/>
                <w:noProof w:val="0"/>
                <w:color w:val="000000"/>
                <w:sz w:val="18"/>
                <w:szCs w:val="18"/>
              </w:rPr>
              <w:t xml:space="preserve"> ՀՆԱ, %</w:t>
            </w:r>
          </w:p>
        </w:tc>
        <w:tc>
          <w:tcPr>
            <w:tcW w:w="1012" w:type="dxa"/>
            <w:gridSpan w:val="2"/>
            <w:vAlign w:val="center"/>
          </w:tcPr>
          <w:p w14:paraId="001D3955"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-7.1</w:t>
            </w:r>
          </w:p>
        </w:tc>
        <w:tc>
          <w:tcPr>
            <w:tcW w:w="1104" w:type="dxa"/>
            <w:vAlign w:val="center"/>
          </w:tcPr>
          <w:p w14:paraId="7C2D310A"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-4.0</w:t>
            </w:r>
          </w:p>
        </w:tc>
        <w:tc>
          <w:tcPr>
            <w:tcW w:w="992" w:type="dxa"/>
            <w:gridSpan w:val="2"/>
            <w:vAlign w:val="center"/>
          </w:tcPr>
          <w:p w14:paraId="6CBF518E"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-3.5</w:t>
            </w:r>
          </w:p>
        </w:tc>
        <w:tc>
          <w:tcPr>
            <w:tcW w:w="1032" w:type="dxa"/>
            <w:gridSpan w:val="3"/>
            <w:vAlign w:val="center"/>
          </w:tcPr>
          <w:p w14:paraId="02A8A5A8"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0.8</w:t>
            </w:r>
          </w:p>
        </w:tc>
        <w:tc>
          <w:tcPr>
            <w:tcW w:w="1307" w:type="dxa"/>
            <w:vAlign w:val="center"/>
          </w:tcPr>
          <w:p w14:paraId="1AE7D542" w14:textId="77777777" w:rsidR="00AC5F11" w:rsidRPr="00C921DE" w:rsidRDefault="00AC5F11" w:rsidP="00AC5F11">
            <w:pPr>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-5.7</w:t>
            </w:r>
          </w:p>
        </w:tc>
        <w:tc>
          <w:tcPr>
            <w:tcW w:w="1390" w:type="dxa"/>
            <w:gridSpan w:val="3"/>
          </w:tcPr>
          <w:p w14:paraId="4AECF36F" w14:textId="77777777" w:rsidR="00AC5F11" w:rsidRPr="00C921DE" w:rsidRDefault="00AC5F11" w:rsidP="00AC5F11">
            <w:pPr>
              <w:autoSpaceDE w:val="0"/>
              <w:autoSpaceDN w:val="0"/>
              <w:adjustRightInd w:val="0"/>
              <w:jc w:val="center"/>
              <w:rPr>
                <w:rFonts w:ascii="GHEA Grapalat" w:hAnsi="GHEA Grapalat" w:cs="Calibri"/>
                <w:noProof w:val="0"/>
                <w:color w:val="000000"/>
                <w:sz w:val="18"/>
                <w:szCs w:val="18"/>
              </w:rPr>
            </w:pPr>
            <w:r w:rsidRPr="00C921DE">
              <w:rPr>
                <w:rFonts w:ascii="GHEA Grapalat" w:hAnsi="GHEA Grapalat" w:cs="Calibri"/>
                <w:noProof w:val="0"/>
                <w:color w:val="000000"/>
                <w:sz w:val="18"/>
                <w:szCs w:val="18"/>
              </w:rPr>
              <w:t>-2.1</w:t>
            </w:r>
          </w:p>
        </w:tc>
      </w:tr>
      <w:tr w:rsidR="00AC5F11" w:rsidRPr="00C921DE" w14:paraId="07FCB4CB"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10074" w:type="dxa"/>
            <w:gridSpan w:val="13"/>
            <w:tcBorders>
              <w:top w:val="single" w:sz="8" w:space="0" w:color="4F81BD"/>
              <w:left w:val="single" w:sz="8" w:space="0" w:color="4F81BD"/>
              <w:bottom w:val="single" w:sz="8" w:space="0" w:color="4F81BD"/>
              <w:right w:val="nil"/>
            </w:tcBorders>
            <w:shd w:val="clear" w:color="000000" w:fill="DBE5F1"/>
            <w:vAlign w:val="center"/>
            <w:hideMark/>
          </w:tcPr>
          <w:p w14:paraId="66E20593" w14:textId="77777777" w:rsidR="00AC5F11" w:rsidRPr="00C921DE" w:rsidRDefault="00AC5F11" w:rsidP="00AC5F11">
            <w:pPr>
              <w:rPr>
                <w:rFonts w:ascii="GHEA Grapalat" w:hAnsi="GHEA Grapalat" w:cs="Calibri"/>
                <w:b/>
                <w:bCs/>
                <w:noProof w:val="0"/>
                <w:color w:val="000000"/>
                <w:sz w:val="18"/>
                <w:szCs w:val="18"/>
                <w:lang w:val="en-US"/>
              </w:rPr>
            </w:pPr>
            <w:r w:rsidRPr="00C921DE">
              <w:rPr>
                <w:rFonts w:ascii="GHEA Grapalat" w:hAnsi="GHEA Grapalat" w:cs="Calibri"/>
                <w:b/>
                <w:bCs/>
                <w:noProof w:val="0"/>
                <w:color w:val="000000"/>
                <w:sz w:val="18"/>
                <w:szCs w:val="18"/>
                <w:lang w:val="en-US"/>
              </w:rPr>
              <w:t>Հարկաբյուջետային ցուցանիշներ (մլրդ դրամ)</w:t>
            </w:r>
          </w:p>
        </w:tc>
      </w:tr>
      <w:tr w:rsidR="00AC5F11" w:rsidRPr="00C921DE" w14:paraId="54C3E0CA"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04B081CD" w14:textId="77777777"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Պետական բյուջեի եկամուտներ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027055D7"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1,565.5</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2A99CDB5"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1,560.7</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69755FDC"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1,683.8</w:t>
            </w:r>
          </w:p>
        </w:tc>
        <w:tc>
          <w:tcPr>
            <w:tcW w:w="990" w:type="dxa"/>
            <w:tcBorders>
              <w:top w:val="nil"/>
              <w:left w:val="nil"/>
              <w:bottom w:val="single" w:sz="8" w:space="0" w:color="4F81BD"/>
              <w:right w:val="single" w:sz="8" w:space="0" w:color="4F81BD"/>
            </w:tcBorders>
            <w:shd w:val="clear" w:color="auto" w:fill="auto"/>
            <w:vAlign w:val="center"/>
            <w:hideMark/>
          </w:tcPr>
          <w:p w14:paraId="56EB7A39"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2,063.1</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22BCCDDA"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2,302.0</w:t>
            </w:r>
          </w:p>
        </w:tc>
        <w:tc>
          <w:tcPr>
            <w:tcW w:w="1349" w:type="dxa"/>
            <w:tcBorders>
              <w:top w:val="nil"/>
              <w:left w:val="nil"/>
              <w:bottom w:val="single" w:sz="8" w:space="0" w:color="4F81BD"/>
              <w:right w:val="single" w:sz="8" w:space="0" w:color="4F81BD"/>
            </w:tcBorders>
            <w:shd w:val="clear" w:color="auto" w:fill="auto"/>
            <w:vAlign w:val="center"/>
            <w:hideMark/>
          </w:tcPr>
          <w:p w14:paraId="4031E250"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2,358.8</w:t>
            </w:r>
          </w:p>
        </w:tc>
      </w:tr>
      <w:tr w:rsidR="00AC5F11" w:rsidRPr="00C921DE" w14:paraId="649EB4FB"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79939B64" w14:textId="77777777" w:rsidR="00AC5F11" w:rsidRPr="00C921DE" w:rsidRDefault="00AC5F11" w:rsidP="00AC5F11">
            <w:pPr>
              <w:ind w:firstLineChars="300" w:firstLine="540"/>
              <w:rPr>
                <w:rFonts w:ascii="GHEA Grapalat" w:hAnsi="GHEA Grapalat" w:cs="Calibri"/>
                <w:i/>
                <w:iCs/>
                <w:noProof w:val="0"/>
                <w:color w:val="000000"/>
                <w:sz w:val="18"/>
                <w:szCs w:val="18"/>
                <w:lang w:val="en-US"/>
              </w:rPr>
            </w:pPr>
            <w:r w:rsidRPr="00C921DE">
              <w:rPr>
                <w:rFonts w:ascii="GHEA Grapalat" w:hAnsi="GHEA Grapalat" w:cs="Calibri"/>
                <w:i/>
                <w:iCs/>
                <w:noProof w:val="0"/>
                <w:color w:val="000000"/>
                <w:sz w:val="18"/>
                <w:szCs w:val="18"/>
                <w:lang w:val="en-US"/>
              </w:rPr>
              <w:t>Հարկային եկամուտներ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2EBD4EC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1,464.3</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2F830CAB"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1,385.2</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5189CBB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1,586.9</w:t>
            </w:r>
          </w:p>
        </w:tc>
        <w:tc>
          <w:tcPr>
            <w:tcW w:w="990" w:type="dxa"/>
            <w:tcBorders>
              <w:top w:val="nil"/>
              <w:left w:val="nil"/>
              <w:bottom w:val="single" w:sz="8" w:space="0" w:color="4F81BD"/>
              <w:right w:val="single" w:sz="8" w:space="0" w:color="4F81BD"/>
            </w:tcBorders>
            <w:shd w:val="clear" w:color="auto" w:fill="auto"/>
            <w:vAlign w:val="center"/>
            <w:hideMark/>
          </w:tcPr>
          <w:p w14:paraId="2E5841C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1,926.0</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0ADF7E0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2,203.7</w:t>
            </w:r>
          </w:p>
        </w:tc>
        <w:tc>
          <w:tcPr>
            <w:tcW w:w="1349" w:type="dxa"/>
            <w:tcBorders>
              <w:top w:val="nil"/>
              <w:left w:val="nil"/>
              <w:bottom w:val="single" w:sz="8" w:space="0" w:color="4F81BD"/>
              <w:right w:val="single" w:sz="8" w:space="0" w:color="4F81BD"/>
            </w:tcBorders>
            <w:shd w:val="clear" w:color="auto" w:fill="auto"/>
            <w:vAlign w:val="center"/>
            <w:hideMark/>
          </w:tcPr>
          <w:p w14:paraId="3AF1ADA0"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2,221.9</w:t>
            </w:r>
          </w:p>
        </w:tc>
      </w:tr>
      <w:tr w:rsidR="00AC5F11" w:rsidRPr="00C921DE" w14:paraId="5819D780"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3791E391" w14:textId="77777777"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Պետական բյուջեի ծախսեր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72D3F81B"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1,629.4</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48E21A1F"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1,894.6</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2510E9E9"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2,004.3</w:t>
            </w:r>
          </w:p>
        </w:tc>
        <w:tc>
          <w:tcPr>
            <w:tcW w:w="990" w:type="dxa"/>
            <w:tcBorders>
              <w:top w:val="nil"/>
              <w:left w:val="nil"/>
              <w:bottom w:val="single" w:sz="8" w:space="0" w:color="4F81BD"/>
              <w:right w:val="single" w:sz="8" w:space="0" w:color="4F81BD"/>
            </w:tcBorders>
            <w:shd w:val="clear" w:color="auto" w:fill="auto"/>
            <w:vAlign w:val="center"/>
            <w:hideMark/>
          </w:tcPr>
          <w:p w14:paraId="14EA5089"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2,242.6</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7C2056C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2,591.0</w:t>
            </w:r>
          </w:p>
        </w:tc>
        <w:tc>
          <w:tcPr>
            <w:tcW w:w="1349" w:type="dxa"/>
            <w:tcBorders>
              <w:top w:val="nil"/>
              <w:left w:val="nil"/>
              <w:bottom w:val="single" w:sz="8" w:space="0" w:color="4F81BD"/>
              <w:right w:val="single" w:sz="8" w:space="0" w:color="4F81BD"/>
            </w:tcBorders>
            <w:shd w:val="clear" w:color="auto" w:fill="auto"/>
            <w:vAlign w:val="center"/>
            <w:hideMark/>
          </w:tcPr>
          <w:p w14:paraId="7FAE2DA4"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2,547.6</w:t>
            </w:r>
          </w:p>
        </w:tc>
      </w:tr>
      <w:tr w:rsidR="00AC5F11" w:rsidRPr="00C921DE" w14:paraId="1476B270"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726D2B21" w14:textId="77777777" w:rsidR="00AC5F11" w:rsidRPr="00C921DE" w:rsidRDefault="00AC5F11" w:rsidP="00AC5F11">
            <w:pPr>
              <w:ind w:firstLineChars="200" w:firstLine="360"/>
              <w:rPr>
                <w:rFonts w:ascii="GHEA Grapalat" w:hAnsi="GHEA Grapalat" w:cs="Calibri"/>
                <w:i/>
                <w:iCs/>
                <w:noProof w:val="0"/>
                <w:color w:val="000000"/>
                <w:sz w:val="18"/>
                <w:szCs w:val="18"/>
                <w:lang w:val="en-US"/>
              </w:rPr>
            </w:pPr>
            <w:r w:rsidRPr="00C921DE">
              <w:rPr>
                <w:rFonts w:ascii="GHEA Grapalat" w:hAnsi="GHEA Grapalat" w:cs="Calibri"/>
                <w:i/>
                <w:iCs/>
                <w:noProof w:val="0"/>
                <w:color w:val="000000"/>
                <w:sz w:val="18"/>
                <w:szCs w:val="18"/>
                <w:lang w:val="en-US"/>
              </w:rPr>
              <w:t>Ընթացիկ ծախսեր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611C84D3"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1,437.1</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1E208BF7" w14:textId="7F8F135F" w:rsidR="00AC5F11" w:rsidRPr="00C921DE" w:rsidRDefault="00AC5F11" w:rsidP="00A53875">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1,668.</w:t>
            </w:r>
            <w:r w:rsidR="00A53875" w:rsidRPr="00C921DE">
              <w:rPr>
                <w:rFonts w:ascii="GHEA Grapalat" w:hAnsi="GHEA Grapalat" w:cs="Calibri"/>
                <w:noProof w:val="0"/>
                <w:color w:val="000000"/>
                <w:sz w:val="18"/>
                <w:szCs w:val="18"/>
                <w:lang w:val="en-US"/>
              </w:rPr>
              <w:t>5</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61A63920"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1,788.0</w:t>
            </w:r>
          </w:p>
        </w:tc>
        <w:tc>
          <w:tcPr>
            <w:tcW w:w="990" w:type="dxa"/>
            <w:tcBorders>
              <w:top w:val="nil"/>
              <w:left w:val="nil"/>
              <w:bottom w:val="single" w:sz="8" w:space="0" w:color="4F81BD"/>
              <w:right w:val="single" w:sz="8" w:space="0" w:color="4F81BD"/>
            </w:tcBorders>
            <w:shd w:val="clear" w:color="auto" w:fill="auto"/>
            <w:vAlign w:val="center"/>
            <w:hideMark/>
          </w:tcPr>
          <w:p w14:paraId="40EA7BE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1,862.2</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7E9F5F3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2,043.3</w:t>
            </w:r>
          </w:p>
        </w:tc>
        <w:tc>
          <w:tcPr>
            <w:tcW w:w="1349" w:type="dxa"/>
            <w:tcBorders>
              <w:top w:val="nil"/>
              <w:left w:val="nil"/>
              <w:bottom w:val="single" w:sz="8" w:space="0" w:color="4F81BD"/>
              <w:right w:val="single" w:sz="8" w:space="0" w:color="4F81BD"/>
            </w:tcBorders>
            <w:shd w:val="clear" w:color="auto" w:fill="auto"/>
            <w:vAlign w:val="center"/>
            <w:hideMark/>
          </w:tcPr>
          <w:p w14:paraId="4314EA8B"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2,075.1</w:t>
            </w:r>
          </w:p>
        </w:tc>
      </w:tr>
      <w:tr w:rsidR="00AC5F11" w:rsidRPr="00C921DE" w14:paraId="53875CD9"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55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28A8214B" w14:textId="243C4288" w:rsidR="00AC5F11" w:rsidRPr="00C921DE" w:rsidRDefault="00AC5F11" w:rsidP="00AC5F11">
            <w:pPr>
              <w:ind w:firstLineChars="200" w:firstLine="360"/>
              <w:rPr>
                <w:rFonts w:ascii="GHEA Grapalat" w:hAnsi="GHEA Grapalat" w:cs="Calibri"/>
                <w:i/>
                <w:iCs/>
                <w:noProof w:val="0"/>
                <w:color w:val="000000"/>
                <w:sz w:val="18"/>
                <w:szCs w:val="18"/>
              </w:rPr>
            </w:pPr>
            <w:r w:rsidRPr="00C921DE">
              <w:rPr>
                <w:rFonts w:ascii="GHEA Grapalat" w:hAnsi="GHEA Grapalat" w:cs="Calibri"/>
                <w:i/>
                <w:iCs/>
                <w:noProof w:val="0"/>
                <w:color w:val="000000"/>
                <w:sz w:val="18"/>
                <w:szCs w:val="18"/>
              </w:rPr>
              <w:t>Ոչ ֆինանսական ակտիվների</w:t>
            </w:r>
            <w:r w:rsidR="006D7C4F" w:rsidRPr="00C921DE">
              <w:rPr>
                <w:rFonts w:ascii="GHEA Grapalat" w:hAnsi="GHEA Grapalat" w:cs="Calibri"/>
                <w:i/>
                <w:iCs/>
                <w:noProof w:val="0"/>
                <w:color w:val="000000"/>
                <w:sz w:val="18"/>
                <w:szCs w:val="18"/>
              </w:rPr>
              <w:t xml:space="preserve"> </w:t>
            </w:r>
            <w:r w:rsidRPr="00C921DE">
              <w:rPr>
                <w:rFonts w:ascii="GHEA Grapalat" w:hAnsi="GHEA Grapalat" w:cs="Calibri"/>
                <w:i/>
                <w:iCs/>
                <w:noProof w:val="0"/>
                <w:color w:val="000000"/>
                <w:sz w:val="18"/>
                <w:szCs w:val="18"/>
              </w:rPr>
              <w:t>հետ գործառնություններ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55121356"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192.3</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317CA2F5"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226.2</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15846D3E"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216.3</w:t>
            </w:r>
          </w:p>
        </w:tc>
        <w:tc>
          <w:tcPr>
            <w:tcW w:w="990" w:type="dxa"/>
            <w:tcBorders>
              <w:top w:val="nil"/>
              <w:left w:val="nil"/>
              <w:bottom w:val="single" w:sz="8" w:space="0" w:color="4F81BD"/>
              <w:right w:val="single" w:sz="8" w:space="0" w:color="4F81BD"/>
            </w:tcBorders>
            <w:shd w:val="clear" w:color="auto" w:fill="auto"/>
            <w:vAlign w:val="center"/>
            <w:hideMark/>
          </w:tcPr>
          <w:p w14:paraId="145FAE0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380.4</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35A324F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547.7</w:t>
            </w:r>
          </w:p>
        </w:tc>
        <w:tc>
          <w:tcPr>
            <w:tcW w:w="1349" w:type="dxa"/>
            <w:tcBorders>
              <w:top w:val="nil"/>
              <w:left w:val="nil"/>
              <w:bottom w:val="single" w:sz="8" w:space="0" w:color="4F81BD"/>
              <w:right w:val="single" w:sz="8" w:space="0" w:color="4F81BD"/>
            </w:tcBorders>
            <w:shd w:val="clear" w:color="auto" w:fill="auto"/>
            <w:vAlign w:val="center"/>
            <w:hideMark/>
          </w:tcPr>
          <w:p w14:paraId="4ECE184F"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472.6</w:t>
            </w:r>
          </w:p>
        </w:tc>
      </w:tr>
      <w:tr w:rsidR="00AC5F11" w:rsidRPr="00C921DE" w14:paraId="6BC5EAC0"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55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0B01DBFC" w14:textId="77777777"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Պետական բյուջեի պակասուրդի ֆինանսավորում</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6160FC4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63.9</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60BB36AA" w14:textId="63830D2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334</w:t>
            </w:r>
            <w:r w:rsidR="00157C6D" w:rsidRPr="00C921DE">
              <w:rPr>
                <w:rFonts w:ascii="GHEA Grapalat" w:hAnsi="GHEA Grapalat" w:cs="Calibri"/>
                <w:noProof w:val="0"/>
                <w:color w:val="000000"/>
                <w:sz w:val="18"/>
                <w:szCs w:val="18"/>
                <w:lang w:val="en-US"/>
              </w:rPr>
              <w:t>.0</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092CEFCD" w14:textId="2EE72AE9" w:rsidR="00AC5F11" w:rsidRPr="00C921DE" w:rsidRDefault="00AC5F11" w:rsidP="00157C6D">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320.</w:t>
            </w:r>
            <w:r w:rsidR="00157C6D" w:rsidRPr="00C921DE">
              <w:rPr>
                <w:rFonts w:ascii="GHEA Grapalat" w:hAnsi="GHEA Grapalat" w:cs="Calibri"/>
                <w:noProof w:val="0"/>
                <w:color w:val="000000"/>
                <w:sz w:val="18"/>
                <w:szCs w:val="18"/>
                <w:lang w:val="en-US"/>
              </w:rPr>
              <w:t>5</w:t>
            </w:r>
          </w:p>
        </w:tc>
        <w:tc>
          <w:tcPr>
            <w:tcW w:w="990" w:type="dxa"/>
            <w:tcBorders>
              <w:top w:val="nil"/>
              <w:left w:val="nil"/>
              <w:bottom w:val="single" w:sz="8" w:space="0" w:color="4F81BD"/>
              <w:right w:val="single" w:sz="8" w:space="0" w:color="4F81BD"/>
            </w:tcBorders>
            <w:shd w:val="clear" w:color="auto" w:fill="auto"/>
            <w:vAlign w:val="center"/>
            <w:hideMark/>
          </w:tcPr>
          <w:p w14:paraId="1BF84F5C" w14:textId="7565E8CF" w:rsidR="00AC5F11" w:rsidRPr="00C921DE" w:rsidRDefault="00AC5F11" w:rsidP="00157C6D">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179.5</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200945A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289.0</w:t>
            </w:r>
          </w:p>
        </w:tc>
        <w:tc>
          <w:tcPr>
            <w:tcW w:w="1349" w:type="dxa"/>
            <w:tcBorders>
              <w:top w:val="nil"/>
              <w:left w:val="nil"/>
              <w:bottom w:val="single" w:sz="8" w:space="0" w:color="4F81BD"/>
              <w:right w:val="single" w:sz="8" w:space="0" w:color="4F81BD"/>
            </w:tcBorders>
            <w:shd w:val="clear" w:color="auto" w:fill="auto"/>
            <w:vAlign w:val="center"/>
            <w:hideMark/>
          </w:tcPr>
          <w:p w14:paraId="1EC0F6B9"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188.9</w:t>
            </w:r>
          </w:p>
        </w:tc>
      </w:tr>
      <w:tr w:rsidR="00AC5F11" w:rsidRPr="00C921DE" w14:paraId="7F0544FF"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22CBB5E6" w14:textId="0E73EE6D"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ՀՀ</w:t>
            </w:r>
            <w:r w:rsidR="006D7C4F" w:rsidRPr="00C921DE">
              <w:rPr>
                <w:rFonts w:ascii="GHEA Grapalat" w:hAnsi="GHEA Grapalat" w:cs="Calibri"/>
                <w:noProof w:val="0"/>
                <w:color w:val="000000"/>
                <w:sz w:val="18"/>
                <w:szCs w:val="18"/>
                <w:lang w:val="en-US"/>
              </w:rPr>
              <w:t xml:space="preserve"> </w:t>
            </w:r>
            <w:r w:rsidRPr="00C921DE">
              <w:rPr>
                <w:rFonts w:ascii="GHEA Grapalat" w:hAnsi="GHEA Grapalat" w:cs="Calibri"/>
                <w:noProof w:val="0"/>
                <w:color w:val="000000"/>
                <w:sz w:val="18"/>
                <w:szCs w:val="18"/>
                <w:lang w:val="en-US"/>
              </w:rPr>
              <w:t>կառավարության պարտք</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7C0DECA0"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3,277.3</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3D3BBF8B"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3,923.9</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3830166E"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4,209.8</w:t>
            </w:r>
          </w:p>
        </w:tc>
        <w:tc>
          <w:tcPr>
            <w:tcW w:w="990" w:type="dxa"/>
            <w:tcBorders>
              <w:top w:val="nil"/>
              <w:left w:val="nil"/>
              <w:bottom w:val="single" w:sz="8" w:space="0" w:color="4F81BD"/>
              <w:right w:val="single" w:sz="8" w:space="0" w:color="4F81BD"/>
            </w:tcBorders>
            <w:shd w:val="clear" w:color="auto" w:fill="auto"/>
            <w:vAlign w:val="center"/>
            <w:hideMark/>
          </w:tcPr>
          <w:p w14:paraId="27D9591F"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3,969.7</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583CC7F6"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4,625.0</w:t>
            </w:r>
          </w:p>
        </w:tc>
        <w:tc>
          <w:tcPr>
            <w:tcW w:w="1349" w:type="dxa"/>
            <w:tcBorders>
              <w:top w:val="nil"/>
              <w:left w:val="nil"/>
              <w:bottom w:val="single" w:sz="8" w:space="0" w:color="4F81BD"/>
              <w:right w:val="single" w:sz="8" w:space="0" w:color="4F81BD"/>
            </w:tcBorders>
            <w:shd w:val="clear" w:color="auto" w:fill="auto"/>
            <w:vAlign w:val="center"/>
            <w:hideMark/>
          </w:tcPr>
          <w:p w14:paraId="2ED0101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4,571.9</w:t>
            </w:r>
          </w:p>
        </w:tc>
      </w:tr>
      <w:tr w:rsidR="00AC5F11" w:rsidRPr="00C921DE" w14:paraId="71CBA44B"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10074" w:type="dxa"/>
            <w:gridSpan w:val="13"/>
            <w:tcBorders>
              <w:top w:val="single" w:sz="8" w:space="0" w:color="4F81BD"/>
              <w:left w:val="single" w:sz="8" w:space="0" w:color="4F81BD"/>
              <w:bottom w:val="single" w:sz="8" w:space="0" w:color="4F81BD"/>
              <w:right w:val="nil"/>
            </w:tcBorders>
            <w:shd w:val="clear" w:color="000000" w:fill="DBE5F1"/>
            <w:vAlign w:val="center"/>
            <w:hideMark/>
          </w:tcPr>
          <w:p w14:paraId="0834EF43" w14:textId="77777777" w:rsidR="00AC5F11" w:rsidRPr="00C921DE" w:rsidRDefault="00AC5F11" w:rsidP="00AC5F11">
            <w:pPr>
              <w:rPr>
                <w:rFonts w:ascii="GHEA Grapalat" w:hAnsi="GHEA Grapalat" w:cs="Calibri"/>
                <w:b/>
                <w:bCs/>
                <w:noProof w:val="0"/>
                <w:color w:val="000000"/>
                <w:sz w:val="18"/>
                <w:szCs w:val="18"/>
              </w:rPr>
            </w:pPr>
            <w:r w:rsidRPr="00C921DE">
              <w:rPr>
                <w:rFonts w:ascii="GHEA Grapalat" w:hAnsi="GHEA Grapalat" w:cs="Calibri"/>
                <w:b/>
                <w:bCs/>
                <w:noProof w:val="0"/>
                <w:color w:val="000000"/>
                <w:sz w:val="18"/>
                <w:szCs w:val="18"/>
              </w:rPr>
              <w:t xml:space="preserve">Հարկաբյուջետային ցուցանիշները (ՀՆԱ-ի նկատմամբ %) </w:t>
            </w:r>
          </w:p>
        </w:tc>
      </w:tr>
      <w:tr w:rsidR="00AC5F11" w:rsidRPr="00C921DE" w14:paraId="1D6D139D"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2C6AD1F9" w14:textId="77777777"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Պետական բյուջեի եկամուտներ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190619B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23.9</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1A148C25"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25.2</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2151300D"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24.1</w:t>
            </w:r>
          </w:p>
        </w:tc>
        <w:tc>
          <w:tcPr>
            <w:tcW w:w="990" w:type="dxa"/>
            <w:tcBorders>
              <w:top w:val="nil"/>
              <w:left w:val="nil"/>
              <w:bottom w:val="single" w:sz="8" w:space="0" w:color="4F81BD"/>
              <w:right w:val="single" w:sz="8" w:space="0" w:color="4F81BD"/>
            </w:tcBorders>
            <w:shd w:val="clear" w:color="auto" w:fill="auto"/>
            <w:vAlign w:val="center"/>
            <w:hideMark/>
          </w:tcPr>
          <w:p w14:paraId="42AD1693"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24.3</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0547D38E"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24.7</w:t>
            </w:r>
          </w:p>
        </w:tc>
        <w:tc>
          <w:tcPr>
            <w:tcW w:w="1349" w:type="dxa"/>
            <w:tcBorders>
              <w:top w:val="nil"/>
              <w:left w:val="nil"/>
              <w:bottom w:val="single" w:sz="8" w:space="0" w:color="4F81BD"/>
              <w:right w:val="single" w:sz="8" w:space="0" w:color="4F81BD"/>
            </w:tcBorders>
            <w:shd w:val="clear" w:color="auto" w:fill="auto"/>
            <w:vAlign w:val="center"/>
            <w:hideMark/>
          </w:tcPr>
          <w:p w14:paraId="2F8BB35F"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24.8</w:t>
            </w:r>
          </w:p>
        </w:tc>
      </w:tr>
      <w:tr w:rsidR="00AC5F11" w:rsidRPr="00C921DE" w14:paraId="7238251A"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7C96282D" w14:textId="77777777" w:rsidR="00AC5F11" w:rsidRPr="00C921DE" w:rsidRDefault="00AC5F11" w:rsidP="00AC5F11">
            <w:pPr>
              <w:ind w:firstLineChars="300" w:firstLine="540"/>
              <w:rPr>
                <w:rFonts w:ascii="GHEA Grapalat" w:hAnsi="GHEA Grapalat" w:cs="Calibri"/>
                <w:i/>
                <w:iCs/>
                <w:noProof w:val="0"/>
                <w:color w:val="000000"/>
                <w:sz w:val="18"/>
                <w:szCs w:val="18"/>
                <w:lang w:val="en-US"/>
              </w:rPr>
            </w:pPr>
            <w:r w:rsidRPr="00C921DE">
              <w:rPr>
                <w:rFonts w:ascii="GHEA Grapalat" w:hAnsi="GHEA Grapalat" w:cs="Calibri"/>
                <w:i/>
                <w:iCs/>
                <w:noProof w:val="0"/>
                <w:color w:val="000000"/>
                <w:sz w:val="18"/>
                <w:szCs w:val="18"/>
                <w:lang w:val="en-US"/>
              </w:rPr>
              <w:t>Հարկային եկամուտներ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279044C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22.4</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64AA641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22.4</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77CDFD13"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22.7</w:t>
            </w:r>
          </w:p>
        </w:tc>
        <w:tc>
          <w:tcPr>
            <w:tcW w:w="990" w:type="dxa"/>
            <w:tcBorders>
              <w:top w:val="nil"/>
              <w:left w:val="nil"/>
              <w:bottom w:val="single" w:sz="8" w:space="0" w:color="4F81BD"/>
              <w:right w:val="single" w:sz="8" w:space="0" w:color="4F81BD"/>
            </w:tcBorders>
            <w:shd w:val="clear" w:color="auto" w:fill="auto"/>
            <w:vAlign w:val="center"/>
            <w:hideMark/>
          </w:tcPr>
          <w:p w14:paraId="3472A96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22.7</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2DD8C23C"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23.7</w:t>
            </w:r>
          </w:p>
        </w:tc>
        <w:tc>
          <w:tcPr>
            <w:tcW w:w="1349" w:type="dxa"/>
            <w:tcBorders>
              <w:top w:val="nil"/>
              <w:left w:val="nil"/>
              <w:bottom w:val="single" w:sz="8" w:space="0" w:color="4F81BD"/>
              <w:right w:val="single" w:sz="8" w:space="0" w:color="4F81BD"/>
            </w:tcBorders>
            <w:shd w:val="clear" w:color="auto" w:fill="auto"/>
            <w:vAlign w:val="center"/>
            <w:hideMark/>
          </w:tcPr>
          <w:p w14:paraId="6FA04306"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23.4</w:t>
            </w:r>
          </w:p>
        </w:tc>
      </w:tr>
      <w:tr w:rsidR="00AC5F11" w:rsidRPr="00C921DE" w14:paraId="2BD688F4"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6EF4543F" w14:textId="77777777"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Պետական բյուջեի ծախսեր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2E50F43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24.9</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72B4C6A7"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30.6</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1C35E01E"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28.7</w:t>
            </w:r>
          </w:p>
        </w:tc>
        <w:tc>
          <w:tcPr>
            <w:tcW w:w="990" w:type="dxa"/>
            <w:tcBorders>
              <w:top w:val="nil"/>
              <w:left w:val="nil"/>
              <w:bottom w:val="single" w:sz="8" w:space="0" w:color="4F81BD"/>
              <w:right w:val="single" w:sz="8" w:space="0" w:color="4F81BD"/>
            </w:tcBorders>
            <w:shd w:val="clear" w:color="auto" w:fill="auto"/>
            <w:vAlign w:val="center"/>
            <w:hideMark/>
          </w:tcPr>
          <w:p w14:paraId="59E3A4A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26.4</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0D309EFF"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27.8</w:t>
            </w:r>
          </w:p>
        </w:tc>
        <w:tc>
          <w:tcPr>
            <w:tcW w:w="1349" w:type="dxa"/>
            <w:tcBorders>
              <w:top w:val="nil"/>
              <w:left w:val="nil"/>
              <w:bottom w:val="single" w:sz="8" w:space="0" w:color="4F81BD"/>
              <w:right w:val="single" w:sz="8" w:space="0" w:color="4F81BD"/>
            </w:tcBorders>
            <w:shd w:val="clear" w:color="auto" w:fill="auto"/>
            <w:vAlign w:val="center"/>
            <w:hideMark/>
          </w:tcPr>
          <w:p w14:paraId="1D504793"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26.8</w:t>
            </w:r>
          </w:p>
        </w:tc>
      </w:tr>
      <w:tr w:rsidR="00AC5F11" w:rsidRPr="00C921DE" w14:paraId="32049CA4"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6050B51B" w14:textId="7DDA4E33" w:rsidR="00AC5F11" w:rsidRPr="00C921DE" w:rsidRDefault="006D7C4F" w:rsidP="00AC5F11">
            <w:pPr>
              <w:rPr>
                <w:rFonts w:ascii="GHEA Grapalat" w:hAnsi="GHEA Grapalat" w:cs="Calibri"/>
                <w:i/>
                <w:iCs/>
                <w:noProof w:val="0"/>
                <w:color w:val="000000"/>
                <w:sz w:val="18"/>
                <w:szCs w:val="18"/>
                <w:lang w:val="en-US"/>
              </w:rPr>
            </w:pPr>
            <w:r w:rsidRPr="00C921DE">
              <w:rPr>
                <w:rFonts w:ascii="GHEA Grapalat" w:hAnsi="GHEA Grapalat" w:cs="Calibri"/>
                <w:i/>
                <w:iCs/>
                <w:noProof w:val="0"/>
                <w:color w:val="000000"/>
                <w:sz w:val="18"/>
                <w:szCs w:val="18"/>
                <w:lang w:val="en-US"/>
              </w:rPr>
              <w:t xml:space="preserve"> </w:t>
            </w:r>
            <w:r w:rsidR="00AC5F11" w:rsidRPr="00C921DE">
              <w:rPr>
                <w:rFonts w:ascii="GHEA Grapalat" w:hAnsi="GHEA Grapalat" w:cs="Calibri"/>
                <w:i/>
                <w:iCs/>
                <w:noProof w:val="0"/>
                <w:color w:val="000000"/>
                <w:sz w:val="18"/>
                <w:szCs w:val="18"/>
                <w:lang w:val="en-US"/>
              </w:rPr>
              <w:t>Ընթացիկ ծախսեր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1340BD0E"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22.0</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35A1794F"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27.0</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0EB7A085"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25.6</w:t>
            </w:r>
          </w:p>
        </w:tc>
        <w:tc>
          <w:tcPr>
            <w:tcW w:w="990" w:type="dxa"/>
            <w:tcBorders>
              <w:top w:val="nil"/>
              <w:left w:val="nil"/>
              <w:bottom w:val="single" w:sz="8" w:space="0" w:color="4F81BD"/>
              <w:right w:val="single" w:sz="8" w:space="0" w:color="4F81BD"/>
            </w:tcBorders>
            <w:shd w:val="clear" w:color="auto" w:fill="auto"/>
            <w:vAlign w:val="center"/>
            <w:hideMark/>
          </w:tcPr>
          <w:p w14:paraId="3595D97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21.9</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50C4B18D"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21.9</w:t>
            </w:r>
          </w:p>
        </w:tc>
        <w:tc>
          <w:tcPr>
            <w:tcW w:w="1349" w:type="dxa"/>
            <w:tcBorders>
              <w:top w:val="nil"/>
              <w:left w:val="nil"/>
              <w:bottom w:val="single" w:sz="8" w:space="0" w:color="4F81BD"/>
              <w:right w:val="single" w:sz="8" w:space="0" w:color="4F81BD"/>
            </w:tcBorders>
            <w:shd w:val="clear" w:color="auto" w:fill="auto"/>
            <w:vAlign w:val="center"/>
            <w:hideMark/>
          </w:tcPr>
          <w:p w14:paraId="24DC49B6"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21.8</w:t>
            </w:r>
          </w:p>
        </w:tc>
      </w:tr>
      <w:tr w:rsidR="00AC5F11" w:rsidRPr="00C921DE" w14:paraId="596FBD3D"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55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75FA0B07" w14:textId="7485CCD3" w:rsidR="00AC5F11" w:rsidRPr="00C921DE" w:rsidRDefault="006D7C4F" w:rsidP="00AC5F11">
            <w:pPr>
              <w:rPr>
                <w:rFonts w:ascii="GHEA Grapalat" w:hAnsi="GHEA Grapalat" w:cs="Calibri"/>
                <w:i/>
                <w:iCs/>
                <w:noProof w:val="0"/>
                <w:color w:val="000000"/>
                <w:sz w:val="18"/>
                <w:szCs w:val="18"/>
              </w:rPr>
            </w:pPr>
            <w:r w:rsidRPr="00C921DE">
              <w:rPr>
                <w:rFonts w:ascii="GHEA Grapalat" w:hAnsi="GHEA Grapalat" w:cs="Calibri"/>
                <w:i/>
                <w:iCs/>
                <w:noProof w:val="0"/>
                <w:color w:val="000000"/>
                <w:sz w:val="18"/>
                <w:szCs w:val="18"/>
              </w:rPr>
              <w:t xml:space="preserve"> </w:t>
            </w:r>
            <w:r w:rsidR="00AC5F11" w:rsidRPr="00C921DE">
              <w:rPr>
                <w:rFonts w:ascii="GHEA Grapalat" w:hAnsi="GHEA Grapalat" w:cs="Calibri"/>
                <w:i/>
                <w:iCs/>
                <w:noProof w:val="0"/>
                <w:color w:val="000000"/>
                <w:sz w:val="18"/>
                <w:szCs w:val="18"/>
              </w:rPr>
              <w:t>Ոչ ֆինանսական ակտիվների</w:t>
            </w:r>
            <w:r w:rsidRPr="00C921DE">
              <w:rPr>
                <w:rFonts w:ascii="GHEA Grapalat" w:hAnsi="GHEA Grapalat" w:cs="Calibri"/>
                <w:i/>
                <w:iCs/>
                <w:noProof w:val="0"/>
                <w:color w:val="000000"/>
                <w:sz w:val="18"/>
                <w:szCs w:val="18"/>
              </w:rPr>
              <w:t xml:space="preserve"> </w:t>
            </w:r>
            <w:r w:rsidR="00AC5F11" w:rsidRPr="00C921DE">
              <w:rPr>
                <w:rFonts w:ascii="GHEA Grapalat" w:hAnsi="GHEA Grapalat" w:cs="Calibri"/>
                <w:i/>
                <w:iCs/>
                <w:noProof w:val="0"/>
                <w:color w:val="000000"/>
                <w:sz w:val="18"/>
                <w:szCs w:val="18"/>
              </w:rPr>
              <w:t>հետ գործառնություններ</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14860860"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2.9</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74FC1606"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3.7</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05E5EB8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3.1</w:t>
            </w:r>
          </w:p>
        </w:tc>
        <w:tc>
          <w:tcPr>
            <w:tcW w:w="990" w:type="dxa"/>
            <w:tcBorders>
              <w:top w:val="nil"/>
              <w:left w:val="nil"/>
              <w:bottom w:val="single" w:sz="8" w:space="0" w:color="4F81BD"/>
              <w:right w:val="single" w:sz="8" w:space="0" w:color="4F81BD"/>
            </w:tcBorders>
            <w:shd w:val="clear" w:color="auto" w:fill="auto"/>
            <w:vAlign w:val="center"/>
            <w:hideMark/>
          </w:tcPr>
          <w:p w14:paraId="60886923"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4.5</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6C36432C"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5.9</w:t>
            </w:r>
          </w:p>
        </w:tc>
        <w:tc>
          <w:tcPr>
            <w:tcW w:w="1349" w:type="dxa"/>
            <w:tcBorders>
              <w:top w:val="nil"/>
              <w:left w:val="nil"/>
              <w:bottom w:val="single" w:sz="8" w:space="0" w:color="4F81BD"/>
              <w:right w:val="single" w:sz="8" w:space="0" w:color="4F81BD"/>
            </w:tcBorders>
            <w:shd w:val="clear" w:color="auto" w:fill="auto"/>
            <w:vAlign w:val="center"/>
            <w:hideMark/>
          </w:tcPr>
          <w:p w14:paraId="78BBD88E"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5.0</w:t>
            </w:r>
          </w:p>
        </w:tc>
      </w:tr>
      <w:tr w:rsidR="00AC5F11" w:rsidRPr="00C921DE" w14:paraId="330521D5"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2EBBBE87" w14:textId="77777777"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Պետական բյուջեի պակասուրդ</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73891410"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1.0</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6CD38D8A"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5.4</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0AE9DE59"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4.6</w:t>
            </w:r>
          </w:p>
        </w:tc>
        <w:tc>
          <w:tcPr>
            <w:tcW w:w="990" w:type="dxa"/>
            <w:tcBorders>
              <w:top w:val="nil"/>
              <w:left w:val="nil"/>
              <w:bottom w:val="single" w:sz="8" w:space="0" w:color="4F81BD"/>
              <w:right w:val="single" w:sz="8" w:space="0" w:color="4F81BD"/>
            </w:tcBorders>
            <w:shd w:val="clear" w:color="auto" w:fill="auto"/>
            <w:vAlign w:val="center"/>
            <w:hideMark/>
          </w:tcPr>
          <w:p w14:paraId="4903AF82"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2.1</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2D70EA64"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3.1</w:t>
            </w:r>
          </w:p>
        </w:tc>
        <w:tc>
          <w:tcPr>
            <w:tcW w:w="1349" w:type="dxa"/>
            <w:tcBorders>
              <w:top w:val="nil"/>
              <w:left w:val="nil"/>
              <w:bottom w:val="single" w:sz="8" w:space="0" w:color="4F81BD"/>
              <w:right w:val="single" w:sz="8" w:space="0" w:color="4F81BD"/>
            </w:tcBorders>
            <w:shd w:val="clear" w:color="auto" w:fill="auto"/>
            <w:vAlign w:val="center"/>
            <w:hideMark/>
          </w:tcPr>
          <w:p w14:paraId="5FDCC1D6"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2.0</w:t>
            </w:r>
          </w:p>
        </w:tc>
      </w:tr>
      <w:tr w:rsidR="00AC5F11" w:rsidRPr="00C921DE" w14:paraId="5C8A6413" w14:textId="77777777" w:rsidTr="00AC5F1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15"/>
        </w:trPr>
        <w:tc>
          <w:tcPr>
            <w:tcW w:w="3235" w:type="dxa"/>
            <w:tcBorders>
              <w:top w:val="nil"/>
              <w:left w:val="single" w:sz="8" w:space="0" w:color="4F81BD"/>
              <w:bottom w:val="single" w:sz="8" w:space="0" w:color="4F81BD"/>
              <w:right w:val="single" w:sz="8" w:space="0" w:color="4F81BD"/>
            </w:tcBorders>
            <w:shd w:val="clear" w:color="auto" w:fill="auto"/>
            <w:vAlign w:val="center"/>
            <w:hideMark/>
          </w:tcPr>
          <w:p w14:paraId="66EFC237" w14:textId="0BB13656" w:rsidR="00AC5F11" w:rsidRPr="00C921DE" w:rsidRDefault="00AC5F11" w:rsidP="00AC5F11">
            <w:pP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ՀՀ</w:t>
            </w:r>
            <w:r w:rsidR="006D7C4F" w:rsidRPr="00C921DE">
              <w:rPr>
                <w:rFonts w:ascii="GHEA Grapalat" w:hAnsi="GHEA Grapalat" w:cs="Calibri"/>
                <w:noProof w:val="0"/>
                <w:color w:val="000000"/>
                <w:sz w:val="18"/>
                <w:szCs w:val="18"/>
                <w:lang w:val="en-US"/>
              </w:rPr>
              <w:t xml:space="preserve"> </w:t>
            </w:r>
            <w:r w:rsidRPr="00C921DE">
              <w:rPr>
                <w:rFonts w:ascii="GHEA Grapalat" w:hAnsi="GHEA Grapalat" w:cs="Calibri"/>
                <w:noProof w:val="0"/>
                <w:color w:val="000000"/>
                <w:sz w:val="18"/>
                <w:szCs w:val="18"/>
                <w:lang w:val="en-US"/>
              </w:rPr>
              <w:t>կառավարության պարտք</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16FAB005"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50.1</w:t>
            </w:r>
          </w:p>
        </w:tc>
        <w:tc>
          <w:tcPr>
            <w:tcW w:w="1170" w:type="dxa"/>
            <w:gridSpan w:val="3"/>
            <w:tcBorders>
              <w:top w:val="nil"/>
              <w:left w:val="nil"/>
              <w:bottom w:val="single" w:sz="8" w:space="0" w:color="4F81BD"/>
              <w:right w:val="single" w:sz="8" w:space="0" w:color="4F81BD"/>
            </w:tcBorders>
            <w:shd w:val="clear" w:color="auto" w:fill="auto"/>
            <w:vAlign w:val="center"/>
            <w:hideMark/>
          </w:tcPr>
          <w:p w14:paraId="2A3F62D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63.5</w:t>
            </w:r>
          </w:p>
        </w:tc>
        <w:tc>
          <w:tcPr>
            <w:tcW w:w="990" w:type="dxa"/>
            <w:gridSpan w:val="2"/>
            <w:tcBorders>
              <w:top w:val="nil"/>
              <w:left w:val="nil"/>
              <w:bottom w:val="single" w:sz="8" w:space="0" w:color="4F81BD"/>
              <w:right w:val="single" w:sz="8" w:space="0" w:color="4F81BD"/>
            </w:tcBorders>
            <w:shd w:val="clear" w:color="auto" w:fill="auto"/>
            <w:vAlign w:val="center"/>
            <w:hideMark/>
          </w:tcPr>
          <w:p w14:paraId="5CBFC6B1"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60.2</w:t>
            </w:r>
          </w:p>
        </w:tc>
        <w:tc>
          <w:tcPr>
            <w:tcW w:w="990" w:type="dxa"/>
            <w:tcBorders>
              <w:top w:val="nil"/>
              <w:left w:val="nil"/>
              <w:bottom w:val="single" w:sz="8" w:space="0" w:color="4F81BD"/>
              <w:right w:val="single" w:sz="8" w:space="0" w:color="4F81BD"/>
            </w:tcBorders>
            <w:shd w:val="clear" w:color="auto" w:fill="auto"/>
            <w:vAlign w:val="center"/>
            <w:hideMark/>
          </w:tcPr>
          <w:p w14:paraId="4436666B"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46.7</w:t>
            </w:r>
          </w:p>
        </w:tc>
        <w:tc>
          <w:tcPr>
            <w:tcW w:w="1350" w:type="dxa"/>
            <w:gridSpan w:val="3"/>
            <w:tcBorders>
              <w:top w:val="nil"/>
              <w:left w:val="nil"/>
              <w:bottom w:val="single" w:sz="8" w:space="0" w:color="4F81BD"/>
              <w:right w:val="single" w:sz="8" w:space="0" w:color="4F81BD"/>
            </w:tcBorders>
            <w:shd w:val="clear" w:color="auto" w:fill="auto"/>
            <w:vAlign w:val="center"/>
            <w:hideMark/>
          </w:tcPr>
          <w:p w14:paraId="7603E2D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49.8</w:t>
            </w:r>
          </w:p>
        </w:tc>
        <w:tc>
          <w:tcPr>
            <w:tcW w:w="1349" w:type="dxa"/>
            <w:tcBorders>
              <w:top w:val="nil"/>
              <w:left w:val="nil"/>
              <w:bottom w:val="single" w:sz="8" w:space="0" w:color="4F81BD"/>
              <w:right w:val="single" w:sz="8" w:space="0" w:color="4F81BD"/>
            </w:tcBorders>
            <w:shd w:val="clear" w:color="auto" w:fill="auto"/>
            <w:vAlign w:val="center"/>
            <w:hideMark/>
          </w:tcPr>
          <w:p w14:paraId="0E227FB8" w14:textId="77777777" w:rsidR="00AC5F11" w:rsidRPr="00C921DE" w:rsidRDefault="00AC5F11" w:rsidP="00AC5F11">
            <w:pPr>
              <w:jc w:val="center"/>
              <w:rPr>
                <w:rFonts w:ascii="GHEA Grapalat" w:hAnsi="GHEA Grapalat" w:cs="Calibri"/>
                <w:noProof w:val="0"/>
                <w:color w:val="000000"/>
                <w:sz w:val="18"/>
                <w:szCs w:val="18"/>
                <w:lang w:val="en-US"/>
              </w:rPr>
            </w:pPr>
            <w:r w:rsidRPr="00C921DE">
              <w:rPr>
                <w:rFonts w:ascii="GHEA Grapalat" w:hAnsi="GHEA Grapalat" w:cs="Calibri"/>
                <w:noProof w:val="0"/>
                <w:color w:val="000000"/>
                <w:sz w:val="18"/>
                <w:szCs w:val="18"/>
                <w:lang w:val="en-US"/>
              </w:rPr>
              <w:t>48.1</w:t>
            </w:r>
          </w:p>
        </w:tc>
      </w:tr>
    </w:tbl>
    <w:p w14:paraId="4EECE219" w14:textId="77777777" w:rsidR="00AC5F11" w:rsidRPr="00C921DE" w:rsidRDefault="00AC5F11" w:rsidP="00E42444">
      <w:pPr>
        <w:pStyle w:val="ListParagraph"/>
        <w:tabs>
          <w:tab w:val="left" w:pos="426"/>
        </w:tabs>
        <w:autoSpaceDE w:val="0"/>
        <w:autoSpaceDN w:val="0"/>
        <w:adjustRightInd w:val="0"/>
        <w:spacing w:after="0" w:line="336" w:lineRule="auto"/>
        <w:ind w:left="0"/>
        <w:contextualSpacing w:val="0"/>
        <w:jc w:val="both"/>
        <w:rPr>
          <w:rFonts w:ascii="GHEA Grapalat" w:hAnsi="GHEA Grapalat"/>
          <w:lang w:val="en-US"/>
        </w:rPr>
        <w:sectPr w:rsidR="00AC5F11" w:rsidRPr="00C921DE" w:rsidSect="00A41AD1">
          <w:headerReference w:type="default" r:id="rId11"/>
          <w:pgSz w:w="11909" w:h="16834" w:code="9"/>
          <w:pgMar w:top="1134" w:right="567" w:bottom="567" w:left="1134" w:header="720" w:footer="397" w:gutter="0"/>
          <w:cols w:space="720"/>
          <w:docGrid w:linePitch="360"/>
        </w:sectPr>
      </w:pPr>
    </w:p>
    <w:p w14:paraId="78C73756" w14:textId="77777777" w:rsidR="001C411D" w:rsidRPr="00C921DE" w:rsidRDefault="00E44105" w:rsidP="00F80CD0">
      <w:pPr>
        <w:pStyle w:val="Heading1"/>
        <w:rPr>
          <w:rFonts w:ascii="GHEA Grapalat" w:hAnsi="GHEA Grapalat" w:cs="Sylfaen"/>
          <w:sz w:val="22"/>
          <w:szCs w:val="22"/>
        </w:rPr>
      </w:pPr>
      <w:bookmarkStart w:id="14" w:name="_Toc163745416"/>
      <w:r w:rsidRPr="00C921DE">
        <w:rPr>
          <w:rFonts w:ascii="GHEA Grapalat" w:hAnsi="GHEA Grapalat" w:cs="Sylfaen"/>
          <w:sz w:val="22"/>
          <w:szCs w:val="22"/>
        </w:rPr>
        <w:lastRenderedPageBreak/>
        <w:t>2023</w:t>
      </w:r>
      <w:r w:rsidR="001C411D" w:rsidRPr="00C921DE">
        <w:rPr>
          <w:rFonts w:ascii="GHEA Grapalat" w:hAnsi="GHEA Grapalat" w:cs="Sylfaen"/>
          <w:sz w:val="22"/>
          <w:szCs w:val="22"/>
        </w:rPr>
        <w:t xml:space="preserve"> ԹՎԱԿԱՆԻ ՍՈՑԻԱԼ-ՏՆՏԵՍԱԿԱՆ ԶԱՐԳԱՑՄԱՆ ԵՎ ՀԱՐԿԱԲՅՈՒՋԵՏԱՅԻՆ ՔԱՂԱՔԱԿԱՆՈՒԹՅԱՆ </w:t>
      </w:r>
      <w:bookmarkStart w:id="15" w:name="_Toc290409636"/>
      <w:r w:rsidR="001C411D" w:rsidRPr="00C921DE">
        <w:rPr>
          <w:rFonts w:ascii="GHEA Grapalat" w:hAnsi="GHEA Grapalat" w:cs="Sylfaen"/>
          <w:sz w:val="22"/>
          <w:szCs w:val="22"/>
        </w:rPr>
        <w:t>ՀԻՄՆԱԿԱՆ ՈՒՂՂՈՒԹՅՈՒՆՆԵՐԸ</w:t>
      </w:r>
      <w:bookmarkEnd w:id="9"/>
      <w:bookmarkEnd w:id="10"/>
      <w:bookmarkEnd w:id="14"/>
      <w:bookmarkEnd w:id="15"/>
    </w:p>
    <w:p w14:paraId="4681F6E2" w14:textId="77777777" w:rsidR="006D7C4F" w:rsidRPr="00C921DE" w:rsidRDefault="006D7C4F" w:rsidP="006D7C4F">
      <w:pPr>
        <w:spacing w:line="360" w:lineRule="auto"/>
        <w:ind w:firstLine="567"/>
        <w:jc w:val="both"/>
        <w:rPr>
          <w:rFonts w:ascii="GHEA Grapalat" w:hAnsi="GHEA Grapalat"/>
          <w:sz w:val="22"/>
          <w:szCs w:val="22"/>
        </w:rPr>
      </w:pPr>
    </w:p>
    <w:p w14:paraId="2D3098F0" w14:textId="67BC8688" w:rsidR="006D7C4F" w:rsidRPr="00C921DE" w:rsidRDefault="006D7C4F" w:rsidP="006D7C4F">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պետական բյուջեն հաստատվել էր կառավարության գործունեության ծրագրի նպատակների ու հարկաբյուջետային կանոնների հիման վրա: Ըստ այդմ՝ 2023 թվականի հարկաբյուջետային քաղաքականության նպատակն է եղել նպաստել կառավարության ծրագրով թիրախավորված 7% տնտեսական աճի ապահովմանը՝ շեշտադրելով պետական ներդրումների մակարդակի շարունակական մեծացումը և ծախսերի իրականացման արդյունավետության բարձրացումը, ինչպես նաև՝ պարտքի կայունության պահպանումը: </w:t>
      </w:r>
    </w:p>
    <w:p w14:paraId="3C6803EF" w14:textId="374E6609" w:rsidR="006D7C4F" w:rsidRPr="00C921DE" w:rsidRDefault="006D7C4F" w:rsidP="006D7C4F">
      <w:pPr>
        <w:spacing w:line="360" w:lineRule="auto"/>
        <w:ind w:firstLine="567"/>
        <w:jc w:val="both"/>
        <w:rPr>
          <w:rFonts w:ascii="GHEA Grapalat" w:hAnsi="GHEA Grapalat"/>
          <w:sz w:val="22"/>
          <w:szCs w:val="22"/>
        </w:rPr>
      </w:pPr>
      <w:r w:rsidRPr="00C921DE">
        <w:rPr>
          <w:rFonts w:ascii="GHEA Grapalat" w:hAnsi="GHEA Grapalat"/>
          <w:sz w:val="22"/>
          <w:szCs w:val="22"/>
        </w:rPr>
        <w:t>Տարվա ընթացքում ՀՀ համար ձևավորված նպաստավոր տնտեսական զարգացումներով (մասնավորապես` դեպի Հայաստան միջազգային զբոսաշրջության</w:t>
      </w:r>
      <w:r w:rsidRPr="00C921DE">
        <w:rPr>
          <w:rFonts w:ascii="GHEA Grapalat" w:hAnsi="GHEA Grapalat"/>
          <w:sz w:val="22"/>
          <w:szCs w:val="22"/>
          <w:lang w:val="en-US"/>
        </w:rPr>
        <w:t>`</w:t>
      </w:r>
      <w:r w:rsidRPr="00C921DE">
        <w:rPr>
          <w:rFonts w:ascii="GHEA Grapalat" w:hAnsi="GHEA Grapalat"/>
          <w:sz w:val="22"/>
          <w:szCs w:val="22"/>
        </w:rPr>
        <w:t xml:space="preserve"> սպասվածից բարձր աճ, ոսկերչական արտադրատեսակների վերամշակում) պայմանավորված</w:t>
      </w:r>
      <w:r w:rsidRPr="00C921DE">
        <w:rPr>
          <w:rFonts w:ascii="GHEA Grapalat" w:hAnsi="GHEA Grapalat"/>
          <w:sz w:val="22"/>
          <w:szCs w:val="22"/>
          <w:lang w:val="en-US"/>
        </w:rPr>
        <w:t>`</w:t>
      </w:r>
      <w:r w:rsidRPr="00C921DE">
        <w:rPr>
          <w:rFonts w:ascii="GHEA Grapalat" w:hAnsi="GHEA Grapalat"/>
          <w:sz w:val="22"/>
          <w:szCs w:val="22"/>
        </w:rPr>
        <w:t xml:space="preserve"> տնտեսական աճը 1.7 տոկոսային կետով գերազանցել է թիրախավորված մակարդակը, որի պայմաններում հարկաբյուջետային քաղաքականությունը եղել է հակապարբերաշրջանային՝ պլանավորված չեզոքի փոխարեն լինելով զսպող և միևնույն ժամանակ իրականացնելով տնտեսական ներուժի բարձրացմանը միտված միջոցառումներ և նպաստելով պարտքի կայունության ապահովմանը:</w:t>
      </w:r>
    </w:p>
    <w:p w14:paraId="7D6BAC01" w14:textId="323ABE45" w:rsidR="006D7C4F" w:rsidRPr="00C921DE" w:rsidRDefault="006D7C4F" w:rsidP="006D7C4F">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բարձր տնտեսական աճը և հարկաբյուջետային քաղաքականության ջանքերը (այդ թվում՝ կանխատեսվածից բարձր հարկային եկամուտների ապահովումը և պետական ծախսերի զսպված վարքագիծը) թույլ են տվել գրանցելու կանխատեսվածից ցածր պետական բյուջեի պակասուրդ, որի պայմաններում կառավարության պարտքի բեռը պահպանվել է ապահով՝ ՀՆԱ 50%</w:t>
      </w:r>
      <w:r w:rsidR="00D000C0" w:rsidRPr="00C921DE">
        <w:rPr>
          <w:rFonts w:ascii="GHEA Grapalat" w:hAnsi="GHEA Grapalat"/>
          <w:sz w:val="22"/>
          <w:szCs w:val="22"/>
        </w:rPr>
        <w:noBreakHyphen/>
      </w:r>
      <w:r w:rsidRPr="00C921DE">
        <w:rPr>
          <w:rFonts w:ascii="GHEA Grapalat" w:hAnsi="GHEA Grapalat"/>
          <w:sz w:val="22"/>
          <w:szCs w:val="22"/>
        </w:rPr>
        <w:t>ից ցածր մակարդակում։ Ընդ որում, կառավարության պարտքի բեռը ցածր է եղել նաև 2023</w:t>
      </w:r>
      <w:r w:rsidR="00D000C0" w:rsidRPr="00C921DE">
        <w:rPr>
          <w:rFonts w:ascii="GHEA Grapalat" w:hAnsi="GHEA Grapalat"/>
          <w:sz w:val="22"/>
          <w:szCs w:val="22"/>
          <w:lang w:val="en-US"/>
        </w:rPr>
        <w:t xml:space="preserve"> </w:t>
      </w:r>
      <w:r w:rsidRPr="00C921DE">
        <w:rPr>
          <w:rFonts w:ascii="GHEA Grapalat" w:hAnsi="GHEA Grapalat"/>
          <w:sz w:val="22"/>
          <w:szCs w:val="22"/>
        </w:rPr>
        <w:t>թ</w:t>
      </w:r>
      <w:r w:rsidR="00D000C0" w:rsidRPr="00C921DE">
        <w:rPr>
          <w:rFonts w:ascii="GHEA Grapalat" w:hAnsi="GHEA Grapalat"/>
          <w:sz w:val="22"/>
          <w:szCs w:val="22"/>
          <w:lang w:val="en-US"/>
        </w:rPr>
        <w:t>վական</w:t>
      </w:r>
      <w:r w:rsidRPr="00C921DE">
        <w:rPr>
          <w:rFonts w:ascii="GHEA Grapalat" w:hAnsi="GHEA Grapalat"/>
          <w:sz w:val="22"/>
          <w:szCs w:val="22"/>
        </w:rPr>
        <w:t>ի բյուջեում կանխատեսված մակարդակից և կազմել ՀՆԱ 48.1%-ը՝ չնայած որ 2023</w:t>
      </w:r>
      <w:r w:rsidR="00D000C0" w:rsidRPr="00C921DE">
        <w:rPr>
          <w:rFonts w:ascii="GHEA Grapalat" w:hAnsi="GHEA Grapalat"/>
          <w:sz w:val="22"/>
          <w:szCs w:val="22"/>
          <w:lang w:val="en-US"/>
        </w:rPr>
        <w:t xml:space="preserve"> </w:t>
      </w:r>
      <w:r w:rsidRPr="00C921DE">
        <w:rPr>
          <w:rFonts w:ascii="GHEA Grapalat" w:hAnsi="GHEA Grapalat"/>
          <w:sz w:val="22"/>
          <w:szCs w:val="22"/>
        </w:rPr>
        <w:t>թ</w:t>
      </w:r>
      <w:r w:rsidR="00D000C0" w:rsidRPr="00C921DE">
        <w:rPr>
          <w:rFonts w:ascii="GHEA Grapalat" w:hAnsi="GHEA Grapalat"/>
          <w:sz w:val="22"/>
          <w:szCs w:val="22"/>
          <w:lang w:val="en-US"/>
        </w:rPr>
        <w:t>վական</w:t>
      </w:r>
      <w:r w:rsidRPr="00C921DE">
        <w:rPr>
          <w:rFonts w:ascii="GHEA Grapalat" w:hAnsi="GHEA Grapalat"/>
          <w:sz w:val="22"/>
          <w:szCs w:val="22"/>
        </w:rPr>
        <w:t xml:space="preserve">ի վերջին կառավարությունը ստանձնել է ԼՂ կառավարության պարտքային պարտավորությունները ՀՆԱ 2.2%-ի չափով, իսկ դրամի փոխարժեքը փոքր արժեզրկման դինամիկա է ունեցել։ </w:t>
      </w:r>
    </w:p>
    <w:p w14:paraId="458C6D90" w14:textId="1DCD2D14" w:rsidR="00013DFA" w:rsidRPr="00C921DE" w:rsidRDefault="006D7C4F" w:rsidP="006D7C4F">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հարկաբյուջետային քաղաքականությունը համապատասխանել է հարկաբյուջետային կա</w:t>
      </w:r>
      <w:r w:rsidR="00E60307" w:rsidRPr="00C921DE">
        <w:rPr>
          <w:rFonts w:ascii="GHEA Grapalat" w:hAnsi="GHEA Grapalat"/>
          <w:sz w:val="22"/>
          <w:szCs w:val="22"/>
        </w:rPr>
        <w:t>նոնների ընդհանուր տրամաբանությ</w:t>
      </w:r>
      <w:r w:rsidR="007D47C3" w:rsidRPr="00C921DE">
        <w:rPr>
          <w:rFonts w:ascii="GHEA Grapalat" w:hAnsi="GHEA Grapalat"/>
          <w:sz w:val="22"/>
          <w:szCs w:val="22"/>
          <w:lang w:val="en-US"/>
        </w:rPr>
        <w:t>ա</w:t>
      </w:r>
      <w:r w:rsidRPr="00C921DE">
        <w:rPr>
          <w:rFonts w:ascii="GHEA Grapalat" w:hAnsi="GHEA Grapalat"/>
          <w:sz w:val="22"/>
          <w:szCs w:val="22"/>
        </w:rPr>
        <w:t xml:space="preserve">նը՝ համահունչ 2023 թվականի պետական բյուջեի ուղերձում նախանշած քաղաքականությանը։ </w:t>
      </w:r>
      <w:r w:rsidR="00013DFA" w:rsidRPr="00C921DE">
        <w:rPr>
          <w:rFonts w:ascii="GHEA Grapalat" w:hAnsi="GHEA Grapalat"/>
          <w:sz w:val="22"/>
          <w:szCs w:val="22"/>
        </w:rPr>
        <w:t>Այսպես, 2023 թվականին պետական բյուջեի կապիտալ ծախսերը գերազանցել են պետական բյուջեի պակասուրդը, իսկ եթե ընթացիկ առաջնային ծախսերի հարկաբյուջետային կանոնը կիրառվի</w:t>
      </w:r>
      <w:r w:rsidR="00FC4A75" w:rsidRPr="00C921DE">
        <w:rPr>
          <w:rFonts w:ascii="GHEA Grapalat" w:hAnsi="GHEA Grapalat"/>
          <w:sz w:val="22"/>
          <w:szCs w:val="22"/>
          <w:lang w:val="en-US"/>
        </w:rPr>
        <w:t>՝</w:t>
      </w:r>
      <w:r w:rsidR="00013DFA" w:rsidRPr="00C921DE">
        <w:rPr>
          <w:rFonts w:ascii="GHEA Grapalat" w:hAnsi="GHEA Grapalat"/>
          <w:sz w:val="22"/>
          <w:szCs w:val="22"/>
        </w:rPr>
        <w:t xml:space="preserve"> 2021</w:t>
      </w:r>
      <w:r w:rsidR="00FC4A75" w:rsidRPr="00C921DE">
        <w:rPr>
          <w:rFonts w:ascii="GHEA Grapalat" w:hAnsi="GHEA Grapalat"/>
          <w:sz w:val="22"/>
          <w:szCs w:val="22"/>
          <w:lang w:val="en-US"/>
        </w:rPr>
        <w:t xml:space="preserve"> </w:t>
      </w:r>
      <w:r w:rsidR="00013DFA" w:rsidRPr="00C921DE">
        <w:rPr>
          <w:rFonts w:ascii="GHEA Grapalat" w:hAnsi="GHEA Grapalat"/>
          <w:sz w:val="22"/>
          <w:szCs w:val="22"/>
        </w:rPr>
        <w:t>թ</w:t>
      </w:r>
      <w:r w:rsidR="00FC4A75" w:rsidRPr="00C921DE">
        <w:rPr>
          <w:rFonts w:ascii="GHEA Grapalat" w:hAnsi="GHEA Grapalat"/>
          <w:sz w:val="22"/>
          <w:szCs w:val="22"/>
          <w:lang w:val="en-US"/>
        </w:rPr>
        <w:t>վականի</w:t>
      </w:r>
      <w:r w:rsidR="00013DFA" w:rsidRPr="00C921DE">
        <w:rPr>
          <w:rFonts w:ascii="GHEA Grapalat" w:hAnsi="GHEA Grapalat"/>
          <w:sz w:val="22"/>
          <w:szCs w:val="22"/>
        </w:rPr>
        <w:t xml:space="preserve"> կառավարության պարտքի բեռի 60%-ից բարձր ցուցանիշը հիմք ընդունելով, կանոնից գնահատվող շեղումը պայմանավորված կլինի հիմնականում ԼՂ-ից բռնի տեղահանված անձանց սոցիալական կարիքների </w:t>
      </w:r>
      <w:r w:rsidR="00013DFA" w:rsidRPr="00C921DE">
        <w:rPr>
          <w:rFonts w:ascii="GHEA Grapalat" w:hAnsi="GHEA Grapalat"/>
          <w:sz w:val="22"/>
          <w:szCs w:val="22"/>
        </w:rPr>
        <w:lastRenderedPageBreak/>
        <w:t>ուղղությամբ կատարված ծախսերով, որը հարկաբյուջետային կայունության տեսակետից վտանգներ չի ստեղծում։</w:t>
      </w:r>
    </w:p>
    <w:p w14:paraId="2FC29306" w14:textId="42D2C9DA" w:rsidR="006D7C4F" w:rsidRPr="00C921DE" w:rsidRDefault="00E13714" w:rsidP="006D7C4F">
      <w:pPr>
        <w:spacing w:line="360" w:lineRule="auto"/>
        <w:ind w:firstLine="567"/>
        <w:jc w:val="both"/>
        <w:rPr>
          <w:rFonts w:ascii="GHEA Grapalat" w:hAnsi="GHEA Grapalat"/>
          <w:sz w:val="22"/>
          <w:szCs w:val="22"/>
        </w:rPr>
      </w:pPr>
      <w:r w:rsidRPr="00C921DE">
        <w:rPr>
          <w:rFonts w:ascii="GHEA Grapalat" w:hAnsi="GHEA Grapalat"/>
          <w:sz w:val="22"/>
          <w:szCs w:val="22"/>
        </w:rPr>
        <w:t>Կառավարությունը շարունակել է նաև տնտեսության ներուժի բարձրացմանը, առանձին ոլորտներում առաջացած հիմնախնդիրների (այդ թվում՝ ՀՀ դրամի արժևորմամբ պայմանավորված) մեղմմանն ուղղված միջոցառումները, ինչպես նաև իրականացրել է ԼՂ-ից բռնի տեղահանված բնակչության  բնակարանային և այլ սոցիալական կարիքների ապահովմանն ուղղված աջակցության ծրագրեր</w:t>
      </w:r>
      <w:r w:rsidR="00F7765C" w:rsidRPr="00C921DE">
        <w:rPr>
          <w:rFonts w:ascii="GHEA Grapalat" w:hAnsi="GHEA Grapalat"/>
          <w:sz w:val="22"/>
          <w:szCs w:val="22"/>
        </w:rPr>
        <w:t>։</w:t>
      </w:r>
    </w:p>
    <w:p w14:paraId="568F2931" w14:textId="77777777" w:rsidR="006D7C4F" w:rsidRPr="00C921DE" w:rsidRDefault="006D7C4F" w:rsidP="006D7C4F">
      <w:pPr>
        <w:spacing w:line="360" w:lineRule="auto"/>
        <w:ind w:firstLine="567"/>
        <w:jc w:val="both"/>
        <w:rPr>
          <w:rFonts w:ascii="GHEA Grapalat" w:hAnsi="GHEA Grapalat"/>
          <w:sz w:val="22"/>
          <w:szCs w:val="22"/>
        </w:rPr>
      </w:pPr>
      <w:r w:rsidRPr="00C921DE">
        <w:rPr>
          <w:rFonts w:ascii="GHEA Grapalat" w:hAnsi="GHEA Grapalat"/>
          <w:sz w:val="22"/>
          <w:szCs w:val="22"/>
        </w:rPr>
        <w:t>Արդյունքում, հաշվետու տարվա ընթացքում տնտեսական իրավիճակին համարժեք հարկաբյուջետային քաղաքականության իրականացումը և դրամավարկային քաղաքականության հետ դրա արդյունավետ կոորդինացումը թույլ են տվել ՀՀ-ում ապահովել կայուն մակրոմիջավայրի առկայություն, հիմքեր ստեղծել միջնաժամկետում տնտեսական աճի ներուժի բարձրացման ու պարտքի կայունության ամրապնդման համար։</w:t>
      </w:r>
    </w:p>
    <w:p w14:paraId="44B45ED1" w14:textId="77777777" w:rsidR="001C411D" w:rsidRPr="00C921DE" w:rsidRDefault="001C411D" w:rsidP="00B7253D">
      <w:pPr>
        <w:spacing w:line="360" w:lineRule="auto"/>
        <w:ind w:firstLine="567"/>
        <w:jc w:val="both"/>
        <w:rPr>
          <w:rFonts w:ascii="GHEA Grapalat" w:hAnsi="GHEA Grapalat"/>
          <w:sz w:val="22"/>
          <w:szCs w:val="22"/>
        </w:rPr>
      </w:pPr>
    </w:p>
    <w:p w14:paraId="56A65B81" w14:textId="77777777" w:rsidR="001C411D" w:rsidRPr="00C921DE" w:rsidRDefault="001C411D" w:rsidP="00AC199C">
      <w:pPr>
        <w:pStyle w:val="Heading2"/>
        <w:spacing w:before="0"/>
      </w:pPr>
      <w:bookmarkStart w:id="16" w:name="_Toc163745417"/>
      <w:r w:rsidRPr="00C921DE">
        <w:t>Տնտեսական զարգացում</w:t>
      </w:r>
      <w:bookmarkEnd w:id="16"/>
    </w:p>
    <w:p w14:paraId="47114D10" w14:textId="77777777" w:rsidR="008D466A" w:rsidRPr="00C921DE" w:rsidRDefault="008D466A" w:rsidP="008D466A">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տնտեսական զարգացման քաղաքականության շրջանակը կառուցվել է ՀՀ կառավարության` 2021 թվականի օգոստոսի 18-ի N 1363-Ա որոշմամբ հաստատված</w:t>
      </w:r>
      <w:r w:rsidR="00EC59AC" w:rsidRPr="00C921DE">
        <w:rPr>
          <w:rFonts w:ascii="GHEA Grapalat" w:hAnsi="GHEA Grapalat"/>
          <w:sz w:val="22"/>
          <w:szCs w:val="22"/>
          <w:lang w:val="en-US"/>
        </w:rPr>
        <w:t>՝</w:t>
      </w:r>
      <w:r w:rsidRPr="00C921DE">
        <w:rPr>
          <w:rFonts w:ascii="GHEA Grapalat" w:hAnsi="GHEA Grapalat"/>
          <w:sz w:val="22"/>
          <w:szCs w:val="22"/>
        </w:rPr>
        <w:t xml:space="preserve"> ՀՀ կառավարության 2021-2026թթ. ծրագրի առաջնահերթությունների շուրջ: Իրականացվելիք միջոցառումների հիմնական նպատակը</w:t>
      </w:r>
      <w:r w:rsidR="006A2C9F" w:rsidRPr="00C921DE">
        <w:rPr>
          <w:rFonts w:ascii="GHEA Grapalat" w:hAnsi="GHEA Grapalat"/>
          <w:sz w:val="22"/>
          <w:szCs w:val="22"/>
        </w:rPr>
        <w:t xml:space="preserve"> </w:t>
      </w:r>
      <w:r w:rsidRPr="00C921DE">
        <w:rPr>
          <w:rFonts w:ascii="GHEA Grapalat" w:hAnsi="GHEA Grapalat"/>
          <w:sz w:val="22"/>
          <w:szCs w:val="22"/>
        </w:rPr>
        <w:t xml:space="preserve">լինելու է ներդրումներից բխող տնտեսական զարգացման մոդելի անցնելը, տնտեսության մրցունակության և արտադրողականության աճը։ </w:t>
      </w:r>
    </w:p>
    <w:p w14:paraId="7DC6398C" w14:textId="77777777" w:rsidR="008D466A" w:rsidRPr="00C921DE" w:rsidRDefault="008D466A" w:rsidP="008D466A">
      <w:pPr>
        <w:spacing w:line="360" w:lineRule="auto"/>
        <w:ind w:firstLine="567"/>
        <w:jc w:val="both"/>
        <w:rPr>
          <w:rFonts w:ascii="GHEA Grapalat" w:hAnsi="GHEA Grapalat"/>
          <w:sz w:val="22"/>
          <w:szCs w:val="22"/>
        </w:rPr>
      </w:pPr>
      <w:r w:rsidRPr="00C921DE">
        <w:rPr>
          <w:rFonts w:ascii="GHEA Grapalat" w:hAnsi="GHEA Grapalat"/>
          <w:sz w:val="22"/>
          <w:szCs w:val="22"/>
        </w:rPr>
        <w:t xml:space="preserve">Տնտեսական քաղաքականությունը հիմնված է եղել ռազմավարական փաստաթղթերով նախատեսված գործողությունների իրականացման վրա այնպիսի կարևորագույն ուղղություններով, ինչպիսիք են ներդրումների խրախուսումը, ձեռներեցության զարգացումը, գործարար և ներդրումային միջավայրի բարելավումը, զբոսաշրջության, արդյունաբերության և գյուղատնտեսության մրցունակության աճը, ապրանքների և ծառայությունների արտահանման էական ավելացումը։ Միաժամանակ թիրախավորվելու են նաև հանրային ներդրումների արդյունավետության բարձրացումն ու որակի ենթակառուցվածքների բարելավումը։ </w:t>
      </w:r>
    </w:p>
    <w:p w14:paraId="389AAECA" w14:textId="77777777" w:rsidR="008D466A" w:rsidRPr="00C921DE" w:rsidRDefault="008D466A" w:rsidP="008D466A">
      <w:pPr>
        <w:spacing w:line="360" w:lineRule="auto"/>
        <w:ind w:firstLine="567"/>
        <w:jc w:val="both"/>
        <w:rPr>
          <w:rFonts w:ascii="GHEA Grapalat" w:hAnsi="GHEA Grapalat"/>
          <w:sz w:val="22"/>
          <w:szCs w:val="22"/>
        </w:rPr>
      </w:pPr>
      <w:r w:rsidRPr="00C921DE">
        <w:rPr>
          <w:rFonts w:ascii="GHEA Grapalat" w:hAnsi="GHEA Grapalat"/>
          <w:sz w:val="22"/>
          <w:szCs w:val="22"/>
        </w:rPr>
        <w:t xml:space="preserve">Տնտեսության մրցունակության բարձրացման տեսանկյունից կառավարության կողմից կարևորվել է արտադրողականության աճը՝ տեխնոլոգիաների և լավագույն միջազգային փորձի կլանման և կարողությունների զարգացման միջոցով, ՀՀ քաղաքացիների նորարարական ներուժի իրացումը՝ գործարար նախաձեռնողականության խրախուսման միջոցով։ Հատուկ ուշադրության է </w:t>
      </w:r>
      <w:r w:rsidRPr="00C921DE">
        <w:rPr>
          <w:rFonts w:ascii="GHEA Grapalat" w:hAnsi="GHEA Grapalat"/>
          <w:sz w:val="22"/>
          <w:szCs w:val="22"/>
        </w:rPr>
        <w:lastRenderedPageBreak/>
        <w:t>արժանացել ներքին և օտարերկրյա ներդրումների ներգրավումը՝ որպես տնտեսության որակական փոփոխության շարժիչ ուժ:</w:t>
      </w:r>
      <w:r w:rsidR="006A2C9F" w:rsidRPr="00C921DE">
        <w:rPr>
          <w:rFonts w:ascii="GHEA Grapalat" w:hAnsi="GHEA Grapalat"/>
          <w:sz w:val="22"/>
          <w:szCs w:val="22"/>
        </w:rPr>
        <w:t xml:space="preserve"> </w:t>
      </w:r>
    </w:p>
    <w:p w14:paraId="213049D6" w14:textId="77777777" w:rsidR="001C411D" w:rsidRPr="00C921DE" w:rsidRDefault="001C411D" w:rsidP="00AC199C">
      <w:pPr>
        <w:spacing w:line="360" w:lineRule="auto"/>
        <w:ind w:firstLine="567"/>
        <w:jc w:val="both"/>
        <w:rPr>
          <w:rFonts w:ascii="GHEA Grapalat" w:hAnsi="GHEA Grapalat"/>
          <w:sz w:val="22"/>
          <w:szCs w:val="22"/>
        </w:rPr>
      </w:pPr>
    </w:p>
    <w:p w14:paraId="548D5109" w14:textId="77777777" w:rsidR="00906DE3" w:rsidRPr="00C921DE" w:rsidRDefault="001C411D" w:rsidP="00F126A1">
      <w:pPr>
        <w:spacing w:line="360" w:lineRule="auto"/>
        <w:ind w:firstLine="567"/>
        <w:jc w:val="both"/>
        <w:rPr>
          <w:rFonts w:ascii="GHEA Grapalat" w:hAnsi="GHEA Grapalat"/>
          <w:sz w:val="22"/>
          <w:szCs w:val="22"/>
        </w:rPr>
      </w:pPr>
      <w:r w:rsidRPr="00C921DE">
        <w:rPr>
          <w:rFonts w:ascii="GHEA Grapalat" w:hAnsi="GHEA Grapalat"/>
          <w:sz w:val="22"/>
          <w:szCs w:val="22"/>
          <w:u w:val="single"/>
        </w:rPr>
        <w:t>Արդյունաբերության մրցունակության աճ</w:t>
      </w:r>
      <w:r w:rsidR="00906DE3" w:rsidRPr="00C921DE">
        <w:rPr>
          <w:rFonts w:ascii="GHEA Grapalat" w:hAnsi="GHEA Grapalat"/>
          <w:sz w:val="22"/>
          <w:szCs w:val="22"/>
          <w:u w:val="single"/>
          <w:lang w:val="en-US"/>
        </w:rPr>
        <w:t>ի</w:t>
      </w:r>
      <w:r w:rsidR="00906DE3" w:rsidRPr="00C921DE">
        <w:rPr>
          <w:rFonts w:ascii="GHEA Grapalat" w:hAnsi="GHEA Grapalat"/>
          <w:sz w:val="22"/>
          <w:szCs w:val="22"/>
          <w:lang w:val="en-US"/>
        </w:rPr>
        <w:t xml:space="preserve"> </w:t>
      </w:r>
      <w:r w:rsidR="00906DE3" w:rsidRPr="00C921DE">
        <w:rPr>
          <w:rFonts w:ascii="GHEA Grapalat" w:hAnsi="GHEA Grapalat"/>
          <w:sz w:val="22"/>
          <w:szCs w:val="22"/>
        </w:rPr>
        <w:t>առաջնային աղբյուր է դիտարկվ</w:t>
      </w:r>
      <w:r w:rsidR="0011079B" w:rsidRPr="00C921DE">
        <w:rPr>
          <w:rFonts w:ascii="GHEA Grapalat" w:hAnsi="GHEA Grapalat"/>
          <w:sz w:val="22"/>
          <w:szCs w:val="22"/>
          <w:lang w:val="en-US"/>
        </w:rPr>
        <w:t>ել</w:t>
      </w:r>
      <w:r w:rsidR="00906DE3" w:rsidRPr="00C921DE">
        <w:rPr>
          <w:rFonts w:ascii="GHEA Grapalat" w:hAnsi="GHEA Grapalat"/>
          <w:sz w:val="22"/>
          <w:szCs w:val="22"/>
        </w:rPr>
        <w:t xml:space="preserve"> արտադրողականության աճը և միջազգային մրցունակության բարձրացումը՝ տեխնոլոգիաների վերազինման, գիտելիքի կլանման, արտահանման կարողությունների զարգացման, լոգիստիկ խնդիրների մեղմման, և՛ ներքին, և՛ միջազգային թիրախային շուկաներ</w:t>
      </w:r>
      <w:r w:rsidR="006A2887" w:rsidRPr="00C921DE">
        <w:rPr>
          <w:rFonts w:ascii="GHEA Grapalat" w:hAnsi="GHEA Grapalat"/>
          <w:sz w:val="22"/>
          <w:szCs w:val="22"/>
        </w:rPr>
        <w:t xml:space="preserve"> մուտքի</w:t>
      </w:r>
      <w:r w:rsidR="00906DE3" w:rsidRPr="00C921DE">
        <w:rPr>
          <w:rFonts w:ascii="GHEA Grapalat" w:hAnsi="GHEA Grapalat"/>
          <w:sz w:val="22"/>
          <w:szCs w:val="22"/>
        </w:rPr>
        <w:t xml:space="preserve"> և տեղեկատվության հասանելիության ապահովման միջոցով: </w:t>
      </w:r>
    </w:p>
    <w:p w14:paraId="4C6AAC3F" w14:textId="77777777" w:rsidR="00906DE3" w:rsidRPr="00C921DE" w:rsidRDefault="00906DE3" w:rsidP="00F126A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Ծրագրված գործողությունները միտված են հնարավորություն ընձեռելու </w:t>
      </w:r>
      <w:r w:rsidR="00D5604B" w:rsidRPr="00C921DE">
        <w:rPr>
          <w:rFonts w:ascii="GHEA Grapalat" w:hAnsi="GHEA Grapalat"/>
          <w:sz w:val="22"/>
          <w:szCs w:val="22"/>
          <w:lang w:val="en-US"/>
        </w:rPr>
        <w:t>ՀՀ-</w:t>
      </w:r>
      <w:r w:rsidRPr="00C921DE">
        <w:rPr>
          <w:rFonts w:ascii="GHEA Grapalat" w:hAnsi="GHEA Grapalat"/>
          <w:sz w:val="22"/>
          <w:szCs w:val="22"/>
        </w:rPr>
        <w:t xml:space="preserve">ում արտադրվող ապրանքները (ծառայությունները), մտավոր գործունեության արդյունքներն արտահանել օտարերկրյա պետությունների շուկաներ՝ ստեղծելով առավել բարենպաստ պայմաններ արտաքին տնտեսական գործունեություն իրականացնող տնտեսավարող սուբյեկտների համար, ինչպես նաև </w:t>
      </w:r>
      <w:r w:rsidR="00D5604B" w:rsidRPr="00C921DE">
        <w:rPr>
          <w:rFonts w:ascii="GHEA Grapalat" w:hAnsi="GHEA Grapalat"/>
          <w:sz w:val="22"/>
          <w:szCs w:val="22"/>
          <w:lang w:val="en-US"/>
        </w:rPr>
        <w:t>ՀՀ</w:t>
      </w:r>
      <w:r w:rsidRPr="00C921DE">
        <w:rPr>
          <w:rFonts w:ascii="GHEA Grapalat" w:hAnsi="GHEA Grapalat"/>
          <w:sz w:val="22"/>
          <w:szCs w:val="22"/>
        </w:rPr>
        <w:t xml:space="preserve"> համար ռազմավարական ոլորտներում տնտեսական աճի ներառականության համար ապահովել քաղաքացիների մասնագիտական կարողությունների ու հմտությունների զարգացումը և աշխատուժի հմտությունների մակարդակի բարձրացումը։</w:t>
      </w:r>
    </w:p>
    <w:p w14:paraId="335ECEE5" w14:textId="77777777" w:rsidR="00906DE3" w:rsidRPr="00C921DE" w:rsidRDefault="00906DE3" w:rsidP="007B2AA8">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ապրիլի 13-ին ընդունվել է ՀՀ կառավարության «Արդյունաբերության զարգացման հինգ գերակա ոլորտների հայեցակարգը հաստատելու մասին» N 534-Լ որոշումը։ Հայեցակարգի նպատակն է սահմանել առաջիկա հինգ տարիներին արդյունաբերության զարգացման գերակա ոլորտները և նախանշել զարգացման ռազմավարական ուղղությունները։ Որոշմամբ սահմանվել են Արդյունաբերության զարգացման հինգ գերակա ոլորտները՝ սննդի արդյունաբերություն, ոսկերչություն </w:t>
      </w:r>
      <w:r w:rsidR="00D660E2" w:rsidRPr="00C921DE">
        <w:rPr>
          <w:rFonts w:ascii="GHEA Grapalat" w:hAnsi="GHEA Grapalat"/>
          <w:sz w:val="22"/>
          <w:szCs w:val="22"/>
        </w:rPr>
        <w:t>և</w:t>
      </w:r>
      <w:r w:rsidRPr="00C921DE">
        <w:rPr>
          <w:rFonts w:ascii="GHEA Grapalat" w:hAnsi="GHEA Grapalat"/>
          <w:sz w:val="22"/>
          <w:szCs w:val="22"/>
        </w:rPr>
        <w:t xml:space="preserve"> ադամանդագործություն, ծանր արդյունաբերություն, սարքաշինություն և դեղագործական արդյունաբերություն։</w:t>
      </w:r>
    </w:p>
    <w:p w14:paraId="5733F125" w14:textId="77777777" w:rsidR="00906DE3" w:rsidRPr="00C921DE" w:rsidRDefault="00906DE3" w:rsidP="00597A6B">
      <w:pPr>
        <w:spacing w:line="360" w:lineRule="auto"/>
        <w:ind w:firstLine="567"/>
        <w:jc w:val="both"/>
        <w:rPr>
          <w:rFonts w:ascii="GHEA Grapalat" w:hAnsi="GHEA Grapalat" w:cs="GHEA Grapalat"/>
          <w:bCs/>
          <w:lang w:val="af-ZA"/>
        </w:rPr>
      </w:pPr>
      <w:r w:rsidRPr="00C921DE">
        <w:rPr>
          <w:rFonts w:ascii="GHEA Grapalat" w:hAnsi="GHEA Grapalat"/>
          <w:sz w:val="22"/>
          <w:szCs w:val="22"/>
        </w:rPr>
        <w:t>2023 թվականի մայիսի 25-ին ընդունվել է ՀՀ կառավարության</w:t>
      </w:r>
      <w:r w:rsidR="005F1B74" w:rsidRPr="00C921DE">
        <w:rPr>
          <w:rFonts w:ascii="GHEA Grapalat" w:hAnsi="GHEA Grapalat"/>
          <w:sz w:val="22"/>
          <w:szCs w:val="22"/>
        </w:rPr>
        <w:t xml:space="preserve"> </w:t>
      </w:r>
      <w:r w:rsidRPr="00C921DE">
        <w:rPr>
          <w:rFonts w:ascii="GHEA Grapalat" w:hAnsi="GHEA Grapalat"/>
          <w:sz w:val="22"/>
          <w:szCs w:val="22"/>
        </w:rPr>
        <w:t>«Դեղագործական արդյունաբերության զարգացման հնգամյա ծրագիրը և դրա իրականացումն ապահովող միջոցառումների ծրագիրը հաստատելու մասին» N 811-Լ որոշումը։</w:t>
      </w:r>
    </w:p>
    <w:p w14:paraId="7EB6FCFE" w14:textId="3A834565" w:rsidR="00906DE3" w:rsidRPr="00C921DE" w:rsidRDefault="00906DE3" w:rsidP="008E45C2">
      <w:pPr>
        <w:spacing w:line="360" w:lineRule="auto"/>
        <w:ind w:firstLine="567"/>
        <w:jc w:val="both"/>
        <w:rPr>
          <w:rFonts w:ascii="GHEA Grapalat" w:hAnsi="GHEA Grapalat"/>
          <w:sz w:val="22"/>
          <w:szCs w:val="22"/>
        </w:rPr>
      </w:pPr>
      <w:bookmarkStart w:id="17" w:name="_Hlk158304567"/>
      <w:r w:rsidRPr="00C921DE">
        <w:rPr>
          <w:rFonts w:ascii="GHEA Grapalat" w:hAnsi="GHEA Grapalat"/>
          <w:sz w:val="22"/>
          <w:szCs w:val="22"/>
        </w:rPr>
        <w:t>2023 թվականի հունվարի 1-ից դեկտ</w:t>
      </w:r>
      <w:r w:rsidR="008E45C2" w:rsidRPr="00C921DE">
        <w:rPr>
          <w:rFonts w:ascii="GHEA Grapalat" w:hAnsi="GHEA Grapalat"/>
          <w:sz w:val="22"/>
          <w:szCs w:val="22"/>
        </w:rPr>
        <w:t>եմբերի 31-ն</w:t>
      </w:r>
      <w:r w:rsidRPr="00C921DE">
        <w:rPr>
          <w:rFonts w:ascii="GHEA Grapalat" w:hAnsi="GHEA Grapalat"/>
          <w:sz w:val="22"/>
          <w:szCs w:val="22"/>
        </w:rPr>
        <w:t xml:space="preserve"> ընկած ժամանակահատվածում գերակա ոլորտում իրականացվող ներդրումային ծրագրի շրջանակներում ներմուծվող տեխնոլոգիական սարքավորումների, դրանց բաղկացուցիչ ու համալրող մասերի, հումքի և նյութերի նկատմամբ ՀՀ կառավարության 2015 թվականի սեպտեմբերի 17-ի N 1118-Ն որոշմամբ </w:t>
      </w:r>
      <w:r w:rsidR="00ED0ECC" w:rsidRPr="00C921DE">
        <w:rPr>
          <w:rFonts w:ascii="GHEA Grapalat" w:hAnsi="GHEA Grapalat"/>
          <w:sz w:val="22"/>
          <w:szCs w:val="22"/>
          <w:lang w:val="en-US"/>
        </w:rPr>
        <w:t>Կ</w:t>
      </w:r>
      <w:r w:rsidRPr="00C921DE">
        <w:rPr>
          <w:rFonts w:ascii="GHEA Grapalat" w:hAnsi="GHEA Grapalat"/>
          <w:sz w:val="22"/>
          <w:szCs w:val="22"/>
        </w:rPr>
        <w:t xml:space="preserve">առավարության կողմից մաքսատուրքից ազատման արտոնություն է տրամադրվել 76 ներդրումային ծրագրի։ Ծրագրերի շրջանակներում նախատեսվում է իրականացնել 778 մլրդ դրամի ներդրում և ստեղծել 4212 նոր աշխատատեղ։ </w:t>
      </w:r>
      <w:bookmarkEnd w:id="17"/>
      <w:r w:rsidRPr="00C921DE">
        <w:rPr>
          <w:rFonts w:ascii="GHEA Grapalat" w:hAnsi="GHEA Grapalat"/>
          <w:sz w:val="22"/>
          <w:szCs w:val="22"/>
        </w:rPr>
        <w:t xml:space="preserve">Արտոնությունները տրամադրվել են մշակող արդյունաբերության (թեթև </w:t>
      </w:r>
      <w:r w:rsidRPr="00C921DE">
        <w:rPr>
          <w:rFonts w:ascii="GHEA Grapalat" w:hAnsi="GHEA Grapalat"/>
          <w:sz w:val="22"/>
          <w:szCs w:val="22"/>
        </w:rPr>
        <w:lastRenderedPageBreak/>
        <w:t>արդյունաբերություն, ալկոհոլային և ոչ ալկոհոլային խմիչքների արտադրություն, ալյումինե արտադրատեսակների արտադրություն, պոլիգրաֆիական արտադրատեսակների արտադրություն, կենցաղային տեխնիկայի արտադրություն), առողջապահության, հանքարդյունաբերության և գյուղատնտեսության ոլորտներում (ջերմոցային տնտեսություններ) գործունեություն ծավալող ընկերություններին:</w:t>
      </w:r>
    </w:p>
    <w:p w14:paraId="4D149356" w14:textId="66CDE684" w:rsidR="00906DE3" w:rsidRPr="00C921DE" w:rsidRDefault="00906DE3" w:rsidP="008E45C2">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ընթացքում </w:t>
      </w:r>
      <w:r w:rsidR="00D5604B" w:rsidRPr="00C921DE">
        <w:rPr>
          <w:rFonts w:ascii="GHEA Grapalat" w:hAnsi="GHEA Grapalat"/>
          <w:sz w:val="22"/>
          <w:szCs w:val="22"/>
          <w:lang w:val="en-US"/>
        </w:rPr>
        <w:t>ՀՀ-</w:t>
      </w:r>
      <w:r w:rsidRPr="00C921DE">
        <w:rPr>
          <w:rFonts w:ascii="GHEA Grapalat" w:hAnsi="GHEA Grapalat"/>
          <w:sz w:val="22"/>
          <w:szCs w:val="22"/>
        </w:rPr>
        <w:t>ից մի շարք ապրանքների (որոշ սև մետաղների, գունավոր մետաղի թափոնների, ջարդոնի և այլն)՝ արտահանման ժամանակավոր արգելք կիրառե</w:t>
      </w:r>
      <w:r w:rsidR="00CA4658" w:rsidRPr="00C921DE">
        <w:rPr>
          <w:rFonts w:ascii="GHEA Grapalat" w:hAnsi="GHEA Grapalat"/>
          <w:sz w:val="22"/>
          <w:szCs w:val="22"/>
        </w:rPr>
        <w:t>լո</w:t>
      </w:r>
      <w:r w:rsidR="0011079B" w:rsidRPr="00C921DE">
        <w:rPr>
          <w:rFonts w:ascii="GHEA Grapalat" w:hAnsi="GHEA Grapalat"/>
          <w:sz w:val="22"/>
          <w:szCs w:val="22"/>
        </w:rPr>
        <w:t xml:space="preserve">ւ արդյունքում ընկերությունների </w:t>
      </w:r>
      <w:r w:rsidR="0011079B" w:rsidRPr="00C921DE">
        <w:rPr>
          <w:rFonts w:ascii="GHEA Grapalat" w:hAnsi="GHEA Grapalat"/>
          <w:sz w:val="22"/>
          <w:szCs w:val="22"/>
          <w:lang w:val="en-US"/>
        </w:rPr>
        <w:t>կ</w:t>
      </w:r>
      <w:r w:rsidR="0011079B" w:rsidRPr="00C921DE">
        <w:rPr>
          <w:rFonts w:ascii="GHEA Grapalat" w:hAnsi="GHEA Grapalat"/>
          <w:sz w:val="22"/>
          <w:szCs w:val="22"/>
        </w:rPr>
        <w:t>ողմից</w:t>
      </w:r>
      <w:r w:rsidRPr="00C921DE">
        <w:rPr>
          <w:rFonts w:ascii="GHEA Grapalat" w:hAnsi="GHEA Grapalat"/>
          <w:sz w:val="22"/>
          <w:szCs w:val="22"/>
        </w:rPr>
        <w:t xml:space="preserve"> (Ձուլակենտրոն» ԲԲԸ, </w:t>
      </w:r>
      <w:r w:rsidR="005827D2" w:rsidRPr="00C921DE">
        <w:rPr>
          <w:rFonts w:ascii="GHEA Grapalat" w:hAnsi="GHEA Grapalat"/>
          <w:sz w:val="22"/>
          <w:szCs w:val="22"/>
          <w:lang w:val="en-US"/>
        </w:rPr>
        <w:t>«</w:t>
      </w:r>
      <w:r w:rsidRPr="00C921DE">
        <w:rPr>
          <w:rFonts w:ascii="GHEA Grapalat" w:hAnsi="GHEA Grapalat"/>
          <w:sz w:val="22"/>
          <w:szCs w:val="22"/>
        </w:rPr>
        <w:t xml:space="preserve">Քարակերտի </w:t>
      </w:r>
      <w:r w:rsidR="005827D2" w:rsidRPr="00C921DE">
        <w:rPr>
          <w:rFonts w:ascii="GHEA Grapalat" w:hAnsi="GHEA Grapalat"/>
          <w:sz w:val="22"/>
          <w:szCs w:val="22"/>
          <w:lang w:val="en-US"/>
        </w:rPr>
        <w:t>ք</w:t>
      </w:r>
      <w:r w:rsidRPr="00C921DE">
        <w:rPr>
          <w:rFonts w:ascii="GHEA Grapalat" w:hAnsi="GHEA Grapalat"/>
          <w:sz w:val="22"/>
          <w:szCs w:val="22"/>
        </w:rPr>
        <w:t xml:space="preserve">արաձուլման </w:t>
      </w:r>
      <w:r w:rsidR="005827D2" w:rsidRPr="00C921DE">
        <w:rPr>
          <w:rFonts w:ascii="GHEA Grapalat" w:hAnsi="GHEA Grapalat"/>
          <w:sz w:val="22"/>
          <w:szCs w:val="22"/>
          <w:lang w:val="en-US"/>
        </w:rPr>
        <w:t>գ</w:t>
      </w:r>
      <w:r w:rsidRPr="00C921DE">
        <w:rPr>
          <w:rFonts w:ascii="GHEA Grapalat" w:hAnsi="GHEA Grapalat"/>
          <w:sz w:val="22"/>
          <w:szCs w:val="22"/>
        </w:rPr>
        <w:t>ործարան» ԲԲԸ, «Ասկե Գրուպ» ԲԲԸ, «ՋԻ ԹԻ ԲԻ ՍԹԻԼ» ՍՊԸ,</w:t>
      </w:r>
      <w:r w:rsidR="005F1B74" w:rsidRPr="00C921DE">
        <w:rPr>
          <w:rFonts w:ascii="GHEA Grapalat" w:hAnsi="GHEA Grapalat"/>
          <w:sz w:val="22"/>
          <w:szCs w:val="22"/>
        </w:rPr>
        <w:t xml:space="preserve"> </w:t>
      </w:r>
      <w:r w:rsidRPr="00C921DE">
        <w:rPr>
          <w:rFonts w:ascii="GHEA Grapalat" w:hAnsi="GHEA Grapalat"/>
          <w:sz w:val="22"/>
          <w:szCs w:val="22"/>
        </w:rPr>
        <w:t>«Սոլարա» ՍՊԸ, «Տ-Մետալ» ՓԲԸ) կատարվել է շուրջ 240 մլն ԱՄՆ դոլար ներդրում, ստեղծվել է 944 աշխատատեղ և նախատեսվում է իրականացնել շուրջ 70 մլն ԱՄՆ դոլար ներդրում։</w:t>
      </w:r>
    </w:p>
    <w:p w14:paraId="296515D9" w14:textId="77777777" w:rsidR="001437BE" w:rsidRPr="00C921DE" w:rsidRDefault="001437BE" w:rsidP="00AC199C">
      <w:pPr>
        <w:spacing w:line="360" w:lineRule="auto"/>
        <w:ind w:firstLine="567"/>
        <w:jc w:val="both"/>
        <w:rPr>
          <w:rFonts w:ascii="GHEA Grapalat" w:hAnsi="GHEA Grapalat"/>
          <w:sz w:val="22"/>
          <w:szCs w:val="22"/>
        </w:rPr>
      </w:pPr>
    </w:p>
    <w:p w14:paraId="2603E3E0" w14:textId="77777777" w:rsidR="001C411D" w:rsidRPr="00C921DE" w:rsidRDefault="001C411D" w:rsidP="00AC199C">
      <w:pPr>
        <w:spacing w:line="360" w:lineRule="auto"/>
        <w:ind w:firstLine="567"/>
        <w:jc w:val="both"/>
        <w:rPr>
          <w:rFonts w:ascii="GHEA Grapalat" w:hAnsi="GHEA Grapalat"/>
          <w:sz w:val="22"/>
          <w:szCs w:val="22"/>
          <w:u w:val="single"/>
          <w:lang w:val="en-US"/>
        </w:rPr>
      </w:pPr>
      <w:r w:rsidRPr="00C921DE">
        <w:rPr>
          <w:rFonts w:ascii="GHEA Grapalat" w:hAnsi="GHEA Grapalat"/>
          <w:sz w:val="22"/>
          <w:szCs w:val="22"/>
          <w:u w:val="single"/>
        </w:rPr>
        <w:t>Փոքր և միջին ձեռնարկատիրության զարգացում</w:t>
      </w:r>
      <w:r w:rsidRPr="00C921DE">
        <w:rPr>
          <w:rStyle w:val="FootnoteReference"/>
          <w:rFonts w:ascii="GHEA Grapalat" w:hAnsi="GHEA Grapalat"/>
          <w:sz w:val="22"/>
          <w:szCs w:val="22"/>
          <w:u w:val="single"/>
        </w:rPr>
        <w:footnoteReference w:id="4"/>
      </w:r>
      <w:r w:rsidR="0011079B" w:rsidRPr="00C921DE">
        <w:rPr>
          <w:rFonts w:ascii="GHEA Grapalat" w:hAnsi="GHEA Grapalat"/>
          <w:sz w:val="22"/>
          <w:szCs w:val="22"/>
          <w:u w:val="single"/>
          <w:lang w:val="en-US"/>
        </w:rPr>
        <w:t xml:space="preserve"> </w:t>
      </w:r>
    </w:p>
    <w:p w14:paraId="7E49CB22" w14:textId="77777777" w:rsidR="0011079B" w:rsidRPr="00C921DE" w:rsidRDefault="0011079B" w:rsidP="0011079B">
      <w:pPr>
        <w:spacing w:line="360" w:lineRule="auto"/>
        <w:ind w:firstLine="567"/>
        <w:jc w:val="both"/>
        <w:rPr>
          <w:rFonts w:ascii="GHEA Grapalat" w:hAnsi="GHEA Grapalat"/>
          <w:sz w:val="22"/>
          <w:szCs w:val="22"/>
        </w:rPr>
      </w:pPr>
      <w:r w:rsidRPr="00C921DE">
        <w:rPr>
          <w:rFonts w:ascii="GHEA Grapalat" w:hAnsi="GHEA Grapalat"/>
          <w:sz w:val="22"/>
          <w:szCs w:val="22"/>
        </w:rPr>
        <w:t>Փոքր և միջին ձեռնարկատիրության զարգացման համար հիմնական քայլերն ուղղվել են ՀՆԱ</w:t>
      </w:r>
      <w:r w:rsidRPr="00C921DE">
        <w:rPr>
          <w:rFonts w:ascii="GHEA Grapalat" w:hAnsi="GHEA Grapalat"/>
          <w:sz w:val="22"/>
          <w:szCs w:val="22"/>
        </w:rPr>
        <w:noBreakHyphen/>
        <w:t>ում ՓՄՁ-ների տեսակարար կշռի աճին և համաչափ տարածքային զարգացմանը։</w:t>
      </w:r>
    </w:p>
    <w:p w14:paraId="7002D17B" w14:textId="77777777" w:rsidR="0011079B" w:rsidRPr="00C921DE" w:rsidRDefault="0011079B" w:rsidP="0011079B">
      <w:pPr>
        <w:spacing w:line="360" w:lineRule="auto"/>
        <w:ind w:firstLine="567"/>
        <w:jc w:val="both"/>
        <w:rPr>
          <w:rFonts w:ascii="GHEA Grapalat" w:hAnsi="GHEA Grapalat"/>
          <w:sz w:val="22"/>
          <w:szCs w:val="22"/>
        </w:rPr>
      </w:pPr>
      <w:r w:rsidRPr="00C921DE">
        <w:rPr>
          <w:rFonts w:ascii="GHEA Grapalat" w:hAnsi="GHEA Grapalat"/>
          <w:sz w:val="22"/>
          <w:szCs w:val="22"/>
        </w:rPr>
        <w:t>Ոլորտում շեշտադրվել է նորարարական գաղափարների իրականացման և վերջինիս միջոցով եկամտի այլընտրանքային աղբյուրների ստեղծման և հետճգնաժամային շրջանում Հայաստանի Հանրապետությունում մրցակցային առավելությունների իրացման ներուժ ունեցող ՓՄՁ–երի զարգացումը՝ աջակցության առավել ընդգրկուն գործիքակազմի կիրառմամբ։ Մասնավորապես</w:t>
      </w:r>
      <w:r w:rsidR="004F0792" w:rsidRPr="00C921DE">
        <w:rPr>
          <w:rFonts w:ascii="GHEA Grapalat" w:hAnsi="GHEA Grapalat"/>
          <w:sz w:val="22"/>
          <w:szCs w:val="22"/>
          <w:lang w:val="en-US"/>
        </w:rPr>
        <w:t>՝</w:t>
      </w:r>
      <w:r w:rsidRPr="00C921DE">
        <w:rPr>
          <w:rFonts w:ascii="GHEA Grapalat" w:hAnsi="GHEA Grapalat"/>
          <w:sz w:val="22"/>
          <w:szCs w:val="22"/>
        </w:rPr>
        <w:t xml:space="preserve"> իրականացվել են միջոցառումներ միջազգային շուկաներում տեղական ՓՄՁ–երի ներկայացվածության և ճանաչելիության աստիճանի բարձրացման ուղղությամբ:</w:t>
      </w:r>
    </w:p>
    <w:p w14:paraId="372B5EE2" w14:textId="05D97058" w:rsidR="0011079B" w:rsidRPr="00C921DE" w:rsidRDefault="0011079B" w:rsidP="0011079B">
      <w:pPr>
        <w:spacing w:line="360" w:lineRule="auto"/>
        <w:ind w:firstLine="567"/>
        <w:jc w:val="both"/>
        <w:rPr>
          <w:rFonts w:ascii="GHEA Grapalat" w:hAnsi="GHEA Grapalat"/>
          <w:sz w:val="22"/>
          <w:szCs w:val="22"/>
        </w:rPr>
      </w:pPr>
      <w:r w:rsidRPr="00C921DE">
        <w:rPr>
          <w:rFonts w:ascii="GHEA Grapalat" w:hAnsi="GHEA Grapalat"/>
          <w:sz w:val="22"/>
          <w:szCs w:val="22"/>
        </w:rPr>
        <w:t>Տնտեսության տարբեր ոլորտներում ստեղծվել են կանանց ներգրավման, մասնավորապես՝ աշխատանքը և մայրությունը համատեղելուն, ինչպես նաև տաղանդավոր երիտասարդների նորարարական մտածողության զարգացման և վերջիններիս կողմից ստարտափ</w:t>
      </w:r>
      <w:r w:rsidR="00FC4B4A" w:rsidRPr="00C921DE">
        <w:rPr>
          <w:rFonts w:ascii="GHEA Grapalat" w:hAnsi="GHEA Grapalat"/>
          <w:sz w:val="22"/>
          <w:szCs w:val="22"/>
          <w:lang w:val="en-US"/>
        </w:rPr>
        <w:t>ն</w:t>
      </w:r>
      <w:r w:rsidRPr="00C921DE">
        <w:rPr>
          <w:rFonts w:ascii="GHEA Grapalat" w:hAnsi="GHEA Grapalat"/>
          <w:sz w:val="22"/>
          <w:szCs w:val="22"/>
        </w:rPr>
        <w:t>երի ստեղծմանն ուղղված առավել լայն հնարավորություններ։ Ձեռնարկվել են միջոցներ գյուղերում ոչ-գյուղատնտեսական ձեռնարկատիրության խրախուսման ու ոչ-գյուղատնտեսական հմտությունների ձեռքբերման համար նպաստավոր պայմանների ստեղծման համար։</w:t>
      </w:r>
    </w:p>
    <w:p w14:paraId="15E3E00B" w14:textId="77777777" w:rsidR="0011079B" w:rsidRPr="00C921DE" w:rsidRDefault="0011079B" w:rsidP="00530142">
      <w:pPr>
        <w:spacing w:line="360" w:lineRule="auto"/>
        <w:ind w:firstLine="567"/>
        <w:jc w:val="both"/>
        <w:rPr>
          <w:rFonts w:ascii="GHEA Grapalat" w:hAnsi="GHEA Grapalat"/>
          <w:sz w:val="22"/>
          <w:szCs w:val="22"/>
          <w:u w:val="single"/>
        </w:rPr>
      </w:pPr>
    </w:p>
    <w:p w14:paraId="6216B49A" w14:textId="77777777" w:rsidR="004F0792" w:rsidRPr="00C921DE" w:rsidRDefault="001C411D" w:rsidP="004F0792">
      <w:pPr>
        <w:spacing w:line="360" w:lineRule="auto"/>
        <w:ind w:firstLine="567"/>
        <w:jc w:val="both"/>
        <w:rPr>
          <w:rFonts w:ascii="GHEA Grapalat" w:hAnsi="GHEA Grapalat"/>
          <w:sz w:val="22"/>
          <w:szCs w:val="22"/>
        </w:rPr>
      </w:pPr>
      <w:r w:rsidRPr="00C921DE">
        <w:rPr>
          <w:rFonts w:ascii="GHEA Grapalat" w:hAnsi="GHEA Grapalat"/>
          <w:sz w:val="22"/>
          <w:szCs w:val="22"/>
          <w:u w:val="single"/>
        </w:rPr>
        <w:lastRenderedPageBreak/>
        <w:t xml:space="preserve">Զբոսաշրջության </w:t>
      </w:r>
      <w:r w:rsidR="00530142" w:rsidRPr="00C921DE">
        <w:rPr>
          <w:rFonts w:ascii="GHEA Grapalat" w:hAnsi="GHEA Grapalat"/>
          <w:sz w:val="22"/>
          <w:szCs w:val="22"/>
          <w:u w:val="single"/>
        </w:rPr>
        <w:t xml:space="preserve">ոլորտի </w:t>
      </w:r>
      <w:r w:rsidRPr="00C921DE">
        <w:rPr>
          <w:rFonts w:ascii="GHEA Grapalat" w:hAnsi="GHEA Grapalat"/>
          <w:sz w:val="22"/>
          <w:szCs w:val="22"/>
          <w:u w:val="single"/>
        </w:rPr>
        <w:t>զարգաց</w:t>
      </w:r>
      <w:r w:rsidR="00530142" w:rsidRPr="00C921DE">
        <w:rPr>
          <w:rFonts w:ascii="GHEA Grapalat" w:hAnsi="GHEA Grapalat"/>
          <w:sz w:val="22"/>
          <w:szCs w:val="22"/>
          <w:u w:val="single"/>
        </w:rPr>
        <w:t>ման</w:t>
      </w:r>
      <w:r w:rsidRPr="00C921DE">
        <w:rPr>
          <w:u w:val="single"/>
          <w:vertAlign w:val="superscript"/>
        </w:rPr>
        <w:footnoteReference w:id="5"/>
      </w:r>
      <w:r w:rsidR="00530142" w:rsidRPr="00C921DE">
        <w:rPr>
          <w:rFonts w:ascii="GHEA Grapalat" w:hAnsi="GHEA Grapalat"/>
          <w:sz w:val="22"/>
          <w:szCs w:val="22"/>
        </w:rPr>
        <w:t xml:space="preserve"> </w:t>
      </w:r>
      <w:r w:rsidR="004F0792" w:rsidRPr="00C921DE">
        <w:rPr>
          <w:rFonts w:ascii="GHEA Grapalat" w:hAnsi="GHEA Grapalat"/>
          <w:sz w:val="22"/>
          <w:szCs w:val="22"/>
        </w:rPr>
        <w:t>քաղաքականությունն ուղղված է եղել Հայաստանի ճանաչելիության և հայկական զբոսաշրջային արդյունքի մրցունակության բարձրացմանը, ինստիտուցիոնալ բարեփոխումների իրականացմանը՝ «Զբոսաշրջության մասին» ՀՀ օրենքի և առնչվող օրենքների ու այլ իրավական ակտերի</w:t>
      </w:r>
      <w:r w:rsidR="00113301" w:rsidRPr="00C921DE">
        <w:rPr>
          <w:rFonts w:ascii="GHEA Grapalat" w:hAnsi="GHEA Grapalat"/>
          <w:sz w:val="22"/>
          <w:szCs w:val="22"/>
        </w:rPr>
        <w:t xml:space="preserve"> </w:t>
      </w:r>
      <w:r w:rsidR="004F0792" w:rsidRPr="00C921DE">
        <w:rPr>
          <w:rFonts w:ascii="GHEA Grapalat" w:hAnsi="GHEA Grapalat"/>
          <w:sz w:val="22"/>
          <w:szCs w:val="22"/>
        </w:rPr>
        <w:t>մշակմանն ու հաստատմանը։ Բյուջետային տարվա հիմնական միջոցառումները վերաբերել են ակտիվ մարքեթինգային քաղաքականության իրականացմանը՝ 4 միջազգային ցուցահանդեսներին մասնակցությանը, միջազգային և թիրախային ավիաընկերությունների հետ համագործակցության շրջանակներում մարքեթինգային</w:t>
      </w:r>
      <w:r w:rsidR="00113301" w:rsidRPr="00C921DE">
        <w:rPr>
          <w:rFonts w:ascii="GHEA Grapalat" w:hAnsi="GHEA Grapalat"/>
          <w:sz w:val="22"/>
          <w:szCs w:val="22"/>
        </w:rPr>
        <w:t xml:space="preserve"> </w:t>
      </w:r>
      <w:r w:rsidR="004F0792" w:rsidRPr="00C921DE">
        <w:rPr>
          <w:rFonts w:ascii="GHEA Grapalat" w:hAnsi="GHEA Grapalat"/>
          <w:sz w:val="22"/>
          <w:szCs w:val="22"/>
        </w:rPr>
        <w:t>ծառայությունների ձեռքբերմանը, թիրախային երկրներում 3 գովազդային արշավների (road show) կազմակերպմանը, 9 հեղինակավոր պարբերականում Հայաստանը ներկայացնող</w:t>
      </w:r>
      <w:r w:rsidR="00113301" w:rsidRPr="00C921DE">
        <w:rPr>
          <w:rFonts w:ascii="GHEA Grapalat" w:hAnsi="GHEA Grapalat"/>
          <w:sz w:val="22"/>
          <w:szCs w:val="22"/>
        </w:rPr>
        <w:t xml:space="preserve"> </w:t>
      </w:r>
      <w:r w:rsidR="004F0792" w:rsidRPr="00C921DE">
        <w:rPr>
          <w:rFonts w:ascii="GHEA Grapalat" w:hAnsi="GHEA Grapalat"/>
          <w:sz w:val="22"/>
          <w:szCs w:val="22"/>
        </w:rPr>
        <w:t>նյութերի հրապարակմանը,</w:t>
      </w:r>
      <w:r w:rsidR="00AC5BDB" w:rsidRPr="00C921DE">
        <w:rPr>
          <w:rFonts w:ascii="GHEA Grapalat" w:hAnsi="GHEA Grapalat"/>
          <w:sz w:val="22"/>
          <w:szCs w:val="22"/>
          <w:lang w:val="en-US"/>
        </w:rPr>
        <w:t xml:space="preserve"> </w:t>
      </w:r>
      <w:r w:rsidR="004F0792" w:rsidRPr="00C921DE">
        <w:rPr>
          <w:rFonts w:ascii="GHEA Grapalat" w:hAnsi="GHEA Grapalat"/>
          <w:sz w:val="22"/>
          <w:szCs w:val="22"/>
        </w:rPr>
        <w:t>55 անձանց համար ճանաչողական այցերի կազմակերպմանը, մարզերում փառատոների իրականացմանը, համայնքային ռեսուրսների հիման վրա զբոսաշրջային արդյունքի բազմազանեցմանը, զբոսաշրջային ենթակառուցվածքների՝ 5 տեղեկատվական կենտրոնների բնականոն գործունեության</w:t>
      </w:r>
      <w:r w:rsidR="00AC5BDB" w:rsidRPr="00C921DE">
        <w:rPr>
          <w:rFonts w:ascii="GHEA Grapalat" w:hAnsi="GHEA Grapalat"/>
          <w:sz w:val="22"/>
          <w:szCs w:val="22"/>
          <w:lang w:val="en-US"/>
        </w:rPr>
        <w:t>ը</w:t>
      </w:r>
      <w:r w:rsidR="004F0792" w:rsidRPr="00C921DE">
        <w:rPr>
          <w:rFonts w:ascii="GHEA Grapalat" w:hAnsi="GHEA Grapalat"/>
          <w:sz w:val="22"/>
          <w:szCs w:val="22"/>
        </w:rPr>
        <w:t xml:space="preserve"> և </w:t>
      </w:r>
      <w:bookmarkStart w:id="18" w:name="_Hlk120628867"/>
      <w:r w:rsidR="004F0792" w:rsidRPr="00C921DE">
        <w:rPr>
          <w:rFonts w:ascii="GHEA Grapalat" w:hAnsi="GHEA Grapalat"/>
          <w:sz w:val="22"/>
          <w:szCs w:val="22"/>
        </w:rPr>
        <w:t>6 զբոսաշրջային բիզնես նախաձեռնություններին</w:t>
      </w:r>
      <w:bookmarkEnd w:id="18"/>
      <w:r w:rsidR="004F0792" w:rsidRPr="00C921DE">
        <w:rPr>
          <w:rFonts w:ascii="GHEA Grapalat" w:hAnsi="GHEA Grapalat"/>
          <w:sz w:val="22"/>
          <w:szCs w:val="22"/>
        </w:rPr>
        <w:t xml:space="preserve"> աջակցությանը, միջազգային համագործակցության զարգացմանը, վիճակագրական համակարգի կատարելագործմանը, ծառայությունների որակի բարելավմանը, զբոսաշրջային կենտրոն կառավարող կազմակերպությունների (DMO-ների) գործունեության աջակցությանը։ Մեծ ուշադրություն է դարձվել Հայաստանի զբոսաշրջային գրավչության վերականգնման մարքեթինգային միջոցառումների իրականացմանը։ Մինչև 2026 թվականը նախատեսվում է դեպի Հայաստան միջազգային զբոսաշրջիկների այցելությունների թվի ավելացում տարեկան առնվազն 10 տոկոսով</w:t>
      </w:r>
      <w:r w:rsidR="00AC5BDB" w:rsidRPr="00C921DE">
        <w:rPr>
          <w:rFonts w:ascii="GHEA Grapalat" w:hAnsi="GHEA Grapalat"/>
          <w:sz w:val="22"/>
          <w:szCs w:val="22"/>
          <w:lang w:val="en-US"/>
        </w:rPr>
        <w:t>՝</w:t>
      </w:r>
      <w:r w:rsidR="00113301" w:rsidRPr="00C921DE">
        <w:rPr>
          <w:rFonts w:ascii="GHEA Grapalat" w:hAnsi="GHEA Grapalat"/>
          <w:sz w:val="22"/>
          <w:szCs w:val="22"/>
        </w:rPr>
        <w:t xml:space="preserve"> </w:t>
      </w:r>
      <w:r w:rsidR="004F0792" w:rsidRPr="00C921DE">
        <w:rPr>
          <w:rFonts w:ascii="GHEA Grapalat" w:hAnsi="GHEA Grapalat"/>
          <w:sz w:val="22"/>
          <w:szCs w:val="22"/>
        </w:rPr>
        <w:t>հասցնելով 2</w:t>
      </w:r>
      <w:r w:rsidR="00AC5BDB" w:rsidRPr="00C921DE">
        <w:rPr>
          <w:rFonts w:ascii="GHEA Grapalat" w:hAnsi="GHEA Grapalat"/>
          <w:sz w:val="22"/>
          <w:szCs w:val="22"/>
          <w:lang w:val="en-US"/>
        </w:rPr>
        <w:t>.</w:t>
      </w:r>
      <w:r w:rsidR="004F0792" w:rsidRPr="00C921DE">
        <w:rPr>
          <w:rFonts w:ascii="GHEA Grapalat" w:hAnsi="GHEA Grapalat"/>
          <w:sz w:val="22"/>
          <w:szCs w:val="22"/>
        </w:rPr>
        <w:t xml:space="preserve">5 միլիոնի: </w:t>
      </w:r>
    </w:p>
    <w:p w14:paraId="1C1B510A" w14:textId="77777777" w:rsidR="004F0792" w:rsidRPr="00C921DE" w:rsidRDefault="004F0792" w:rsidP="004F0792">
      <w:pPr>
        <w:spacing w:line="360" w:lineRule="auto"/>
        <w:ind w:firstLine="567"/>
        <w:jc w:val="both"/>
        <w:rPr>
          <w:rFonts w:ascii="GHEA Grapalat" w:hAnsi="GHEA Grapalat"/>
          <w:sz w:val="22"/>
          <w:szCs w:val="22"/>
          <w:lang w:val="en-US"/>
        </w:rPr>
      </w:pPr>
      <w:r w:rsidRPr="00C921DE">
        <w:rPr>
          <w:rFonts w:ascii="GHEA Grapalat" w:hAnsi="GHEA Grapalat"/>
          <w:sz w:val="22"/>
          <w:szCs w:val="22"/>
        </w:rPr>
        <w:t>Հայաստան զբոսաշրջային այցելությունների թվաքանակի աճին զուգահեռ կստեղծվեն նոր աշխատատեղեր, կբարձրանա բնակչության կենսամակարդակը, կլուծվեն մի շարք սոցիալ-տնտեսական խնդիրներ, կապահովվի տարածքային համաչափ տնտեսական զարգացում</w:t>
      </w:r>
      <w:r w:rsidR="00AC5BDB" w:rsidRPr="00C921DE">
        <w:rPr>
          <w:rFonts w:ascii="GHEA Grapalat" w:hAnsi="GHEA Grapalat"/>
          <w:sz w:val="22"/>
          <w:szCs w:val="22"/>
          <w:lang w:val="en-US"/>
        </w:rPr>
        <w:t>:</w:t>
      </w:r>
    </w:p>
    <w:p w14:paraId="5F009EFC" w14:textId="77777777" w:rsidR="00CA4658" w:rsidRPr="00C921DE" w:rsidRDefault="00CA4658" w:rsidP="00CA4658">
      <w:pPr>
        <w:spacing w:line="360" w:lineRule="auto"/>
        <w:ind w:firstLine="567"/>
        <w:jc w:val="both"/>
        <w:rPr>
          <w:rFonts w:ascii="GHEA Grapalat" w:hAnsi="GHEA Grapalat"/>
          <w:sz w:val="22"/>
          <w:szCs w:val="22"/>
        </w:rPr>
      </w:pPr>
    </w:p>
    <w:p w14:paraId="35E005C9" w14:textId="77777777" w:rsidR="00906DE3" w:rsidRPr="00C921DE" w:rsidRDefault="00906DE3" w:rsidP="00CA4658">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Գյուղատնտեսություն</w:t>
      </w:r>
    </w:p>
    <w:p w14:paraId="6E4ABA7F" w14:textId="77777777" w:rsidR="00906DE3" w:rsidRPr="00C921DE" w:rsidRDefault="00906DE3" w:rsidP="008F18AD">
      <w:pPr>
        <w:spacing w:line="360" w:lineRule="auto"/>
        <w:ind w:firstLine="567"/>
        <w:jc w:val="both"/>
        <w:rPr>
          <w:rFonts w:ascii="GHEA Grapalat" w:hAnsi="GHEA Grapalat"/>
          <w:sz w:val="22"/>
          <w:szCs w:val="22"/>
        </w:rPr>
      </w:pPr>
      <w:r w:rsidRPr="00C921DE">
        <w:rPr>
          <w:rFonts w:ascii="GHEA Grapalat" w:hAnsi="GHEA Grapalat"/>
          <w:sz w:val="22"/>
          <w:szCs w:val="22"/>
        </w:rPr>
        <w:t>Ագրոպարենային համակարգի զարգացման քաղաքա</w:t>
      </w:r>
      <w:r w:rsidRPr="00C921DE">
        <w:rPr>
          <w:rFonts w:ascii="GHEA Grapalat" w:hAnsi="GHEA Grapalat"/>
          <w:sz w:val="22"/>
          <w:szCs w:val="22"/>
        </w:rPr>
        <w:softHyphen/>
        <w:t xml:space="preserve">կանության մեջ որպես հիմնական </w:t>
      </w:r>
      <w:r w:rsidR="008F18AD" w:rsidRPr="00C921DE">
        <w:rPr>
          <w:rFonts w:ascii="GHEA Grapalat" w:hAnsi="GHEA Grapalat"/>
          <w:sz w:val="22"/>
          <w:szCs w:val="22"/>
        </w:rPr>
        <w:t xml:space="preserve">գերակայություններ են դրված եղել </w:t>
      </w:r>
      <w:r w:rsidRPr="00C921DE">
        <w:rPr>
          <w:rFonts w:ascii="GHEA Grapalat" w:hAnsi="GHEA Grapalat"/>
          <w:sz w:val="22"/>
          <w:szCs w:val="22"/>
        </w:rPr>
        <w:t xml:space="preserve">գյուղատնտեսության ռեսուրսային ներուժի արդյունավետ օգտագործումը, պարենային անվտանգության մակարդակի բարձրացումը, առաջադիմական տեխնոլոգիաների ներդրումը, գյուղատնտեսության ինտենսիվացման մակարդակի բարձրացումը, բնակլիմայական ռիսկերի մեղմումն ու տնտեսավարողների եկամուտների ավելացումը: </w:t>
      </w:r>
    </w:p>
    <w:p w14:paraId="43E1891B" w14:textId="77777777" w:rsidR="00906DE3" w:rsidRPr="00C921DE" w:rsidRDefault="00906DE3" w:rsidP="008F18AD">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Գյուղատնտեսության ոլորտում Կառավարության կողմից իրականացվող քաղաքականությունն ուղղված է եղել գյուղատնտեսության ինտենսիվացմանը, արտադրողականության բարձրացմանը, հողային ռեսուրսների նպատակային և ջրային ռեսուրսների խնայողաբար ու արդյունավետ օգտագործմանը, պարենային անվտանգության ապահովման մակարդակի բարձրացմանը, անասնաբուծության և բուսաբուծության զարգացմանը, արդիական տեխնոլոգիաների ներդրմանը, արտադրված արտադրանքի իրացմանն ու արտահանման խթանմանը, գյուղատնտեսական ամբողջ արժեշղթայում ընդգրկված սուբյեկտների՝ գյուղացիական տնտեսությունների, կոոպերատիվների, գյուղատնտեսական մթերք վերամշակողների եկամուտների ավելացմանը։</w:t>
      </w:r>
    </w:p>
    <w:p w14:paraId="3E55AB19" w14:textId="77777777" w:rsidR="00906DE3" w:rsidRPr="00C921DE" w:rsidRDefault="00906DE3" w:rsidP="008F18AD">
      <w:pPr>
        <w:spacing w:line="360" w:lineRule="auto"/>
        <w:ind w:firstLine="567"/>
        <w:jc w:val="both"/>
        <w:rPr>
          <w:rFonts w:ascii="GHEA Grapalat" w:hAnsi="GHEA Grapalat"/>
          <w:sz w:val="22"/>
          <w:szCs w:val="22"/>
        </w:rPr>
      </w:pPr>
      <w:r w:rsidRPr="00C921DE">
        <w:rPr>
          <w:rFonts w:ascii="GHEA Grapalat" w:hAnsi="GHEA Grapalat"/>
          <w:sz w:val="22"/>
          <w:szCs w:val="22"/>
        </w:rPr>
        <w:t xml:space="preserve">Նշված քաղաքականության իրականացման նպատակով 2023 թվականին պետական բյուջեով նախատեսվող ծախսերը առաջնահերթ նպատակաուղղվել են հետևյալ ծրագրերի իրականացմանը. </w:t>
      </w:r>
    </w:p>
    <w:p w14:paraId="7791B333"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գյուղատնտեսության ոլորտում տնտեսավարողներին և գյուղատնտեսական </w:t>
      </w:r>
      <w:r w:rsidR="00643288" w:rsidRPr="00C921DE">
        <w:rPr>
          <w:rFonts w:ascii="GHEA Grapalat" w:hAnsi="GHEA Grapalat" w:cs="GHEA Grapalat"/>
          <w:bCs/>
          <w:lang w:val="af-ZA"/>
        </w:rPr>
        <w:t>մթերքներ</w:t>
      </w:r>
      <w:r w:rsidRPr="00C921DE">
        <w:rPr>
          <w:rFonts w:ascii="GHEA Grapalat" w:hAnsi="GHEA Grapalat" w:cs="GHEA Grapalat"/>
          <w:bCs/>
          <w:lang w:val="af-ZA"/>
        </w:rPr>
        <w:t xml:space="preserve"> վերամշակող սուբյեկտներին </w:t>
      </w:r>
      <w:r w:rsidR="00643288" w:rsidRPr="00C921DE">
        <w:rPr>
          <w:rFonts w:ascii="GHEA Grapalat" w:hAnsi="GHEA Grapalat" w:cs="GHEA Grapalat"/>
          <w:bCs/>
          <w:lang w:val="af-ZA"/>
        </w:rPr>
        <w:t xml:space="preserve">տրամադրվող </w:t>
      </w:r>
      <w:r w:rsidRPr="00C921DE">
        <w:rPr>
          <w:rFonts w:ascii="GHEA Grapalat" w:hAnsi="GHEA Grapalat" w:cs="GHEA Grapalat"/>
          <w:bCs/>
          <w:lang w:val="af-ZA"/>
        </w:rPr>
        <w:t>վարկերի տոկոսադրույքների սուբսիդավորման և փոխհատուցման մեխանիզմների կիրառում,</w:t>
      </w:r>
    </w:p>
    <w:p w14:paraId="2B94928E"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մատչելի մեխանիզմներով՝ լիզինգով գյուղատնտեսական և ագրոպարենային ոլորտի տեխնիկական միջոցների մատակարարում,</w:t>
      </w:r>
    </w:p>
    <w:p w14:paraId="7DC72221"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ժամանակակից տեխնոլոգիայով մշակվող ինտենսիվ այգեգործության,</w:t>
      </w:r>
      <w:r w:rsidR="005F1B74" w:rsidRPr="00C921DE">
        <w:rPr>
          <w:rFonts w:ascii="GHEA Grapalat" w:hAnsi="GHEA Grapalat" w:cs="GHEA Grapalat"/>
          <w:bCs/>
          <w:lang w:val="af-ZA"/>
        </w:rPr>
        <w:t xml:space="preserve"> </w:t>
      </w:r>
      <w:r w:rsidRPr="00C921DE">
        <w:rPr>
          <w:rFonts w:ascii="GHEA Grapalat" w:hAnsi="GHEA Grapalat" w:cs="GHEA Grapalat"/>
          <w:bCs/>
          <w:lang w:val="af-ZA"/>
        </w:rPr>
        <w:t>բարձրարժեք մշակաբույսերի արտադրության խթանման, ոռոգման արդիական տեխնոլոգիաների, ջրավազանների, կարկտապաշտպան ցանցերի ներդրման միջոցառումներ,</w:t>
      </w:r>
      <w:r w:rsidR="005F1B74" w:rsidRPr="00C921DE">
        <w:rPr>
          <w:rFonts w:ascii="GHEA Grapalat" w:hAnsi="GHEA Grapalat" w:cs="GHEA Grapalat"/>
          <w:bCs/>
          <w:lang w:val="af-ZA"/>
        </w:rPr>
        <w:t xml:space="preserve"> </w:t>
      </w:r>
    </w:p>
    <w:p w14:paraId="5B75564E"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վարկերի սուբսիդավորման և փոխհատուցման մեխանիզմների կիրառմամբ «խելացի» անասնաշենքերի ներդրում,</w:t>
      </w:r>
    </w:p>
    <w:p w14:paraId="3F7CD42A"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ջերմատնային տնտեսությունների ներդրում, </w:t>
      </w:r>
    </w:p>
    <w:p w14:paraId="32E42354"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խաղողագործության և գինեգործության զարգացման միջոցառումներ,</w:t>
      </w:r>
    </w:p>
    <w:p w14:paraId="752C1FB6"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հողերի ագրոքիմիական հետազոտություններ և բերրիության բարձրացում,</w:t>
      </w:r>
    </w:p>
    <w:p w14:paraId="38C96CEC"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գյուղատնտեսական նշանակության հողերի միավորում (կոնսոլիդացիա),</w:t>
      </w:r>
    </w:p>
    <w:p w14:paraId="2264717A"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անասնաբուծության զարգացմանն ուղղված պետական աջակցության ծրագրերի իրականացում, </w:t>
      </w:r>
    </w:p>
    <w:p w14:paraId="026223B3"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անասնապահության ոլորտում առաջադիմական տեխնոլոգիաների</w:t>
      </w:r>
      <w:r w:rsidR="005F1B74" w:rsidRPr="00C921DE">
        <w:rPr>
          <w:rFonts w:ascii="GHEA Grapalat" w:hAnsi="GHEA Grapalat" w:cs="GHEA Grapalat"/>
          <w:bCs/>
          <w:lang w:val="af-ZA"/>
        </w:rPr>
        <w:t xml:space="preserve"> </w:t>
      </w:r>
      <w:r w:rsidRPr="00C921DE">
        <w:rPr>
          <w:rFonts w:ascii="GHEA Grapalat" w:hAnsi="GHEA Grapalat" w:cs="GHEA Grapalat"/>
          <w:bCs/>
          <w:lang w:val="af-ZA"/>
        </w:rPr>
        <w:t>ներդրում, այդ թվում</w:t>
      </w:r>
      <w:r w:rsidR="00643288" w:rsidRPr="00C921DE">
        <w:rPr>
          <w:rFonts w:ascii="GHEA Grapalat" w:hAnsi="GHEA Grapalat" w:cs="GHEA Grapalat"/>
          <w:bCs/>
          <w:lang w:val="af-ZA"/>
        </w:rPr>
        <w:t>՝</w:t>
      </w:r>
      <w:r w:rsidRPr="00C921DE">
        <w:rPr>
          <w:rFonts w:ascii="GHEA Grapalat" w:hAnsi="GHEA Grapalat" w:cs="GHEA Grapalat"/>
          <w:bCs/>
          <w:lang w:val="af-ZA"/>
        </w:rPr>
        <w:t xml:space="preserve"> հիդրոպոնիկ եղանակով կանաչ կերի արտադրության խթանման միջոցառում, </w:t>
      </w:r>
    </w:p>
    <w:p w14:paraId="0A003D5B"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խոշոր եղջերավոր կենդանիների համարակալման և հաշվառման ծրագրի իրականացում,</w:t>
      </w:r>
    </w:p>
    <w:p w14:paraId="463E8FCC"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սպանդանոցային գործունեությամբ զբաղվող տնտեսավարողներին կենդանիների մթերումների աջակցություն,</w:t>
      </w:r>
    </w:p>
    <w:p w14:paraId="691F575E"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գյուղատնտեսությունում ապահովագրական փորձնական ծրագրի իրականացում, նոր պրոդուկտների ներդրում,</w:t>
      </w:r>
    </w:p>
    <w:p w14:paraId="7267B2FF"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տեղեկատվական և խորհրդատվական ոլորտի ամրապնդում և զարգացում,</w:t>
      </w:r>
    </w:p>
    <w:p w14:paraId="0F4AD886"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սերմերի որակի ստուգում և պետական սորտափորձարկում,</w:t>
      </w:r>
    </w:p>
    <w:p w14:paraId="45615822"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բույսերի պաշտպանության միջոցառումներ,</w:t>
      </w:r>
    </w:p>
    <w:p w14:paraId="427EE6D2"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գյուղատնտեսական կենդանիների վարակիչ հիվանդությունների դեմ հակահամաճարակային միջոցառումներ,</w:t>
      </w:r>
    </w:p>
    <w:p w14:paraId="1969D14C" w14:textId="77777777" w:rsidR="00906DE3" w:rsidRPr="00C921DE" w:rsidRDefault="00906DE3" w:rsidP="0064328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աշնանացան ցորենի 2022 թվականի արտադրության կազմակերպման համար փոխհատուցման տրամադրում։</w:t>
      </w:r>
    </w:p>
    <w:p w14:paraId="0B8EFD45" w14:textId="04114BE5" w:rsidR="00906DE3" w:rsidRPr="00C921DE" w:rsidRDefault="00906DE3" w:rsidP="003E173D">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5F1B74" w:rsidRPr="00C921DE">
        <w:rPr>
          <w:rFonts w:ascii="GHEA Grapalat" w:hAnsi="GHEA Grapalat"/>
          <w:sz w:val="22"/>
          <w:szCs w:val="22"/>
        </w:rPr>
        <w:t xml:space="preserve"> </w:t>
      </w:r>
      <w:r w:rsidRPr="00C921DE">
        <w:rPr>
          <w:rFonts w:ascii="GHEA Grapalat" w:hAnsi="GHEA Grapalat"/>
          <w:sz w:val="22"/>
          <w:szCs w:val="22"/>
        </w:rPr>
        <w:t>թվականին շարունակվել են իրականացվել գյուղատնտեսության ոլորտի պետական օժանդ</w:t>
      </w:r>
      <w:r w:rsidR="00F73A65" w:rsidRPr="00C921DE">
        <w:rPr>
          <w:rFonts w:ascii="GHEA Grapalat" w:hAnsi="GHEA Grapalat"/>
          <w:sz w:val="22"/>
          <w:szCs w:val="22"/>
          <w:lang w:val="en-US"/>
        </w:rPr>
        <w:t>ակ</w:t>
      </w:r>
      <w:r w:rsidRPr="00C921DE">
        <w:rPr>
          <w:rFonts w:ascii="GHEA Grapalat" w:hAnsi="GHEA Grapalat"/>
          <w:sz w:val="22"/>
          <w:szCs w:val="22"/>
        </w:rPr>
        <w:t>ության ծրագրերը, որոնց արդյունավետության բարձրացման նպատակով պարբերաբար կատարվել են մի շարք փոփոխություններ և լրացումներ։</w:t>
      </w:r>
      <w:r w:rsidR="003E173D" w:rsidRPr="00C921DE">
        <w:rPr>
          <w:rFonts w:ascii="GHEA Grapalat" w:hAnsi="GHEA Grapalat"/>
          <w:sz w:val="22"/>
          <w:szCs w:val="22"/>
          <w:lang w:val="en-US"/>
        </w:rPr>
        <w:t xml:space="preserve"> </w:t>
      </w:r>
      <w:r w:rsidRPr="00C921DE">
        <w:rPr>
          <w:rFonts w:ascii="GHEA Grapalat" w:hAnsi="GHEA Grapalat"/>
          <w:sz w:val="22"/>
          <w:szCs w:val="22"/>
        </w:rPr>
        <w:t>2023 թվականին մեկնարկել են</w:t>
      </w:r>
      <w:r w:rsidRPr="00C921DE">
        <w:rPr>
          <w:rFonts w:ascii="Cambria Math" w:hAnsi="Cambria Math" w:cs="Cambria Math"/>
          <w:sz w:val="22"/>
          <w:szCs w:val="22"/>
        </w:rPr>
        <w:t>․</w:t>
      </w:r>
    </w:p>
    <w:p w14:paraId="0796FD70" w14:textId="77777777" w:rsidR="00906DE3" w:rsidRPr="00C921DE" w:rsidRDefault="00906DE3" w:rsidP="003E173D">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w:t>
      </w:r>
      <w:r w:rsidR="008A752A" w:rsidRPr="00C921DE">
        <w:rPr>
          <w:rFonts w:ascii="GHEA Grapalat" w:hAnsi="GHEA Grapalat" w:cs="GHEA Grapalat"/>
          <w:bCs/>
          <w:lang w:val="af-ZA"/>
        </w:rPr>
        <w:t>Հ-</w:t>
      </w:r>
      <w:r w:rsidRPr="00C921DE">
        <w:rPr>
          <w:rFonts w:ascii="GHEA Grapalat" w:hAnsi="GHEA Grapalat" w:cs="GHEA Grapalat"/>
          <w:bCs/>
          <w:lang w:val="af-ZA"/>
        </w:rPr>
        <w:t>ում Ջերմատնային տնտեսությունների զարգացման աջակցության ծրագիրը, որի շրջանակում վարկային բաղադրիչով խթանվում է 1 հա և ավելի ջերմատնային տնտեսությունների ներդրումը։ Ծրագրի նպատակն է նպաստել հանրապետությունում ջերմատնային տնտեսությունների մակերեսի, արտադրության և արտահանման ծավալների ավելացմանը, արտադրանքի մրցու</w:t>
      </w:r>
      <w:r w:rsidR="00502088" w:rsidRPr="00C921DE">
        <w:rPr>
          <w:rFonts w:ascii="GHEA Grapalat" w:hAnsi="GHEA Grapalat" w:cs="GHEA Grapalat"/>
          <w:bCs/>
          <w:lang w:val="af-ZA"/>
        </w:rPr>
        <w:t>նակության մակարդակի բարձրացմանը.</w:t>
      </w:r>
    </w:p>
    <w:p w14:paraId="46855C19" w14:textId="77777777" w:rsidR="00906DE3" w:rsidRPr="00C921DE" w:rsidRDefault="00906DE3" w:rsidP="003E173D">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Տնամերձ հողամասերում այգեհիմնման և ոռոգման արդիական համակարգերի ներդրման փորձնական</w:t>
      </w:r>
      <w:r w:rsidRPr="00C921DE">
        <w:rPr>
          <w:bCs/>
          <w:lang w:val="af-ZA"/>
        </w:rPr>
        <w:t> </w:t>
      </w:r>
      <w:r w:rsidRPr="00C921DE">
        <w:rPr>
          <w:rFonts w:ascii="GHEA Grapalat" w:hAnsi="GHEA Grapalat" w:cs="GHEA Grapalat"/>
          <w:bCs/>
          <w:lang w:val="af-ZA"/>
        </w:rPr>
        <w:t>ծրագիրը, որ</w:t>
      </w:r>
      <w:r w:rsidR="00502088" w:rsidRPr="00C921DE">
        <w:rPr>
          <w:rFonts w:ascii="GHEA Grapalat" w:hAnsi="GHEA Grapalat" w:cs="GHEA Grapalat"/>
          <w:bCs/>
          <w:lang w:val="af-ZA"/>
        </w:rPr>
        <w:t>ն</w:t>
      </w:r>
      <w:r w:rsidRPr="00C921DE">
        <w:rPr>
          <w:rFonts w:ascii="GHEA Grapalat" w:hAnsi="GHEA Grapalat" w:cs="GHEA Grapalat"/>
          <w:bCs/>
          <w:lang w:val="af-ZA"/>
        </w:rPr>
        <w:t xml:space="preserve"> իրականացվում է Իջևան համայնքի Բերքաբեր և Խաշաթառակ բնակավայրերում։ Ծրագրի նպատակն է</w:t>
      </w:r>
      <w:r w:rsidR="00915D5C" w:rsidRPr="00C921DE">
        <w:rPr>
          <w:rFonts w:ascii="GHEA Grapalat" w:hAnsi="GHEA Grapalat" w:cs="GHEA Grapalat"/>
          <w:bCs/>
          <w:lang w:val="af-ZA"/>
        </w:rPr>
        <w:t>՝</w:t>
      </w:r>
      <w:r w:rsidRPr="00C921DE">
        <w:rPr>
          <w:rFonts w:ascii="GHEA Grapalat" w:hAnsi="GHEA Grapalat" w:cs="GHEA Grapalat"/>
          <w:bCs/>
          <w:lang w:val="af-ZA"/>
        </w:rPr>
        <w:t xml:space="preserve"> բնակավայրերի տնամերձ հողամասերում այգեհիմնման և ոռոգման արդիական համակարգերի ներդրման արդյունքում խթանել բարձր բերքատվությամբ, հավաստագրված տնկիներով այգիների հիմնումն ու ջրային ռեսուրսների արդյուն</w:t>
      </w:r>
      <w:r w:rsidR="00915D5C" w:rsidRPr="00C921DE">
        <w:rPr>
          <w:rFonts w:ascii="GHEA Grapalat" w:hAnsi="GHEA Grapalat" w:cs="GHEA Grapalat"/>
          <w:bCs/>
          <w:lang w:val="af-ZA"/>
        </w:rPr>
        <w:t>ավետ ու խնայողաբար օգտագործումը.</w:t>
      </w:r>
    </w:p>
    <w:p w14:paraId="052AFD95" w14:textId="77777777" w:rsidR="00906DE3" w:rsidRPr="00C921DE" w:rsidRDefault="00E74E9E" w:rsidP="003E173D">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ՀՀ-ում</w:t>
      </w:r>
      <w:r w:rsidR="00906DE3" w:rsidRPr="00C921DE">
        <w:rPr>
          <w:rFonts w:ascii="GHEA Grapalat" w:hAnsi="GHEA Grapalat" w:cs="GHEA Grapalat"/>
          <w:bCs/>
          <w:lang w:val="af-ZA"/>
        </w:rPr>
        <w:t xml:space="preserve"> հողային բարեփոխումների փորձնական ծրագիրը, որի նպատակն է տարբեր գործիքների կիրառմամբ (գյուղատնտեսական նշանակության հողերի ձեռքբերում, օտարում, միջնորդությունների իրականացում, փոխանակում) նպաստել հողերի միավորմանը (կոնսոլիդացիային), հողերի շուկայի զարգացմանը և հողերի օգտագործման մակարդակի բարձրացմանը: Ծրագիրն իրականացվում է </w:t>
      </w:r>
      <w:r w:rsidR="00D5604B" w:rsidRPr="00C921DE">
        <w:rPr>
          <w:rFonts w:ascii="GHEA Grapalat" w:hAnsi="GHEA Grapalat" w:cs="GHEA Grapalat"/>
          <w:bCs/>
          <w:lang w:val="af-ZA"/>
        </w:rPr>
        <w:t>ՀՀ</w:t>
      </w:r>
      <w:r w:rsidR="00906DE3" w:rsidRPr="00C921DE">
        <w:rPr>
          <w:rFonts w:ascii="GHEA Grapalat" w:hAnsi="GHEA Grapalat" w:cs="GHEA Grapalat"/>
          <w:bCs/>
          <w:lang w:val="af-ZA"/>
        </w:rPr>
        <w:t xml:space="preserve"> էկոնոմիկայի նախարարության «Գյուղատնտեսական ծառայությունների կենտրոն» ՊՈԱԿ-ի միջոցով։</w:t>
      </w:r>
    </w:p>
    <w:p w14:paraId="5D4EF014" w14:textId="77777777" w:rsidR="00906DE3" w:rsidRPr="00C921DE" w:rsidRDefault="00906DE3" w:rsidP="00915D5C">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կատարված աշխատանքներից կարելի է առանձնացնել. </w:t>
      </w:r>
    </w:p>
    <w:p w14:paraId="385D1CE3" w14:textId="77777777" w:rsidR="00906DE3" w:rsidRPr="00C921DE" w:rsidRDefault="00B94C14" w:rsidP="00915D5C">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hyperlink r:id="rId12" w:history="1">
        <w:r w:rsidR="00906DE3" w:rsidRPr="00C921DE">
          <w:rPr>
            <w:rFonts w:ascii="GHEA Grapalat" w:hAnsi="GHEA Grapalat" w:cs="GHEA Grapalat"/>
            <w:bCs/>
            <w:lang w:val="af-ZA"/>
          </w:rPr>
          <w:t>Հ</w:t>
        </w:r>
        <w:r w:rsidR="00E74E9E" w:rsidRPr="00C921DE">
          <w:rPr>
            <w:rFonts w:ascii="GHEA Grapalat" w:hAnsi="GHEA Grapalat" w:cs="GHEA Grapalat"/>
            <w:bCs/>
            <w:lang w:val="af-ZA"/>
          </w:rPr>
          <w:t>Հ-</w:t>
        </w:r>
        <w:r w:rsidR="00906DE3" w:rsidRPr="00C921DE">
          <w:rPr>
            <w:rFonts w:ascii="GHEA Grapalat" w:hAnsi="GHEA Grapalat" w:cs="GHEA Grapalat"/>
            <w:bCs/>
            <w:lang w:val="af-ZA"/>
          </w:rPr>
          <w:t xml:space="preserve">ում ինտենսիվ այգեգործության զարգացման, արդիական տեխնոլոգիաների ներդրման և ոչ ավանդական բարձրարժեք մշակաբույսերի արտադրության խթանման պետական աջակցության </w:t>
        </w:r>
        <w:r w:rsidR="00906DE3" w:rsidRPr="00C921DE">
          <w:rPr>
            <w:rFonts w:ascii="GHEA Grapalat" w:hAnsi="GHEA Grapalat" w:cs="GHEA Grapalat"/>
            <w:bCs/>
            <w:lang w:val="af-ZA"/>
          </w:rPr>
          <w:lastRenderedPageBreak/>
          <w:t>2021-2023 թվականների ծրագիրը,</w:t>
        </w:r>
      </w:hyperlink>
      <w:r w:rsidR="00906DE3" w:rsidRPr="00C921DE">
        <w:rPr>
          <w:rFonts w:ascii="GHEA Grapalat" w:hAnsi="GHEA Grapalat" w:cs="GHEA Grapalat"/>
          <w:bCs/>
          <w:lang w:val="af-ZA"/>
        </w:rPr>
        <w:t xml:space="preserve"> որի շրջանակում 2023 թվականին հաստատվել է շուրջ 2350 հա-ի այգեհիմնման հայտ (այն դեպքում, երբ կառավարության ծրագրով որպես թիրախային ցուցանիշ սահմանվել է տարեկան 1000 հա) և շուրջ 730 հա-ի ոռոգման արդիական համակարգերի ներ</w:t>
      </w:r>
      <w:r w:rsidR="00915D5C" w:rsidRPr="00C921DE">
        <w:rPr>
          <w:rFonts w:ascii="GHEA Grapalat" w:hAnsi="GHEA Grapalat" w:cs="GHEA Grapalat"/>
          <w:bCs/>
          <w:lang w:val="af-ZA"/>
        </w:rPr>
        <w:t>դրման (ներառյալ ջրավազան) հայտ.</w:t>
      </w:r>
    </w:p>
    <w:p w14:paraId="672A0056" w14:textId="77777777" w:rsidR="00906DE3" w:rsidRPr="00C921DE" w:rsidRDefault="00906DE3" w:rsidP="00915D5C">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Անասնաբուծության ճյուղում </w:t>
      </w:r>
      <w:hyperlink r:id="rId13" w:history="1">
        <w:r w:rsidRPr="00C921DE">
          <w:rPr>
            <w:rFonts w:ascii="GHEA Grapalat" w:hAnsi="GHEA Grapalat" w:cs="GHEA Grapalat"/>
            <w:bCs/>
            <w:lang w:val="af-ZA"/>
          </w:rPr>
          <w:t>իրականացվող ներդրումային ծրագրերին աջակցության տրամադրման փորձնական ծրագիրը,</w:t>
        </w:r>
      </w:hyperlink>
      <w:r w:rsidRPr="00C921DE">
        <w:rPr>
          <w:rFonts w:ascii="GHEA Grapalat" w:hAnsi="GHEA Grapalat" w:cs="GHEA Grapalat"/>
          <w:bCs/>
          <w:lang w:val="af-ZA"/>
        </w:rPr>
        <w:t xml:space="preserve"> որի շրջանակում կնքվել է 6 պայմանագիր՝ ընդամենը 32</w:t>
      </w:r>
      <w:r w:rsidR="005A6C22" w:rsidRPr="00C921DE">
        <w:rPr>
          <w:rFonts w:ascii="GHEA Grapalat" w:hAnsi="GHEA Grapalat" w:cs="GHEA Grapalat"/>
          <w:bCs/>
          <w:lang w:val="af-ZA"/>
        </w:rPr>
        <w:t>.</w:t>
      </w:r>
      <w:r w:rsidRPr="00C921DE">
        <w:rPr>
          <w:rFonts w:ascii="GHEA Grapalat" w:hAnsi="GHEA Grapalat" w:cs="GHEA Grapalat"/>
          <w:bCs/>
          <w:lang w:val="af-ZA"/>
        </w:rPr>
        <w:t>1 մլրդ դրամ</w:t>
      </w:r>
      <w:r w:rsidR="005A6C22" w:rsidRPr="00C921DE">
        <w:rPr>
          <w:rFonts w:ascii="GHEA Grapalat" w:hAnsi="GHEA Grapalat" w:cs="GHEA Grapalat"/>
          <w:bCs/>
          <w:lang w:val="af-ZA"/>
        </w:rPr>
        <w:t>ի</w:t>
      </w:r>
      <w:r w:rsidRPr="00C921DE">
        <w:rPr>
          <w:rFonts w:ascii="GHEA Grapalat" w:hAnsi="GHEA Grapalat" w:cs="GHEA Grapalat"/>
          <w:bCs/>
          <w:lang w:val="af-ZA"/>
        </w:rPr>
        <w:t xml:space="preserve"> չ</w:t>
      </w:r>
      <w:r w:rsidR="005A6C22" w:rsidRPr="00C921DE">
        <w:rPr>
          <w:rFonts w:ascii="GHEA Grapalat" w:hAnsi="GHEA Grapalat" w:cs="GHEA Grapalat"/>
          <w:bCs/>
          <w:lang w:val="af-ZA"/>
        </w:rPr>
        <w:t>ափով.</w:t>
      </w:r>
    </w:p>
    <w:p w14:paraId="515BD535" w14:textId="77777777" w:rsidR="00906DE3" w:rsidRPr="00C921DE" w:rsidRDefault="00906DE3" w:rsidP="00915D5C">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Հայաստանի Հանրապետությունում գյուղատնտեսական տեխնիկայի լիզինգի աջակցության ծրագրի շրջանակում 2023 թվականին տնտեսավարողներին տրամադրվել է 719 միավոր գյուղատնտեսական տեխնիկա (այդ թվում՝ 213 միավոր տրակտոր և 5 միավոր կոմբայն)</w:t>
      </w:r>
      <w:r w:rsidR="005F1B74" w:rsidRPr="00C921DE">
        <w:rPr>
          <w:rFonts w:ascii="GHEA Grapalat" w:hAnsi="GHEA Grapalat" w:cs="GHEA Grapalat"/>
          <w:bCs/>
          <w:lang w:val="af-ZA"/>
        </w:rPr>
        <w:t>,</w:t>
      </w:r>
      <w:r w:rsidRPr="00C921DE">
        <w:rPr>
          <w:rFonts w:ascii="GHEA Grapalat" w:hAnsi="GHEA Grapalat" w:cs="GHEA Grapalat"/>
          <w:bCs/>
          <w:lang w:val="af-ZA"/>
        </w:rPr>
        <w:t xml:space="preserve"> այն դեպքում, երբ կառավարության ծրագրով սահմանված թիրախա</w:t>
      </w:r>
      <w:r w:rsidR="005F1B74" w:rsidRPr="00C921DE">
        <w:rPr>
          <w:rFonts w:ascii="GHEA Grapalat" w:hAnsi="GHEA Grapalat" w:cs="GHEA Grapalat"/>
          <w:bCs/>
          <w:lang w:val="af-ZA"/>
        </w:rPr>
        <w:t>յին ցուցանիշը եղել է 500 միավոր.</w:t>
      </w:r>
    </w:p>
    <w:p w14:paraId="4B0F36A8" w14:textId="77777777" w:rsidR="00906DE3" w:rsidRPr="00C921DE" w:rsidRDefault="00906DE3" w:rsidP="00915D5C">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2023 թվականի ընթացքում Հայաստանի Հանրապետությունում խոշոր եղջերավոր կենդանիների համարակալման և հաշվառման ծրագրի շրջանակներում համարակալվել է </w:t>
      </w:r>
      <w:r w:rsidR="007A2D07" w:rsidRPr="00C921DE">
        <w:rPr>
          <w:rFonts w:ascii="GHEA Grapalat" w:hAnsi="GHEA Grapalat" w:cs="GHEA Grapalat"/>
          <w:bCs/>
          <w:lang w:val="af-ZA"/>
        </w:rPr>
        <w:t xml:space="preserve">428081 </w:t>
      </w:r>
      <w:r w:rsidRPr="00C921DE">
        <w:rPr>
          <w:rFonts w:ascii="GHEA Grapalat" w:hAnsi="GHEA Grapalat" w:cs="GHEA Grapalat"/>
          <w:bCs/>
          <w:lang w:val="af-ZA"/>
        </w:rPr>
        <w:t>գլուխ խոշոր եղջ</w:t>
      </w:r>
      <w:r w:rsidR="0003401F" w:rsidRPr="00C921DE">
        <w:rPr>
          <w:rFonts w:ascii="GHEA Grapalat" w:hAnsi="GHEA Grapalat" w:cs="GHEA Grapalat"/>
          <w:bCs/>
          <w:lang w:val="af-ZA"/>
        </w:rPr>
        <w:t>ե</w:t>
      </w:r>
      <w:r w:rsidRPr="00C921DE">
        <w:rPr>
          <w:rFonts w:ascii="GHEA Grapalat" w:hAnsi="GHEA Grapalat" w:cs="GHEA Grapalat"/>
          <w:bCs/>
          <w:lang w:val="af-ZA"/>
        </w:rPr>
        <w:t>րավոր կենդանի՝ ներառյալ ընթացիկ տարվա հորթերը, որը կազմել է Հանրապետության խոշո</w:t>
      </w:r>
      <w:r w:rsidR="005F1B74" w:rsidRPr="00C921DE">
        <w:rPr>
          <w:rFonts w:ascii="GHEA Grapalat" w:hAnsi="GHEA Grapalat" w:cs="GHEA Grapalat"/>
          <w:bCs/>
          <w:lang w:val="af-ZA"/>
        </w:rPr>
        <w:t>ր եղջ</w:t>
      </w:r>
      <w:r w:rsidR="007A2D07" w:rsidRPr="00C921DE">
        <w:rPr>
          <w:rFonts w:ascii="GHEA Grapalat" w:hAnsi="GHEA Grapalat" w:cs="GHEA Grapalat"/>
          <w:bCs/>
          <w:lang w:val="af-ZA"/>
        </w:rPr>
        <w:t>ե</w:t>
      </w:r>
      <w:r w:rsidR="005F1B74" w:rsidRPr="00C921DE">
        <w:rPr>
          <w:rFonts w:ascii="GHEA Grapalat" w:hAnsi="GHEA Grapalat" w:cs="GHEA Grapalat"/>
          <w:bCs/>
          <w:lang w:val="af-ZA"/>
        </w:rPr>
        <w:t>րավոր կենդանիների շուրջ 85</w:t>
      </w:r>
      <w:r w:rsidRPr="00C921DE">
        <w:rPr>
          <w:rFonts w:ascii="GHEA Grapalat" w:hAnsi="GHEA Grapalat" w:cs="GHEA Grapalat"/>
          <w:bCs/>
          <w:lang w:val="af-ZA"/>
        </w:rPr>
        <w:t>%-ը։</w:t>
      </w:r>
    </w:p>
    <w:p w14:paraId="21B0B428" w14:textId="77777777" w:rsidR="00906DE3" w:rsidRPr="00C921DE" w:rsidRDefault="00906DE3" w:rsidP="005F1B74">
      <w:pPr>
        <w:spacing w:line="360" w:lineRule="auto"/>
        <w:ind w:firstLine="567"/>
        <w:jc w:val="both"/>
        <w:rPr>
          <w:rFonts w:ascii="GHEA Grapalat" w:hAnsi="GHEA Grapalat"/>
          <w:sz w:val="22"/>
          <w:szCs w:val="22"/>
        </w:rPr>
      </w:pPr>
      <w:r w:rsidRPr="00C921DE">
        <w:rPr>
          <w:rFonts w:ascii="GHEA Grapalat" w:hAnsi="GHEA Grapalat"/>
          <w:sz w:val="22"/>
          <w:szCs w:val="22"/>
        </w:rPr>
        <w:t>ՀՀ Ազգային Ժողովի կողմից 2022 թվականի հոկտեմբերի 26-ին ընդունված</w:t>
      </w:r>
      <w:r w:rsidR="005F1B74" w:rsidRPr="00C921DE">
        <w:rPr>
          <w:rFonts w:ascii="GHEA Grapalat" w:hAnsi="GHEA Grapalat"/>
          <w:sz w:val="22"/>
          <w:szCs w:val="22"/>
        </w:rPr>
        <w:t xml:space="preserve"> </w:t>
      </w:r>
      <w:r w:rsidRPr="00C921DE">
        <w:rPr>
          <w:rFonts w:ascii="GHEA Grapalat" w:hAnsi="GHEA Grapalat"/>
          <w:sz w:val="22"/>
          <w:szCs w:val="22"/>
        </w:rPr>
        <w:t>«Աշխարհագրական նշումների մասին» օրենքում լրացումներ և փոփոխություններ կատարելու մասին» ՀՕ-398-Ն օրենքի և</w:t>
      </w:r>
      <w:r w:rsidR="005F1B74" w:rsidRPr="00C921DE">
        <w:rPr>
          <w:rFonts w:ascii="GHEA Grapalat" w:hAnsi="GHEA Grapalat"/>
          <w:sz w:val="22"/>
          <w:szCs w:val="22"/>
        </w:rPr>
        <w:t xml:space="preserve"> </w:t>
      </w:r>
      <w:r w:rsidRPr="00C921DE">
        <w:rPr>
          <w:rFonts w:ascii="GHEA Grapalat" w:hAnsi="GHEA Grapalat"/>
          <w:sz w:val="22"/>
          <w:szCs w:val="22"/>
        </w:rPr>
        <w:t>Կառավարության կողմից 2023 թվականի հունվարի 19-ի</w:t>
      </w:r>
      <w:r w:rsidR="005F1B74" w:rsidRPr="00C921DE">
        <w:rPr>
          <w:rFonts w:ascii="GHEA Grapalat" w:hAnsi="GHEA Grapalat"/>
          <w:sz w:val="22"/>
          <w:szCs w:val="22"/>
        </w:rPr>
        <w:t xml:space="preserve"> </w:t>
      </w:r>
      <w:r w:rsidRPr="00C921DE">
        <w:rPr>
          <w:rFonts w:ascii="GHEA Grapalat" w:hAnsi="GHEA Grapalat"/>
          <w:sz w:val="22"/>
          <w:szCs w:val="22"/>
        </w:rPr>
        <w:t>«Հայաստանի Հանրապետության կառավարության 2011 թվականի մարտի 10-ի N 310-Ն որոշման մեջ փոփոխություններ և լրացումներ կատարելու մասին N 75-Ն որոշման շրջանակներում մշակվել և Էկոնոմիկայի նախարարի 2023 թվականի նոյեմբերի 27-ի 2381-Լ հրամանով</w:t>
      </w:r>
      <w:r w:rsidR="005F1B74" w:rsidRPr="00C921DE">
        <w:rPr>
          <w:rFonts w:ascii="GHEA Grapalat" w:hAnsi="GHEA Grapalat"/>
          <w:sz w:val="22"/>
          <w:szCs w:val="22"/>
        </w:rPr>
        <w:t xml:space="preserve"> </w:t>
      </w:r>
      <w:r w:rsidRPr="00C921DE">
        <w:rPr>
          <w:rFonts w:ascii="GHEA Grapalat" w:hAnsi="GHEA Grapalat"/>
          <w:sz w:val="22"/>
          <w:szCs w:val="22"/>
        </w:rPr>
        <w:t>հաստատվել են «Հայկական մածուն», «Հայկական լավաշ», «Հայկական բաստուրմա» և «Հայկական սուջուխ» աշխարհագրական նշումների տեխնիկական հատկորոշումները։</w:t>
      </w:r>
      <w:r w:rsidR="005F1B74" w:rsidRPr="00C921DE">
        <w:rPr>
          <w:rFonts w:ascii="GHEA Grapalat" w:hAnsi="GHEA Grapalat"/>
          <w:sz w:val="22"/>
          <w:szCs w:val="22"/>
          <w:lang w:val="en-US"/>
        </w:rPr>
        <w:t xml:space="preserve"> </w:t>
      </w:r>
      <w:r w:rsidRPr="00C921DE">
        <w:rPr>
          <w:rFonts w:ascii="GHEA Grapalat" w:hAnsi="GHEA Grapalat"/>
          <w:sz w:val="22"/>
          <w:szCs w:val="22"/>
        </w:rPr>
        <w:t>Ներկայումս աշխատանքներ են իրականացվում</w:t>
      </w:r>
      <w:r w:rsidR="005F1B74" w:rsidRPr="00C921DE">
        <w:rPr>
          <w:rFonts w:ascii="GHEA Grapalat" w:hAnsi="GHEA Grapalat"/>
          <w:sz w:val="22"/>
          <w:szCs w:val="22"/>
        </w:rPr>
        <w:t xml:space="preserve"> </w:t>
      </w:r>
      <w:r w:rsidRPr="00C921DE">
        <w:rPr>
          <w:rFonts w:ascii="GHEA Grapalat" w:hAnsi="GHEA Grapalat"/>
          <w:sz w:val="22"/>
          <w:szCs w:val="22"/>
        </w:rPr>
        <w:t>դրանց գրանցման ուղղությամբ։</w:t>
      </w:r>
    </w:p>
    <w:p w14:paraId="12FC364E" w14:textId="77777777" w:rsidR="00906DE3" w:rsidRPr="00C921DE" w:rsidRDefault="00906DE3" w:rsidP="005F1B74">
      <w:pPr>
        <w:spacing w:line="360" w:lineRule="auto"/>
        <w:ind w:firstLine="567"/>
        <w:jc w:val="both"/>
        <w:rPr>
          <w:rFonts w:ascii="GHEA Grapalat" w:hAnsi="GHEA Grapalat"/>
          <w:sz w:val="22"/>
          <w:szCs w:val="22"/>
        </w:rPr>
      </w:pPr>
      <w:r w:rsidRPr="00C921DE">
        <w:rPr>
          <w:rFonts w:ascii="GHEA Grapalat" w:hAnsi="GHEA Grapalat"/>
          <w:sz w:val="22"/>
          <w:szCs w:val="22"/>
        </w:rPr>
        <w:t>Կառավարության 2023 թվականի հունիսի 29-ի N 1083-Ն որոշմամբ հաստատված Պարենային անվտանգության համակարգի զարգացման ռազմավարությամբ և 2023-2026 թվականների գործողությունների ծրագրով նախանշվել են համակարգի հետագա կայուն և համաչափ զարգացումն ապահովող համապատասխան միջոցառումները, որոնք</w:t>
      </w:r>
      <w:r w:rsidR="005F1B74" w:rsidRPr="00C921DE">
        <w:rPr>
          <w:rFonts w:ascii="GHEA Grapalat" w:hAnsi="GHEA Grapalat"/>
          <w:sz w:val="22"/>
          <w:szCs w:val="22"/>
        </w:rPr>
        <w:t xml:space="preserve"> </w:t>
      </w:r>
      <w:r w:rsidRPr="00C921DE">
        <w:rPr>
          <w:rFonts w:ascii="GHEA Grapalat" w:hAnsi="GHEA Grapalat"/>
          <w:sz w:val="22"/>
          <w:szCs w:val="22"/>
        </w:rPr>
        <w:t>կապահովեն պարենային անվտանգության մակարդակի բարձրացումը։</w:t>
      </w:r>
    </w:p>
    <w:p w14:paraId="70BC04A8" w14:textId="77777777" w:rsidR="00906DE3" w:rsidRPr="00C921DE" w:rsidRDefault="00906DE3" w:rsidP="005F1B74">
      <w:pPr>
        <w:spacing w:line="360" w:lineRule="auto"/>
        <w:ind w:firstLine="567"/>
        <w:jc w:val="both"/>
        <w:rPr>
          <w:rFonts w:ascii="GHEA Grapalat" w:hAnsi="GHEA Grapalat"/>
          <w:sz w:val="22"/>
          <w:szCs w:val="22"/>
        </w:rPr>
      </w:pPr>
      <w:r w:rsidRPr="00C921DE">
        <w:rPr>
          <w:rFonts w:ascii="GHEA Grapalat" w:hAnsi="GHEA Grapalat"/>
          <w:sz w:val="22"/>
          <w:szCs w:val="22"/>
        </w:rPr>
        <w:t xml:space="preserve">Շարունակվել է Գյուղատնտեսական հումքի մթերումների (գնումների) նպատակով տրամադրվող վարկերի տոկոսադրույքների սուբսիդավորման ծրագրի իրականացումը, որի շրջանակներում 2023 թվականին հաստատվել է 124 շահառուի 222 հայտ շուրջ 14352.5 մլն դրամի </w:t>
      </w:r>
      <w:r w:rsidRPr="00C921DE">
        <w:rPr>
          <w:rFonts w:ascii="GHEA Grapalat" w:hAnsi="GHEA Grapalat"/>
          <w:sz w:val="22"/>
          <w:szCs w:val="22"/>
        </w:rPr>
        <w:lastRenderedPageBreak/>
        <w:t xml:space="preserve">չափով, որոնց շրջանակներում գյուղացիական տնտեսությունների հետ կնքվել են 9068 հատ բերքի գնման պայմանագիր, իսկ սուբսիդավորման ընդհանուր գումարը կազմել է </w:t>
      </w:r>
      <w:r w:rsidR="007A2D07" w:rsidRPr="00C921DE">
        <w:rPr>
          <w:rFonts w:ascii="GHEA Grapalat" w:hAnsi="GHEA Grapalat"/>
          <w:sz w:val="22"/>
          <w:szCs w:val="22"/>
        </w:rPr>
        <w:t xml:space="preserve">3,816.5 </w:t>
      </w:r>
      <w:r w:rsidRPr="00C921DE">
        <w:rPr>
          <w:rFonts w:ascii="GHEA Grapalat" w:hAnsi="GHEA Grapalat"/>
          <w:sz w:val="22"/>
          <w:szCs w:val="22"/>
        </w:rPr>
        <w:t>մլն դրամ: Ծրագրի շրջանակներում 2023 թվականին ՀՀ կառավարության 2023 թվականի սեպտեմբերի 7-ի N 1530-Լ որոշման հիման վրա 3 շահառուի տրամադրվել է բյուջետային երաշխիք 2</w:t>
      </w:r>
      <w:r w:rsidRPr="00C921DE">
        <w:rPr>
          <w:rFonts w:ascii="Cambria Math" w:hAnsi="Cambria Math" w:cs="Cambria Math"/>
          <w:sz w:val="22"/>
          <w:szCs w:val="22"/>
        </w:rPr>
        <w:t>․</w:t>
      </w:r>
      <w:r w:rsidRPr="00C921DE">
        <w:rPr>
          <w:rFonts w:ascii="GHEA Grapalat" w:hAnsi="GHEA Grapalat"/>
          <w:sz w:val="22"/>
          <w:szCs w:val="22"/>
        </w:rPr>
        <w:t>7 մլրդ դրամի չափով։</w:t>
      </w:r>
    </w:p>
    <w:p w14:paraId="780B9551" w14:textId="77777777" w:rsidR="00906DE3" w:rsidRPr="00C921DE" w:rsidRDefault="00906DE3" w:rsidP="005F1B74">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Հայաստանի Հանրապետությունում ագրոպարենային ոլորտի սարքավորումների լիզինգի աջակցության ծրագրի շրջանակում 2023 թվականին հաստատվել է 119 շահառուի 142 լիզինգի հայտ 6230.5 մլն դրամի չափով, որոնց շրջանակներում ձեռք է բերվել 495 միավոր սարքավորում, իսկ տրամադրված սուբսիդավորման գումարը կազմել է 3,552.5 մլն դրամ։ </w:t>
      </w:r>
    </w:p>
    <w:p w14:paraId="6F6C4107" w14:textId="77777777" w:rsidR="00906DE3" w:rsidRPr="00C921DE" w:rsidRDefault="00906DE3" w:rsidP="005F1B74">
      <w:pPr>
        <w:spacing w:line="360" w:lineRule="auto"/>
        <w:ind w:firstLine="567"/>
        <w:jc w:val="both"/>
        <w:rPr>
          <w:rFonts w:ascii="GHEA Grapalat" w:hAnsi="GHEA Grapalat"/>
          <w:sz w:val="22"/>
          <w:szCs w:val="22"/>
        </w:rPr>
      </w:pPr>
      <w:r w:rsidRPr="00C921DE">
        <w:rPr>
          <w:rFonts w:ascii="GHEA Grapalat" w:hAnsi="GHEA Grapalat"/>
          <w:sz w:val="22"/>
          <w:szCs w:val="22"/>
        </w:rPr>
        <w:t>Շուրջ 1,342.3 մլն դրամի օժանդակություն է տրամադրվել կոնյակի սպիրտի 100 հազար (100 տոկոսանոց սպիրտի հաշվարկով) լիտրը գերազանցելուց հետո այլ խմբաքանակների իրացման համար։</w:t>
      </w:r>
    </w:p>
    <w:p w14:paraId="2707AC72" w14:textId="77777777" w:rsidR="00906DE3" w:rsidRPr="00C921DE" w:rsidRDefault="00906DE3" w:rsidP="005F1B74">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խաղողի մթերումների գործընթացում առկա խնդիրները մեղմելու և խաղողի մթերումներ իրականացնելու նպատակով 3 շահառուի 46.8 հազ</w:t>
      </w:r>
      <w:r w:rsidRPr="00C921DE">
        <w:rPr>
          <w:rFonts w:ascii="Cambria Math" w:hAnsi="Cambria Math" w:cs="Cambria Math"/>
          <w:sz w:val="22"/>
          <w:szCs w:val="22"/>
        </w:rPr>
        <w:t>․</w:t>
      </w:r>
      <w:r w:rsidRPr="00C921DE">
        <w:rPr>
          <w:rFonts w:ascii="GHEA Grapalat" w:hAnsi="GHEA Grapalat"/>
          <w:sz w:val="22"/>
          <w:szCs w:val="22"/>
        </w:rPr>
        <w:t xml:space="preserve"> տոննա խաղողի մթերման դիմաց տրամադրվել է 870 մլն դրամ սուբսիդավորման գումար։ Իրականացված միջոցառումների արդյունքում խաղողի մթերումներն իրականացվել են առանց խոչընդոտների։</w:t>
      </w:r>
    </w:p>
    <w:p w14:paraId="6C6F517A" w14:textId="77777777" w:rsidR="00906DE3" w:rsidRPr="00C921DE" w:rsidRDefault="00906DE3" w:rsidP="00596DD9">
      <w:pPr>
        <w:spacing w:line="360" w:lineRule="auto"/>
        <w:ind w:firstLine="567"/>
        <w:jc w:val="both"/>
        <w:rPr>
          <w:rFonts w:ascii="GHEA Grapalat" w:hAnsi="GHEA Grapalat"/>
          <w:sz w:val="22"/>
          <w:szCs w:val="22"/>
        </w:rPr>
      </w:pPr>
      <w:r w:rsidRPr="00C921DE">
        <w:rPr>
          <w:rFonts w:ascii="GHEA Grapalat" w:hAnsi="GHEA Grapalat"/>
          <w:sz w:val="22"/>
          <w:szCs w:val="22"/>
        </w:rPr>
        <w:t>Իրականա</w:t>
      </w:r>
      <w:r w:rsidR="00596DD9" w:rsidRPr="00C921DE">
        <w:rPr>
          <w:rFonts w:ascii="GHEA Grapalat" w:hAnsi="GHEA Grapalat"/>
          <w:sz w:val="22"/>
          <w:szCs w:val="22"/>
        </w:rPr>
        <w:t>ցված միջոցառումների արդյունքում</w:t>
      </w:r>
      <w:r w:rsidR="00596DD9" w:rsidRPr="00C921DE">
        <w:rPr>
          <w:rFonts w:ascii="GHEA Grapalat" w:hAnsi="GHEA Grapalat"/>
          <w:sz w:val="22"/>
          <w:szCs w:val="22"/>
          <w:lang w:val="en-US"/>
        </w:rPr>
        <w:t xml:space="preserve"> </w:t>
      </w:r>
      <w:r w:rsidRPr="00C921DE">
        <w:rPr>
          <w:rFonts w:ascii="GHEA Grapalat" w:hAnsi="GHEA Grapalat"/>
          <w:sz w:val="22"/>
          <w:szCs w:val="22"/>
        </w:rPr>
        <w:t>2023 թվականին մթերվել է շուրջ 246.2 հազար տոննա պտուղբանջարեղեն և խաղո</w:t>
      </w:r>
      <w:r w:rsidR="00596DD9" w:rsidRPr="00C921DE">
        <w:rPr>
          <w:rFonts w:ascii="GHEA Grapalat" w:hAnsi="GHEA Grapalat"/>
          <w:sz w:val="22"/>
          <w:szCs w:val="22"/>
        </w:rPr>
        <w:t>ղ,</w:t>
      </w:r>
      <w:r w:rsidRPr="00C921DE">
        <w:rPr>
          <w:rFonts w:ascii="GHEA Grapalat" w:hAnsi="GHEA Grapalat"/>
          <w:sz w:val="22"/>
          <w:szCs w:val="22"/>
        </w:rPr>
        <w:t xml:space="preserve"> խաղողի գինու արտահանման ծավալը կազմել է շուրջ 4</w:t>
      </w:r>
      <w:r w:rsidRPr="00C921DE">
        <w:rPr>
          <w:rFonts w:ascii="Cambria Math" w:hAnsi="Cambria Math" w:cs="Cambria Math"/>
          <w:sz w:val="22"/>
          <w:szCs w:val="22"/>
        </w:rPr>
        <w:t>․</w:t>
      </w:r>
      <w:r w:rsidRPr="00C921DE">
        <w:rPr>
          <w:rFonts w:ascii="GHEA Grapalat" w:hAnsi="GHEA Grapalat"/>
          <w:sz w:val="22"/>
          <w:szCs w:val="22"/>
        </w:rPr>
        <w:t>3 մլն լիտր, որը գրեթե հավասար է 2022 թվականի արտահանված ծավալին։ Գինեգործական ընկերությունների քանակը 2022 թ</w:t>
      </w:r>
      <w:r w:rsidR="00596DD9" w:rsidRPr="00C921DE">
        <w:rPr>
          <w:rFonts w:ascii="GHEA Grapalat" w:hAnsi="GHEA Grapalat"/>
          <w:sz w:val="22"/>
          <w:szCs w:val="22"/>
        </w:rPr>
        <w:t>վականի նկատմամբ աճել է շուրջ 35</w:t>
      </w:r>
      <w:r w:rsidRPr="00C921DE">
        <w:rPr>
          <w:rFonts w:ascii="GHEA Grapalat" w:hAnsi="GHEA Grapalat"/>
          <w:sz w:val="22"/>
          <w:szCs w:val="22"/>
        </w:rPr>
        <w:t>%-ով՝ հասնելով 150-ի։ ՀՀ-ում 1 շնչի հաշվով գինու սպառումը վերջին 4 տարում գրեթե կրկնապատկվել է:</w:t>
      </w:r>
    </w:p>
    <w:p w14:paraId="05959AC7" w14:textId="77777777" w:rsidR="00906DE3" w:rsidRPr="00C921DE" w:rsidRDefault="00906DE3" w:rsidP="00596DD9">
      <w:pPr>
        <w:spacing w:line="360" w:lineRule="auto"/>
        <w:ind w:firstLine="567"/>
        <w:jc w:val="both"/>
        <w:rPr>
          <w:rFonts w:ascii="GHEA Grapalat" w:hAnsi="GHEA Grapalat"/>
          <w:sz w:val="22"/>
          <w:szCs w:val="22"/>
        </w:rPr>
      </w:pPr>
    </w:p>
    <w:p w14:paraId="575F75AB" w14:textId="77777777" w:rsidR="00906DE3" w:rsidRPr="00C921DE" w:rsidRDefault="00906DE3" w:rsidP="00F41B60">
      <w:pPr>
        <w:spacing w:line="360" w:lineRule="auto"/>
        <w:ind w:firstLine="567"/>
        <w:jc w:val="both"/>
        <w:rPr>
          <w:rFonts w:ascii="GHEA Grapalat" w:hAnsi="GHEA Grapalat"/>
          <w:sz w:val="22"/>
          <w:szCs w:val="22"/>
        </w:rPr>
      </w:pPr>
      <w:r w:rsidRPr="00C921DE">
        <w:rPr>
          <w:rFonts w:ascii="GHEA Grapalat" w:hAnsi="GHEA Grapalat"/>
          <w:sz w:val="22"/>
          <w:szCs w:val="22"/>
          <w:u w:val="single"/>
        </w:rPr>
        <w:t>Գործարար միջավայրի բարելավման</w:t>
      </w:r>
      <w:r w:rsidRPr="00C921DE">
        <w:rPr>
          <w:rFonts w:ascii="GHEA Grapalat" w:hAnsi="GHEA Grapalat"/>
          <w:sz w:val="22"/>
          <w:szCs w:val="22"/>
        </w:rPr>
        <w:t xml:space="preserve"> համար մեծապես կարևորվել </w:t>
      </w:r>
      <w:r w:rsidR="00F41B60" w:rsidRPr="00C921DE">
        <w:rPr>
          <w:rFonts w:ascii="GHEA Grapalat" w:hAnsi="GHEA Grapalat"/>
          <w:sz w:val="22"/>
          <w:szCs w:val="22"/>
          <w:lang w:val="en-US"/>
        </w:rPr>
        <w:t>են</w:t>
      </w:r>
      <w:r w:rsidRPr="00C921DE">
        <w:rPr>
          <w:rFonts w:ascii="GHEA Grapalat" w:hAnsi="GHEA Grapalat"/>
          <w:sz w:val="22"/>
          <w:szCs w:val="22"/>
        </w:rPr>
        <w:t xml:space="preserve"> պարզ, թափանցիկ, արագ, կանխատեսելի և հնարավորինս քիչ ծախսատար պետական կարգավորումներն ու վարչական ընթացակարգերը, հավասար մրցակցային պայմանները, տեղեկատվության առավելագույն հասանելիությունը և գործարարությանն օժանդակող զարգացած շուկայական ենթակառուցվածքներ ապահովելու քաղաքականությունը: Գործարար միջավայրի բարելավման նպատակով իրականացվող ծրագրերը թիրախավորել են գործարարությամբ զբաղվելուն խոչընդոտող վարչարարական բնույթի խնդիրների լուծումը՝ նպաստելով գործարար գաղափարների իրագործմանը տնտեսության բոլոր ճյուղերում: </w:t>
      </w:r>
    </w:p>
    <w:p w14:paraId="043215DD" w14:textId="77777777" w:rsidR="00DB0F13" w:rsidRPr="00C921DE" w:rsidRDefault="00DB0F13" w:rsidP="00DB0F13">
      <w:pPr>
        <w:spacing w:line="360" w:lineRule="auto"/>
        <w:ind w:firstLine="567"/>
        <w:jc w:val="both"/>
        <w:rPr>
          <w:rFonts w:ascii="GHEA Grapalat" w:hAnsi="GHEA Grapalat"/>
          <w:sz w:val="22"/>
          <w:szCs w:val="22"/>
        </w:rPr>
      </w:pPr>
      <w:r w:rsidRPr="00C921DE">
        <w:rPr>
          <w:rFonts w:ascii="GHEA Grapalat" w:hAnsi="GHEA Grapalat"/>
          <w:sz w:val="22"/>
          <w:szCs w:val="22"/>
        </w:rPr>
        <w:t xml:space="preserve">Տնտեսական քաղաքականության թիրախներին հասնելու համար անհրաժեշտ է լինելու ներդրում/ՀՆԱ հարաբերակցությունը հասցնել առնվազն 25%-ի, որի իրականացման համար 2023 թվականի օգոստոսի 24-ին ընդունվել է </w:t>
      </w:r>
      <w:r w:rsidRPr="00C921DE">
        <w:rPr>
          <w:rFonts w:ascii="GHEA Grapalat" w:hAnsi="GHEA Grapalat"/>
          <w:sz w:val="22"/>
          <w:szCs w:val="22"/>
          <w:lang w:val="en-US"/>
        </w:rPr>
        <w:t>ՀՀ կ</w:t>
      </w:r>
      <w:r w:rsidRPr="00C921DE">
        <w:rPr>
          <w:rFonts w:ascii="GHEA Grapalat" w:hAnsi="GHEA Grapalat"/>
          <w:sz w:val="22"/>
          <w:szCs w:val="22"/>
        </w:rPr>
        <w:t xml:space="preserve">առավարության «Ներդրումների ներգրավման ծրագիրը </w:t>
      </w:r>
      <w:r w:rsidRPr="00C921DE">
        <w:rPr>
          <w:rFonts w:ascii="GHEA Grapalat" w:hAnsi="GHEA Grapalat"/>
          <w:sz w:val="22"/>
          <w:szCs w:val="22"/>
        </w:rPr>
        <w:lastRenderedPageBreak/>
        <w:t>հաստատելու մասին» N 1450-Լ, իսկ հոկտեմբերի 26-ին</w:t>
      </w:r>
      <w:r w:rsidRPr="00C921DE">
        <w:rPr>
          <w:rFonts w:ascii="GHEA Grapalat" w:hAnsi="GHEA Grapalat"/>
          <w:sz w:val="22"/>
          <w:szCs w:val="22"/>
          <w:lang w:val="en-US"/>
        </w:rPr>
        <w:t>՝ ՀՀ</w:t>
      </w:r>
      <w:r w:rsidRPr="00C921DE">
        <w:rPr>
          <w:rFonts w:ascii="GHEA Grapalat" w:hAnsi="GHEA Grapalat"/>
          <w:sz w:val="22"/>
          <w:szCs w:val="22"/>
        </w:rPr>
        <w:t xml:space="preserve"> </w:t>
      </w:r>
      <w:r w:rsidRPr="00C921DE">
        <w:rPr>
          <w:rFonts w:ascii="GHEA Grapalat" w:hAnsi="GHEA Grapalat"/>
          <w:sz w:val="22"/>
          <w:szCs w:val="22"/>
          <w:lang w:val="en-US"/>
        </w:rPr>
        <w:t>կ</w:t>
      </w:r>
      <w:r w:rsidRPr="00C921DE">
        <w:rPr>
          <w:rFonts w:ascii="GHEA Grapalat" w:hAnsi="GHEA Grapalat"/>
          <w:sz w:val="22"/>
          <w:szCs w:val="22"/>
        </w:rPr>
        <w:t>առավարության «Հայաստանի Հանրապետությունում տնտեսապես բարդ ապրանքների արտադրությամբ զբաղվող առևտրային ընկերություններին պետական աջակցության տրամադրման ծրագիրը հաստատելու մասին»</w:t>
      </w:r>
      <w:r w:rsidR="006A2C9F" w:rsidRPr="00C921DE">
        <w:rPr>
          <w:rFonts w:ascii="GHEA Grapalat" w:hAnsi="GHEA Grapalat"/>
          <w:sz w:val="22"/>
          <w:szCs w:val="22"/>
        </w:rPr>
        <w:t xml:space="preserve"> </w:t>
      </w:r>
      <w:r w:rsidR="00F45BCC" w:rsidRPr="00C921DE">
        <w:rPr>
          <w:rFonts w:ascii="GHEA Grapalat" w:hAnsi="GHEA Grapalat"/>
          <w:sz w:val="22"/>
          <w:szCs w:val="22"/>
        </w:rPr>
        <w:t>N 1867</w:t>
      </w:r>
      <w:r w:rsidR="00F45BCC" w:rsidRPr="00C921DE">
        <w:rPr>
          <w:rFonts w:ascii="GHEA Grapalat" w:hAnsi="GHEA Grapalat"/>
          <w:sz w:val="22"/>
          <w:szCs w:val="22"/>
        </w:rPr>
        <w:noBreakHyphen/>
      </w:r>
      <w:r w:rsidRPr="00C921DE">
        <w:rPr>
          <w:rFonts w:ascii="GHEA Grapalat" w:hAnsi="GHEA Grapalat"/>
          <w:sz w:val="22"/>
          <w:szCs w:val="22"/>
        </w:rPr>
        <w:t>Ն որոշումները։</w:t>
      </w:r>
    </w:p>
    <w:p w14:paraId="107D729D" w14:textId="77777777" w:rsidR="00DB0F13" w:rsidRPr="00C921DE" w:rsidRDefault="00DB0F13" w:rsidP="00DB0F13">
      <w:pPr>
        <w:spacing w:line="360" w:lineRule="auto"/>
        <w:ind w:firstLine="567"/>
        <w:jc w:val="both"/>
        <w:rPr>
          <w:rFonts w:ascii="GHEA Grapalat" w:hAnsi="GHEA Grapalat"/>
          <w:sz w:val="22"/>
          <w:szCs w:val="22"/>
        </w:rPr>
      </w:pPr>
      <w:r w:rsidRPr="00C921DE">
        <w:rPr>
          <w:rFonts w:ascii="GHEA Grapalat" w:hAnsi="GHEA Grapalat"/>
          <w:sz w:val="22"/>
          <w:szCs w:val="22"/>
        </w:rPr>
        <w:t>Գործարար և</w:t>
      </w:r>
      <w:r w:rsidR="006A2C9F" w:rsidRPr="00C921DE">
        <w:rPr>
          <w:rFonts w:ascii="Calibri" w:hAnsi="Calibri" w:cs="Calibri"/>
          <w:sz w:val="22"/>
          <w:szCs w:val="22"/>
        </w:rPr>
        <w:t xml:space="preserve"> </w:t>
      </w:r>
      <w:r w:rsidRPr="00C921DE">
        <w:rPr>
          <w:rFonts w:ascii="GHEA Grapalat" w:hAnsi="GHEA Grapalat"/>
          <w:sz w:val="22"/>
          <w:szCs w:val="22"/>
        </w:rPr>
        <w:t xml:space="preserve">ներդրումային միջավայրի ճկունությունն ապահովելու նպատակով իրականացվել են կառուցվածքային բարեփոխումներ, որոնք նպատակ են ունեցել ընդլայնել </w:t>
      </w:r>
      <w:r w:rsidR="00F10979" w:rsidRPr="00C921DE">
        <w:rPr>
          <w:rFonts w:ascii="GHEA Grapalat" w:hAnsi="GHEA Grapalat"/>
          <w:sz w:val="22"/>
          <w:szCs w:val="22"/>
          <w:lang w:val="en-US"/>
        </w:rPr>
        <w:t>ՀՀ</w:t>
      </w:r>
      <w:r w:rsidRPr="00C921DE">
        <w:rPr>
          <w:rFonts w:ascii="GHEA Grapalat" w:hAnsi="GHEA Grapalat"/>
          <w:sz w:val="22"/>
          <w:szCs w:val="22"/>
        </w:rPr>
        <w:t xml:space="preserve"> քաղաքացիներին հասանելի տնտեսական հնարավորությունների դաշտը և առավելագույնս խրախուսել հատկապես գիտելիք ձևավորող ներքին և</w:t>
      </w:r>
      <w:r w:rsidR="006A2C9F" w:rsidRPr="00C921DE">
        <w:rPr>
          <w:rFonts w:ascii="Calibri" w:hAnsi="Calibri" w:cs="Calibri"/>
          <w:sz w:val="22"/>
          <w:szCs w:val="22"/>
        </w:rPr>
        <w:t xml:space="preserve"> </w:t>
      </w:r>
      <w:r w:rsidRPr="00C921DE">
        <w:rPr>
          <w:rFonts w:ascii="GHEA Grapalat" w:hAnsi="GHEA Grapalat"/>
          <w:sz w:val="22"/>
          <w:szCs w:val="22"/>
        </w:rPr>
        <w:t>օտարերկրյա մասնավոր ներդրումները՝ բարձրացնելով վերջիններիս շահութաբերությունը:</w:t>
      </w:r>
    </w:p>
    <w:p w14:paraId="37A2B4C5" w14:textId="77777777" w:rsidR="00DB0F13" w:rsidRPr="00C921DE" w:rsidRDefault="00DB0F13" w:rsidP="00DB0F13">
      <w:pPr>
        <w:spacing w:line="360" w:lineRule="auto"/>
        <w:ind w:firstLine="567"/>
        <w:jc w:val="both"/>
        <w:rPr>
          <w:rFonts w:ascii="GHEA Grapalat" w:hAnsi="GHEA Grapalat"/>
          <w:sz w:val="22"/>
          <w:szCs w:val="22"/>
        </w:rPr>
      </w:pPr>
      <w:r w:rsidRPr="00C921DE">
        <w:rPr>
          <w:rFonts w:ascii="GHEA Grapalat" w:hAnsi="GHEA Grapalat"/>
          <w:sz w:val="22"/>
          <w:szCs w:val="22"/>
        </w:rPr>
        <w:t xml:space="preserve">Թիրախային գործողությունների իրականացման արդյունքում բարձրացվել է գործարարներին ծառայություններ մատուցող մարմինների գործունեության թափանցիկությունը և թեթևացվել է առկա վարչարարական բեռը: Իրականացված գործողությունները նպաստել են Հայաստանում ազատ և մրցակցային գործարար միջավայրի կայացմանը և ամրապնդմանը, որը երկիրն ավելի գրավիչ է դարձրել օտարերկրյա ներդրողների համար։ </w:t>
      </w:r>
    </w:p>
    <w:p w14:paraId="77FDCB32" w14:textId="77777777" w:rsidR="00DB0F13" w:rsidRPr="00C921DE" w:rsidRDefault="00DB0F13" w:rsidP="00DB0F13">
      <w:pPr>
        <w:spacing w:line="360" w:lineRule="auto"/>
        <w:ind w:firstLine="567"/>
        <w:jc w:val="both"/>
        <w:rPr>
          <w:rFonts w:ascii="GHEA Grapalat" w:hAnsi="GHEA Grapalat"/>
          <w:sz w:val="22"/>
          <w:szCs w:val="22"/>
        </w:rPr>
      </w:pPr>
      <w:r w:rsidRPr="00C921DE">
        <w:rPr>
          <w:rFonts w:ascii="GHEA Grapalat" w:hAnsi="GHEA Grapalat"/>
          <w:sz w:val="22"/>
          <w:szCs w:val="22"/>
        </w:rPr>
        <w:t xml:space="preserve">Ներդրումային քաղաքականության նպատակներից են եղել ներդրումների պաշտպանության անհրաժեշտ երաշխիքների ապահովումը՝ միջազգային լավագույն պրակտիկաների ձևաչափով՝ կարևորելով ազատ ու հավասար մրցակցությունը, բիզնեսի համար կանխատեսելիությունը և առաջնային դիրքի պահպանման նպատակով դրա շարունակական բարելավումը։ Ներդրումային քաղաքականության առաջնահերթ թիրախը համարվել է նորարարական, նոր գիտելիք ստեղծող ծրագրերի իրագործման համար առավել արագ և ճկուն գործընթացների, ինչպես նաև մրցունակության գործոնների առավելագույն հասանելիության ապահովումը։ </w:t>
      </w:r>
    </w:p>
    <w:p w14:paraId="5E693100" w14:textId="77777777" w:rsidR="00DB0F13" w:rsidRPr="00C921DE" w:rsidRDefault="00DB0F13" w:rsidP="00DB0F13">
      <w:pPr>
        <w:spacing w:line="360" w:lineRule="auto"/>
        <w:ind w:firstLine="567"/>
        <w:jc w:val="both"/>
        <w:rPr>
          <w:rFonts w:ascii="GHEA Grapalat" w:hAnsi="GHEA Grapalat"/>
          <w:sz w:val="22"/>
          <w:szCs w:val="22"/>
        </w:rPr>
      </w:pPr>
      <w:r w:rsidRPr="00C921DE">
        <w:rPr>
          <w:rFonts w:ascii="GHEA Grapalat" w:hAnsi="GHEA Grapalat"/>
          <w:sz w:val="22"/>
          <w:szCs w:val="22"/>
        </w:rPr>
        <w:t>Սահմանափակ ներքին շուկայի պայմաններո</w:t>
      </w:r>
      <w:r w:rsidR="00F45BCC" w:rsidRPr="00C921DE">
        <w:rPr>
          <w:rFonts w:ascii="GHEA Grapalat" w:hAnsi="GHEA Grapalat"/>
          <w:sz w:val="22"/>
          <w:szCs w:val="22"/>
          <w:lang w:val="en-US"/>
        </w:rPr>
        <w:t>ւ</w:t>
      </w:r>
      <w:r w:rsidRPr="00C921DE">
        <w:rPr>
          <w:rFonts w:ascii="GHEA Grapalat" w:hAnsi="GHEA Grapalat"/>
          <w:sz w:val="22"/>
          <w:szCs w:val="22"/>
        </w:rPr>
        <w:t>մ ՀՀ ներդրումային գրավչությունը պայմանավորված է լինելու նաև ԵԱՏՄ, ԵՄ, Իրանի շուկաների հասանելիության և միաժամանակ գործարար ու ներդրումային միջավայրի</w:t>
      </w:r>
      <w:r w:rsidR="00F45BCC" w:rsidRPr="00C921DE">
        <w:rPr>
          <w:rFonts w:ascii="GHEA Grapalat" w:hAnsi="GHEA Grapalat"/>
          <w:sz w:val="22"/>
          <w:szCs w:val="22"/>
          <w:lang w:val="en-US"/>
        </w:rPr>
        <w:t>՝</w:t>
      </w:r>
      <w:r w:rsidRPr="00C921DE">
        <w:rPr>
          <w:rFonts w:ascii="GHEA Grapalat" w:hAnsi="GHEA Grapalat"/>
          <w:sz w:val="22"/>
          <w:szCs w:val="22"/>
        </w:rPr>
        <w:t xml:space="preserve"> տվյալ շուկաների համադրությամբ առավել բարենպաստ լինելու հանգամանքներով։ Ներդրումային քաղաքականության նպատակներից է առնվազն ԵԱՏՄ, հարևան և տարածաշրջանի երկրների համեմատ լավագույն, առավել ճկուն ներդրումային դաշտի ձևավորումը՝ ազատ ու հավասար մրցակցության, ինչպես նաև կանխատեսելիության իմաստով և առաջնային դիրքի պահպանման նպատակով դրա շարունակական բարելավումը։ Ներդրումային քաղաքականության առաջնահերթ թիրախը հանդիսանում է նորարարական, նոր գիտելիք ստեղծող ծրագրերի իրագործման համար առավել արագ և ճկուն գործընթացների, ինչպես նաև մրցունակության գործոնների առավելագույն հասանելիության ապահովումը։</w:t>
      </w:r>
    </w:p>
    <w:p w14:paraId="0489C650" w14:textId="77777777" w:rsidR="001044F1" w:rsidRPr="00C921DE" w:rsidRDefault="001044F1" w:rsidP="00F41B60">
      <w:pPr>
        <w:spacing w:line="360" w:lineRule="auto"/>
        <w:ind w:firstLine="567"/>
        <w:jc w:val="both"/>
        <w:rPr>
          <w:rFonts w:ascii="GHEA Grapalat" w:hAnsi="GHEA Grapalat"/>
          <w:sz w:val="22"/>
          <w:szCs w:val="22"/>
        </w:rPr>
      </w:pPr>
    </w:p>
    <w:p w14:paraId="3489A176" w14:textId="77777777" w:rsidR="00906DE3" w:rsidRPr="00C921DE" w:rsidRDefault="00906DE3" w:rsidP="00F41B60">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lastRenderedPageBreak/>
        <w:t>Հանրային ներդրումներ</w:t>
      </w:r>
    </w:p>
    <w:p w14:paraId="1F0400C3" w14:textId="26993FEC" w:rsidR="00906DE3" w:rsidRPr="00C921DE" w:rsidRDefault="00906DE3" w:rsidP="00F41B60">
      <w:pPr>
        <w:spacing w:line="360" w:lineRule="auto"/>
        <w:ind w:firstLine="567"/>
        <w:jc w:val="both"/>
        <w:rPr>
          <w:rFonts w:ascii="GHEA Grapalat" w:hAnsi="GHEA Grapalat"/>
          <w:sz w:val="22"/>
          <w:szCs w:val="22"/>
        </w:rPr>
      </w:pPr>
      <w:r w:rsidRPr="00C921DE">
        <w:rPr>
          <w:rFonts w:ascii="GHEA Grapalat" w:hAnsi="GHEA Grapalat"/>
          <w:sz w:val="22"/>
          <w:szCs w:val="22"/>
        </w:rPr>
        <w:t>Հանրային ներդրումների կառավարման համակարգի վերափոխման և կատարելագործման գործընթացի շրջանակներում 2023</w:t>
      </w:r>
      <w:r w:rsidR="001044F1" w:rsidRPr="00C921DE">
        <w:rPr>
          <w:rFonts w:ascii="GHEA Grapalat" w:hAnsi="GHEA Grapalat"/>
          <w:sz w:val="22"/>
          <w:szCs w:val="22"/>
          <w:lang w:val="en-US"/>
        </w:rPr>
        <w:t xml:space="preserve"> </w:t>
      </w:r>
      <w:r w:rsidRPr="00C921DE">
        <w:rPr>
          <w:rFonts w:ascii="GHEA Grapalat" w:hAnsi="GHEA Grapalat"/>
          <w:sz w:val="22"/>
          <w:szCs w:val="22"/>
        </w:rPr>
        <w:t>թ</w:t>
      </w:r>
      <w:r w:rsidR="001044F1" w:rsidRPr="00C921DE">
        <w:rPr>
          <w:rFonts w:ascii="GHEA Grapalat" w:hAnsi="GHEA Grapalat"/>
          <w:sz w:val="22"/>
          <w:szCs w:val="22"/>
          <w:lang w:val="en-US"/>
        </w:rPr>
        <w:t>վականի</w:t>
      </w:r>
      <w:r w:rsidRPr="00C921DE">
        <w:rPr>
          <w:rFonts w:ascii="GHEA Grapalat" w:hAnsi="GHEA Grapalat"/>
          <w:sz w:val="22"/>
          <w:szCs w:val="22"/>
        </w:rPr>
        <w:t xml:space="preserve"> փետրվարի 9-ին ընդունվել է ՀՀ կառավարության «Հանրային ներդրումային ծրագրերի վերհանման, մշակման, գնահատման և առաջնահերթությունների որոշման կարգը հաստատելու մասին» թիվ 175-Ն որոշումը։ Վերջինիս նպատակն է ապահովել հանրային ներդրումային ծրագրերի համապատասխանությունը </w:t>
      </w:r>
      <w:r w:rsidR="00ED0ECC" w:rsidRPr="00C921DE">
        <w:rPr>
          <w:rFonts w:ascii="GHEA Grapalat" w:hAnsi="GHEA Grapalat"/>
          <w:sz w:val="22"/>
          <w:szCs w:val="22"/>
          <w:lang w:val="en-US"/>
        </w:rPr>
        <w:t>Կ</w:t>
      </w:r>
      <w:r w:rsidRPr="00C921DE">
        <w:rPr>
          <w:rFonts w:ascii="GHEA Grapalat" w:hAnsi="GHEA Grapalat"/>
          <w:sz w:val="22"/>
          <w:szCs w:val="22"/>
        </w:rPr>
        <w:t xml:space="preserve">առավարության գերակայություններին և ռազմավարական առաջնահերթություններին, ինչն իր հերթին նպաստում է ծրագրերի իրականացման արդյունավետության աճին։ Հանրային միջոցների արդյունավետ օգտագործման հիմնախնդրին համակարգային հանգուցալուծում տալու նպատակով կարևորվում </w:t>
      </w:r>
      <w:r w:rsidR="00B611AA" w:rsidRPr="00C921DE">
        <w:rPr>
          <w:rFonts w:ascii="GHEA Grapalat" w:hAnsi="GHEA Grapalat"/>
          <w:sz w:val="22"/>
          <w:szCs w:val="22"/>
          <w:lang w:val="en-US"/>
        </w:rPr>
        <w:t>է</w:t>
      </w:r>
      <w:r w:rsidRPr="00C921DE">
        <w:rPr>
          <w:rFonts w:ascii="GHEA Grapalat" w:hAnsi="GHEA Grapalat"/>
          <w:sz w:val="22"/>
          <w:szCs w:val="22"/>
        </w:rPr>
        <w:t xml:space="preserve"> ինստիտուցիոնալ կարողությունների շարունակական զարգացմանը և օրենսդրական միջավայրի բարելավմանը միտված համապարփակ և շարունակական աշխատանքների իրականացումը։</w:t>
      </w:r>
    </w:p>
    <w:p w14:paraId="779E0AF5" w14:textId="15EC48F9" w:rsidR="00906DE3" w:rsidRPr="00C921DE" w:rsidRDefault="00906DE3" w:rsidP="00F41B60">
      <w:pPr>
        <w:spacing w:line="360" w:lineRule="auto"/>
        <w:ind w:firstLine="567"/>
        <w:jc w:val="both"/>
        <w:rPr>
          <w:rFonts w:ascii="GHEA Grapalat" w:hAnsi="GHEA Grapalat"/>
          <w:sz w:val="22"/>
          <w:szCs w:val="22"/>
        </w:rPr>
      </w:pPr>
      <w:r w:rsidRPr="00C921DE">
        <w:rPr>
          <w:rFonts w:ascii="GHEA Grapalat" w:hAnsi="GHEA Grapalat"/>
          <w:sz w:val="22"/>
          <w:szCs w:val="22"/>
        </w:rPr>
        <w:t>2022</w:t>
      </w:r>
      <w:r w:rsidR="001044F1" w:rsidRPr="00C921DE">
        <w:rPr>
          <w:rFonts w:ascii="GHEA Grapalat" w:hAnsi="GHEA Grapalat"/>
          <w:sz w:val="22"/>
          <w:szCs w:val="22"/>
          <w:lang w:val="en-US"/>
        </w:rPr>
        <w:t xml:space="preserve"> </w:t>
      </w:r>
      <w:r w:rsidRPr="00C921DE">
        <w:rPr>
          <w:rFonts w:ascii="GHEA Grapalat" w:hAnsi="GHEA Grapalat"/>
          <w:sz w:val="22"/>
          <w:szCs w:val="22"/>
        </w:rPr>
        <w:t>թ</w:t>
      </w:r>
      <w:r w:rsidR="001044F1" w:rsidRPr="00C921DE">
        <w:rPr>
          <w:rFonts w:ascii="GHEA Grapalat" w:hAnsi="GHEA Grapalat"/>
          <w:sz w:val="22"/>
          <w:szCs w:val="22"/>
          <w:lang w:val="en-US"/>
        </w:rPr>
        <w:t>վականի</w:t>
      </w:r>
      <w:r w:rsidRPr="00C921DE">
        <w:rPr>
          <w:rFonts w:ascii="GHEA Grapalat" w:hAnsi="GHEA Grapalat"/>
          <w:sz w:val="22"/>
          <w:szCs w:val="22"/>
        </w:rPr>
        <w:t xml:space="preserve"> հուլիսի 28-ին ընդունվել է</w:t>
      </w:r>
      <w:r w:rsidR="001044F1" w:rsidRPr="00C921DE">
        <w:rPr>
          <w:rFonts w:ascii="GHEA Grapalat" w:hAnsi="GHEA Grapalat"/>
          <w:sz w:val="22"/>
          <w:szCs w:val="22"/>
          <w:lang w:val="en-US"/>
        </w:rPr>
        <w:t>ր</w:t>
      </w:r>
      <w:r w:rsidRPr="00C921DE">
        <w:rPr>
          <w:rFonts w:ascii="GHEA Grapalat" w:hAnsi="GHEA Grapalat"/>
          <w:sz w:val="22"/>
          <w:szCs w:val="22"/>
        </w:rPr>
        <w:t xml:space="preserve"> ՀՀ կառավարության «Պետություն-մասնավոր գործընկերության ընթացակարգը, պետություն-մասնավոր գործընկերության ծրագրերի վերաբերյալ տվյալների բազայի ստեղծման և կառավարման կարգը հաստատելու, պետություն-մասնավոր գործընկերության ծրագրերի շրջանակում մատուցվող հանրային ծառայությունների ոլորտները, պետություն-մասնավոր գործընկերության ստորաբաժանումը, պետություն-մասնավոր գործընկերության ծրագրի իրականացման վերաբերյալ հաշվետվության ձևը և ներկայացման ժամկետը սահմանելու և Հայաստանի Հանրապետության կառավարության 2012 թվականի սեպտեմբերի 20-ի N 1241-Ն որոշումն ուժը կորցրած ճանաչելու մասին» թիվ 1183-Ն որոշումը, ինչը միտված է խթանելու երկրում հանրային ենթակառուցվածքների բարելավումը, ձևավորելու արդյունավետ ՊՄԳ ծրագրերի մշակման, իրագործման և կառավարման համար բարենպաստ, միջազգային լավագույն փորձին համապատասխան միջավայր։ Ի կատարումն վերոնշյալ որոշման</w:t>
      </w:r>
      <w:r w:rsidR="00FC4B4A" w:rsidRPr="00C921DE">
        <w:rPr>
          <w:rFonts w:ascii="GHEA Grapalat" w:hAnsi="GHEA Grapalat"/>
          <w:sz w:val="22"/>
          <w:szCs w:val="22"/>
          <w:lang w:val="en-US"/>
        </w:rPr>
        <w:t>՝</w:t>
      </w:r>
      <w:r w:rsidRPr="00C921DE">
        <w:rPr>
          <w:rFonts w:ascii="GHEA Grapalat" w:hAnsi="GHEA Grapalat"/>
          <w:sz w:val="22"/>
          <w:szCs w:val="22"/>
        </w:rPr>
        <w:t xml:space="preserve"> ՀՀ էկոնոմիկայի նախարարի 2023թ</w:t>
      </w:r>
      <w:r w:rsidRPr="00C921DE">
        <w:rPr>
          <w:rFonts w:ascii="Cambria Math" w:hAnsi="Cambria Math" w:cs="Cambria Math"/>
          <w:sz w:val="22"/>
          <w:szCs w:val="22"/>
        </w:rPr>
        <w:t>․</w:t>
      </w:r>
      <w:r w:rsidR="005F1B74" w:rsidRPr="00C921DE">
        <w:rPr>
          <w:rFonts w:ascii="GHEA Grapalat" w:hAnsi="GHEA Grapalat"/>
          <w:sz w:val="22"/>
          <w:szCs w:val="22"/>
        </w:rPr>
        <w:t xml:space="preserve"> </w:t>
      </w:r>
      <w:r w:rsidRPr="00C921DE">
        <w:rPr>
          <w:rFonts w:ascii="GHEA Grapalat" w:hAnsi="GHEA Grapalat"/>
          <w:sz w:val="22"/>
          <w:szCs w:val="22"/>
        </w:rPr>
        <w:t>փետրվարի 14-ի</w:t>
      </w:r>
      <w:r w:rsidR="005F1B74" w:rsidRPr="00C921DE">
        <w:rPr>
          <w:rFonts w:ascii="GHEA Grapalat" w:hAnsi="GHEA Grapalat"/>
          <w:sz w:val="22"/>
          <w:szCs w:val="22"/>
        </w:rPr>
        <w:t xml:space="preserve"> </w:t>
      </w:r>
      <w:r w:rsidRPr="00C921DE">
        <w:rPr>
          <w:rFonts w:ascii="GHEA Grapalat" w:hAnsi="GHEA Grapalat"/>
          <w:sz w:val="22"/>
          <w:szCs w:val="22"/>
        </w:rPr>
        <w:t>«ՊՄԳ ծրագրերի տնտեսական վերլուծության և սոցիալ-տնտեսական ազդեցության գնահատման, ՊՄԳ ծրագրերի նախնական տեխնիկատնտեսական հիմնավորման պատրաստման և ՊՄԳ ծրագրերի պատրաստման փուլի ուղեցույցները հաստատելու մասին» N 363-Ա հրամանով լրամշակվել և արդեն ի</w:t>
      </w:r>
      <w:r w:rsidR="00B611AA" w:rsidRPr="00C921DE">
        <w:rPr>
          <w:rFonts w:ascii="GHEA Grapalat" w:hAnsi="GHEA Grapalat"/>
          <w:sz w:val="22"/>
          <w:szCs w:val="22"/>
        </w:rPr>
        <w:t>սկ փոփոխված ՊՄԳ օրենսդրությանն են</w:t>
      </w:r>
      <w:r w:rsidRPr="00C921DE">
        <w:rPr>
          <w:rFonts w:ascii="GHEA Grapalat" w:hAnsi="GHEA Grapalat"/>
          <w:sz w:val="22"/>
          <w:szCs w:val="22"/>
        </w:rPr>
        <w:t xml:space="preserve"> համապատասխանեցվել նաև ՊՄԳ ծրագրերի մշակման և իրականացման գործընթացների նկատմամբ կիրառելի ուղեցույցները։</w:t>
      </w:r>
    </w:p>
    <w:p w14:paraId="05175C35" w14:textId="77777777" w:rsidR="00906DE3" w:rsidRPr="00C921DE" w:rsidRDefault="00906DE3" w:rsidP="00F41B60">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Մշակվել է «Կանաչ և կայուն տնտեսական զարգացման ռազմավարության» նախագիծը, որը պաշտոնապես շրջանառվել է համապատասխան շահագրգիռ գերատեսչությունների, ինչպես նաև միջազգային կառույցների ներկայացուցիչների միջև։ Նախագիծը լրամշակվել է ներկայացված </w:t>
      </w:r>
      <w:r w:rsidRPr="00C921DE">
        <w:rPr>
          <w:rFonts w:ascii="GHEA Grapalat" w:hAnsi="GHEA Grapalat"/>
          <w:sz w:val="22"/>
          <w:szCs w:val="22"/>
        </w:rPr>
        <w:lastRenderedPageBreak/>
        <w:t>նկատառումների և դիտողությունների հիման վրա</w:t>
      </w:r>
      <w:r w:rsidR="00B611AA" w:rsidRPr="00C921DE">
        <w:rPr>
          <w:rFonts w:ascii="GHEA Grapalat" w:hAnsi="GHEA Grapalat"/>
          <w:sz w:val="22"/>
          <w:szCs w:val="22"/>
          <w:lang w:val="en-US"/>
        </w:rPr>
        <w:t>,</w:t>
      </w:r>
      <w:r w:rsidR="001A5DF7" w:rsidRPr="00C921DE">
        <w:rPr>
          <w:rFonts w:ascii="GHEA Grapalat" w:hAnsi="GHEA Grapalat"/>
          <w:sz w:val="22"/>
          <w:szCs w:val="22"/>
        </w:rPr>
        <w:t xml:space="preserve"> և ն</w:t>
      </w:r>
      <w:r w:rsidRPr="00C921DE">
        <w:rPr>
          <w:rFonts w:ascii="GHEA Grapalat" w:hAnsi="GHEA Grapalat"/>
          <w:sz w:val="22"/>
          <w:szCs w:val="22"/>
        </w:rPr>
        <w:t>ախագծի վերջնականացված տարբերակը նախատեսվում է ներկայացնել ՀՀ վարչապետի աշխատակազմ։ Ռազմավարությամբ հստակ արտացոլված կլինեն կանաչ և կայուն տնտեսության զարգացման ուղղությունները և նախատեսվող գործողությունների շրջանակը, ինչպես նաև կանաչ տնտեսության խթանման և կայուն զարգացման երկարաժամկետ նպատակների իրագործման մեխանիզմները։ 2023 թվականի ընթացքում կազմակերպվել և անց է կացվել «Կանաչ Հայաստան» հարթակի բարձր մակարդակի քաղաքական երկխոսությունների շարքի 3 հանդիպում։</w:t>
      </w:r>
    </w:p>
    <w:p w14:paraId="6C3912D3" w14:textId="77777777" w:rsidR="00F41B60" w:rsidRPr="00C921DE" w:rsidRDefault="00F41B60" w:rsidP="00F41B60">
      <w:pPr>
        <w:spacing w:line="360" w:lineRule="auto"/>
        <w:ind w:firstLine="567"/>
        <w:jc w:val="both"/>
        <w:rPr>
          <w:rFonts w:ascii="GHEA Grapalat" w:hAnsi="GHEA Grapalat"/>
          <w:sz w:val="22"/>
          <w:szCs w:val="22"/>
        </w:rPr>
      </w:pPr>
    </w:p>
    <w:p w14:paraId="649423FB" w14:textId="77777777" w:rsidR="00906DE3" w:rsidRPr="00C921DE" w:rsidRDefault="00906DE3" w:rsidP="00F41B60">
      <w:pPr>
        <w:spacing w:line="360" w:lineRule="auto"/>
        <w:ind w:firstLine="567"/>
        <w:jc w:val="both"/>
        <w:rPr>
          <w:rFonts w:ascii="GHEA Grapalat" w:hAnsi="GHEA Grapalat"/>
          <w:sz w:val="22"/>
          <w:szCs w:val="22"/>
        </w:rPr>
      </w:pPr>
      <w:r w:rsidRPr="00C921DE">
        <w:rPr>
          <w:rFonts w:ascii="GHEA Grapalat" w:hAnsi="GHEA Grapalat"/>
          <w:sz w:val="22"/>
          <w:szCs w:val="22"/>
          <w:u w:val="single"/>
        </w:rPr>
        <w:t>ՀՀ-ԵՄ առևտրա</w:t>
      </w:r>
      <w:r w:rsidRPr="00C921DE">
        <w:rPr>
          <w:rFonts w:ascii="GHEA Grapalat" w:hAnsi="GHEA Grapalat"/>
          <w:sz w:val="22"/>
          <w:szCs w:val="22"/>
          <w:u w:val="single"/>
        </w:rPr>
        <w:softHyphen/>
      </w:r>
      <w:r w:rsidRPr="00C921DE">
        <w:rPr>
          <w:rFonts w:ascii="GHEA Grapalat" w:hAnsi="GHEA Grapalat"/>
          <w:sz w:val="22"/>
          <w:szCs w:val="22"/>
          <w:u w:val="single"/>
        </w:rPr>
        <w:softHyphen/>
        <w:t>տնտե</w:t>
      </w:r>
      <w:r w:rsidRPr="00C921DE">
        <w:rPr>
          <w:rFonts w:ascii="GHEA Grapalat" w:hAnsi="GHEA Grapalat"/>
          <w:sz w:val="22"/>
          <w:szCs w:val="22"/>
          <w:u w:val="single"/>
        </w:rPr>
        <w:softHyphen/>
      </w:r>
      <w:r w:rsidRPr="00C921DE">
        <w:rPr>
          <w:rFonts w:ascii="GHEA Grapalat" w:hAnsi="GHEA Grapalat"/>
          <w:sz w:val="22"/>
          <w:szCs w:val="22"/>
          <w:u w:val="single"/>
        </w:rPr>
        <w:softHyphen/>
        <w:t>սական համագործակցության</w:t>
      </w:r>
      <w:r w:rsidRPr="00C921DE">
        <w:rPr>
          <w:rFonts w:ascii="GHEA Grapalat" w:hAnsi="GHEA Grapalat"/>
          <w:sz w:val="22"/>
          <w:szCs w:val="22"/>
        </w:rPr>
        <w:t xml:space="preserve"> շրջանակներում ապահովվել է երկկողմ պայմանավորվածությունների կատարումը, տեղի են ունեցել ՀՀ-ԵՄ Համապարփակ և ընդլայնված գործընկերության համաձայնագրի (ՀԸԳՀ) ներքո գործող Առևտրի հարցերով գործընկերության կոմիտեի</w:t>
      </w:r>
      <w:r w:rsidR="005F1B74" w:rsidRPr="00C921DE">
        <w:rPr>
          <w:rFonts w:ascii="GHEA Grapalat" w:hAnsi="GHEA Grapalat"/>
          <w:sz w:val="22"/>
          <w:szCs w:val="22"/>
        </w:rPr>
        <w:t xml:space="preserve"> </w:t>
      </w:r>
      <w:r w:rsidRPr="00C921DE">
        <w:rPr>
          <w:rFonts w:ascii="GHEA Grapalat" w:hAnsi="GHEA Grapalat"/>
          <w:sz w:val="22"/>
          <w:szCs w:val="22"/>
        </w:rPr>
        <w:t>և համապատասխան 3 ենթակոմիտեների նիստերը, թարմացվել են</w:t>
      </w:r>
      <w:r w:rsidRPr="00C921DE">
        <w:rPr>
          <w:rFonts w:ascii="Calibri" w:hAnsi="Calibri" w:cs="Calibri"/>
          <w:sz w:val="22"/>
          <w:szCs w:val="22"/>
        </w:rPr>
        <w:t> </w:t>
      </w:r>
      <w:r w:rsidRPr="00C921DE">
        <w:rPr>
          <w:rFonts w:ascii="GHEA Grapalat" w:hAnsi="GHEA Grapalat"/>
          <w:sz w:val="22"/>
          <w:szCs w:val="22"/>
        </w:rPr>
        <w:t>ՀԸԳՀ Մաս VI-ի (Առևտուր և առևտրին առնչվող հարցեր) 12 ճանապարհային քարտեզները, կազմակերպվել է ՀՀ-ԵՄ</w:t>
      </w:r>
      <w:r w:rsidR="005F1B74" w:rsidRPr="00C921DE">
        <w:rPr>
          <w:rFonts w:ascii="GHEA Grapalat" w:hAnsi="GHEA Grapalat"/>
          <w:sz w:val="22"/>
          <w:szCs w:val="22"/>
        </w:rPr>
        <w:t xml:space="preserve"> </w:t>
      </w:r>
      <w:r w:rsidRPr="00C921DE">
        <w:rPr>
          <w:rFonts w:ascii="GHEA Grapalat" w:hAnsi="GHEA Grapalat"/>
          <w:sz w:val="22"/>
          <w:szCs w:val="22"/>
        </w:rPr>
        <w:t>գործարար համայնքի իրազեկման բարձրացմանն ուղղված միջոցառում։</w:t>
      </w:r>
    </w:p>
    <w:p w14:paraId="223553CA" w14:textId="77777777" w:rsidR="00906DE3" w:rsidRPr="00C921DE" w:rsidRDefault="00906DE3" w:rsidP="001A5DF7">
      <w:pPr>
        <w:spacing w:line="360" w:lineRule="auto"/>
        <w:ind w:firstLine="567"/>
        <w:jc w:val="both"/>
        <w:rPr>
          <w:rFonts w:ascii="GHEA Grapalat" w:hAnsi="GHEA Grapalat"/>
          <w:sz w:val="22"/>
          <w:szCs w:val="22"/>
        </w:rPr>
      </w:pPr>
    </w:p>
    <w:p w14:paraId="72DC2CAB" w14:textId="77777777" w:rsidR="00906DE3" w:rsidRPr="00C921DE" w:rsidRDefault="00906DE3" w:rsidP="001A5DF7">
      <w:pPr>
        <w:spacing w:line="360" w:lineRule="auto"/>
        <w:ind w:firstLine="567"/>
        <w:jc w:val="both"/>
        <w:rPr>
          <w:rFonts w:ascii="GHEA Grapalat" w:hAnsi="GHEA Grapalat"/>
          <w:sz w:val="22"/>
          <w:szCs w:val="22"/>
        </w:rPr>
      </w:pPr>
      <w:r w:rsidRPr="00C921DE">
        <w:rPr>
          <w:rFonts w:ascii="GHEA Grapalat" w:hAnsi="GHEA Grapalat"/>
          <w:sz w:val="22"/>
          <w:szCs w:val="22"/>
          <w:u w:val="single"/>
        </w:rPr>
        <w:t>Եվրասիական տնտեսական միության հետ համագործակցության</w:t>
      </w:r>
      <w:r w:rsidR="005F1B74" w:rsidRPr="00C921DE">
        <w:rPr>
          <w:rFonts w:ascii="GHEA Grapalat" w:hAnsi="GHEA Grapalat"/>
          <w:sz w:val="22"/>
          <w:szCs w:val="22"/>
        </w:rPr>
        <w:t xml:space="preserve"> </w:t>
      </w:r>
      <w:r w:rsidRPr="00C921DE">
        <w:rPr>
          <w:rFonts w:ascii="GHEA Grapalat" w:hAnsi="GHEA Grapalat"/>
          <w:sz w:val="22"/>
          <w:szCs w:val="22"/>
        </w:rPr>
        <w:t>շրջանակներում՝</w:t>
      </w:r>
    </w:p>
    <w:p w14:paraId="03AA967C" w14:textId="77777777" w:rsidR="00906DE3" w:rsidRPr="00C921DE" w:rsidRDefault="00906DE3" w:rsidP="00AC40A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Տնտեսության կայունացման ապահովման նպատակով՝ ԵՏՀ որոշումներով ՀՀ-ին հատկացվել են սակագնային արտոնություններ մի շարք ապրանքների մասով</w:t>
      </w:r>
      <w:r w:rsidR="000B1117" w:rsidRPr="00C921DE">
        <w:rPr>
          <w:rFonts w:ascii="GHEA Grapalat" w:hAnsi="GHEA Grapalat" w:cs="GHEA Grapalat"/>
          <w:bCs/>
          <w:lang w:val="af-ZA"/>
        </w:rPr>
        <w:t>.</w:t>
      </w:r>
      <w:r w:rsidRPr="00C921DE">
        <w:rPr>
          <w:rFonts w:ascii="GHEA Grapalat" w:hAnsi="GHEA Grapalat" w:cs="GHEA Grapalat"/>
          <w:bCs/>
          <w:lang w:val="af-ZA"/>
        </w:rPr>
        <w:t xml:space="preserve"> խ</w:t>
      </w:r>
      <w:r w:rsidR="000B1117" w:rsidRPr="00C921DE">
        <w:rPr>
          <w:rFonts w:ascii="GHEA Grapalat" w:hAnsi="GHEA Grapalat" w:cs="GHEA Grapalat"/>
          <w:bCs/>
          <w:lang w:val="af-ZA"/>
        </w:rPr>
        <w:t>ոշոր եղջերավոր անասունների միս՝</w:t>
      </w:r>
      <w:r w:rsidRPr="00C921DE">
        <w:rPr>
          <w:rFonts w:ascii="GHEA Grapalat" w:hAnsi="GHEA Grapalat" w:cs="GHEA Grapalat"/>
          <w:bCs/>
          <w:lang w:val="af-ZA"/>
        </w:rPr>
        <w:t xml:space="preserve"> 11</w:t>
      </w:r>
      <w:r w:rsidRPr="00C921DE">
        <w:rPr>
          <w:rFonts w:ascii="Cambria Math" w:hAnsi="Cambria Math" w:cs="Cambria Math"/>
          <w:bCs/>
          <w:lang w:val="af-ZA"/>
        </w:rPr>
        <w:t>․</w:t>
      </w:r>
      <w:r w:rsidRPr="00C921DE">
        <w:rPr>
          <w:rFonts w:ascii="GHEA Grapalat" w:hAnsi="GHEA Grapalat" w:cs="GHEA Grapalat"/>
          <w:bCs/>
          <w:lang w:val="af-ZA"/>
        </w:rPr>
        <w:t>3 հազ</w:t>
      </w:r>
      <w:r w:rsidRPr="00C921DE">
        <w:rPr>
          <w:rFonts w:ascii="Cambria Math" w:hAnsi="Cambria Math" w:cs="Cambria Math"/>
          <w:bCs/>
          <w:lang w:val="af-ZA"/>
        </w:rPr>
        <w:t>․</w:t>
      </w:r>
      <w:r w:rsidRPr="00C921DE">
        <w:rPr>
          <w:rFonts w:ascii="GHEA Grapalat" w:hAnsi="GHEA Grapalat" w:cs="GHEA Grapalat"/>
          <w:bCs/>
          <w:lang w:val="af-ZA"/>
        </w:rPr>
        <w:t xml:space="preserve"> տոննա, որից՝ 10</w:t>
      </w:r>
      <w:r w:rsidRPr="00C921DE">
        <w:rPr>
          <w:rFonts w:ascii="Cambria Math" w:hAnsi="Cambria Math" w:cs="Cambria Math"/>
          <w:bCs/>
          <w:lang w:val="af-ZA"/>
        </w:rPr>
        <w:t>․</w:t>
      </w:r>
      <w:r w:rsidRPr="00C921DE">
        <w:rPr>
          <w:rFonts w:ascii="GHEA Grapalat" w:hAnsi="GHEA Grapalat" w:cs="GHEA Grapalat"/>
          <w:bCs/>
          <w:lang w:val="af-ZA"/>
        </w:rPr>
        <w:t>0 հազ</w:t>
      </w:r>
      <w:r w:rsidRPr="00C921DE">
        <w:rPr>
          <w:rFonts w:ascii="Cambria Math" w:hAnsi="Cambria Math" w:cs="Cambria Math"/>
          <w:bCs/>
          <w:lang w:val="af-ZA"/>
        </w:rPr>
        <w:t>․</w:t>
      </w:r>
      <w:r w:rsidRPr="00C921DE">
        <w:rPr>
          <w:rFonts w:ascii="GHEA Grapalat" w:hAnsi="GHEA Grapalat" w:cs="GHEA Grapalat"/>
          <w:bCs/>
          <w:lang w:val="af-ZA"/>
        </w:rPr>
        <w:t xml:space="preserve"> տոննա ոչ ավելի ծավալով, մսամթերքի արտադրության համար նախատեսված միսն ազատվել է ներմուծման մաքսատուրքից, խոզի միս</w:t>
      </w:r>
      <w:r w:rsidR="000B1117" w:rsidRPr="00C921DE">
        <w:rPr>
          <w:rFonts w:ascii="GHEA Grapalat" w:hAnsi="GHEA Grapalat" w:cs="GHEA Grapalat"/>
          <w:bCs/>
          <w:lang w:val="af-ZA"/>
        </w:rPr>
        <w:t>՝</w:t>
      </w:r>
      <w:r w:rsidRPr="00C921DE">
        <w:rPr>
          <w:rFonts w:ascii="GHEA Grapalat" w:hAnsi="GHEA Grapalat" w:cs="GHEA Grapalat"/>
          <w:bCs/>
          <w:lang w:val="af-ZA"/>
        </w:rPr>
        <w:t xml:space="preserve"> 7</w:t>
      </w:r>
      <w:r w:rsidRPr="00C921DE">
        <w:rPr>
          <w:rFonts w:ascii="Cambria Math" w:hAnsi="Cambria Math" w:cs="Cambria Math"/>
          <w:bCs/>
          <w:lang w:val="af-ZA"/>
        </w:rPr>
        <w:t>․</w:t>
      </w:r>
      <w:r w:rsidRPr="00C921DE">
        <w:rPr>
          <w:rFonts w:ascii="GHEA Grapalat" w:hAnsi="GHEA Grapalat" w:cs="GHEA Grapalat"/>
          <w:bCs/>
          <w:lang w:val="af-ZA"/>
        </w:rPr>
        <w:t>5</w:t>
      </w:r>
      <w:r w:rsidR="005F1B74" w:rsidRPr="00C921DE">
        <w:rPr>
          <w:rFonts w:ascii="GHEA Grapalat" w:hAnsi="GHEA Grapalat" w:cs="GHEA Grapalat"/>
          <w:bCs/>
          <w:lang w:val="af-ZA"/>
        </w:rPr>
        <w:t xml:space="preserve"> </w:t>
      </w:r>
      <w:r w:rsidRPr="00C921DE">
        <w:rPr>
          <w:rFonts w:ascii="GHEA Grapalat" w:hAnsi="GHEA Grapalat" w:cs="GHEA Grapalat"/>
          <w:bCs/>
          <w:lang w:val="af-ZA"/>
        </w:rPr>
        <w:t>հազ</w:t>
      </w:r>
      <w:r w:rsidRPr="00C921DE">
        <w:rPr>
          <w:rFonts w:ascii="Cambria Math" w:hAnsi="Cambria Math" w:cs="Cambria Math"/>
          <w:bCs/>
          <w:lang w:val="af-ZA"/>
        </w:rPr>
        <w:t>․</w:t>
      </w:r>
      <w:r w:rsidRPr="00C921DE">
        <w:rPr>
          <w:rFonts w:ascii="GHEA Grapalat" w:hAnsi="GHEA Grapalat" w:cs="GHEA Grapalat"/>
          <w:bCs/>
          <w:lang w:val="af-ZA"/>
        </w:rPr>
        <w:t xml:space="preserve"> տոննա, ընտանի թռչունների միս</w:t>
      </w:r>
      <w:r w:rsidR="000B1117" w:rsidRPr="00C921DE">
        <w:rPr>
          <w:rFonts w:ascii="GHEA Grapalat" w:hAnsi="GHEA Grapalat" w:cs="GHEA Grapalat"/>
          <w:bCs/>
          <w:lang w:val="af-ZA"/>
        </w:rPr>
        <w:t xml:space="preserve">՝ </w:t>
      </w:r>
      <w:r w:rsidRPr="00C921DE">
        <w:rPr>
          <w:rFonts w:ascii="GHEA Grapalat" w:hAnsi="GHEA Grapalat" w:cs="GHEA Grapalat"/>
          <w:bCs/>
          <w:lang w:val="af-ZA"/>
        </w:rPr>
        <w:t>39,1 հազ տոննա, կաթնային շիճուկ</w:t>
      </w:r>
      <w:r w:rsidR="000B1117" w:rsidRPr="00C921DE">
        <w:rPr>
          <w:rFonts w:ascii="GHEA Grapalat" w:hAnsi="GHEA Grapalat" w:cs="GHEA Grapalat"/>
          <w:bCs/>
          <w:lang w:val="af-ZA"/>
        </w:rPr>
        <w:t>՝</w:t>
      </w:r>
      <w:r w:rsidRPr="00C921DE">
        <w:rPr>
          <w:rFonts w:ascii="GHEA Grapalat" w:hAnsi="GHEA Grapalat" w:cs="GHEA Grapalat"/>
          <w:bCs/>
          <w:lang w:val="af-ZA"/>
        </w:rPr>
        <w:t xml:space="preserve"> 1</w:t>
      </w:r>
      <w:r w:rsidRPr="00C921DE">
        <w:rPr>
          <w:rFonts w:ascii="Cambria Math" w:hAnsi="Cambria Math" w:cs="Cambria Math"/>
          <w:bCs/>
          <w:lang w:val="af-ZA"/>
        </w:rPr>
        <w:t>․</w:t>
      </w:r>
      <w:r w:rsidRPr="00C921DE">
        <w:rPr>
          <w:rFonts w:ascii="GHEA Grapalat" w:hAnsi="GHEA Grapalat" w:cs="GHEA Grapalat"/>
          <w:bCs/>
          <w:lang w:val="af-ZA"/>
        </w:rPr>
        <w:t>2 հազ տոննա, սննդի արդյունաբերությունում օգտագործվող լաքեր</w:t>
      </w:r>
      <w:r w:rsidR="000B1117" w:rsidRPr="00C921DE">
        <w:rPr>
          <w:rFonts w:ascii="GHEA Grapalat" w:hAnsi="GHEA Grapalat" w:cs="GHEA Grapalat"/>
          <w:bCs/>
          <w:lang w:val="af-ZA"/>
        </w:rPr>
        <w:t xml:space="preserve"> և ներկեր</w:t>
      </w:r>
      <w:r w:rsidRPr="00C921DE">
        <w:rPr>
          <w:rFonts w:ascii="GHEA Grapalat" w:hAnsi="GHEA Grapalat" w:cs="GHEA Grapalat"/>
          <w:bCs/>
          <w:lang w:val="af-ZA"/>
        </w:rPr>
        <w:t xml:space="preserve"> </w:t>
      </w:r>
      <w:r w:rsidR="000B1117" w:rsidRPr="00C921DE">
        <w:rPr>
          <w:rFonts w:ascii="GHEA Grapalat" w:hAnsi="GHEA Grapalat" w:cs="GHEA Grapalat"/>
          <w:bCs/>
          <w:lang w:val="af-ZA"/>
        </w:rPr>
        <w:t>(</w:t>
      </w:r>
      <w:r w:rsidRPr="00C921DE">
        <w:rPr>
          <w:rFonts w:ascii="GHEA Grapalat" w:hAnsi="GHEA Grapalat" w:cs="GHEA Grapalat"/>
          <w:bCs/>
          <w:lang w:val="af-ZA"/>
        </w:rPr>
        <w:t>500 տոննայից ոչ ավելի ծավալով</w:t>
      </w:r>
      <w:r w:rsidR="000B1117" w:rsidRPr="00C921DE">
        <w:rPr>
          <w:rFonts w:ascii="GHEA Grapalat" w:hAnsi="GHEA Grapalat" w:cs="GHEA Grapalat"/>
          <w:bCs/>
          <w:lang w:val="af-ZA"/>
        </w:rPr>
        <w:t>):</w:t>
      </w:r>
    </w:p>
    <w:p w14:paraId="425BB7FD" w14:textId="77777777" w:rsidR="00906DE3" w:rsidRPr="00C921DE" w:rsidRDefault="00906DE3" w:rsidP="00AC40A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Սահմանվել է սակագնային արտոնություն էլեկտրական շարժիչ</w:t>
      </w:r>
      <w:r w:rsidR="000B1117" w:rsidRPr="00C921DE">
        <w:rPr>
          <w:rFonts w:ascii="GHEA Grapalat" w:hAnsi="GHEA Grapalat" w:cs="GHEA Grapalat"/>
          <w:bCs/>
          <w:lang w:val="af-ZA"/>
        </w:rPr>
        <w:t>ով ավտոմեքենաների 0% մաքսատուրք</w:t>
      </w:r>
      <w:r w:rsidRPr="00C921DE">
        <w:rPr>
          <w:rFonts w:ascii="GHEA Grapalat" w:hAnsi="GHEA Grapalat" w:cs="GHEA Grapalat"/>
          <w:bCs/>
          <w:lang w:val="af-ZA"/>
        </w:rPr>
        <w:t xml:space="preserve"> ՀՀ ներմուծման մասով՝ 2023-2025 թվականների համար 8000 ավտոմեքենա։ Մինչև 2026 թվականի հունվարի 1-ը երկարաձգվել է նաև էլեկտրական շարժիչով տրանսպորտային միջոցների ներմուծումը և (կամ) օտարումը ԱԱՀ-ից ազատելու մասով գործող օրենսդրական նորմը։ </w:t>
      </w:r>
    </w:p>
    <w:p w14:paraId="53AE2D71" w14:textId="77777777" w:rsidR="00906DE3" w:rsidRPr="00C921DE" w:rsidRDefault="00906DE3" w:rsidP="00AC40A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Նախատեսվել է ոչ սակագնային քվոտա՝ 1200 կգ</w:t>
      </w:r>
      <w:r w:rsidR="000B1117" w:rsidRPr="00C921DE">
        <w:rPr>
          <w:rFonts w:ascii="GHEA Grapalat" w:hAnsi="GHEA Grapalat" w:cs="GHEA Grapalat"/>
          <w:bCs/>
          <w:lang w:val="af-ZA"/>
        </w:rPr>
        <w:t>՝</w:t>
      </w:r>
      <w:r w:rsidRPr="00C921DE">
        <w:rPr>
          <w:rFonts w:ascii="GHEA Grapalat" w:hAnsi="GHEA Grapalat" w:cs="GHEA Grapalat"/>
          <w:bCs/>
          <w:lang w:val="af-ZA"/>
        </w:rPr>
        <w:t xml:space="preserve"> թանկարժեք մետաղների կամ թանկարժեք մետաղ</w:t>
      </w:r>
      <w:r w:rsidR="008D7E01" w:rsidRPr="00C921DE">
        <w:rPr>
          <w:rFonts w:ascii="GHEA Grapalat" w:hAnsi="GHEA Grapalat" w:cs="GHEA Grapalat"/>
          <w:bCs/>
          <w:lang w:val="af-ZA"/>
        </w:rPr>
        <w:t>ներով պատված մետաղների, 5000 կգ՝</w:t>
      </w:r>
      <w:r w:rsidRPr="00C921DE">
        <w:rPr>
          <w:rFonts w:ascii="GHEA Grapalat" w:hAnsi="GHEA Grapalat" w:cs="GHEA Grapalat"/>
          <w:bCs/>
          <w:lang w:val="af-ZA"/>
        </w:rPr>
        <w:t xml:space="preserve"> արծաթ</w:t>
      </w:r>
      <w:r w:rsidR="008D7E01" w:rsidRPr="00C921DE">
        <w:rPr>
          <w:rFonts w:ascii="GHEA Grapalat" w:hAnsi="GHEA Grapalat" w:cs="GHEA Grapalat"/>
          <w:bCs/>
          <w:lang w:val="af-ZA"/>
        </w:rPr>
        <w:t>ե</w:t>
      </w:r>
      <w:r w:rsidRPr="00C921DE">
        <w:rPr>
          <w:rFonts w:ascii="GHEA Grapalat" w:hAnsi="GHEA Grapalat" w:cs="GHEA Grapalat"/>
          <w:bCs/>
          <w:lang w:val="af-ZA"/>
        </w:rPr>
        <w:t>՝ չմշակված տեսքով ապրանքների «Վերամշակում մաքսային տարածքից դուրս» մաքսային ընթացակարգով ՀՀ-ից</w:t>
      </w:r>
      <w:r w:rsidR="005F1B74" w:rsidRPr="00C921DE">
        <w:rPr>
          <w:rFonts w:ascii="GHEA Grapalat" w:hAnsi="GHEA Grapalat" w:cs="GHEA Grapalat"/>
          <w:bCs/>
          <w:lang w:val="af-ZA"/>
        </w:rPr>
        <w:t xml:space="preserve"> </w:t>
      </w:r>
      <w:r w:rsidRPr="00C921DE">
        <w:rPr>
          <w:rFonts w:ascii="GHEA Grapalat" w:hAnsi="GHEA Grapalat" w:cs="GHEA Grapalat"/>
          <w:bCs/>
          <w:lang w:val="af-ZA"/>
        </w:rPr>
        <w:t xml:space="preserve">երրորդ երկրներ արտահանման հանդեպ։ </w:t>
      </w:r>
    </w:p>
    <w:p w14:paraId="5C121B4B" w14:textId="77777777" w:rsidR="00906DE3" w:rsidRPr="00C921DE" w:rsidRDefault="00906DE3"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 xml:space="preserve">6 ամիս ժամկետով արգելք է սահմանվել ՀՀ-ից դեպի ԵԱՏՄ անդամ չհանդիսացող երկրներ մի շարք ապրանքների (ցորեն, մեսլին, գարի, եգիպտացորեն, հնդկացորեն, արևածաղկի սերմ, արևածաղկի ձեթ) արտահանման </w:t>
      </w:r>
      <w:r w:rsidR="008D7E01" w:rsidRPr="00C921DE">
        <w:rPr>
          <w:rFonts w:ascii="GHEA Grapalat" w:hAnsi="GHEA Grapalat" w:cs="GHEA Grapalat"/>
          <w:bCs/>
          <w:lang w:val="af-ZA"/>
        </w:rPr>
        <w:t>նկատմամբ</w:t>
      </w:r>
      <w:r w:rsidRPr="00C921DE">
        <w:rPr>
          <w:rFonts w:ascii="GHEA Grapalat" w:hAnsi="GHEA Grapalat" w:cs="GHEA Grapalat"/>
          <w:bCs/>
          <w:lang w:val="af-ZA"/>
        </w:rPr>
        <w:t>։</w:t>
      </w:r>
    </w:p>
    <w:p w14:paraId="3DAE04E2" w14:textId="77777777" w:rsidR="00906DE3" w:rsidRPr="00C921DE" w:rsidRDefault="00906DE3"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6 ամիս ժամկետով արգելք է սահմանվել ավտոմեքենաների օգտագործված կատալիզատորների կերամիկական թափոնների</w:t>
      </w:r>
      <w:r w:rsidR="008D7E01" w:rsidRPr="00C921DE">
        <w:rPr>
          <w:rFonts w:ascii="GHEA Grapalat" w:hAnsi="GHEA Grapalat" w:cs="GHEA Grapalat"/>
          <w:bCs/>
          <w:lang w:val="af-ZA"/>
        </w:rPr>
        <w:t>՝</w:t>
      </w:r>
      <w:r w:rsidRPr="00C921DE">
        <w:rPr>
          <w:rFonts w:ascii="GHEA Grapalat" w:hAnsi="GHEA Grapalat" w:cs="GHEA Grapalat"/>
          <w:bCs/>
          <w:lang w:val="af-ZA"/>
        </w:rPr>
        <w:t xml:space="preserve"> ՀՀ-ից արտահանման նկատմամբ:</w:t>
      </w:r>
    </w:p>
    <w:p w14:paraId="57FE1683" w14:textId="77777777" w:rsidR="00906DE3" w:rsidRPr="00C921DE" w:rsidRDefault="00906DE3"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Սահմանվել են սակագնային արտոնություններ </w:t>
      </w:r>
      <w:r w:rsidR="008D7E01" w:rsidRPr="00C921DE">
        <w:rPr>
          <w:rFonts w:ascii="GHEA Grapalat" w:hAnsi="GHEA Grapalat" w:cs="GHEA Grapalat"/>
          <w:bCs/>
          <w:lang w:val="af-ZA"/>
        </w:rPr>
        <w:t>(</w:t>
      </w:r>
      <w:r w:rsidRPr="00C921DE">
        <w:rPr>
          <w:rFonts w:ascii="GHEA Grapalat" w:hAnsi="GHEA Grapalat" w:cs="GHEA Grapalat"/>
          <w:bCs/>
          <w:lang w:val="af-ZA"/>
        </w:rPr>
        <w:t>0% ներմուծման մաքսատուրք</w:t>
      </w:r>
      <w:r w:rsidR="008D7E01" w:rsidRPr="00C921DE">
        <w:rPr>
          <w:rFonts w:ascii="GHEA Grapalat" w:hAnsi="GHEA Grapalat" w:cs="GHEA Grapalat"/>
          <w:bCs/>
          <w:lang w:val="af-ZA"/>
        </w:rPr>
        <w:t>)</w:t>
      </w:r>
      <w:r w:rsidR="005F1B74" w:rsidRPr="00C921DE">
        <w:rPr>
          <w:rFonts w:ascii="GHEA Grapalat" w:hAnsi="GHEA Grapalat" w:cs="GHEA Grapalat"/>
          <w:bCs/>
          <w:lang w:val="af-ZA"/>
        </w:rPr>
        <w:t xml:space="preserve"> </w:t>
      </w:r>
      <w:r w:rsidRPr="00C921DE">
        <w:rPr>
          <w:rFonts w:ascii="GHEA Grapalat" w:hAnsi="GHEA Grapalat" w:cs="GHEA Grapalat"/>
          <w:bCs/>
          <w:lang w:val="af-ZA"/>
        </w:rPr>
        <w:t>2023</w:t>
      </w:r>
      <w:r w:rsidR="008D7E01" w:rsidRPr="00C921DE">
        <w:rPr>
          <w:rFonts w:ascii="GHEA Grapalat" w:hAnsi="GHEA Grapalat" w:cs="GHEA Grapalat"/>
          <w:bCs/>
          <w:lang w:val="af-ZA"/>
        </w:rPr>
        <w:t xml:space="preserve"> </w:t>
      </w:r>
      <w:r w:rsidRPr="00C921DE">
        <w:rPr>
          <w:rFonts w:ascii="GHEA Grapalat" w:hAnsi="GHEA Grapalat" w:cs="GHEA Grapalat"/>
          <w:bCs/>
          <w:lang w:val="af-ZA"/>
        </w:rPr>
        <w:t>թ</w:t>
      </w:r>
      <w:r w:rsidR="008D7E01" w:rsidRPr="00C921DE">
        <w:rPr>
          <w:rFonts w:ascii="GHEA Grapalat" w:hAnsi="GHEA Grapalat" w:cs="GHEA Grapalat"/>
          <w:bCs/>
          <w:lang w:val="af-ZA"/>
        </w:rPr>
        <w:t>վականի</w:t>
      </w:r>
      <w:r w:rsidRPr="00C921DE">
        <w:rPr>
          <w:rFonts w:ascii="GHEA Grapalat" w:hAnsi="GHEA Grapalat" w:cs="GHEA Grapalat"/>
          <w:bCs/>
          <w:lang w:val="af-ZA"/>
        </w:rPr>
        <w:t xml:space="preserve"> ընթացքում վիետնամական ծագման բրնձի առանձին տեսակների (250 տոննայից ոչ ավելի ծավալով) և սերբական ծագման պանիրներ</w:t>
      </w:r>
      <w:r w:rsidR="00693C17" w:rsidRPr="00C921DE">
        <w:rPr>
          <w:rFonts w:ascii="GHEA Grapalat" w:hAnsi="GHEA Grapalat" w:cs="GHEA Grapalat"/>
          <w:bCs/>
          <w:lang w:val="af-ZA"/>
        </w:rPr>
        <w:t>ի</w:t>
      </w:r>
      <w:r w:rsidRPr="00C921DE">
        <w:rPr>
          <w:rFonts w:ascii="GHEA Grapalat" w:hAnsi="GHEA Grapalat" w:cs="GHEA Grapalat"/>
          <w:bCs/>
          <w:lang w:val="af-ZA"/>
        </w:rPr>
        <w:t xml:space="preserve"> (2</w:t>
      </w:r>
      <w:r w:rsidRPr="00C921DE">
        <w:rPr>
          <w:rFonts w:ascii="Cambria Math" w:hAnsi="Cambria Math" w:cs="Cambria Math"/>
          <w:bCs/>
          <w:lang w:val="af-ZA"/>
        </w:rPr>
        <w:t>․</w:t>
      </w:r>
      <w:r w:rsidRPr="00C921DE">
        <w:rPr>
          <w:rFonts w:ascii="GHEA Grapalat" w:hAnsi="GHEA Grapalat" w:cs="GHEA Grapalat"/>
          <w:bCs/>
          <w:lang w:val="af-ZA"/>
        </w:rPr>
        <w:t>07 տոննա), թրմօղիներ</w:t>
      </w:r>
      <w:r w:rsidR="00693C17" w:rsidRPr="00C921DE">
        <w:rPr>
          <w:rFonts w:ascii="GHEA Grapalat" w:hAnsi="GHEA Grapalat" w:cs="GHEA Grapalat"/>
          <w:bCs/>
          <w:lang w:val="af-ZA"/>
        </w:rPr>
        <w:t>ի</w:t>
      </w:r>
      <w:r w:rsidRPr="00C921DE">
        <w:rPr>
          <w:rFonts w:ascii="GHEA Grapalat" w:hAnsi="GHEA Grapalat" w:cs="GHEA Grapalat"/>
          <w:bCs/>
          <w:lang w:val="af-ZA"/>
        </w:rPr>
        <w:t xml:space="preserve"> (4727 սպ</w:t>
      </w:r>
      <w:r w:rsidRPr="00C921DE">
        <w:rPr>
          <w:rFonts w:ascii="Cambria Math" w:hAnsi="Cambria Math" w:cs="Cambria Math"/>
          <w:bCs/>
          <w:lang w:val="af-ZA"/>
        </w:rPr>
        <w:t>․</w:t>
      </w:r>
      <w:r w:rsidRPr="00C921DE">
        <w:rPr>
          <w:rFonts w:ascii="GHEA Grapalat" w:hAnsi="GHEA Grapalat" w:cs="GHEA Grapalat"/>
          <w:bCs/>
          <w:lang w:val="af-ZA"/>
        </w:rPr>
        <w:t xml:space="preserve"> լիտր), ծխախոտ</w:t>
      </w:r>
      <w:r w:rsidR="00693C17" w:rsidRPr="00C921DE">
        <w:rPr>
          <w:rFonts w:ascii="GHEA Grapalat" w:hAnsi="GHEA Grapalat" w:cs="GHEA Grapalat"/>
          <w:bCs/>
          <w:lang w:val="af-ZA"/>
        </w:rPr>
        <w:t>ի</w:t>
      </w:r>
      <w:r w:rsidRPr="00C921DE">
        <w:rPr>
          <w:rFonts w:ascii="GHEA Grapalat" w:hAnsi="GHEA Grapalat" w:cs="GHEA Grapalat"/>
          <w:bCs/>
          <w:lang w:val="af-ZA"/>
        </w:rPr>
        <w:t xml:space="preserve"> (39</w:t>
      </w:r>
      <w:r w:rsidRPr="00C921DE">
        <w:rPr>
          <w:rFonts w:ascii="Cambria Math" w:hAnsi="Cambria Math" w:cs="Cambria Math"/>
          <w:bCs/>
          <w:lang w:val="af-ZA"/>
        </w:rPr>
        <w:t>․</w:t>
      </w:r>
      <w:r w:rsidRPr="00C921DE">
        <w:rPr>
          <w:rFonts w:ascii="GHEA Grapalat" w:hAnsi="GHEA Grapalat" w:cs="GHEA Grapalat"/>
          <w:bCs/>
          <w:lang w:val="af-ZA"/>
        </w:rPr>
        <w:t>5 մլն հատ</w:t>
      </w:r>
      <w:r w:rsidR="00693C17" w:rsidRPr="00C921DE">
        <w:rPr>
          <w:rFonts w:ascii="GHEA Grapalat" w:hAnsi="GHEA Grapalat" w:cs="GHEA Grapalat"/>
          <w:bCs/>
          <w:lang w:val="af-ZA"/>
        </w:rPr>
        <w:t>)</w:t>
      </w:r>
      <w:r w:rsidRPr="00C921DE">
        <w:rPr>
          <w:rFonts w:ascii="GHEA Grapalat" w:hAnsi="GHEA Grapalat" w:cs="GHEA Grapalat"/>
          <w:bCs/>
          <w:lang w:val="af-ZA"/>
        </w:rPr>
        <w:t xml:space="preserve"> ներմուծման </w:t>
      </w:r>
      <w:r w:rsidR="00693C17" w:rsidRPr="00C921DE">
        <w:rPr>
          <w:rFonts w:ascii="GHEA Grapalat" w:hAnsi="GHEA Grapalat" w:cs="GHEA Grapalat"/>
          <w:bCs/>
          <w:lang w:val="af-ZA"/>
        </w:rPr>
        <w:t>նկատմամբ</w:t>
      </w:r>
      <w:r w:rsidRPr="00C921DE">
        <w:rPr>
          <w:rFonts w:ascii="GHEA Grapalat" w:hAnsi="GHEA Grapalat" w:cs="GHEA Grapalat"/>
          <w:bCs/>
          <w:lang w:val="af-ZA"/>
        </w:rPr>
        <w:t>։</w:t>
      </w:r>
    </w:p>
    <w:p w14:paraId="49B27336" w14:textId="77777777" w:rsidR="00906DE3" w:rsidRPr="00C921DE" w:rsidRDefault="00906DE3"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2023 թվականի դեկտեմբերի 25-ին ստորագրվել է «Եվրասիական տնտեսական միության ու դրա անդամ պետությունների՝ մի կողմից, և Իրանի Իսլամական Հանրապետության՝ մյուս կողմից, </w:t>
      </w:r>
      <w:r w:rsidRPr="00C921DE">
        <w:rPr>
          <w:rFonts w:ascii="GHEA Grapalat" w:hAnsi="GHEA Grapalat" w:cs="GHEA Grapalat"/>
          <w:bCs/>
          <w:lang w:val="af-ZA"/>
        </w:rPr>
        <w:br/>
        <w:t>միջև ազատ առևտրի մասին» Համաձայնագիրը։</w:t>
      </w:r>
    </w:p>
    <w:p w14:paraId="5DFAAD5E" w14:textId="77777777" w:rsidR="00906DE3" w:rsidRPr="00C921DE" w:rsidRDefault="00B65E80"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Կայացել են ԵԱՏՄ</w:t>
      </w:r>
      <w:r w:rsidR="00906DE3" w:rsidRPr="00C921DE">
        <w:rPr>
          <w:rFonts w:ascii="GHEA Grapalat" w:hAnsi="GHEA Grapalat" w:cs="GHEA Grapalat"/>
          <w:bCs/>
          <w:lang w:val="af-ZA"/>
        </w:rPr>
        <w:t xml:space="preserve">–Իրան բանակցությունների 6 փուլ, ԵԱՏՄ–Եգիպտոս </w:t>
      </w:r>
      <w:r w:rsidRPr="00C921DE">
        <w:rPr>
          <w:rFonts w:ascii="GHEA Grapalat" w:hAnsi="GHEA Grapalat" w:cs="GHEA Grapalat"/>
          <w:bCs/>
          <w:lang w:val="af-ZA"/>
        </w:rPr>
        <w:t>6 բանակցային փուլ, ԵԱՏՄ-</w:t>
      </w:r>
      <w:r w:rsidR="00906DE3" w:rsidRPr="00C921DE">
        <w:rPr>
          <w:rFonts w:ascii="GHEA Grapalat" w:hAnsi="GHEA Grapalat" w:cs="GHEA Grapalat"/>
          <w:bCs/>
          <w:lang w:val="af-ZA"/>
        </w:rPr>
        <w:t xml:space="preserve">Արաբական Միացյալ էմիրություններ 2 բանակցային փուլ, ԵԱՏՄ–Ինդոնեզիա </w:t>
      </w:r>
      <w:r w:rsidRPr="00C921DE">
        <w:rPr>
          <w:rFonts w:ascii="GHEA Grapalat" w:hAnsi="GHEA Grapalat" w:cs="GHEA Grapalat"/>
          <w:bCs/>
          <w:lang w:val="af-ZA"/>
        </w:rPr>
        <w:t>2 բանակցային փուլ</w:t>
      </w:r>
      <w:r w:rsidR="00906DE3" w:rsidRPr="00C921DE">
        <w:rPr>
          <w:rFonts w:ascii="GHEA Grapalat" w:hAnsi="GHEA Grapalat" w:cs="GHEA Grapalat"/>
          <w:bCs/>
          <w:lang w:val="af-ZA"/>
        </w:rPr>
        <w:t>։</w:t>
      </w:r>
    </w:p>
    <w:p w14:paraId="74D9C550" w14:textId="77777777" w:rsidR="00906DE3" w:rsidRPr="00C921DE" w:rsidRDefault="00B65E80"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Կ</w:t>
      </w:r>
      <w:r w:rsidR="00906DE3" w:rsidRPr="00C921DE">
        <w:rPr>
          <w:rFonts w:ascii="GHEA Grapalat" w:hAnsi="GHEA Grapalat" w:cs="GHEA Grapalat"/>
          <w:bCs/>
          <w:lang w:val="af-ZA"/>
        </w:rPr>
        <w:t>այացել է ԵԱՏՄ-Վիետնամ ազատ առևտրի համաձայնագրի շրջանակներում հիմնված համատեղ կոմիտեի հինգերորդ նիստը։ Նիստի արձանագրությամբ ամրագրվել է հայկական կողմի հետաքրքրությունը կոնյակի արտադրանքի</w:t>
      </w:r>
      <w:r w:rsidRPr="00C921DE">
        <w:rPr>
          <w:rFonts w:ascii="GHEA Grapalat" w:hAnsi="GHEA Grapalat" w:cs="GHEA Grapalat"/>
          <w:bCs/>
          <w:lang w:val="af-ZA"/>
        </w:rPr>
        <w:t>՝</w:t>
      </w:r>
      <w:r w:rsidR="00906DE3" w:rsidRPr="00C921DE">
        <w:rPr>
          <w:rFonts w:ascii="GHEA Grapalat" w:hAnsi="GHEA Grapalat" w:cs="GHEA Grapalat"/>
          <w:bCs/>
          <w:lang w:val="af-ZA"/>
        </w:rPr>
        <w:t xml:space="preserve"> վիետնամական շուկա մուտքի ազատականացման վերաբերյալ։</w:t>
      </w:r>
    </w:p>
    <w:p w14:paraId="617389EB" w14:textId="77777777" w:rsidR="00906DE3" w:rsidRPr="00C921DE" w:rsidRDefault="00B65E80"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Կ</w:t>
      </w:r>
      <w:r w:rsidR="00906DE3" w:rsidRPr="00C921DE">
        <w:rPr>
          <w:rFonts w:ascii="GHEA Grapalat" w:hAnsi="GHEA Grapalat" w:cs="GHEA Grapalat"/>
          <w:bCs/>
          <w:lang w:val="af-ZA"/>
        </w:rPr>
        <w:t>այացել է ԵԱՏՄ-Չինաստան առևտրատնտեսական համագործակցության համաձայնագրի իրագործման նպատակով հիմնված համատեղ փորձագիտական խմբի նիստը, որի ընթացքում քննարկվել են ԵԱՏՄ անդամ երկրների և Չինաստանի միջև փոխադարձ առևտրի խոչընդոտների, սանիտարական և բուսասանիտարական միջոցների կիրառման, մաքսային համագործակցության, լոգիստիկայի, ոլորտային համագործակցության այլ հարցեր։</w:t>
      </w:r>
    </w:p>
    <w:p w14:paraId="287EDFF4" w14:textId="77777777" w:rsidR="00906DE3" w:rsidRPr="00C921DE" w:rsidRDefault="00906DE3"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Ստորագրվել է «Հայաստանի Հանրապետության էկոնոմիկայի նախարարության և Բելառուսի Հանրապետության հակամենաշնորհային կարգավորման ու առևտրի նախարարության միջև համագործակցության ընդլայնման մասին» Հուշագիր։</w:t>
      </w:r>
    </w:p>
    <w:p w14:paraId="2662567B" w14:textId="77777777" w:rsidR="00906DE3" w:rsidRPr="00C921DE" w:rsidRDefault="00906DE3" w:rsidP="008D7E01">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Ստորագրվել է «Եվրասիական վերաապահովագրական ընկերության հիմնադրման մասին» համաձայնագիրը։</w:t>
      </w:r>
      <w:r w:rsidR="005F1B74" w:rsidRPr="00C921DE">
        <w:rPr>
          <w:rFonts w:ascii="GHEA Grapalat" w:hAnsi="GHEA Grapalat" w:cs="GHEA Grapalat"/>
          <w:bCs/>
          <w:lang w:val="af-ZA"/>
        </w:rPr>
        <w:t xml:space="preserve"> </w:t>
      </w:r>
      <w:r w:rsidRPr="00C921DE">
        <w:rPr>
          <w:rFonts w:ascii="GHEA Grapalat" w:hAnsi="GHEA Grapalat" w:cs="GHEA Grapalat"/>
          <w:bCs/>
          <w:lang w:val="af-ZA"/>
        </w:rPr>
        <w:t xml:space="preserve">ՀՀ մասնակցության մասնաբաժնի ծավալը սահմանվել է </w:t>
      </w:r>
      <w:r w:rsidR="00B65E80" w:rsidRPr="00C921DE">
        <w:rPr>
          <w:rFonts w:ascii="GHEA Grapalat" w:hAnsi="GHEA Grapalat" w:cs="GHEA Grapalat"/>
          <w:bCs/>
          <w:lang w:val="af-ZA"/>
        </w:rPr>
        <w:t>ը</w:t>
      </w:r>
      <w:r w:rsidRPr="00C921DE">
        <w:rPr>
          <w:rFonts w:ascii="GHEA Grapalat" w:hAnsi="GHEA Grapalat" w:cs="GHEA Grapalat"/>
          <w:bCs/>
          <w:lang w:val="af-ZA"/>
        </w:rPr>
        <w:t>նկերության կանոնադրական կապիտալի 3%-ի չափով՝ 450 մլն ՌԴ ռուբլի։ Նախատեսվում է ընկերության գլխամասային գրասենյակը հիմնել ք</w:t>
      </w:r>
      <w:r w:rsidRPr="00C921DE">
        <w:rPr>
          <w:rFonts w:ascii="Cambria Math" w:hAnsi="Cambria Math" w:cs="Cambria Math"/>
          <w:bCs/>
          <w:lang w:val="af-ZA"/>
        </w:rPr>
        <w:t>․</w:t>
      </w:r>
      <w:r w:rsidRPr="00C921DE">
        <w:rPr>
          <w:rFonts w:ascii="GHEA Grapalat" w:hAnsi="GHEA Grapalat" w:cs="GHEA Grapalat"/>
          <w:bCs/>
          <w:lang w:val="af-ZA"/>
        </w:rPr>
        <w:t xml:space="preserve"> Երևանում։</w:t>
      </w:r>
    </w:p>
    <w:p w14:paraId="259C610F" w14:textId="77777777" w:rsidR="00C71E21" w:rsidRPr="00C921DE" w:rsidRDefault="00C71E21" w:rsidP="00C71E21">
      <w:pPr>
        <w:spacing w:line="360" w:lineRule="auto"/>
        <w:ind w:firstLine="567"/>
        <w:jc w:val="both"/>
        <w:rPr>
          <w:rFonts w:ascii="GHEA Grapalat" w:hAnsi="GHEA Grapalat" w:cs="GHEA Grapalat"/>
          <w:bCs/>
          <w:lang w:val="af-ZA"/>
        </w:rPr>
      </w:pPr>
    </w:p>
    <w:p w14:paraId="7B445503" w14:textId="77777777" w:rsidR="00906DE3" w:rsidRPr="00C921DE" w:rsidRDefault="00906DE3" w:rsidP="00C71E21">
      <w:pPr>
        <w:spacing w:line="360" w:lineRule="auto"/>
        <w:ind w:firstLine="567"/>
        <w:jc w:val="both"/>
        <w:rPr>
          <w:rFonts w:ascii="GHEA Grapalat" w:hAnsi="GHEA Grapalat"/>
          <w:sz w:val="22"/>
          <w:szCs w:val="22"/>
        </w:rPr>
      </w:pPr>
      <w:r w:rsidRPr="00C921DE">
        <w:rPr>
          <w:rFonts w:ascii="GHEA Grapalat" w:hAnsi="GHEA Grapalat"/>
          <w:sz w:val="22"/>
          <w:szCs w:val="22"/>
          <w:u w:val="single"/>
        </w:rPr>
        <w:lastRenderedPageBreak/>
        <w:t>ԱՊՀ համագործակցության շրջանակներում</w:t>
      </w:r>
      <w:r w:rsidR="00C71E21" w:rsidRPr="00C921DE">
        <w:rPr>
          <w:rFonts w:ascii="GHEA Grapalat" w:hAnsi="GHEA Grapalat"/>
          <w:sz w:val="22"/>
          <w:szCs w:val="22"/>
        </w:rPr>
        <w:t xml:space="preserve"> </w:t>
      </w:r>
      <w:r w:rsidRPr="00C921DE">
        <w:rPr>
          <w:rFonts w:ascii="GHEA Grapalat" w:hAnsi="GHEA Grapalat"/>
          <w:sz w:val="22"/>
          <w:szCs w:val="22"/>
        </w:rPr>
        <w:t>շարունակվե</w:t>
      </w:r>
      <w:r w:rsidR="00C71E21" w:rsidRPr="00C921DE">
        <w:rPr>
          <w:rFonts w:ascii="GHEA Grapalat" w:hAnsi="GHEA Grapalat"/>
          <w:sz w:val="22"/>
          <w:szCs w:val="22"/>
        </w:rPr>
        <w:t>լ ե</w:t>
      </w:r>
      <w:r w:rsidRPr="00C921DE">
        <w:rPr>
          <w:rFonts w:ascii="GHEA Grapalat" w:hAnsi="GHEA Grapalat"/>
          <w:sz w:val="22"/>
          <w:szCs w:val="22"/>
        </w:rPr>
        <w:t>ն «Ազատ առևտրի գոտու մասին»</w:t>
      </w:r>
      <w:r w:rsidR="005F1B74" w:rsidRPr="00C921DE">
        <w:rPr>
          <w:rFonts w:ascii="GHEA Grapalat" w:hAnsi="GHEA Grapalat"/>
          <w:sz w:val="22"/>
          <w:szCs w:val="22"/>
        </w:rPr>
        <w:t xml:space="preserve"> </w:t>
      </w:r>
      <w:r w:rsidRPr="00C921DE">
        <w:rPr>
          <w:rFonts w:ascii="GHEA Grapalat" w:hAnsi="GHEA Grapalat"/>
          <w:sz w:val="22"/>
          <w:szCs w:val="22"/>
        </w:rPr>
        <w:t>պայմանագրից, ինչպես նաև մինչև 2030 թվականն ընկած ժամանակահատվածում ԱՊՀ տնտեսական զարգացման ռազմավարությունից բխող միջոցառումների իրականացման աշխատանքները:</w:t>
      </w:r>
    </w:p>
    <w:p w14:paraId="077E48C2" w14:textId="77777777" w:rsidR="00405AE6" w:rsidRPr="00C921DE" w:rsidRDefault="00405AE6" w:rsidP="00405AE6">
      <w:pPr>
        <w:spacing w:line="360" w:lineRule="auto"/>
        <w:ind w:firstLine="567"/>
        <w:jc w:val="both"/>
        <w:rPr>
          <w:rFonts w:ascii="GHEA Grapalat" w:hAnsi="GHEA Grapalat"/>
          <w:sz w:val="22"/>
          <w:szCs w:val="22"/>
        </w:rPr>
      </w:pPr>
    </w:p>
    <w:p w14:paraId="12B9E6EA" w14:textId="77777777" w:rsidR="00906DE3" w:rsidRPr="00C921DE" w:rsidRDefault="00906DE3" w:rsidP="00405AE6">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Որակի ենթակառուցվածքի զարգացում</w:t>
      </w:r>
    </w:p>
    <w:p w14:paraId="00DC4779" w14:textId="77777777" w:rsidR="00906DE3" w:rsidRPr="00C921DE" w:rsidRDefault="00906DE3" w:rsidP="00547F60">
      <w:pPr>
        <w:pStyle w:val="ListParagraph"/>
        <w:numPr>
          <w:ilvl w:val="0"/>
          <w:numId w:val="25"/>
        </w:numPr>
        <w:tabs>
          <w:tab w:val="left" w:pos="851"/>
        </w:tabs>
        <w:spacing w:after="0" w:line="360" w:lineRule="auto"/>
        <w:ind w:left="567" w:firstLine="0"/>
        <w:jc w:val="both"/>
        <w:rPr>
          <w:rFonts w:ascii="GHEA Grapalat" w:hAnsi="GHEA Grapalat"/>
        </w:rPr>
      </w:pPr>
      <w:r w:rsidRPr="00C921DE">
        <w:rPr>
          <w:rFonts w:ascii="GHEA Grapalat" w:hAnsi="GHEA Grapalat"/>
        </w:rPr>
        <w:t>ԵԱՏՄ շրջանակներում</w:t>
      </w:r>
      <w:r w:rsidRPr="00C921DE">
        <w:rPr>
          <w:rFonts w:ascii="Cambria Math" w:hAnsi="Cambria Math" w:cs="Cambria Math"/>
        </w:rPr>
        <w:t>․</w:t>
      </w:r>
    </w:p>
    <w:p w14:paraId="1DAEA3BB" w14:textId="77777777" w:rsidR="00906DE3" w:rsidRPr="00C921DE" w:rsidRDefault="00906DE3" w:rsidP="003B235E">
      <w:pPr>
        <w:spacing w:line="360" w:lineRule="auto"/>
        <w:ind w:firstLine="567"/>
        <w:jc w:val="both"/>
        <w:rPr>
          <w:rFonts w:ascii="GHEA Grapalat" w:hAnsi="GHEA Grapalat"/>
          <w:sz w:val="22"/>
          <w:szCs w:val="22"/>
        </w:rPr>
      </w:pPr>
      <w:r w:rsidRPr="00C921DE">
        <w:rPr>
          <w:rFonts w:ascii="GHEA Grapalat" w:hAnsi="GHEA Grapalat"/>
          <w:sz w:val="22"/>
          <w:szCs w:val="22"/>
        </w:rPr>
        <w:t>ԵԱՏՄ անդամ պետությունների տնտեսությունների կայունության բարձրացմանն ուղղված միջոցառումների շրջանակներում (տեխնիկական կանոնակարգման ոլորտին առնչվող) հայկական կողմը ներկայացրել է դիրքորոշում.</w:t>
      </w:r>
    </w:p>
    <w:p w14:paraId="4FCC0E4E" w14:textId="60360F42" w:rsidR="00906DE3" w:rsidRPr="00C921DE" w:rsidRDefault="00906DE3" w:rsidP="003B235E">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Թվային տեխնիկական կանոնակարգման, ԵԱՏՄ արտադրողների լիազոր ներկայացուցիչներ ներառելու ընթացակարգին առնչվող նախագծերում փոփոխությունների, ինչպես նաև 25 ԵԱՏՄ պարենային և ոչ պարենային արտադրանքի մասով տեխնիկական կանոնակարգերի և/կամ դրանց կիրարկումն ապահովող ստանդարտների, համապատասխանության գնա</w:t>
      </w:r>
      <w:r w:rsidR="003B235E" w:rsidRPr="00C921DE">
        <w:rPr>
          <w:rFonts w:ascii="GHEA Grapalat" w:hAnsi="GHEA Grapalat" w:cs="GHEA Grapalat"/>
          <w:bCs/>
          <w:lang w:val="af-ZA"/>
        </w:rPr>
        <w:t>հատման ընթացակարգերի վերաբերյալ.</w:t>
      </w:r>
    </w:p>
    <w:p w14:paraId="624DB5B7" w14:textId="2218FFFF" w:rsidR="00906DE3" w:rsidRPr="00C921DE" w:rsidRDefault="00906DE3" w:rsidP="003B235E">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ՀՀ կողմից մշակվող «Նիկոտին պարունակող արտադրանքի մասին տեխնիկական կանոնակարգ» ԵԱՏՄ տեխնիկական կանոնակարգի նախագծի մշակմանն ուղղված ընթ</w:t>
      </w:r>
      <w:r w:rsidR="006D22CD" w:rsidRPr="00C921DE">
        <w:rPr>
          <w:rFonts w:ascii="GHEA Grapalat" w:hAnsi="GHEA Grapalat" w:cs="GHEA Grapalat"/>
          <w:bCs/>
          <w:lang w:val="af-ZA"/>
        </w:rPr>
        <w:t>ա</w:t>
      </w:r>
      <w:r w:rsidRPr="00C921DE">
        <w:rPr>
          <w:rFonts w:ascii="GHEA Grapalat" w:hAnsi="GHEA Grapalat" w:cs="GHEA Grapalat"/>
          <w:bCs/>
          <w:lang w:val="af-ZA"/>
        </w:rPr>
        <w:t>ցակարգերի ապահովում, ներառյալ՝ նախագծի լրամշակում և ամփոփում ԵԱՏՄ շրջանակներում հանրային քննարկման արդյունքներով, աշխատանքային խմբի նիստերի կազմակերպում 2023 թվականի ապ</w:t>
      </w:r>
      <w:r w:rsidR="003B235E" w:rsidRPr="00C921DE">
        <w:rPr>
          <w:rFonts w:ascii="GHEA Grapalat" w:hAnsi="GHEA Grapalat" w:cs="GHEA Grapalat"/>
          <w:bCs/>
          <w:lang w:val="af-ZA"/>
        </w:rPr>
        <w:t>րիլի 4-7-ը և նոյեմբերի 15-18-ը.</w:t>
      </w:r>
    </w:p>
    <w:p w14:paraId="5A411AE0" w14:textId="77777777" w:rsidR="00906DE3" w:rsidRPr="00C921DE" w:rsidRDefault="00906DE3" w:rsidP="003B235E">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«Անվավոր տրանսպորտային միջոցների անվտանգության մասին» ՄՄ տեխնիկական կանոնակարգի անցումային դրույթներում՝ ԵՏՀ Խորհրդի N120 որոշման մեջ փոփոխությունների կատարման </w:t>
      </w:r>
      <w:bookmarkStart w:id="19" w:name="_Hlk102568218"/>
      <w:r w:rsidRPr="00C921DE">
        <w:rPr>
          <w:rFonts w:ascii="GHEA Grapalat" w:hAnsi="GHEA Grapalat" w:cs="GHEA Grapalat"/>
          <w:bCs/>
          <w:lang w:val="af-ZA"/>
        </w:rPr>
        <w:t xml:space="preserve">նպատակով </w:t>
      </w:r>
      <w:bookmarkEnd w:id="19"/>
      <w:r w:rsidRPr="00C921DE">
        <w:rPr>
          <w:rFonts w:ascii="GHEA Grapalat" w:hAnsi="GHEA Grapalat" w:cs="GHEA Grapalat"/>
          <w:bCs/>
          <w:lang w:val="af-ZA"/>
        </w:rPr>
        <w:t>հայկական կողմի առաջարկությունը ներկայացվել է ԵՏՀ, սակայն անդամ-պետությունների կողմից այն չի ընդունվել։</w:t>
      </w:r>
    </w:p>
    <w:p w14:paraId="0EB0E4B6" w14:textId="77777777" w:rsidR="00906DE3" w:rsidRPr="00C921DE" w:rsidRDefault="00906DE3" w:rsidP="00547F60">
      <w:pPr>
        <w:pStyle w:val="ListParagraph"/>
        <w:numPr>
          <w:ilvl w:val="0"/>
          <w:numId w:val="25"/>
        </w:numPr>
        <w:tabs>
          <w:tab w:val="left" w:pos="851"/>
        </w:tabs>
        <w:spacing w:after="0" w:line="360" w:lineRule="auto"/>
        <w:ind w:left="567" w:firstLine="0"/>
        <w:jc w:val="both"/>
        <w:rPr>
          <w:rFonts w:ascii="GHEA Grapalat" w:hAnsi="GHEA Grapalat"/>
        </w:rPr>
      </w:pPr>
      <w:r w:rsidRPr="00C921DE">
        <w:rPr>
          <w:rFonts w:ascii="GHEA Grapalat" w:hAnsi="GHEA Grapalat"/>
        </w:rPr>
        <w:t>ՀՀ շրջանակներում</w:t>
      </w:r>
      <w:r w:rsidRPr="00C921DE">
        <w:rPr>
          <w:rFonts w:ascii="Cambria Math" w:hAnsi="Cambria Math" w:cs="Cambria Math"/>
        </w:rPr>
        <w:t>․</w:t>
      </w:r>
    </w:p>
    <w:p w14:paraId="3342CBB9" w14:textId="77777777" w:rsidR="00906DE3" w:rsidRPr="00C921DE" w:rsidRDefault="00906DE3" w:rsidP="00F77C22">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Մշակվել է «Տեխնիկական կանոնակարգման մասին» օրենքում փոփոխություններ և լրացումներ կատարելու մասին» ՀՀ օրենքի նախագիծը, որը ներկա փուլում համաձայնեցման է </w:t>
      </w:r>
      <w:r w:rsidR="00F77C22" w:rsidRPr="00C921DE">
        <w:rPr>
          <w:rFonts w:ascii="GHEA Grapalat" w:hAnsi="GHEA Grapalat" w:cs="GHEA Grapalat"/>
          <w:bCs/>
          <w:lang w:val="af-ZA"/>
        </w:rPr>
        <w:t>ներկայացվել շահագրգիռ կողմերին.</w:t>
      </w:r>
    </w:p>
    <w:p w14:paraId="248E3520" w14:textId="14F43E9B" w:rsidR="00906DE3" w:rsidRPr="00C921DE" w:rsidRDefault="00906DE3" w:rsidP="00F77C22">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Ամբողջությամբ վերանայվել են և </w:t>
      </w:r>
      <w:r w:rsidR="00ED0ECC" w:rsidRPr="00C921DE">
        <w:rPr>
          <w:rFonts w:ascii="GHEA Grapalat" w:hAnsi="GHEA Grapalat" w:cs="GHEA Grapalat"/>
          <w:bCs/>
          <w:lang w:val="af-ZA"/>
        </w:rPr>
        <w:t>Կ</w:t>
      </w:r>
      <w:r w:rsidRPr="00C921DE">
        <w:rPr>
          <w:rFonts w:ascii="GHEA Grapalat" w:hAnsi="GHEA Grapalat" w:cs="GHEA Grapalat"/>
          <w:bCs/>
          <w:lang w:val="af-ZA"/>
        </w:rPr>
        <w:t>առավարության կողմից ընդունվել են հետևյալ իրավական ակտերը</w:t>
      </w:r>
      <w:r w:rsidRPr="00C921DE">
        <w:rPr>
          <w:rFonts w:ascii="Cambria Math" w:hAnsi="Cambria Math" w:cs="Cambria Math"/>
          <w:bCs/>
          <w:lang w:val="af-ZA"/>
        </w:rPr>
        <w:t>․</w:t>
      </w:r>
    </w:p>
    <w:p w14:paraId="7E98D9F3" w14:textId="77777777" w:rsidR="00906DE3" w:rsidRPr="00C921DE" w:rsidRDefault="00906DE3"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w:t>
      </w:r>
      <w:r w:rsidR="00A964D9" w:rsidRPr="00C921DE">
        <w:rPr>
          <w:rFonts w:ascii="GHEA Grapalat" w:hAnsi="GHEA Grapalat"/>
          <w:lang w:val="en-US"/>
        </w:rPr>
        <w:t>ա</w:t>
      </w:r>
      <w:r w:rsidRPr="00C921DE">
        <w:rPr>
          <w:rFonts w:ascii="GHEA Grapalat" w:hAnsi="GHEA Grapalat"/>
        </w:rPr>
        <w:t xml:space="preserve">ն 2023 թվականի հոկտեմբերի 26-ի N 1837 «Հայաստանի Հանրապետության կառավարության 2005 թվականի ապրիլի 21-ի N 605-Ն որոշման մեջ </w:t>
      </w:r>
      <w:r w:rsidRPr="00C921DE">
        <w:rPr>
          <w:rFonts w:ascii="GHEA Grapalat" w:hAnsi="GHEA Grapalat"/>
        </w:rPr>
        <w:lastRenderedPageBreak/>
        <w:t>լրացումներ կատարելու մասին» (Քաղաքացիական և ծառայողական զենքի ու դրա փամփուշտների տեխնիկական կանոնակարգը հաստատելու մասին) որոշում,</w:t>
      </w:r>
    </w:p>
    <w:p w14:paraId="48EE2A80" w14:textId="77777777" w:rsidR="00906DE3" w:rsidRPr="00C921DE" w:rsidRDefault="00A964D9"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կառավարությա</w:t>
      </w:r>
      <w:r w:rsidR="00906DE3" w:rsidRPr="00C921DE">
        <w:rPr>
          <w:rFonts w:ascii="GHEA Grapalat" w:hAnsi="GHEA Grapalat"/>
        </w:rPr>
        <w:t>ն 2023 թվականի մայիսի 11-ի N 692-Ն «Հայաստանի Հանրապետության կառավարության 2022 թվականի փետրվարի 10-ի N 155-Ն որոշման մեջ փոփոխություններ և լրացում կատարելու մասին» (Ծխախոտային արտադրատեսակների փոխարինիչների անվտանգության տեխնիկական կանոնակարգը հաստատելու մասին) որոշում,</w:t>
      </w:r>
    </w:p>
    <w:p w14:paraId="73E147A4" w14:textId="77777777" w:rsidR="00906DE3" w:rsidRPr="00C921DE" w:rsidRDefault="00906DE3"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w:t>
      </w:r>
      <w:r w:rsidR="00A964D9" w:rsidRPr="00C921DE">
        <w:rPr>
          <w:rFonts w:ascii="GHEA Grapalat" w:hAnsi="GHEA Grapalat"/>
          <w:lang w:val="en-US"/>
        </w:rPr>
        <w:t>ա</w:t>
      </w:r>
      <w:r w:rsidRPr="00C921DE">
        <w:rPr>
          <w:rFonts w:ascii="GHEA Grapalat" w:hAnsi="GHEA Grapalat"/>
        </w:rPr>
        <w:t>ն 2023 թվականի մայիսի 18-ի N 771-Ն «Հայաստանի Հանրապետության կառավարության 2006 թվականի օգոստոսի 10-ի N 1136-Ն որոշման մեջ փոփոխություններ և լրացումներ կատարելու մասին» (Ցեմենտներին, պորտլանդցեմենտային կլինկերին ներկայացվող պահանջների տեխնիկական կանոնակարգը հաստատելու մասին) որոշում,</w:t>
      </w:r>
    </w:p>
    <w:p w14:paraId="248641EF" w14:textId="77777777" w:rsidR="00906DE3" w:rsidRPr="00C921DE" w:rsidRDefault="00906DE3"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w:t>
      </w:r>
      <w:r w:rsidR="009029CF" w:rsidRPr="00C921DE">
        <w:rPr>
          <w:rFonts w:ascii="GHEA Grapalat" w:hAnsi="GHEA Grapalat"/>
          <w:lang w:val="en-US"/>
        </w:rPr>
        <w:t>ա</w:t>
      </w:r>
      <w:r w:rsidRPr="00C921DE">
        <w:rPr>
          <w:rFonts w:ascii="GHEA Grapalat" w:hAnsi="GHEA Grapalat"/>
        </w:rPr>
        <w:t>ն 2023 թվականի ապրիլի 21-ի N 556-Ն «Հայաստանի Հանրապետության կառավարության 2007 թվականի հոկտեմբերի 25-ի N 1282-Ն որոշումն ուժը կորցրած ճանաչելու մասին» որոշում,</w:t>
      </w:r>
    </w:p>
    <w:p w14:paraId="4D9C4245" w14:textId="77777777" w:rsidR="00906DE3" w:rsidRPr="00C921DE" w:rsidRDefault="00906DE3"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w:t>
      </w:r>
      <w:r w:rsidR="009029CF" w:rsidRPr="00C921DE">
        <w:rPr>
          <w:rFonts w:ascii="GHEA Grapalat" w:hAnsi="GHEA Grapalat"/>
          <w:lang w:val="en-US"/>
        </w:rPr>
        <w:t>ա</w:t>
      </w:r>
      <w:r w:rsidRPr="00C921DE">
        <w:rPr>
          <w:rFonts w:ascii="GHEA Grapalat" w:hAnsi="GHEA Grapalat"/>
        </w:rPr>
        <w:t>ն 2023 թվականի ապրիլի 27-ի N 597-Ն «Հայաստանի Հանրապետության կառավարության 2009 թվականի դեկտեմբերի 3-ի N 1419-Ն որոշման մեջ փոփոխություններ կատարելու մասին» (Շինարարական ապակիներին ներկայացվող անվտանգության պահանջների տեխնիկական կանոնակարգը հաստատելու մասին) որոշում,</w:t>
      </w:r>
    </w:p>
    <w:p w14:paraId="7EA71FBD" w14:textId="77777777" w:rsidR="00906DE3" w:rsidRPr="00C921DE" w:rsidRDefault="00906DE3"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w:t>
      </w:r>
      <w:r w:rsidR="009029CF" w:rsidRPr="00C921DE">
        <w:rPr>
          <w:rFonts w:ascii="GHEA Grapalat" w:hAnsi="GHEA Grapalat"/>
          <w:lang w:val="en-US"/>
        </w:rPr>
        <w:t>ա</w:t>
      </w:r>
      <w:r w:rsidRPr="00C921DE">
        <w:rPr>
          <w:rFonts w:ascii="GHEA Grapalat" w:hAnsi="GHEA Grapalat"/>
        </w:rPr>
        <w:t xml:space="preserve">ն 2023 թվականի հունիսի 8-ի N 905-Ն «Հայաստանի Հանրապետության կառավարության 2004 թվականի դեկտեմբերի 16-ի N 1795-Ն որոշման մեջ փոփոխություններ և լրացումներ կատարելու մասին» (Մակերևութաակտիվ միջոցների և մակերևութաակտիվ նյութեր պարունակող լվացող ու մաքրող միջոցների տեխնիկական կանոնակարգը հաստատելու մասին) որոշում, </w:t>
      </w:r>
    </w:p>
    <w:p w14:paraId="6C798B38" w14:textId="77777777" w:rsidR="00906DE3" w:rsidRPr="00C921DE" w:rsidRDefault="009029CF"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կառավարությա</w:t>
      </w:r>
      <w:r w:rsidR="00906DE3" w:rsidRPr="00C921DE">
        <w:rPr>
          <w:rFonts w:ascii="GHEA Grapalat" w:hAnsi="GHEA Grapalat"/>
        </w:rPr>
        <w:t>ն 2023 թվականի հուլիսի 20-ի N 1200-Ն «Հայաստանի Հանրապետության կառավարության 2005 թվականի դեկտեմբերի 15-ի N 2228-Ն որոշման մեջ փոփոխություններ և լրացումներ կատարելու մասին» (Ռադիոսարքավորումների և հեռահաղորդակցության վերջնակետային սարքավորումների տեխնիկական կանոնակարգը հաստատելու մասին) որոշում,</w:t>
      </w:r>
    </w:p>
    <w:p w14:paraId="0DDEE366" w14:textId="77777777" w:rsidR="00906DE3" w:rsidRPr="00C921DE" w:rsidRDefault="00906DE3"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 xml:space="preserve">ՀՀ կառավարություն 2023 թվականի հունիսի 8-ի N 916 «Սինթետիկ հիմքով լաքերի և ներկերի տեխնիկական կանոնակարգը հաստատելու և Հայաստանի Հանրապետության 2004 թվականի նոյեմբերի 18-ի N 1647-Ն որոշումն ուժը կորցրած ճանաչելու մասին» (Սինթետիկ հիմքով լաքերի և ներկերի տեխնիկական կանոնակարգը հաստատելու մասին) որոշում, </w:t>
      </w:r>
    </w:p>
    <w:p w14:paraId="3AC683DE" w14:textId="77777777" w:rsidR="00906DE3" w:rsidRPr="00C921DE" w:rsidRDefault="009029CF"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lastRenderedPageBreak/>
        <w:t>ՀՀ կառավարությա</w:t>
      </w:r>
      <w:r w:rsidR="00906DE3" w:rsidRPr="00C921DE">
        <w:rPr>
          <w:rFonts w:ascii="GHEA Grapalat" w:hAnsi="GHEA Grapalat"/>
        </w:rPr>
        <w:t>ն 2023 թվականի հունիսի 16-ի N 957 «Կենցաղային և սանիտարահիգիենիկ նշանակության թղթե և քիմիական թելքերից ապրանքներին ներկայացվող պահանջների տեխնիկական կանոնակարգը հաստատելու և Հայաստանի Հանրապետության կառավարության 2006 թվականի հոկտեմբերի 19-ի N 1546-Ն որոշումն ուժը կորցրած ճանաչելու մասին» որոշում,</w:t>
      </w:r>
    </w:p>
    <w:p w14:paraId="6CBD9DE2" w14:textId="77777777" w:rsidR="00906DE3" w:rsidRPr="00C921DE" w:rsidRDefault="007A2D07" w:rsidP="00547F60">
      <w:pPr>
        <w:pStyle w:val="ListParagraph"/>
        <w:numPr>
          <w:ilvl w:val="0"/>
          <w:numId w:val="26"/>
        </w:numPr>
        <w:tabs>
          <w:tab w:val="left" w:pos="851"/>
        </w:tabs>
        <w:spacing w:line="360" w:lineRule="auto"/>
        <w:ind w:left="567" w:firstLine="0"/>
        <w:jc w:val="both"/>
        <w:rPr>
          <w:rFonts w:ascii="GHEA Grapalat" w:hAnsi="GHEA Grapalat"/>
        </w:rPr>
      </w:pPr>
      <w:r w:rsidRPr="00C921DE">
        <w:rPr>
          <w:rFonts w:ascii="GHEA Grapalat" w:hAnsi="GHEA Grapalat"/>
        </w:rPr>
        <w:t>ՀՀ կառավարությա</w:t>
      </w:r>
      <w:r w:rsidR="00906DE3" w:rsidRPr="00C921DE">
        <w:rPr>
          <w:rFonts w:ascii="GHEA Grapalat" w:hAnsi="GHEA Grapalat"/>
        </w:rPr>
        <w:t xml:space="preserve">ն 2023 թվականի հոկտեմբերի 26-ի N 1853-Ն «Հայաստանի Հանրապետության կառավարության 2005 թվականի դեկտեմբերի 15-ի N 2390-Ն և Հայաստանի Հանրապետության կառավարության 2006 թվականի օգոստոսի 31-ի N 1259-Ն որոշումներն ուժը կորցրած ճանաչելու մասին» որոշում։ </w:t>
      </w:r>
    </w:p>
    <w:p w14:paraId="415ED6D2" w14:textId="77777777" w:rsidR="001C411D" w:rsidRPr="00C921DE" w:rsidRDefault="001C411D" w:rsidP="000E61B5">
      <w:pPr>
        <w:spacing w:line="360" w:lineRule="auto"/>
        <w:ind w:firstLine="567"/>
        <w:jc w:val="both"/>
        <w:rPr>
          <w:rFonts w:ascii="GHEA Grapalat" w:hAnsi="GHEA Grapalat"/>
          <w:sz w:val="22"/>
          <w:szCs w:val="22"/>
        </w:rPr>
      </w:pPr>
      <w:r w:rsidRPr="00C921DE">
        <w:rPr>
          <w:rFonts w:ascii="GHEA Grapalat" w:hAnsi="GHEA Grapalat"/>
          <w:sz w:val="22"/>
          <w:szCs w:val="22"/>
        </w:rPr>
        <w:t xml:space="preserve"> </w:t>
      </w:r>
    </w:p>
    <w:p w14:paraId="6E640988" w14:textId="77777777" w:rsidR="001C411D" w:rsidRPr="00C921DE" w:rsidRDefault="001C411D" w:rsidP="00AC199C">
      <w:pPr>
        <w:pStyle w:val="Heading2"/>
        <w:spacing w:before="0"/>
      </w:pPr>
      <w:bookmarkStart w:id="20" w:name="_Toc163745418"/>
      <w:r w:rsidRPr="00C921DE">
        <w:t>Տարածքային կառավարում և տեղական ինքնակառավարում</w:t>
      </w:r>
      <w:bookmarkEnd w:id="20"/>
    </w:p>
    <w:p w14:paraId="0ECE9F0B" w14:textId="77777777" w:rsidR="001C411D" w:rsidRPr="00C921DE" w:rsidRDefault="001C411D" w:rsidP="00AC199C">
      <w:pPr>
        <w:spacing w:line="480" w:lineRule="auto"/>
        <w:ind w:firstLine="567"/>
        <w:jc w:val="both"/>
        <w:rPr>
          <w:rFonts w:ascii="GHEA Grapalat" w:hAnsi="GHEA Grapalat"/>
          <w:b/>
          <w:i/>
          <w:sz w:val="22"/>
          <w:szCs w:val="22"/>
        </w:rPr>
      </w:pPr>
      <w:r w:rsidRPr="00C921DE">
        <w:rPr>
          <w:rFonts w:ascii="GHEA Grapalat" w:hAnsi="GHEA Grapalat" w:cs="Tahoma"/>
          <w:b/>
          <w:i/>
          <w:sz w:val="22"/>
          <w:szCs w:val="22"/>
        </w:rPr>
        <w:t>Տեղական ինքնակառավարման բնագավառ</w:t>
      </w:r>
    </w:p>
    <w:p w14:paraId="27B82D8F" w14:textId="77777777" w:rsidR="00F1782D" w:rsidRPr="00C921DE" w:rsidRDefault="00F1782D" w:rsidP="00F1782D">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Վարչատարածքային բարեփոխումներ, լիազորությունների ապակենտրոնացում</w:t>
      </w:r>
    </w:p>
    <w:p w14:paraId="5FB88224" w14:textId="79127BCC" w:rsidR="00F1782D" w:rsidRPr="00C921DE" w:rsidRDefault="00F1782D" w:rsidP="008C6241">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միավորված համայնքներին ՏԻՄ բարեփոխումների աջակցման ծրագրերը, որոնց շրջանակներում ընդհանուր 20 միավորված համայնքներին տրամադրվել են 32 միավոր կոմունալ, ինքնագնաց և կցովի գյուղատնտեսական տեխնիկա, 1800 աղբի կոնտեյներ, տեղադրվել են արևային պանելներ՝ ընդհանուր 4.4 մլն ԱՄՆ դոլար արժեքով:</w:t>
      </w:r>
    </w:p>
    <w:p w14:paraId="44658BF3" w14:textId="77777777" w:rsidR="00F1782D" w:rsidRPr="00C921DE" w:rsidRDefault="00F1782D" w:rsidP="008C624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նոյեմբերի 7-ին Վարչապետի կողմից ստորագրվել է «Հայաստանի Հանրապետությունում լիազորությունների ապակենտրոնացման հայեցակարգ հաստատելու մասին» № 1111-Ա որոշումը:</w:t>
      </w:r>
    </w:p>
    <w:p w14:paraId="06B6C033" w14:textId="77777777" w:rsidR="00CE31CA" w:rsidRPr="00C921DE" w:rsidRDefault="00CE31CA" w:rsidP="008C6241">
      <w:pPr>
        <w:spacing w:line="360" w:lineRule="auto"/>
        <w:ind w:firstLine="567"/>
        <w:jc w:val="both"/>
        <w:rPr>
          <w:rFonts w:ascii="GHEA Grapalat" w:hAnsi="GHEA Grapalat"/>
          <w:sz w:val="22"/>
          <w:szCs w:val="22"/>
        </w:rPr>
      </w:pPr>
    </w:p>
    <w:p w14:paraId="2BF80C9E" w14:textId="77777777" w:rsidR="00F1782D" w:rsidRPr="00C921DE" w:rsidRDefault="00F1782D" w:rsidP="00F1782D">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 xml:space="preserve">Ծառայությունների որակի բարելավում և հասանելիության </w:t>
      </w:r>
      <w:r w:rsidR="00CE31CA" w:rsidRPr="00C921DE">
        <w:rPr>
          <w:rFonts w:ascii="GHEA Grapalat" w:hAnsi="GHEA Grapalat"/>
          <w:sz w:val="22"/>
          <w:szCs w:val="22"/>
          <w:u w:val="single"/>
        </w:rPr>
        <w:t>ընդլայնում</w:t>
      </w:r>
    </w:p>
    <w:p w14:paraId="6608C3B1" w14:textId="77777777" w:rsidR="00F1782D" w:rsidRPr="00C921DE" w:rsidRDefault="00F1782D" w:rsidP="006C198A">
      <w:pPr>
        <w:spacing w:line="360" w:lineRule="auto"/>
        <w:ind w:firstLine="567"/>
        <w:jc w:val="both"/>
        <w:rPr>
          <w:rFonts w:ascii="GHEA Grapalat" w:hAnsi="GHEA Grapalat"/>
          <w:sz w:val="22"/>
          <w:szCs w:val="22"/>
        </w:rPr>
      </w:pPr>
      <w:r w:rsidRPr="00C921DE">
        <w:rPr>
          <w:rFonts w:ascii="GHEA Grapalat" w:hAnsi="GHEA Grapalat"/>
          <w:sz w:val="22"/>
          <w:szCs w:val="22"/>
        </w:rPr>
        <w:t xml:space="preserve">Քաղաքացիների սպասարկման գրասենյակ (ՔՍԳ) է հիմնվել ՀՀ Արմավիրի մարզի Բաղրամյան միավորված բազմաբնակավայր համայնքում։ ՔՍԳ-ներ են գործում հանրապետության 55 համայնքների 75 բնակավայրերի վարչական գրասենյակներում։ </w:t>
      </w:r>
    </w:p>
    <w:p w14:paraId="79484346" w14:textId="77777777" w:rsidR="00CE31CA" w:rsidRPr="00C921DE" w:rsidRDefault="00CE31CA" w:rsidP="006C198A">
      <w:pPr>
        <w:spacing w:line="360" w:lineRule="auto"/>
        <w:ind w:firstLine="567"/>
        <w:jc w:val="both"/>
        <w:rPr>
          <w:rFonts w:ascii="GHEA Grapalat" w:hAnsi="GHEA Grapalat"/>
          <w:sz w:val="22"/>
          <w:szCs w:val="22"/>
        </w:rPr>
      </w:pPr>
    </w:p>
    <w:p w14:paraId="6449DCCC" w14:textId="77777777" w:rsidR="00F1782D" w:rsidRPr="00C921DE" w:rsidRDefault="00F1782D" w:rsidP="00F1782D">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Տեղական մակարդակում մասնակցայնության ամրապնդում</w:t>
      </w:r>
    </w:p>
    <w:p w14:paraId="00A86E6E" w14:textId="77777777" w:rsidR="00F1782D" w:rsidRPr="00C921DE" w:rsidRDefault="00F1782D" w:rsidP="006C198A">
      <w:pPr>
        <w:spacing w:line="360" w:lineRule="auto"/>
        <w:ind w:firstLine="567"/>
        <w:jc w:val="both"/>
        <w:rPr>
          <w:rFonts w:ascii="GHEA Grapalat" w:hAnsi="GHEA Grapalat"/>
          <w:sz w:val="22"/>
          <w:szCs w:val="22"/>
        </w:rPr>
      </w:pPr>
      <w:r w:rsidRPr="00C921DE">
        <w:rPr>
          <w:rFonts w:ascii="GHEA Grapalat" w:hAnsi="GHEA Grapalat"/>
          <w:sz w:val="22"/>
          <w:szCs w:val="22"/>
        </w:rPr>
        <w:t>ՀՀ 4 համայնքներում պիլոտավորվել է մասնակցային բյուջետավորման ներդրման գործընթացը, ինչի արդյունքում այդ համայնքներին հնարավորություն է ընձեռվել 2024</w:t>
      </w:r>
      <w:r w:rsidR="00282217" w:rsidRPr="00C921DE">
        <w:rPr>
          <w:rFonts w:ascii="GHEA Grapalat" w:hAnsi="GHEA Grapalat"/>
          <w:sz w:val="22"/>
          <w:szCs w:val="22"/>
          <w:lang w:val="en-US"/>
        </w:rPr>
        <w:t xml:space="preserve"> </w:t>
      </w:r>
      <w:r w:rsidRPr="00C921DE">
        <w:rPr>
          <w:rFonts w:ascii="GHEA Grapalat" w:hAnsi="GHEA Grapalat"/>
          <w:sz w:val="22"/>
          <w:szCs w:val="22"/>
        </w:rPr>
        <w:t>թ</w:t>
      </w:r>
      <w:r w:rsidR="00282217" w:rsidRPr="00C921DE">
        <w:rPr>
          <w:rFonts w:ascii="GHEA Grapalat" w:hAnsi="GHEA Grapalat"/>
          <w:sz w:val="22"/>
          <w:szCs w:val="22"/>
          <w:lang w:val="en-US"/>
        </w:rPr>
        <w:t>վական</w:t>
      </w:r>
      <w:r w:rsidRPr="00C921DE">
        <w:rPr>
          <w:rFonts w:ascii="GHEA Grapalat" w:hAnsi="GHEA Grapalat"/>
          <w:sz w:val="22"/>
          <w:szCs w:val="22"/>
        </w:rPr>
        <w:t>ին պետական բյուջեից ստանալ լրացուցիչ գումար՝ մասնակցային բյուջետավորմամբ ձևավորված ծրագրերի իրականացման համար։</w:t>
      </w:r>
    </w:p>
    <w:p w14:paraId="58A13026" w14:textId="77777777" w:rsidR="00CE31CA" w:rsidRPr="00C921DE" w:rsidRDefault="00CE31CA" w:rsidP="006C198A">
      <w:pPr>
        <w:spacing w:line="360" w:lineRule="auto"/>
        <w:ind w:firstLine="567"/>
        <w:jc w:val="both"/>
        <w:rPr>
          <w:rFonts w:ascii="GHEA Grapalat" w:hAnsi="GHEA Grapalat"/>
          <w:sz w:val="22"/>
          <w:szCs w:val="22"/>
        </w:rPr>
      </w:pPr>
    </w:p>
    <w:p w14:paraId="3AC118DE" w14:textId="77777777" w:rsidR="00F1782D" w:rsidRPr="00C921DE" w:rsidRDefault="00F1782D" w:rsidP="00F1782D">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Համագործակցություն միջազգային կազմակերպությունների հետ</w:t>
      </w:r>
    </w:p>
    <w:p w14:paraId="1CE3D3A5" w14:textId="77777777" w:rsidR="00F1782D" w:rsidRPr="00C921DE" w:rsidRDefault="00F1782D" w:rsidP="006C198A">
      <w:pPr>
        <w:spacing w:line="360" w:lineRule="auto"/>
        <w:ind w:firstLine="567"/>
        <w:jc w:val="both"/>
        <w:rPr>
          <w:rFonts w:ascii="GHEA Grapalat" w:hAnsi="GHEA Grapalat"/>
          <w:sz w:val="22"/>
          <w:szCs w:val="22"/>
        </w:rPr>
      </w:pPr>
      <w:r w:rsidRPr="00C921DE">
        <w:rPr>
          <w:rFonts w:ascii="GHEA Grapalat" w:hAnsi="GHEA Grapalat"/>
          <w:sz w:val="22"/>
          <w:szCs w:val="22"/>
        </w:rPr>
        <w:t xml:space="preserve">ԳՄՀԸ համագործակցությամբ ՀՀ համայնքներում իրականացվել է Կայուն զարգացման նպատակների (ԿԶՆ) տեղայնացման նախաձեռնություն, ինչի շրջանակներում համայնքային 28 ծրագիր ստացել է շուրջ 430 մլն դրամի դրամաշնորհ։ </w:t>
      </w:r>
    </w:p>
    <w:p w14:paraId="6B3B0FFE" w14:textId="77777777" w:rsidR="00E5743E" w:rsidRPr="00C921DE" w:rsidRDefault="00E5743E" w:rsidP="00AC199C">
      <w:pPr>
        <w:spacing w:line="360" w:lineRule="auto"/>
        <w:ind w:firstLine="567"/>
        <w:jc w:val="both"/>
        <w:rPr>
          <w:rFonts w:ascii="GHEA Grapalat" w:hAnsi="GHEA Grapalat"/>
          <w:sz w:val="22"/>
          <w:szCs w:val="22"/>
        </w:rPr>
      </w:pPr>
    </w:p>
    <w:p w14:paraId="53E1862C" w14:textId="77777777" w:rsidR="001C411D" w:rsidRPr="00C921DE" w:rsidRDefault="001C411D" w:rsidP="007A6E1F">
      <w:pPr>
        <w:spacing w:line="360" w:lineRule="auto"/>
        <w:ind w:firstLine="567"/>
        <w:jc w:val="both"/>
        <w:rPr>
          <w:rFonts w:ascii="GHEA Grapalat" w:hAnsi="GHEA Grapalat" w:cs="Tahoma"/>
          <w:b/>
          <w:i/>
          <w:sz w:val="22"/>
          <w:szCs w:val="22"/>
        </w:rPr>
      </w:pPr>
      <w:r w:rsidRPr="00C921DE">
        <w:rPr>
          <w:rFonts w:ascii="GHEA Grapalat" w:hAnsi="GHEA Grapalat" w:cs="Tahoma"/>
          <w:b/>
          <w:i/>
          <w:sz w:val="22"/>
          <w:szCs w:val="22"/>
        </w:rPr>
        <w:t>Տարածքային կառավարման բնագավառ</w:t>
      </w:r>
    </w:p>
    <w:p w14:paraId="0DE52C6A" w14:textId="77777777" w:rsidR="00A05906" w:rsidRPr="00C921DE" w:rsidRDefault="00A05906" w:rsidP="006B5113">
      <w:pPr>
        <w:spacing w:line="360" w:lineRule="auto"/>
        <w:ind w:firstLine="567"/>
        <w:jc w:val="both"/>
        <w:rPr>
          <w:rFonts w:ascii="GHEA Grapalat" w:hAnsi="GHEA Grapalat"/>
          <w:sz w:val="22"/>
          <w:szCs w:val="22"/>
        </w:rPr>
      </w:pPr>
      <w:r w:rsidRPr="00C921DE">
        <w:rPr>
          <w:rFonts w:ascii="GHEA Grapalat" w:hAnsi="GHEA Grapalat"/>
          <w:sz w:val="22"/>
          <w:szCs w:val="22"/>
        </w:rPr>
        <w:t>Հ</w:t>
      </w:r>
      <w:r w:rsidR="00925825" w:rsidRPr="00C921DE">
        <w:rPr>
          <w:rFonts w:ascii="GHEA Grapalat" w:hAnsi="GHEA Grapalat"/>
          <w:sz w:val="22"/>
          <w:szCs w:val="22"/>
          <w:lang w:val="en-US"/>
        </w:rPr>
        <w:t>Հ</w:t>
      </w:r>
      <w:r w:rsidRPr="00C921DE">
        <w:rPr>
          <w:rFonts w:ascii="GHEA Grapalat" w:hAnsi="GHEA Grapalat"/>
          <w:sz w:val="22"/>
          <w:szCs w:val="22"/>
        </w:rPr>
        <w:t xml:space="preserve"> Վարչապետի 2023 թվականի հոկտեմբերի 31-ի «Հայաստանի Հանրապետության վարչապետի 2018 թվականի հունիսի 11-ի N 706-Ա որոշման մեջ փոփոխություններ կատարելու մասին» թիվ 1080-Ա որոշմամբ հաստատվել է</w:t>
      </w:r>
      <w:r w:rsidR="006B5113" w:rsidRPr="00C921DE">
        <w:rPr>
          <w:rFonts w:ascii="GHEA Grapalat" w:hAnsi="GHEA Grapalat"/>
          <w:sz w:val="22"/>
          <w:szCs w:val="22"/>
        </w:rPr>
        <w:t xml:space="preserve"> </w:t>
      </w:r>
      <w:r w:rsidRPr="00C921DE">
        <w:rPr>
          <w:rFonts w:ascii="GHEA Grapalat" w:hAnsi="GHEA Grapalat"/>
          <w:sz w:val="22"/>
          <w:szCs w:val="22"/>
        </w:rPr>
        <w:t>մարզպետների աշխատակազմերի հաստիքների առավելագույն թիվը։</w:t>
      </w:r>
    </w:p>
    <w:p w14:paraId="2BE59D99" w14:textId="77777777" w:rsidR="00A05906" w:rsidRPr="00C921DE" w:rsidRDefault="00A05906" w:rsidP="00336585">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Համայնքային ծառայության ոլորտը կարգավորող իրավական ակտերի մշակման շրջանակներում՝ </w:t>
      </w:r>
    </w:p>
    <w:p w14:paraId="22DBCE2D" w14:textId="77777777" w:rsidR="00A05906" w:rsidRPr="00C921DE" w:rsidRDefault="00A05906" w:rsidP="0075163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մշակվել է «Համայնքային ծառայության մասին» Հայաստանի Հանրապետության օրենքում փոփոխություններ և լրացումներ կատարելու մասին» ՀՀ օրենքի նախագիծ և ներկայացվել </w:t>
      </w:r>
      <w:r w:rsidR="00751634" w:rsidRPr="00C921DE">
        <w:rPr>
          <w:rFonts w:ascii="GHEA Grapalat" w:hAnsi="GHEA Grapalat" w:cs="GHEA Grapalat"/>
          <w:bCs/>
          <w:lang w:val="af-ZA"/>
        </w:rPr>
        <w:t>շահագրգիռ մարմինների քննարկմանը,</w:t>
      </w:r>
    </w:p>
    <w:p w14:paraId="658154C9" w14:textId="77777777" w:rsidR="00A05906" w:rsidRPr="00C921DE" w:rsidRDefault="00A05906" w:rsidP="0075163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ՀՀ մարզերի համայնքներին է տրամադրվել «Համայնքապետարանի աշխատակազմի հաստիքացուցակի կազմման, կառուցվածքի հաստատման, պաշտոնային դրույքաչափերի համամասնության </w:t>
      </w:r>
      <w:r w:rsidR="00751634" w:rsidRPr="00C921DE">
        <w:rPr>
          <w:rFonts w:ascii="GHEA Grapalat" w:hAnsi="GHEA Grapalat" w:cs="GHEA Grapalat"/>
          <w:bCs/>
          <w:lang w:val="af-ZA"/>
        </w:rPr>
        <w:t>սահմանման» մեթոդական ուղեցույցը,</w:t>
      </w:r>
    </w:p>
    <w:p w14:paraId="2D9E84F4" w14:textId="77777777" w:rsidR="00A05906" w:rsidRPr="00C921DE" w:rsidRDefault="00A05906" w:rsidP="0075163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ՀՀ տարածքային կառավարման և ենթակառուցվածքների նախարարի 2023 թվականի սեպտեմբերի 26-ի «Համայնքային ծառայողի վարքագծի կանոնագիրքը սահմանելու մասին» 09-Ն հրամանով հաստատվել են համայնքային ծառայողներ</w:t>
      </w:r>
      <w:r w:rsidR="00751634" w:rsidRPr="00C921DE">
        <w:rPr>
          <w:rFonts w:ascii="GHEA Grapalat" w:hAnsi="GHEA Grapalat" w:cs="GHEA Grapalat"/>
          <w:bCs/>
          <w:lang w:val="af-ZA"/>
        </w:rPr>
        <w:t>ի վարքագծի միասնական կանոնները,</w:t>
      </w:r>
    </w:p>
    <w:p w14:paraId="355F47A1" w14:textId="77777777" w:rsidR="00A05906" w:rsidRPr="00C921DE" w:rsidRDefault="00A05906" w:rsidP="0075163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ՀՀ տարածքային կառավարման և ենթակառուցվածքների նախարարի 2023 թվականի դեկտեմբերի 25-ի N 14-Ն հրամանով փոփոխություններ են կատարվել ՀՀ տարածքային կառավարման և ենթակառուցվածքների նախարարի 2020 թվականի մարտի 26-ի «Համայնքային ոչ առևտրային կազմակերպության տնօրենի թափուր պաշտոն զբաղեցնելու մրցույթի նախապատրաստման, անցկացման և արդյունքների ամփոփմ</w:t>
      </w:r>
      <w:r w:rsidR="00751634" w:rsidRPr="00C921DE">
        <w:rPr>
          <w:rFonts w:ascii="GHEA Grapalat" w:hAnsi="GHEA Grapalat" w:cs="GHEA Grapalat"/>
          <w:bCs/>
          <w:lang w:val="af-ZA"/>
        </w:rPr>
        <w:t>ան կարգը հաստատելու մասին» N 02</w:t>
      </w:r>
      <w:r w:rsidR="00751634" w:rsidRPr="00C921DE">
        <w:rPr>
          <w:rFonts w:ascii="GHEA Grapalat" w:hAnsi="GHEA Grapalat" w:cs="GHEA Grapalat"/>
          <w:bCs/>
          <w:lang w:val="af-ZA"/>
        </w:rPr>
        <w:noBreakHyphen/>
      </w:r>
      <w:r w:rsidRPr="00C921DE">
        <w:rPr>
          <w:rFonts w:ascii="GHEA Grapalat" w:hAnsi="GHEA Grapalat" w:cs="GHEA Grapalat"/>
          <w:bCs/>
          <w:lang w:val="af-ZA"/>
        </w:rPr>
        <w:t>Ն հրամանում։</w:t>
      </w:r>
    </w:p>
    <w:p w14:paraId="234BADCD" w14:textId="77777777" w:rsidR="00A05906" w:rsidRPr="00C921DE" w:rsidRDefault="00A05906" w:rsidP="00B3278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թվականին </w:t>
      </w:r>
      <w:r w:rsidR="00B32781" w:rsidRPr="00C921DE">
        <w:rPr>
          <w:rFonts w:ascii="GHEA Grapalat" w:hAnsi="GHEA Grapalat"/>
          <w:sz w:val="22"/>
          <w:szCs w:val="22"/>
        </w:rPr>
        <w:t>կազմակերպվել են</w:t>
      </w:r>
      <w:r w:rsidRPr="00C921DE">
        <w:rPr>
          <w:rFonts w:ascii="GHEA Grapalat" w:hAnsi="GHEA Grapalat"/>
          <w:sz w:val="22"/>
          <w:szCs w:val="22"/>
        </w:rPr>
        <w:t xml:space="preserve"> վերապատրաստման դասընթացներ</w:t>
      </w:r>
      <w:r w:rsidR="00B32781" w:rsidRPr="00C921DE">
        <w:rPr>
          <w:rFonts w:ascii="GHEA Grapalat" w:hAnsi="GHEA Grapalat"/>
          <w:sz w:val="22"/>
          <w:szCs w:val="22"/>
        </w:rPr>
        <w:t>, որոնց մասնակցել են</w:t>
      </w:r>
      <w:r w:rsidR="00B32781" w:rsidRPr="00C921DE">
        <w:rPr>
          <w:rFonts w:ascii="GHEA Grapalat" w:hAnsi="GHEA Grapalat"/>
          <w:sz w:val="22"/>
          <w:szCs w:val="22"/>
          <w:lang w:val="en-US"/>
        </w:rPr>
        <w:t xml:space="preserve"> </w:t>
      </w:r>
      <w:r w:rsidRPr="00C921DE">
        <w:rPr>
          <w:rFonts w:ascii="GHEA Grapalat" w:hAnsi="GHEA Grapalat"/>
          <w:sz w:val="22"/>
          <w:szCs w:val="22"/>
        </w:rPr>
        <w:t>16 համայնքի ղեկավարներ</w:t>
      </w:r>
      <w:r w:rsidR="006B5113" w:rsidRPr="00C921DE">
        <w:rPr>
          <w:rFonts w:ascii="GHEA Grapalat" w:hAnsi="GHEA Grapalat"/>
          <w:sz w:val="22"/>
          <w:szCs w:val="22"/>
        </w:rPr>
        <w:t xml:space="preserve"> </w:t>
      </w:r>
      <w:r w:rsidRPr="00C921DE">
        <w:rPr>
          <w:rFonts w:ascii="GHEA Grapalat" w:hAnsi="GHEA Grapalat"/>
          <w:sz w:val="22"/>
          <w:szCs w:val="22"/>
        </w:rPr>
        <w:t>և 235</w:t>
      </w:r>
      <w:r w:rsidR="006B5113" w:rsidRPr="00C921DE">
        <w:rPr>
          <w:rFonts w:ascii="GHEA Grapalat" w:hAnsi="GHEA Grapalat"/>
          <w:sz w:val="22"/>
          <w:szCs w:val="22"/>
        </w:rPr>
        <w:t xml:space="preserve"> </w:t>
      </w:r>
      <w:r w:rsidRPr="00C921DE">
        <w:rPr>
          <w:rFonts w:ascii="GHEA Grapalat" w:hAnsi="GHEA Grapalat"/>
          <w:sz w:val="22"/>
          <w:szCs w:val="22"/>
        </w:rPr>
        <w:t>ավագանու անդամներ,</w:t>
      </w:r>
      <w:r w:rsidR="00B32781" w:rsidRPr="00C921DE">
        <w:rPr>
          <w:rFonts w:ascii="GHEA Grapalat" w:hAnsi="GHEA Grapalat"/>
          <w:sz w:val="22"/>
          <w:szCs w:val="22"/>
          <w:lang w:val="en-US"/>
        </w:rPr>
        <w:t xml:space="preserve"> </w:t>
      </w:r>
      <w:r w:rsidRPr="00C921DE">
        <w:rPr>
          <w:rFonts w:ascii="GHEA Grapalat" w:hAnsi="GHEA Grapalat"/>
          <w:sz w:val="22"/>
          <w:szCs w:val="22"/>
        </w:rPr>
        <w:t>6</w:t>
      </w:r>
      <w:r w:rsidR="00B32781" w:rsidRPr="00C921DE">
        <w:rPr>
          <w:rFonts w:ascii="GHEA Grapalat" w:hAnsi="GHEA Grapalat"/>
          <w:sz w:val="22"/>
          <w:szCs w:val="22"/>
        </w:rPr>
        <w:t>97 համայնքային ծառայողներ (ՀԾ),</w:t>
      </w:r>
      <w:r w:rsidR="00B32781" w:rsidRPr="00C921DE">
        <w:rPr>
          <w:rFonts w:ascii="GHEA Grapalat" w:hAnsi="GHEA Grapalat"/>
          <w:sz w:val="22"/>
          <w:szCs w:val="22"/>
          <w:lang w:val="en-US"/>
        </w:rPr>
        <w:t xml:space="preserve"> </w:t>
      </w:r>
      <w:r w:rsidRPr="00C921DE">
        <w:rPr>
          <w:rFonts w:ascii="GHEA Grapalat" w:hAnsi="GHEA Grapalat"/>
          <w:sz w:val="22"/>
          <w:szCs w:val="22"/>
        </w:rPr>
        <w:t xml:space="preserve">49 մարզպետների աշխատակազմերի աշխատակիցներ՝ հեռավար եղանակով։ </w:t>
      </w:r>
    </w:p>
    <w:p w14:paraId="295761CC" w14:textId="77777777" w:rsidR="00A05906" w:rsidRPr="00C921DE" w:rsidRDefault="00B61173" w:rsidP="00B61173">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Սահմանամերձ համայնքներում իրականացվող սոցիալական ու տնտեսական աջակցության ծրագրերի շարունակության ապահովման շրջանակներում</w:t>
      </w:r>
      <w:r w:rsidR="006B5113" w:rsidRPr="00C921DE">
        <w:rPr>
          <w:rFonts w:ascii="GHEA Grapalat" w:hAnsi="GHEA Grapalat"/>
          <w:sz w:val="22"/>
          <w:szCs w:val="22"/>
        </w:rPr>
        <w:t xml:space="preserve"> </w:t>
      </w:r>
      <w:r w:rsidR="00A05906" w:rsidRPr="00C921DE">
        <w:rPr>
          <w:rFonts w:ascii="GHEA Grapalat" w:hAnsi="GHEA Grapalat"/>
          <w:sz w:val="22"/>
          <w:szCs w:val="22"/>
        </w:rPr>
        <w:t>2023 թվականի</w:t>
      </w:r>
      <w:r w:rsidRPr="00C921DE">
        <w:rPr>
          <w:rFonts w:ascii="GHEA Grapalat" w:hAnsi="GHEA Grapalat"/>
          <w:sz w:val="22"/>
          <w:szCs w:val="22"/>
        </w:rPr>
        <w:t>ն</w:t>
      </w:r>
      <w:r w:rsidR="00A05906" w:rsidRPr="00C921DE">
        <w:rPr>
          <w:rFonts w:ascii="GHEA Grapalat" w:hAnsi="GHEA Grapalat"/>
          <w:sz w:val="22"/>
          <w:szCs w:val="22"/>
        </w:rPr>
        <w:t xml:space="preserve"> ՀՀ պետական բյուջե</w:t>
      </w:r>
      <w:r w:rsidRPr="00C921DE">
        <w:rPr>
          <w:rFonts w:ascii="GHEA Grapalat" w:hAnsi="GHEA Grapalat"/>
          <w:sz w:val="22"/>
          <w:szCs w:val="22"/>
        </w:rPr>
        <w:t>ից</w:t>
      </w:r>
      <w:r w:rsidR="00A05906" w:rsidRPr="00C921DE">
        <w:rPr>
          <w:rFonts w:ascii="GHEA Grapalat" w:hAnsi="GHEA Grapalat"/>
          <w:sz w:val="22"/>
          <w:szCs w:val="22"/>
        </w:rPr>
        <w:t xml:space="preserve"> </w:t>
      </w:r>
      <w:r w:rsidRPr="00C921DE">
        <w:rPr>
          <w:rFonts w:ascii="GHEA Grapalat" w:hAnsi="GHEA Grapalat"/>
          <w:sz w:val="22"/>
          <w:szCs w:val="22"/>
        </w:rPr>
        <w:t>հատկացվել</w:t>
      </w:r>
      <w:r w:rsidR="00433DD4" w:rsidRPr="00C921DE">
        <w:rPr>
          <w:rFonts w:ascii="GHEA Grapalat" w:hAnsi="GHEA Grapalat"/>
          <w:sz w:val="22"/>
          <w:szCs w:val="22"/>
          <w:lang w:val="en-US"/>
        </w:rPr>
        <w:t xml:space="preserve"> է 1</w:t>
      </w:r>
      <w:r w:rsidR="00433DD4" w:rsidRPr="00C921DE">
        <w:rPr>
          <w:rFonts w:ascii="GHEA Grapalat" w:hAnsi="GHEA Grapalat"/>
          <w:sz w:val="22"/>
          <w:szCs w:val="22"/>
        </w:rPr>
        <w:t>,005</w:t>
      </w:r>
      <w:r w:rsidR="00433DD4" w:rsidRPr="00C921DE">
        <w:rPr>
          <w:rFonts w:ascii="GHEA Grapalat" w:hAnsi="GHEA Grapalat"/>
          <w:sz w:val="22"/>
          <w:szCs w:val="22"/>
          <w:lang w:val="en-US"/>
        </w:rPr>
        <w:t>.4 մլն</w:t>
      </w:r>
      <w:r w:rsidR="00433DD4" w:rsidRPr="00C921DE">
        <w:rPr>
          <w:rFonts w:ascii="GHEA Grapalat" w:hAnsi="GHEA Grapalat"/>
          <w:sz w:val="22"/>
          <w:szCs w:val="22"/>
        </w:rPr>
        <w:t xml:space="preserve"> դրամ </w:t>
      </w:r>
      <w:r w:rsidR="00A05906" w:rsidRPr="00C921DE">
        <w:rPr>
          <w:rFonts w:ascii="GHEA Grapalat" w:hAnsi="GHEA Grapalat"/>
          <w:sz w:val="22"/>
          <w:szCs w:val="22"/>
        </w:rPr>
        <w:t xml:space="preserve">սահմանամերձ </w:t>
      </w:r>
      <w:r w:rsidR="009103B3" w:rsidRPr="00C921DE">
        <w:rPr>
          <w:rFonts w:ascii="GHEA Grapalat" w:hAnsi="GHEA Grapalat"/>
          <w:sz w:val="22"/>
          <w:szCs w:val="22"/>
          <w:lang w:val="en-US"/>
        </w:rPr>
        <w:t>2</w:t>
      </w:r>
      <w:r w:rsidR="00A05906" w:rsidRPr="00C921DE">
        <w:rPr>
          <w:rFonts w:ascii="GHEA Grapalat" w:hAnsi="GHEA Grapalat"/>
          <w:sz w:val="22"/>
          <w:szCs w:val="22"/>
        </w:rPr>
        <w:t>3 համայնքների 82 բնակավայրերին</w:t>
      </w:r>
      <w:r w:rsidRPr="00C921DE">
        <w:rPr>
          <w:rFonts w:ascii="GHEA Grapalat" w:hAnsi="GHEA Grapalat"/>
          <w:sz w:val="22"/>
          <w:szCs w:val="22"/>
        </w:rPr>
        <w:t>՝</w:t>
      </w:r>
      <w:r w:rsidR="00A05906" w:rsidRPr="00C921DE">
        <w:rPr>
          <w:rFonts w:ascii="GHEA Grapalat" w:hAnsi="GHEA Grapalat"/>
          <w:sz w:val="22"/>
          <w:szCs w:val="22"/>
        </w:rPr>
        <w:t xml:space="preserve"> գազի, էլեկտրաէներգիայի և ոռոգման ջրի սակագնի մասնակի փոխհատուցման և անշարժ գույքի հարկի</w:t>
      </w:r>
      <w:r w:rsidRPr="00C921DE">
        <w:rPr>
          <w:rFonts w:ascii="GHEA Grapalat" w:hAnsi="GHEA Grapalat"/>
          <w:sz w:val="22"/>
          <w:szCs w:val="22"/>
        </w:rPr>
        <w:t xml:space="preserve"> ամբողջական փոխհատուցման համար։</w:t>
      </w:r>
    </w:p>
    <w:p w14:paraId="184F9E29" w14:textId="77777777" w:rsidR="00A05906" w:rsidRPr="00C921DE" w:rsidRDefault="00A05906" w:rsidP="00433DD4">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3 տարով երկարաձգվել է «Սահմանամերձ համայնքների սոցիալական աջակցության մասին» օրենքը, ինչը հնարավորություն է տալիս սոցիալական աջակցություն ստացող համայնքների բնակավայրերի բնակիչներին շարունակելու ստանալ փոխհատուցում բնական գազի, էլեկտրաէներգիայի, ոռոգման ջրի</w:t>
      </w:r>
      <w:r w:rsidR="00433DD4" w:rsidRPr="00C921DE">
        <w:rPr>
          <w:rFonts w:ascii="GHEA Grapalat" w:hAnsi="GHEA Grapalat"/>
          <w:sz w:val="22"/>
          <w:szCs w:val="22"/>
          <w:lang w:val="en-US"/>
        </w:rPr>
        <w:t xml:space="preserve"> </w:t>
      </w:r>
      <w:r w:rsidR="00CE0F9B" w:rsidRPr="00C921DE">
        <w:rPr>
          <w:rFonts w:ascii="GHEA Grapalat" w:hAnsi="GHEA Grapalat"/>
          <w:sz w:val="22"/>
          <w:szCs w:val="22"/>
        </w:rPr>
        <w:t>սակագնի մասնակի փոխհատուցման</w:t>
      </w:r>
      <w:r w:rsidR="00CE0F9B" w:rsidRPr="00C921DE">
        <w:rPr>
          <w:rFonts w:ascii="GHEA Grapalat" w:hAnsi="GHEA Grapalat"/>
          <w:sz w:val="22"/>
          <w:szCs w:val="22"/>
          <w:lang w:val="en-US"/>
        </w:rPr>
        <w:t xml:space="preserve"> համար</w:t>
      </w:r>
      <w:r w:rsidRPr="00C921DE">
        <w:rPr>
          <w:rFonts w:ascii="GHEA Grapalat" w:hAnsi="GHEA Grapalat"/>
          <w:sz w:val="22"/>
          <w:szCs w:val="22"/>
        </w:rPr>
        <w:t>, ինչպես նաև օգտվել ՀՀ կառավարության 2014 թվականի դեկտեմբերի 18-ի N 1444-Ն որոշմամբ սահմանված այլ փոխհատուցման ծրագրերից։</w:t>
      </w:r>
    </w:p>
    <w:p w14:paraId="41735693" w14:textId="77777777" w:rsidR="00A05906" w:rsidRPr="00C921DE" w:rsidRDefault="00A05906" w:rsidP="00433DD4">
      <w:pPr>
        <w:spacing w:line="360" w:lineRule="auto"/>
        <w:ind w:firstLine="567"/>
        <w:jc w:val="both"/>
        <w:rPr>
          <w:rFonts w:ascii="GHEA Grapalat" w:hAnsi="GHEA Grapalat"/>
          <w:sz w:val="22"/>
          <w:szCs w:val="22"/>
        </w:rPr>
      </w:pPr>
    </w:p>
    <w:p w14:paraId="00CD0A6A" w14:textId="77777777" w:rsidR="001C411D" w:rsidRPr="00C921DE" w:rsidRDefault="001C411D" w:rsidP="005C3D5D">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Տարածքային (կապիտալ) ծրագրերի աջակցության և կոշտ թափոնների կառավարման բնագավառ</w:t>
      </w:r>
    </w:p>
    <w:p w14:paraId="55154326" w14:textId="6C321D10" w:rsidR="00642D2F" w:rsidRPr="00C921DE" w:rsidRDefault="001C411D" w:rsidP="005C109A">
      <w:pPr>
        <w:spacing w:line="360" w:lineRule="auto"/>
        <w:ind w:firstLine="567"/>
        <w:jc w:val="both"/>
        <w:rPr>
          <w:rFonts w:ascii="GHEA Grapalat" w:hAnsi="GHEA Grapalat"/>
          <w:sz w:val="22"/>
          <w:szCs w:val="22"/>
        </w:rPr>
      </w:pPr>
      <w:r w:rsidRPr="00C921DE">
        <w:rPr>
          <w:rFonts w:ascii="GHEA Grapalat" w:hAnsi="GHEA Grapalat"/>
          <w:i/>
          <w:sz w:val="22"/>
          <w:szCs w:val="22"/>
        </w:rPr>
        <w:t>ՀՀ համայնքների տնտեսական և սոցիալական ենթակառուցվածքների զարգացմանն ուղղված սուբվենցիայի տրամադրման գործընթացի</w:t>
      </w:r>
      <w:r w:rsidRPr="00C921DE">
        <w:rPr>
          <w:rFonts w:ascii="GHEA Grapalat" w:hAnsi="GHEA Grapalat"/>
          <w:sz w:val="22"/>
          <w:szCs w:val="22"/>
        </w:rPr>
        <w:t xml:space="preserve"> շրջանակներում</w:t>
      </w:r>
      <w:r w:rsidR="005C109A" w:rsidRPr="00C921DE">
        <w:rPr>
          <w:rFonts w:ascii="GHEA Grapalat" w:hAnsi="GHEA Grapalat"/>
          <w:sz w:val="22"/>
          <w:szCs w:val="22"/>
          <w:lang w:val="en-US"/>
        </w:rPr>
        <w:t xml:space="preserve"> </w:t>
      </w:r>
      <w:r w:rsidR="00642D2F" w:rsidRPr="00C921DE">
        <w:rPr>
          <w:rFonts w:ascii="GHEA Grapalat" w:hAnsi="GHEA Grapalat"/>
          <w:sz w:val="22"/>
          <w:szCs w:val="22"/>
        </w:rPr>
        <w:t xml:space="preserve">2023 թվականի ընթացքում մշակվել և </w:t>
      </w:r>
      <w:r w:rsidR="00301BC8" w:rsidRPr="00C921DE">
        <w:rPr>
          <w:rFonts w:ascii="GHEA Grapalat" w:hAnsi="GHEA Grapalat"/>
          <w:sz w:val="22"/>
          <w:szCs w:val="22"/>
          <w:lang w:val="en-US"/>
        </w:rPr>
        <w:t>Կ</w:t>
      </w:r>
      <w:r w:rsidR="00642D2F" w:rsidRPr="00C921DE">
        <w:rPr>
          <w:rFonts w:ascii="GHEA Grapalat" w:hAnsi="GHEA Grapalat"/>
          <w:sz w:val="22"/>
          <w:szCs w:val="22"/>
        </w:rPr>
        <w:t>առավարության համապատասխան որոշումներով կարգավորվել ու հստակեցվել են</w:t>
      </w:r>
      <w:r w:rsidR="006B5113" w:rsidRPr="00C921DE">
        <w:rPr>
          <w:rFonts w:ascii="GHEA Grapalat" w:hAnsi="GHEA Grapalat"/>
          <w:sz w:val="22"/>
          <w:szCs w:val="22"/>
        </w:rPr>
        <w:t xml:space="preserve"> </w:t>
      </w:r>
      <w:r w:rsidR="00642D2F" w:rsidRPr="00C921DE">
        <w:rPr>
          <w:rFonts w:ascii="GHEA Grapalat" w:hAnsi="GHEA Grapalat"/>
          <w:sz w:val="22"/>
          <w:szCs w:val="22"/>
        </w:rPr>
        <w:t xml:space="preserve">ՀՀ համայնքների տնտեսական և սոցիալական ենթակառուցվածքների զարգացմանն ուղղված սուբվենցիայի տրամադրման գործընթացը և ոլորտային առաջնահերթությունները։ </w:t>
      </w:r>
    </w:p>
    <w:p w14:paraId="2BBDDCF4" w14:textId="5991EC17" w:rsidR="00642D2F" w:rsidRPr="00C921DE" w:rsidRDefault="00642D2F" w:rsidP="005C109A">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հավաքագրվել, ուսումնասիրվել, քննարկվել և սուբվենցիայի հայտերի գնահատման միջգերատեսչական հանձնաժողովի կողմից հաստատվել է</w:t>
      </w:r>
      <w:r w:rsidR="006B5113" w:rsidRPr="00C921DE">
        <w:rPr>
          <w:rFonts w:ascii="GHEA Grapalat" w:hAnsi="GHEA Grapalat"/>
          <w:sz w:val="22"/>
          <w:szCs w:val="22"/>
        </w:rPr>
        <w:t xml:space="preserve"> </w:t>
      </w:r>
      <w:r w:rsidRPr="00C921DE">
        <w:rPr>
          <w:rFonts w:ascii="GHEA Grapalat" w:hAnsi="GHEA Grapalat"/>
          <w:sz w:val="22"/>
          <w:szCs w:val="22"/>
        </w:rPr>
        <w:t>ՀՀ համայնքներից ներկայացված 2023 թվականի 273 սուբվենցիայի ամբողջական փաթեթ և 2024</w:t>
      </w:r>
      <w:r w:rsidR="005C109A" w:rsidRPr="00C921DE">
        <w:rPr>
          <w:rFonts w:ascii="GHEA Grapalat" w:hAnsi="GHEA Grapalat"/>
          <w:sz w:val="22"/>
          <w:szCs w:val="22"/>
        </w:rPr>
        <w:t xml:space="preserve"> թվականի 10 սուբվենցիայի փաթեթ։</w:t>
      </w:r>
    </w:p>
    <w:p w14:paraId="2DD23AE8" w14:textId="486DCEC5" w:rsidR="00642D2F" w:rsidRPr="00C921DE" w:rsidRDefault="00642D2F" w:rsidP="005C109A">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2021 և 2022 թվականներին հաստատված և 2023 թվական տեղափոխված, ինչպես նաև 2023 թվականին հաստատված և իրականացված </w:t>
      </w:r>
      <w:r w:rsidR="00D35119" w:rsidRPr="00C921DE">
        <w:rPr>
          <w:rFonts w:ascii="GHEA Grapalat" w:hAnsi="GHEA Grapalat"/>
          <w:sz w:val="22"/>
          <w:szCs w:val="22"/>
          <w:lang w:val="en-US"/>
        </w:rPr>
        <w:t>361</w:t>
      </w:r>
      <w:r w:rsidRPr="00C921DE">
        <w:rPr>
          <w:rFonts w:ascii="GHEA Grapalat" w:hAnsi="GHEA Grapalat"/>
          <w:sz w:val="22"/>
          <w:szCs w:val="22"/>
        </w:rPr>
        <w:t xml:space="preserve"> ծրագրի ֆինանսավորման համար մշակվել և </w:t>
      </w:r>
      <w:r w:rsidR="00301BC8" w:rsidRPr="00C921DE">
        <w:rPr>
          <w:rFonts w:ascii="GHEA Grapalat" w:hAnsi="GHEA Grapalat"/>
          <w:sz w:val="22"/>
          <w:szCs w:val="22"/>
          <w:lang w:val="en-US"/>
        </w:rPr>
        <w:t>Կ</w:t>
      </w:r>
      <w:r w:rsidRPr="00C921DE">
        <w:rPr>
          <w:rFonts w:ascii="GHEA Grapalat" w:hAnsi="GHEA Grapalat"/>
          <w:sz w:val="22"/>
          <w:szCs w:val="22"/>
        </w:rPr>
        <w:t>առավարության 13 որոշումներով հաստատվել է ՀՀ պետական բյուջեից 30</w:t>
      </w:r>
      <w:r w:rsidR="00EF60F0" w:rsidRPr="00C921DE">
        <w:rPr>
          <w:rFonts w:ascii="GHEA Grapalat" w:hAnsi="GHEA Grapalat"/>
          <w:sz w:val="22"/>
          <w:szCs w:val="22"/>
          <w:lang w:val="en-US"/>
        </w:rPr>
        <w:t>.</w:t>
      </w:r>
      <w:r w:rsidRPr="00C921DE">
        <w:rPr>
          <w:rFonts w:ascii="GHEA Grapalat" w:hAnsi="GHEA Grapalat"/>
          <w:sz w:val="22"/>
          <w:szCs w:val="22"/>
        </w:rPr>
        <w:t>8 մլրդ դրամ համաֆինանսավորման տրամադրումը, այդ թվում՝ 9</w:t>
      </w:r>
      <w:r w:rsidR="00C92158" w:rsidRPr="00C921DE">
        <w:rPr>
          <w:rFonts w:ascii="GHEA Grapalat" w:hAnsi="GHEA Grapalat"/>
          <w:sz w:val="22"/>
          <w:szCs w:val="22"/>
          <w:lang w:val="en-US"/>
        </w:rPr>
        <w:t>.</w:t>
      </w:r>
      <w:r w:rsidRPr="00C921DE">
        <w:rPr>
          <w:rFonts w:ascii="GHEA Grapalat" w:hAnsi="GHEA Grapalat"/>
          <w:sz w:val="22"/>
          <w:szCs w:val="22"/>
        </w:rPr>
        <w:t xml:space="preserve">5 մլրդ դրամ՝ 2023 թվականին հաստատված ծրագրերի համաֆինանսավորման համար։ </w:t>
      </w:r>
    </w:p>
    <w:p w14:paraId="752AADF2" w14:textId="3E3AA8D9" w:rsidR="00642D2F" w:rsidRPr="00C921DE" w:rsidRDefault="004415B9" w:rsidP="005C109A">
      <w:pPr>
        <w:spacing w:line="360" w:lineRule="auto"/>
        <w:ind w:firstLine="567"/>
        <w:jc w:val="both"/>
        <w:rPr>
          <w:rFonts w:ascii="GHEA Grapalat" w:hAnsi="GHEA Grapalat"/>
          <w:sz w:val="22"/>
          <w:szCs w:val="22"/>
          <w:lang w:val="en-US"/>
        </w:rPr>
      </w:pPr>
      <w:r w:rsidRPr="00C921DE">
        <w:rPr>
          <w:rFonts w:ascii="GHEA Grapalat" w:hAnsi="GHEA Grapalat" w:cs="Sylfaen"/>
          <w:sz w:val="22"/>
          <w:szCs w:val="22"/>
        </w:rPr>
        <w:t xml:space="preserve">Արդյունքում 2023 թվականի ընթացքում իրականացվել </w:t>
      </w:r>
      <w:r w:rsidRPr="00C921DE">
        <w:rPr>
          <w:rFonts w:ascii="GHEA Grapalat" w:hAnsi="GHEA Grapalat" w:cs="Sylfaen"/>
          <w:sz w:val="22"/>
          <w:szCs w:val="22"/>
          <w:lang w:val="en-US"/>
        </w:rPr>
        <w:t>են</w:t>
      </w:r>
      <w:r w:rsidRPr="00C921DE">
        <w:rPr>
          <w:rFonts w:ascii="GHEA Grapalat" w:hAnsi="GHEA Grapalat" w:cs="Sylfaen"/>
          <w:sz w:val="22"/>
          <w:szCs w:val="22"/>
        </w:rPr>
        <w:t xml:space="preserve"> 57</w:t>
      </w:r>
      <w:r w:rsidRPr="00C921DE">
        <w:rPr>
          <w:rFonts w:ascii="GHEA Grapalat" w:hAnsi="GHEA Grapalat" w:cs="Sylfaen"/>
          <w:sz w:val="22"/>
          <w:szCs w:val="22"/>
          <w:lang w:val="en-US"/>
        </w:rPr>
        <w:t>.</w:t>
      </w:r>
      <w:r w:rsidRPr="00C921DE">
        <w:rPr>
          <w:rFonts w:ascii="GHEA Grapalat" w:hAnsi="GHEA Grapalat" w:cs="Sylfaen"/>
          <w:sz w:val="22"/>
          <w:szCs w:val="22"/>
        </w:rPr>
        <w:t>6 մլրդ դրամ ընդհանուր արժեքով սուբվենցիոն ծրագրեր, այդ թվում՝ ՀՀ 2023 թվականի պետական բյուջեի` 30.27</w:t>
      </w:r>
      <w:r w:rsidRPr="00C921DE">
        <w:rPr>
          <w:rFonts w:ascii="Calibri" w:hAnsi="Calibri" w:cs="Calibri"/>
          <w:sz w:val="22"/>
          <w:szCs w:val="22"/>
          <w:lang w:val="en-US"/>
        </w:rPr>
        <w:t> </w:t>
      </w:r>
      <w:r w:rsidRPr="00C921DE">
        <w:rPr>
          <w:rFonts w:ascii="GHEA Grapalat" w:hAnsi="GHEA Grapalat" w:cs="Sylfaen"/>
          <w:sz w:val="22"/>
          <w:szCs w:val="22"/>
        </w:rPr>
        <w:t>մլրդ դրամ, համայնքների՝ շուրջ 25.7 մլրդ դրամ համաֆինանսավորմամբ և այլ ներդրողների 1.64 մլրդ դրամ մասնակցությամբ</w:t>
      </w:r>
      <w:r w:rsidRPr="00C921DE">
        <w:rPr>
          <w:rFonts w:ascii="GHEA Grapalat" w:hAnsi="GHEA Grapalat" w:cs="Sylfaen"/>
          <w:sz w:val="22"/>
          <w:szCs w:val="22"/>
          <w:lang w:val="en-US"/>
        </w:rPr>
        <w:t>:</w:t>
      </w:r>
    </w:p>
    <w:p w14:paraId="01600AB0" w14:textId="77777777" w:rsidR="00642D2F" w:rsidRPr="00C921DE" w:rsidRDefault="00642D2F" w:rsidP="005C109A">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2023 թվականին ՀՀ համայնքներում սուբվենցիոն ծրագր</w:t>
      </w:r>
      <w:r w:rsidR="0077015E" w:rsidRPr="00C921DE">
        <w:rPr>
          <w:rFonts w:ascii="GHEA Grapalat" w:hAnsi="GHEA Grapalat"/>
          <w:sz w:val="22"/>
          <w:szCs w:val="22"/>
          <w:lang w:val="en-US"/>
        </w:rPr>
        <w:t>եր</w:t>
      </w:r>
      <w:r w:rsidRPr="00C921DE">
        <w:rPr>
          <w:rFonts w:ascii="GHEA Grapalat" w:hAnsi="GHEA Grapalat"/>
          <w:sz w:val="22"/>
          <w:szCs w:val="22"/>
        </w:rPr>
        <w:t>ի շրջանակներում ասֆալտապատվել</w:t>
      </w:r>
      <w:r w:rsidR="006B5113" w:rsidRPr="00C921DE">
        <w:rPr>
          <w:rFonts w:ascii="GHEA Grapalat" w:hAnsi="GHEA Grapalat"/>
          <w:sz w:val="22"/>
          <w:szCs w:val="22"/>
        </w:rPr>
        <w:t xml:space="preserve"> </w:t>
      </w:r>
      <w:r w:rsidRPr="00C921DE">
        <w:rPr>
          <w:rFonts w:ascii="GHEA Grapalat" w:hAnsi="GHEA Grapalat"/>
          <w:sz w:val="22"/>
          <w:szCs w:val="22"/>
        </w:rPr>
        <w:t>է շուրջ 210 կմ և սալարկվել 38 կմ ներհամայնքային ճանապարհ, կառուցվել/նորոգվել է շուրջ 287</w:t>
      </w:r>
      <w:r w:rsidR="0077015E" w:rsidRPr="00C921DE">
        <w:rPr>
          <w:rFonts w:ascii="GHEA Grapalat" w:hAnsi="GHEA Grapalat"/>
          <w:sz w:val="22"/>
          <w:szCs w:val="22"/>
          <w:lang w:val="en-US"/>
        </w:rPr>
        <w:t>.</w:t>
      </w:r>
      <w:r w:rsidRPr="00C921DE">
        <w:rPr>
          <w:rFonts w:ascii="GHEA Grapalat" w:hAnsi="GHEA Grapalat"/>
          <w:sz w:val="22"/>
          <w:szCs w:val="22"/>
        </w:rPr>
        <w:t>12 կմ ջրամատակարարման և ջրահեռացման ջրագիծ և 229</w:t>
      </w:r>
      <w:r w:rsidR="0077015E" w:rsidRPr="00C921DE">
        <w:rPr>
          <w:rFonts w:ascii="GHEA Grapalat" w:hAnsi="GHEA Grapalat"/>
          <w:sz w:val="22"/>
          <w:szCs w:val="22"/>
          <w:lang w:val="en-US"/>
        </w:rPr>
        <w:t>.</w:t>
      </w:r>
      <w:r w:rsidRPr="00C921DE">
        <w:rPr>
          <w:rFonts w:ascii="GHEA Grapalat" w:hAnsi="GHEA Grapalat"/>
          <w:sz w:val="22"/>
          <w:szCs w:val="22"/>
        </w:rPr>
        <w:t>1 կմ ոռոգման համակարգ։</w:t>
      </w:r>
    </w:p>
    <w:p w14:paraId="5C86B975" w14:textId="77777777" w:rsidR="00642D2F" w:rsidRPr="00C921DE" w:rsidRDefault="00642D2F" w:rsidP="00642D2F">
      <w:pPr>
        <w:spacing w:line="360" w:lineRule="auto"/>
        <w:ind w:firstLine="567"/>
        <w:jc w:val="both"/>
        <w:rPr>
          <w:rFonts w:ascii="GHEA Grapalat" w:hAnsi="GHEA Grapalat"/>
          <w:sz w:val="22"/>
          <w:szCs w:val="22"/>
        </w:rPr>
      </w:pPr>
      <w:r w:rsidRPr="00C921DE">
        <w:rPr>
          <w:rFonts w:ascii="GHEA Grapalat" w:hAnsi="GHEA Grapalat"/>
          <w:sz w:val="22"/>
          <w:szCs w:val="22"/>
        </w:rPr>
        <w:t>Հարկ է նշել, որ 2022 և 2023 թվականներին սկսած, սակայն եղանակային պատճառներով չավարտված</w:t>
      </w:r>
      <w:r w:rsidR="006B5113" w:rsidRPr="00C921DE">
        <w:rPr>
          <w:rFonts w:ascii="GHEA Grapalat" w:hAnsi="GHEA Grapalat"/>
          <w:sz w:val="22"/>
          <w:szCs w:val="22"/>
        </w:rPr>
        <w:t xml:space="preserve"> </w:t>
      </w:r>
      <w:r w:rsidRPr="00C921DE">
        <w:rPr>
          <w:rFonts w:ascii="GHEA Grapalat" w:hAnsi="GHEA Grapalat"/>
          <w:sz w:val="22"/>
          <w:szCs w:val="22"/>
        </w:rPr>
        <w:t>սուբվենցիոն ծրագրերի պայմանագրերի ժամկետները երկարաձգվել են մինչև 2024 թվականի նոյեմբերի 1-ը:</w:t>
      </w:r>
    </w:p>
    <w:p w14:paraId="3785AE33" w14:textId="77777777" w:rsidR="00642D2F" w:rsidRPr="00C921DE" w:rsidRDefault="001C411D" w:rsidP="00C27E9B">
      <w:pPr>
        <w:spacing w:line="360" w:lineRule="auto"/>
        <w:ind w:firstLine="567"/>
        <w:jc w:val="both"/>
        <w:rPr>
          <w:rFonts w:ascii="GHEA Grapalat" w:hAnsi="GHEA Grapalat"/>
          <w:sz w:val="22"/>
          <w:szCs w:val="22"/>
        </w:rPr>
      </w:pPr>
      <w:r w:rsidRPr="00C921DE">
        <w:rPr>
          <w:rFonts w:ascii="GHEA Grapalat" w:hAnsi="GHEA Grapalat"/>
          <w:i/>
          <w:sz w:val="22"/>
          <w:szCs w:val="22"/>
        </w:rPr>
        <w:t>Կոշտ կենցաղային թափոնների կառավարման և աղբահանության գործընթաց</w:t>
      </w:r>
      <w:r w:rsidRPr="00C921DE">
        <w:rPr>
          <w:rFonts w:ascii="GHEA Grapalat" w:hAnsi="GHEA Grapalat"/>
          <w:i/>
          <w:sz w:val="22"/>
          <w:szCs w:val="22"/>
          <w:lang w:val="en-US"/>
        </w:rPr>
        <w:t>:</w:t>
      </w:r>
      <w:r w:rsidRPr="00C921DE">
        <w:rPr>
          <w:rFonts w:ascii="GHEA Grapalat" w:hAnsi="GHEA Grapalat"/>
          <w:sz w:val="22"/>
          <w:szCs w:val="22"/>
          <w:lang w:val="en-US"/>
        </w:rPr>
        <w:t xml:space="preserve"> </w:t>
      </w:r>
      <w:r w:rsidR="00642D2F" w:rsidRPr="00C921DE">
        <w:rPr>
          <w:rFonts w:ascii="GHEA Grapalat" w:hAnsi="GHEA Grapalat"/>
          <w:sz w:val="22"/>
          <w:szCs w:val="22"/>
        </w:rPr>
        <w:t>Մշակվել</w:t>
      </w:r>
      <w:r w:rsidR="006B5113" w:rsidRPr="00C921DE">
        <w:rPr>
          <w:rFonts w:ascii="GHEA Grapalat" w:hAnsi="GHEA Grapalat"/>
          <w:sz w:val="22"/>
          <w:szCs w:val="22"/>
        </w:rPr>
        <w:t xml:space="preserve"> </w:t>
      </w:r>
      <w:r w:rsidR="00642D2F" w:rsidRPr="00C921DE">
        <w:rPr>
          <w:rFonts w:ascii="GHEA Grapalat" w:hAnsi="GHEA Grapalat"/>
          <w:sz w:val="22"/>
          <w:szCs w:val="22"/>
        </w:rPr>
        <w:t>և ՀՀ Ազգային ժողովի</w:t>
      </w:r>
      <w:r w:rsidR="0018663C" w:rsidRPr="00C921DE">
        <w:rPr>
          <w:rFonts w:ascii="GHEA Grapalat" w:hAnsi="GHEA Grapalat"/>
          <w:sz w:val="22"/>
          <w:szCs w:val="22"/>
          <w:lang w:val="en-US"/>
        </w:rPr>
        <w:t xml:space="preserve"> կողմից</w:t>
      </w:r>
      <w:r w:rsidR="006B5113" w:rsidRPr="00C921DE">
        <w:rPr>
          <w:rFonts w:ascii="GHEA Grapalat" w:hAnsi="GHEA Grapalat"/>
          <w:sz w:val="22"/>
          <w:szCs w:val="22"/>
        </w:rPr>
        <w:t xml:space="preserve"> </w:t>
      </w:r>
      <w:r w:rsidR="00642D2F" w:rsidRPr="00C921DE">
        <w:rPr>
          <w:rFonts w:ascii="GHEA Grapalat" w:hAnsi="GHEA Grapalat"/>
          <w:sz w:val="22"/>
          <w:szCs w:val="22"/>
        </w:rPr>
        <w:t>հավանության</w:t>
      </w:r>
      <w:r w:rsidR="006B5113" w:rsidRPr="00C921DE">
        <w:rPr>
          <w:rFonts w:ascii="GHEA Grapalat" w:hAnsi="GHEA Grapalat"/>
          <w:sz w:val="22"/>
          <w:szCs w:val="22"/>
        </w:rPr>
        <w:t xml:space="preserve"> </w:t>
      </w:r>
      <w:r w:rsidR="00642D2F" w:rsidRPr="00C921DE">
        <w:rPr>
          <w:rFonts w:ascii="GHEA Grapalat" w:hAnsi="GHEA Grapalat"/>
          <w:sz w:val="22"/>
          <w:szCs w:val="22"/>
        </w:rPr>
        <w:t>են արժանացել «Աղբահանության և սանիտարական մաքրման մասին</w:t>
      </w:r>
      <w:r w:rsidR="00D51045" w:rsidRPr="00C921DE">
        <w:rPr>
          <w:rFonts w:ascii="GHEA Grapalat" w:hAnsi="GHEA Grapalat"/>
          <w:sz w:val="22"/>
          <w:szCs w:val="22"/>
          <w:lang w:val="en-US"/>
        </w:rPr>
        <w:t>»</w:t>
      </w:r>
      <w:r w:rsidR="00642D2F" w:rsidRPr="00C921DE">
        <w:rPr>
          <w:rFonts w:ascii="GHEA Grapalat" w:hAnsi="GHEA Grapalat"/>
          <w:sz w:val="22"/>
          <w:szCs w:val="22"/>
        </w:rPr>
        <w:t xml:space="preserve"> ՀՀ օրենքում փոփոխություններ կատարելու մասին» և «Վարչական իրավախախտումների վերաբերյալ օրենսգրքում լրացումներ ու փոփոխություններ կատարելու մասին» ՀՀ օրենքների նախագծերը, որոնցով առաջարկվում է օրենսդրական և ինստիտուցիոնալ հենք ստեղծելով՝ բարելավել աղբահանության և կոշտ թափոնների կառավարման ոլորտը, մասնավորապես՝ իրավական հիմք ստեղծել</w:t>
      </w:r>
      <w:r w:rsidR="006B5113" w:rsidRPr="00C921DE">
        <w:rPr>
          <w:rFonts w:ascii="GHEA Grapalat" w:hAnsi="GHEA Grapalat"/>
          <w:sz w:val="22"/>
          <w:szCs w:val="22"/>
        </w:rPr>
        <w:t xml:space="preserve"> </w:t>
      </w:r>
      <w:r w:rsidR="00642D2F" w:rsidRPr="00C921DE">
        <w:rPr>
          <w:rFonts w:ascii="GHEA Grapalat" w:hAnsi="GHEA Grapalat"/>
          <w:sz w:val="22"/>
          <w:szCs w:val="22"/>
        </w:rPr>
        <w:t>հանրապետությունում գոյացող աղբի քանակի նվազեցման և շրջանաձև տնտեսության մեխանիզմների կիրարկման համար, այդ թվում՝ աղբի տեսակավորված հավաքման և յուրաքանչյուր տեսակի համար գործընթացների կարգավորման մասով։</w:t>
      </w:r>
    </w:p>
    <w:p w14:paraId="1E78A0AA" w14:textId="77777777" w:rsidR="00642D2F" w:rsidRPr="00C921DE" w:rsidRDefault="00642D2F" w:rsidP="00C27E9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Համակարգվել է </w:t>
      </w:r>
      <w:r w:rsidR="00961AAB" w:rsidRPr="00C921DE">
        <w:rPr>
          <w:rFonts w:ascii="GHEA Grapalat" w:hAnsi="GHEA Grapalat"/>
          <w:sz w:val="22"/>
          <w:szCs w:val="22"/>
          <w:lang w:val="en-US"/>
        </w:rPr>
        <w:t>ՀՀ</w:t>
      </w:r>
      <w:r w:rsidRPr="00C921DE">
        <w:rPr>
          <w:rFonts w:ascii="GHEA Grapalat" w:hAnsi="GHEA Grapalat"/>
          <w:sz w:val="22"/>
          <w:szCs w:val="22"/>
        </w:rPr>
        <w:t xml:space="preserve"> և </w:t>
      </w:r>
      <w:r w:rsidR="00961AAB" w:rsidRPr="00C921DE">
        <w:rPr>
          <w:rFonts w:ascii="GHEA Grapalat" w:hAnsi="GHEA Grapalat"/>
          <w:sz w:val="22"/>
          <w:szCs w:val="22"/>
          <w:lang w:val="en-US"/>
        </w:rPr>
        <w:t>ՎԶԵԲ</w:t>
      </w:r>
      <w:r w:rsidR="00F024EE" w:rsidRPr="00C921DE">
        <w:rPr>
          <w:rFonts w:ascii="GHEA Grapalat" w:hAnsi="GHEA Grapalat"/>
          <w:sz w:val="22"/>
          <w:szCs w:val="22"/>
          <w:lang w:val="en-US"/>
        </w:rPr>
        <w:t>-ի</w:t>
      </w:r>
      <w:r w:rsidRPr="00C921DE">
        <w:rPr>
          <w:rFonts w:ascii="GHEA Grapalat" w:hAnsi="GHEA Grapalat"/>
          <w:sz w:val="22"/>
          <w:szCs w:val="22"/>
        </w:rPr>
        <w:t xml:space="preserve"> միջև</w:t>
      </w:r>
      <w:r w:rsidR="006B5113" w:rsidRPr="00C921DE">
        <w:rPr>
          <w:rFonts w:ascii="GHEA Grapalat" w:hAnsi="GHEA Grapalat"/>
          <w:sz w:val="22"/>
          <w:szCs w:val="22"/>
        </w:rPr>
        <w:t xml:space="preserve"> </w:t>
      </w:r>
      <w:r w:rsidRPr="00C921DE">
        <w:rPr>
          <w:rFonts w:ascii="GHEA Grapalat" w:hAnsi="GHEA Grapalat"/>
          <w:sz w:val="22"/>
          <w:szCs w:val="22"/>
        </w:rPr>
        <w:t>2016 թվականի ապրիլի 5-ին ստորագրված միջազգային համաձայնագրի համաձայն` «Կոտայքի</w:t>
      </w:r>
      <w:r w:rsidRPr="00C921DE">
        <w:rPr>
          <w:rFonts w:ascii="Calibri" w:hAnsi="Calibri" w:cs="Calibri"/>
          <w:sz w:val="22"/>
          <w:szCs w:val="22"/>
        </w:rPr>
        <w:t> </w:t>
      </w:r>
      <w:r w:rsidRPr="00C921DE">
        <w:rPr>
          <w:rFonts w:ascii="GHEA Grapalat" w:hAnsi="GHEA Grapalat"/>
          <w:sz w:val="22"/>
          <w:szCs w:val="22"/>
        </w:rPr>
        <w:t>և Գեղարքունիքի մարզերի կոշտ կենցաղային թափոնների կառավարման</w:t>
      </w:r>
      <w:r w:rsidRPr="00C921DE">
        <w:rPr>
          <w:rFonts w:ascii="Calibri" w:hAnsi="Calibri" w:cs="Calibri"/>
          <w:sz w:val="22"/>
          <w:szCs w:val="22"/>
        </w:rPr>
        <w:t> </w:t>
      </w:r>
      <w:r w:rsidRPr="00C921DE">
        <w:rPr>
          <w:rFonts w:ascii="GHEA Grapalat" w:hAnsi="GHEA Grapalat"/>
          <w:sz w:val="22"/>
          <w:szCs w:val="22"/>
        </w:rPr>
        <w:t>ծրագիրը», որի շրջանակներում հաշվետու ժամանակաշրջանում</w:t>
      </w:r>
      <w:r w:rsidR="006B5113" w:rsidRPr="00C921DE">
        <w:rPr>
          <w:rFonts w:ascii="GHEA Grapalat" w:hAnsi="GHEA Grapalat"/>
          <w:sz w:val="22"/>
          <w:szCs w:val="22"/>
        </w:rPr>
        <w:t xml:space="preserve"> </w:t>
      </w:r>
      <w:r w:rsidRPr="00C921DE">
        <w:rPr>
          <w:rFonts w:ascii="GHEA Grapalat" w:hAnsi="GHEA Grapalat"/>
          <w:sz w:val="22"/>
          <w:szCs w:val="22"/>
        </w:rPr>
        <w:t>ավարտվել են Հրազդան համայնքում նոր սանիտարական աղբավայրի և Մարտունի ու Աբովյան համայնքի Ակունք բնակավայրերում</w:t>
      </w:r>
      <w:r w:rsidR="006B5113" w:rsidRPr="00C921DE">
        <w:rPr>
          <w:rFonts w:ascii="GHEA Grapalat" w:hAnsi="GHEA Grapalat"/>
          <w:sz w:val="22"/>
          <w:szCs w:val="22"/>
        </w:rPr>
        <w:t xml:space="preserve"> </w:t>
      </w:r>
      <w:r w:rsidRPr="00C921DE">
        <w:rPr>
          <w:rFonts w:ascii="GHEA Grapalat" w:hAnsi="GHEA Grapalat"/>
          <w:sz w:val="22"/>
          <w:szCs w:val="22"/>
        </w:rPr>
        <w:t>աղբի փոխաբեռնման կայանների կառուցապատման աշխատանքները, որոնց շահագործումը նախատեսվում է 2024 թվականին՝ համապատասխան տեխնիկայի և սարքավո</w:t>
      </w:r>
      <w:r w:rsidR="00554057" w:rsidRPr="00C921DE">
        <w:rPr>
          <w:rFonts w:ascii="GHEA Grapalat" w:hAnsi="GHEA Grapalat"/>
          <w:sz w:val="22"/>
          <w:szCs w:val="22"/>
        </w:rPr>
        <w:t>րումների ներկրման ժամկետներով</w:t>
      </w:r>
      <w:r w:rsidRPr="00C921DE">
        <w:rPr>
          <w:rFonts w:ascii="GHEA Grapalat" w:hAnsi="GHEA Grapalat"/>
          <w:sz w:val="22"/>
          <w:szCs w:val="22"/>
        </w:rPr>
        <w:t xml:space="preserve"> պայմանավորված։ </w:t>
      </w:r>
    </w:p>
    <w:p w14:paraId="14B84DD6" w14:textId="77777777" w:rsidR="00642D2F" w:rsidRPr="00C921DE" w:rsidRDefault="00642D2F" w:rsidP="00C27E9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Միաժամանակ, մշակվել է երկու մարզերի բոլոր բնակավայրերում ԵՄ չափանիշներին համապատասխան աղբահանության ինտեգրված համակարգը, այդ թվում՝ երկու մարզերի բոլոր բնակավայրերի աղբահանության սխեմաների հիման վրա մշակվել </w:t>
      </w:r>
      <w:r w:rsidR="00554057" w:rsidRPr="00C921DE">
        <w:rPr>
          <w:rFonts w:ascii="GHEA Grapalat" w:hAnsi="GHEA Grapalat"/>
          <w:sz w:val="22"/>
          <w:szCs w:val="22"/>
          <w:lang w:val="en-US"/>
        </w:rPr>
        <w:t>են</w:t>
      </w:r>
      <w:r w:rsidRPr="00C921DE">
        <w:rPr>
          <w:rFonts w:ascii="GHEA Grapalat" w:hAnsi="GHEA Grapalat"/>
          <w:sz w:val="22"/>
          <w:szCs w:val="22"/>
        </w:rPr>
        <w:t xml:space="preserve"> աղբավայրը և փոխաբեռնման կայանները շահագործող հատուկ տեխնիկայի ու աղբատար մեքենաների, ինչպես նաև շուրջ 7000 աղբամանների գնման մրցութային փաթեթները և հայտարարվել են համապատասխան մրցույթները, որոնց ներկրումը նախատեսվում է մինչև 2024 թվականի հուլիս ամիսը։</w:t>
      </w:r>
      <w:r w:rsidR="006B5113" w:rsidRPr="00C921DE">
        <w:rPr>
          <w:rFonts w:ascii="GHEA Grapalat" w:hAnsi="GHEA Grapalat"/>
          <w:sz w:val="22"/>
          <w:szCs w:val="22"/>
        </w:rPr>
        <w:t xml:space="preserve"> </w:t>
      </w:r>
    </w:p>
    <w:p w14:paraId="7D8EC76E" w14:textId="77777777" w:rsidR="00642D2F" w:rsidRPr="00C921DE" w:rsidRDefault="00642D2F" w:rsidP="00C27E9B">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ապրիլի 29-ին կազմակերպվել է</w:t>
      </w:r>
      <w:r w:rsidR="006B5113" w:rsidRPr="00C921DE">
        <w:rPr>
          <w:rFonts w:ascii="GHEA Grapalat" w:hAnsi="GHEA Grapalat"/>
          <w:sz w:val="22"/>
          <w:szCs w:val="22"/>
        </w:rPr>
        <w:t xml:space="preserve"> </w:t>
      </w:r>
      <w:r w:rsidRPr="00C921DE">
        <w:rPr>
          <w:rFonts w:ascii="GHEA Grapalat" w:hAnsi="GHEA Grapalat"/>
          <w:sz w:val="22"/>
          <w:szCs w:val="22"/>
        </w:rPr>
        <w:t xml:space="preserve">համապետական շաբաթօրյակ, որին մասնակցել </w:t>
      </w:r>
      <w:r w:rsidR="00AE1F65" w:rsidRPr="00C921DE">
        <w:rPr>
          <w:rFonts w:ascii="GHEA Grapalat" w:hAnsi="GHEA Grapalat"/>
          <w:sz w:val="22"/>
          <w:szCs w:val="22"/>
          <w:lang w:val="en-US"/>
        </w:rPr>
        <w:t>է</w:t>
      </w:r>
      <w:r w:rsidRPr="00C921DE">
        <w:rPr>
          <w:rFonts w:ascii="GHEA Grapalat" w:hAnsi="GHEA Grapalat"/>
          <w:sz w:val="22"/>
          <w:szCs w:val="22"/>
        </w:rPr>
        <w:t xml:space="preserve"> 174167 մարդ։ Աղբից մաքրվել են փողոցներ ու բակեր, միջպետական, հանրապետական, </w:t>
      </w:r>
      <w:r w:rsidRPr="00C921DE">
        <w:rPr>
          <w:rFonts w:ascii="GHEA Grapalat" w:hAnsi="GHEA Grapalat"/>
          <w:sz w:val="22"/>
          <w:szCs w:val="22"/>
        </w:rPr>
        <w:lastRenderedPageBreak/>
        <w:t>մարզային ու համայնքային նշանակության ճանապարհներ ու ճանապարհամերձ տարածքներ, անտառամերձ տարածքներ, ափամերձ տարածքներ, այգիներ, պուրակներ, պատմամշակութային հուշարձանների տարածքներ։ Վերացվել են</w:t>
      </w:r>
      <w:r w:rsidR="006B5113" w:rsidRPr="00C921DE">
        <w:rPr>
          <w:rFonts w:ascii="GHEA Grapalat" w:hAnsi="GHEA Grapalat"/>
          <w:sz w:val="22"/>
          <w:szCs w:val="22"/>
        </w:rPr>
        <w:t xml:space="preserve"> </w:t>
      </w:r>
      <w:r w:rsidRPr="00C921DE">
        <w:rPr>
          <w:rFonts w:ascii="GHEA Grapalat" w:hAnsi="GHEA Grapalat"/>
          <w:sz w:val="22"/>
          <w:szCs w:val="22"/>
        </w:rPr>
        <w:t>շուրջ 4 հա տարածքով</w:t>
      </w:r>
      <w:r w:rsidR="006B5113" w:rsidRPr="00C921DE">
        <w:rPr>
          <w:rFonts w:ascii="GHEA Grapalat" w:hAnsi="GHEA Grapalat"/>
          <w:sz w:val="22"/>
          <w:szCs w:val="22"/>
        </w:rPr>
        <w:t xml:space="preserve"> </w:t>
      </w:r>
      <w:r w:rsidRPr="00C921DE">
        <w:rPr>
          <w:rFonts w:ascii="GHEA Grapalat" w:hAnsi="GHEA Grapalat"/>
          <w:sz w:val="22"/>
          <w:szCs w:val="22"/>
        </w:rPr>
        <w:t>աղբավայրեր, շուրջ 3 հա տարածքով մեծ աղբակույտեր ու աղբանոցներ։ Լվացվել են բազմաթիվ հուշարձաններ, մաքրվել են</w:t>
      </w:r>
      <w:r w:rsidR="006B5113" w:rsidRPr="00C921DE">
        <w:rPr>
          <w:rFonts w:ascii="GHEA Grapalat" w:hAnsi="GHEA Grapalat"/>
          <w:sz w:val="22"/>
          <w:szCs w:val="22"/>
        </w:rPr>
        <w:t xml:space="preserve"> </w:t>
      </w:r>
      <w:r w:rsidRPr="00C921DE">
        <w:rPr>
          <w:rFonts w:ascii="GHEA Grapalat" w:hAnsi="GHEA Grapalat"/>
          <w:sz w:val="22"/>
          <w:szCs w:val="22"/>
        </w:rPr>
        <w:t>ջրավազաններ, ջրամբարներ, ոռոգման առուներ, սելավատարներ։</w:t>
      </w:r>
    </w:p>
    <w:p w14:paraId="6985CC1B" w14:textId="77777777" w:rsidR="00642D2F" w:rsidRPr="00C921DE" w:rsidRDefault="00642D2F" w:rsidP="00C27E9B">
      <w:pPr>
        <w:spacing w:line="360" w:lineRule="auto"/>
        <w:ind w:firstLine="567"/>
        <w:jc w:val="both"/>
        <w:rPr>
          <w:rFonts w:ascii="GHEA Grapalat" w:hAnsi="GHEA Grapalat"/>
          <w:sz w:val="22"/>
          <w:szCs w:val="22"/>
        </w:rPr>
      </w:pPr>
      <w:r w:rsidRPr="00C921DE">
        <w:rPr>
          <w:rFonts w:ascii="GHEA Grapalat" w:hAnsi="GHEA Grapalat"/>
          <w:sz w:val="22"/>
          <w:szCs w:val="22"/>
        </w:rPr>
        <w:t>«Հանրապետության 8 մարզերում կոշտ թափոնների ինտեգրված համակարգի ներդրման» ծրագրի շրջանակներում ՎԶԵԲ-ի կողմից ընտրված խորհրդատվական ընկերությունն իրականացնում է ուսումնասիրություններ</w:t>
      </w:r>
      <w:r w:rsidR="00AE1F65" w:rsidRPr="00C921DE">
        <w:rPr>
          <w:rFonts w:ascii="GHEA Grapalat" w:hAnsi="GHEA Grapalat"/>
          <w:sz w:val="22"/>
          <w:szCs w:val="22"/>
        </w:rPr>
        <w:t>, որոնց</w:t>
      </w:r>
      <w:r w:rsidRPr="00C921DE">
        <w:rPr>
          <w:rFonts w:ascii="GHEA Grapalat" w:hAnsi="GHEA Grapalat"/>
          <w:sz w:val="22"/>
          <w:szCs w:val="22"/>
        </w:rPr>
        <w:t xml:space="preserve"> արդյունք</w:t>
      </w:r>
      <w:r w:rsidR="00AE1F65" w:rsidRPr="00C921DE">
        <w:rPr>
          <w:rFonts w:ascii="GHEA Grapalat" w:hAnsi="GHEA Grapalat"/>
          <w:sz w:val="22"/>
          <w:szCs w:val="22"/>
          <w:lang w:val="en-US"/>
        </w:rPr>
        <w:t>ում</w:t>
      </w:r>
      <w:r w:rsidRPr="00C921DE">
        <w:rPr>
          <w:rFonts w:ascii="GHEA Grapalat" w:hAnsi="GHEA Grapalat"/>
          <w:sz w:val="22"/>
          <w:szCs w:val="22"/>
        </w:rPr>
        <w:t xml:space="preserve"> կներկայացվեն հանրապետության տարածքի աղբահանության գոտիավորման սխեմաները, աղբահանության կիրառելի մոդելը, այդ թվում՝</w:t>
      </w:r>
      <w:r w:rsidR="006B5113" w:rsidRPr="00C921DE">
        <w:rPr>
          <w:rFonts w:ascii="GHEA Grapalat" w:hAnsi="GHEA Grapalat"/>
          <w:sz w:val="22"/>
          <w:szCs w:val="22"/>
        </w:rPr>
        <w:t xml:space="preserve"> </w:t>
      </w:r>
      <w:r w:rsidRPr="00C921DE">
        <w:rPr>
          <w:rFonts w:ascii="GHEA Grapalat" w:hAnsi="GHEA Grapalat"/>
          <w:sz w:val="22"/>
          <w:szCs w:val="22"/>
        </w:rPr>
        <w:t>ինստիտուցիոնալ և կառավարման մասով, ինչպես նաև գոյացող աղբի հավաքման, տեսակավորման, վերամշակման մասով։</w:t>
      </w:r>
    </w:p>
    <w:p w14:paraId="4CF41F78" w14:textId="77777777" w:rsidR="00642D2F" w:rsidRPr="00C921DE" w:rsidRDefault="00642D2F" w:rsidP="00C27E9B">
      <w:pPr>
        <w:spacing w:line="360" w:lineRule="auto"/>
        <w:ind w:firstLine="567"/>
        <w:jc w:val="both"/>
        <w:rPr>
          <w:rFonts w:ascii="GHEA Grapalat" w:hAnsi="GHEA Grapalat"/>
          <w:sz w:val="22"/>
          <w:szCs w:val="22"/>
        </w:rPr>
      </w:pPr>
      <w:r w:rsidRPr="00C921DE">
        <w:rPr>
          <w:rFonts w:ascii="GHEA Grapalat" w:hAnsi="GHEA Grapalat"/>
          <w:sz w:val="22"/>
          <w:szCs w:val="22"/>
        </w:rPr>
        <w:t>Համակարգվել են Շվեդական SIDA և Հայաստանի Ամերիկյան համալսարանի Հակոբյան բնապահպանական կենտրոնի աջակցությամբ իրականացվող «Հայաստանի թափոնների կառավարման քաղաքականության իրագործման բարելավում» ծրագրի բաղադրիչ հանդիսացող տեսակավորված աղբի հավաքման մոդելի կիրառմանն ուղղված աշխատանքները, որոնց շրջանակներում ծրագրի փորձնական համայնքում՝ Սևան բնակավայրում, մշակվում է սկզբնաղբյուրում աղբի տեսակավորման ազգայ</w:t>
      </w:r>
      <w:r w:rsidR="00A304B0" w:rsidRPr="00C921DE">
        <w:rPr>
          <w:rFonts w:ascii="GHEA Grapalat" w:hAnsi="GHEA Grapalat"/>
          <w:sz w:val="22"/>
          <w:szCs w:val="22"/>
        </w:rPr>
        <w:t>ին մոդել։</w:t>
      </w:r>
    </w:p>
    <w:p w14:paraId="4C681B81" w14:textId="22572E9B" w:rsidR="00642D2F" w:rsidRPr="00C921DE" w:rsidRDefault="001C411D" w:rsidP="00A304B0">
      <w:pPr>
        <w:spacing w:line="360" w:lineRule="auto"/>
        <w:ind w:firstLine="567"/>
        <w:jc w:val="both"/>
        <w:rPr>
          <w:rFonts w:ascii="GHEA Grapalat" w:hAnsi="GHEA Grapalat"/>
          <w:sz w:val="22"/>
          <w:szCs w:val="22"/>
        </w:rPr>
      </w:pPr>
      <w:r w:rsidRPr="00C921DE">
        <w:rPr>
          <w:rFonts w:ascii="GHEA Grapalat" w:hAnsi="GHEA Grapalat"/>
          <w:i/>
          <w:sz w:val="22"/>
          <w:szCs w:val="22"/>
          <w:lang w:val="en-US"/>
        </w:rPr>
        <w:t>«</w:t>
      </w:r>
      <w:r w:rsidRPr="00C921DE">
        <w:rPr>
          <w:rFonts w:ascii="GHEA Grapalat" w:hAnsi="GHEA Grapalat"/>
          <w:i/>
          <w:sz w:val="22"/>
          <w:szCs w:val="22"/>
        </w:rPr>
        <w:t>Դպրոցների սեյսմիկ անվտանգության բարելավ</w:t>
      </w:r>
      <w:r w:rsidRPr="00C921DE">
        <w:rPr>
          <w:rFonts w:ascii="GHEA Grapalat" w:hAnsi="GHEA Grapalat"/>
          <w:i/>
          <w:sz w:val="22"/>
          <w:szCs w:val="22"/>
          <w:lang w:val="en-US"/>
        </w:rPr>
        <w:t>ում»</w:t>
      </w:r>
      <w:r w:rsidRPr="00C921DE">
        <w:rPr>
          <w:rFonts w:ascii="GHEA Grapalat" w:hAnsi="GHEA Grapalat"/>
          <w:i/>
          <w:sz w:val="22"/>
          <w:szCs w:val="22"/>
        </w:rPr>
        <w:t xml:space="preserve"> ծրագիր</w:t>
      </w:r>
      <w:r w:rsidRPr="00C921DE">
        <w:rPr>
          <w:rFonts w:ascii="GHEA Grapalat" w:hAnsi="GHEA Grapalat"/>
          <w:i/>
          <w:sz w:val="22"/>
          <w:szCs w:val="22"/>
          <w:lang w:val="en-US"/>
        </w:rPr>
        <w:t>:</w:t>
      </w:r>
      <w:r w:rsidRPr="00C921DE">
        <w:rPr>
          <w:rFonts w:ascii="GHEA Grapalat" w:hAnsi="GHEA Grapalat"/>
          <w:sz w:val="22"/>
          <w:szCs w:val="22"/>
          <w:lang w:val="en-US"/>
        </w:rPr>
        <w:t xml:space="preserve"> </w:t>
      </w:r>
      <w:r w:rsidR="00642D2F" w:rsidRPr="00C921DE">
        <w:rPr>
          <w:rFonts w:ascii="GHEA Grapalat" w:hAnsi="GHEA Grapalat"/>
          <w:sz w:val="22"/>
          <w:szCs w:val="22"/>
        </w:rPr>
        <w:t xml:space="preserve">Ասիական զարգացման բանկի աջակցությամբ իրականացվող ՀՀ պետական հանրակրթական դպրոցների սեյսմիկ անվտանգության </w:t>
      </w:r>
      <w:r w:rsidR="00A304B0" w:rsidRPr="00C921DE">
        <w:rPr>
          <w:rFonts w:ascii="GHEA Grapalat" w:hAnsi="GHEA Grapalat"/>
          <w:sz w:val="22"/>
          <w:szCs w:val="22"/>
        </w:rPr>
        <w:t>բարելավման ծրագրի շրջանակներում</w:t>
      </w:r>
      <w:r w:rsidR="00642D2F" w:rsidRPr="00C921DE">
        <w:rPr>
          <w:rFonts w:ascii="GHEA Grapalat" w:hAnsi="GHEA Grapalat"/>
          <w:sz w:val="22"/>
          <w:szCs w:val="22"/>
        </w:rPr>
        <w:t xml:space="preserve"> բազմաթիվ բանակցություններ և քննարկումներ են տարվել լրացուցիչ վարկային միջոցների ներգրավման ուղղությամբ</w:t>
      </w:r>
      <w:r w:rsidR="00A304B0" w:rsidRPr="00C921DE">
        <w:rPr>
          <w:rFonts w:ascii="GHEA Grapalat" w:hAnsi="GHEA Grapalat"/>
          <w:sz w:val="22"/>
          <w:szCs w:val="22"/>
          <w:lang w:val="en-US"/>
        </w:rPr>
        <w:t>,</w:t>
      </w:r>
      <w:r w:rsidR="00642D2F" w:rsidRPr="00C921DE">
        <w:rPr>
          <w:rFonts w:ascii="GHEA Grapalat" w:hAnsi="GHEA Grapalat"/>
          <w:sz w:val="22"/>
          <w:szCs w:val="22"/>
        </w:rPr>
        <w:t xml:space="preserve"> և արդյունքում ՀՀ կառավարության 02</w:t>
      </w:r>
      <w:r w:rsidR="00642D2F" w:rsidRPr="00C921DE">
        <w:rPr>
          <w:rFonts w:ascii="Cambria Math" w:hAnsi="Cambria Math" w:cs="Cambria Math"/>
          <w:sz w:val="22"/>
          <w:szCs w:val="22"/>
        </w:rPr>
        <w:t>․</w:t>
      </w:r>
      <w:r w:rsidR="00642D2F" w:rsidRPr="00C921DE">
        <w:rPr>
          <w:rFonts w:ascii="GHEA Grapalat" w:hAnsi="GHEA Grapalat"/>
          <w:sz w:val="22"/>
          <w:szCs w:val="22"/>
        </w:rPr>
        <w:t>11</w:t>
      </w:r>
      <w:r w:rsidR="00642D2F" w:rsidRPr="00C921DE">
        <w:rPr>
          <w:rFonts w:ascii="Cambria Math" w:hAnsi="Cambria Math" w:cs="Cambria Math"/>
          <w:sz w:val="22"/>
          <w:szCs w:val="22"/>
        </w:rPr>
        <w:t>․</w:t>
      </w:r>
      <w:r w:rsidR="00642D2F" w:rsidRPr="00C921DE">
        <w:rPr>
          <w:rFonts w:ascii="GHEA Grapalat" w:hAnsi="GHEA Grapalat"/>
          <w:sz w:val="22"/>
          <w:szCs w:val="22"/>
        </w:rPr>
        <w:t>2023թ</w:t>
      </w:r>
      <w:r w:rsidR="00A328FE" w:rsidRPr="00C921DE">
        <w:rPr>
          <w:rFonts w:ascii="GHEA Grapalat" w:hAnsi="GHEA Grapalat"/>
          <w:sz w:val="22"/>
          <w:szCs w:val="22"/>
          <w:lang w:val="en-US"/>
        </w:rPr>
        <w:t>.</w:t>
      </w:r>
      <w:r w:rsidR="00642D2F" w:rsidRPr="00C921DE">
        <w:rPr>
          <w:rFonts w:ascii="GHEA Grapalat" w:hAnsi="GHEA Grapalat"/>
          <w:sz w:val="22"/>
          <w:szCs w:val="22"/>
        </w:rPr>
        <w:t xml:space="preserve"> թիվ 1873-Ն որոշմամբ</w:t>
      </w:r>
      <w:r w:rsidR="006B5113" w:rsidRPr="00C921DE">
        <w:rPr>
          <w:rFonts w:ascii="GHEA Grapalat" w:hAnsi="GHEA Grapalat"/>
          <w:sz w:val="22"/>
          <w:szCs w:val="22"/>
        </w:rPr>
        <w:t xml:space="preserve"> </w:t>
      </w:r>
      <w:r w:rsidR="00642D2F" w:rsidRPr="00C921DE">
        <w:rPr>
          <w:rFonts w:ascii="GHEA Grapalat" w:hAnsi="GHEA Grapalat"/>
          <w:sz w:val="22"/>
          <w:szCs w:val="22"/>
        </w:rPr>
        <w:t>հավանության է արժանացել ԱԶԲ-ի հետ լրացուցիչ վարկային համաձայնագրի ստորագրման առաջարկությունը, որով նախատեսվում է</w:t>
      </w:r>
      <w:r w:rsidR="006B5113" w:rsidRPr="00C921DE">
        <w:rPr>
          <w:rFonts w:ascii="GHEA Grapalat" w:hAnsi="GHEA Grapalat"/>
          <w:sz w:val="22"/>
          <w:szCs w:val="22"/>
        </w:rPr>
        <w:t xml:space="preserve"> </w:t>
      </w:r>
      <w:r w:rsidR="00642D2F" w:rsidRPr="00C921DE">
        <w:rPr>
          <w:rFonts w:ascii="GHEA Grapalat" w:hAnsi="GHEA Grapalat"/>
          <w:sz w:val="22"/>
          <w:szCs w:val="22"/>
        </w:rPr>
        <w:t>ծրագրի շրջանակներում ներգ</w:t>
      </w:r>
      <w:r w:rsidR="00A304B0" w:rsidRPr="00C921DE">
        <w:rPr>
          <w:rFonts w:ascii="GHEA Grapalat" w:hAnsi="GHEA Grapalat"/>
          <w:sz w:val="22"/>
          <w:szCs w:val="22"/>
        </w:rPr>
        <w:t>րավ</w:t>
      </w:r>
      <w:r w:rsidR="00642D2F" w:rsidRPr="00C921DE">
        <w:rPr>
          <w:rFonts w:ascii="GHEA Grapalat" w:hAnsi="GHEA Grapalat"/>
          <w:sz w:val="22"/>
          <w:szCs w:val="22"/>
        </w:rPr>
        <w:t>ել ևս 66</w:t>
      </w:r>
      <w:r w:rsidR="00642D2F" w:rsidRPr="00C921DE">
        <w:rPr>
          <w:rFonts w:ascii="Cambria Math" w:hAnsi="Cambria Math" w:cs="Cambria Math"/>
          <w:sz w:val="22"/>
          <w:szCs w:val="22"/>
        </w:rPr>
        <w:t>․</w:t>
      </w:r>
      <w:r w:rsidR="00642D2F" w:rsidRPr="00C921DE">
        <w:rPr>
          <w:rFonts w:ascii="GHEA Grapalat" w:hAnsi="GHEA Grapalat"/>
          <w:sz w:val="22"/>
          <w:szCs w:val="22"/>
        </w:rPr>
        <w:t>1 մլն դոլարին համարժեք դրամ։ Ծրագրի շրջանակներում մինչ այժմ կառուցվել և շահագործման է հանձնվել 16 դպրոց։ Ներկայումս ընթանում են 20 դպրոցի շինարարական աշխատանքները, 10 դպրոցների նախագծային աշխատանքները, որոնցից 6</w:t>
      </w:r>
      <w:r w:rsidR="00A304B0" w:rsidRPr="00C921DE">
        <w:rPr>
          <w:rFonts w:ascii="GHEA Grapalat" w:hAnsi="GHEA Grapalat"/>
          <w:sz w:val="22"/>
          <w:szCs w:val="22"/>
        </w:rPr>
        <w:t>-ն</w:t>
      </w:r>
      <w:r w:rsidR="00642D2F" w:rsidRPr="00C921DE">
        <w:rPr>
          <w:rFonts w:ascii="GHEA Grapalat" w:hAnsi="GHEA Grapalat"/>
          <w:sz w:val="22"/>
          <w:szCs w:val="22"/>
        </w:rPr>
        <w:t xml:space="preserve"> ավարտվել են և գտնվում են փորձաքննությունների փուլում։ </w:t>
      </w:r>
    </w:p>
    <w:p w14:paraId="3CB1A48B" w14:textId="77777777" w:rsidR="00F753BC" w:rsidRPr="00C921DE" w:rsidRDefault="001C411D" w:rsidP="00F753BC">
      <w:pPr>
        <w:spacing w:line="360" w:lineRule="auto"/>
        <w:ind w:firstLine="567"/>
        <w:jc w:val="both"/>
        <w:rPr>
          <w:rFonts w:ascii="GHEA Grapalat" w:hAnsi="GHEA Grapalat"/>
          <w:sz w:val="22"/>
          <w:szCs w:val="22"/>
        </w:rPr>
      </w:pPr>
      <w:r w:rsidRPr="00C921DE">
        <w:rPr>
          <w:rFonts w:ascii="GHEA Grapalat" w:hAnsi="GHEA Grapalat"/>
          <w:i/>
          <w:sz w:val="22"/>
          <w:szCs w:val="22"/>
        </w:rPr>
        <w:t xml:space="preserve">«Գյումրու քաղաքային ճանապարհներ» ծրագիր: </w:t>
      </w:r>
      <w:r w:rsidR="00F753BC" w:rsidRPr="00C921DE">
        <w:rPr>
          <w:rFonts w:ascii="GHEA Grapalat" w:hAnsi="GHEA Grapalat"/>
          <w:sz w:val="22"/>
          <w:szCs w:val="22"/>
        </w:rPr>
        <w:t>Վերակառուցման և զարգացման եվրոպական բանկի</w:t>
      </w:r>
      <w:r w:rsidR="00F753BC" w:rsidRPr="00C921DE">
        <w:rPr>
          <w:rFonts w:ascii="GHEA Grapalat" w:hAnsi="GHEA Grapalat"/>
          <w:sz w:val="22"/>
          <w:szCs w:val="22"/>
          <w:lang w:val="en-US"/>
        </w:rPr>
        <w:t xml:space="preserve"> </w:t>
      </w:r>
      <w:r w:rsidR="00F753BC" w:rsidRPr="00C921DE">
        <w:rPr>
          <w:rFonts w:ascii="GHEA Grapalat" w:hAnsi="GHEA Grapalat"/>
          <w:sz w:val="22"/>
          <w:szCs w:val="22"/>
        </w:rPr>
        <w:t xml:space="preserve">(ՎԶԵԲ) աջակցությամբ իրականացվող «Գյումրու քաղաքային ճանապարհներ» ծրագրի շրջանակներում համակարգվել են ծրագրի ընթացիկ աշխատանքները։ </w:t>
      </w:r>
      <w:r w:rsidR="004130CB" w:rsidRPr="00C921DE">
        <w:rPr>
          <w:rFonts w:ascii="GHEA Grapalat" w:hAnsi="GHEA Grapalat"/>
          <w:sz w:val="22"/>
          <w:szCs w:val="22"/>
        </w:rPr>
        <w:t>ՎԶԵԲ-ի կողմից հաստատվել է ծ</w:t>
      </w:r>
      <w:r w:rsidR="00F753BC" w:rsidRPr="00C921DE">
        <w:rPr>
          <w:rFonts w:ascii="GHEA Grapalat" w:hAnsi="GHEA Grapalat"/>
          <w:sz w:val="22"/>
          <w:szCs w:val="22"/>
        </w:rPr>
        <w:t>րագրի Գ Տրանշի շրջանակի փոփոխման</w:t>
      </w:r>
      <w:r w:rsidR="00F753BC" w:rsidRPr="00C921DE">
        <w:rPr>
          <w:rFonts w:ascii="GHEA Grapalat" w:hAnsi="GHEA Grapalat"/>
          <w:sz w:val="22"/>
          <w:szCs w:val="22"/>
          <w:lang w:val="en-US"/>
        </w:rPr>
        <w:t xml:space="preserve"> </w:t>
      </w:r>
      <w:r w:rsidR="00F753BC" w:rsidRPr="00C921DE">
        <w:rPr>
          <w:rFonts w:ascii="GHEA Grapalat" w:hAnsi="GHEA Grapalat"/>
          <w:sz w:val="22"/>
          <w:szCs w:val="22"/>
        </w:rPr>
        <w:t>ներկայացված առաջարկը</w:t>
      </w:r>
      <w:r w:rsidR="00F753BC" w:rsidRPr="00C921DE">
        <w:rPr>
          <w:rFonts w:ascii="GHEA Grapalat" w:hAnsi="GHEA Grapalat"/>
          <w:sz w:val="22"/>
          <w:szCs w:val="22"/>
          <w:lang w:val="en-US"/>
        </w:rPr>
        <w:t>,</w:t>
      </w:r>
      <w:r w:rsidR="00F753BC" w:rsidRPr="00C921DE">
        <w:rPr>
          <w:rFonts w:ascii="GHEA Grapalat" w:hAnsi="GHEA Grapalat"/>
          <w:sz w:val="22"/>
          <w:szCs w:val="22"/>
        </w:rPr>
        <w:t xml:space="preserve"> և շրջանառության մեջ են </w:t>
      </w:r>
      <w:r w:rsidR="00F753BC" w:rsidRPr="00C921DE">
        <w:rPr>
          <w:rFonts w:ascii="GHEA Grapalat" w:hAnsi="GHEA Grapalat"/>
          <w:sz w:val="22"/>
          <w:szCs w:val="22"/>
        </w:rPr>
        <w:lastRenderedPageBreak/>
        <w:t xml:space="preserve">դրվել </w:t>
      </w:r>
      <w:r w:rsidR="00B24006" w:rsidRPr="00C921DE">
        <w:rPr>
          <w:rFonts w:ascii="GHEA Grapalat" w:hAnsi="GHEA Grapalat"/>
          <w:sz w:val="22"/>
          <w:szCs w:val="22"/>
          <w:lang w:val="en-US"/>
        </w:rPr>
        <w:t>վ</w:t>
      </w:r>
      <w:r w:rsidR="00F753BC" w:rsidRPr="00C921DE">
        <w:rPr>
          <w:rFonts w:ascii="GHEA Grapalat" w:hAnsi="GHEA Grapalat"/>
          <w:sz w:val="22"/>
          <w:szCs w:val="22"/>
        </w:rPr>
        <w:t xml:space="preserve">արկային, </w:t>
      </w:r>
      <w:r w:rsidR="00B24006" w:rsidRPr="00C921DE">
        <w:rPr>
          <w:rFonts w:ascii="GHEA Grapalat" w:hAnsi="GHEA Grapalat"/>
          <w:sz w:val="22"/>
          <w:szCs w:val="22"/>
          <w:lang w:val="en-US"/>
        </w:rPr>
        <w:t>ծ</w:t>
      </w:r>
      <w:r w:rsidR="00B24006" w:rsidRPr="00C921DE">
        <w:rPr>
          <w:rFonts w:ascii="GHEA Grapalat" w:hAnsi="GHEA Grapalat"/>
          <w:sz w:val="22"/>
          <w:szCs w:val="22"/>
        </w:rPr>
        <w:t>րագրի և դ</w:t>
      </w:r>
      <w:r w:rsidR="00F753BC" w:rsidRPr="00C921DE">
        <w:rPr>
          <w:rFonts w:ascii="GHEA Grapalat" w:hAnsi="GHEA Grapalat"/>
          <w:sz w:val="22"/>
          <w:szCs w:val="22"/>
        </w:rPr>
        <w:t>րամաշնորհային</w:t>
      </w:r>
      <w:r w:rsidR="00F753BC" w:rsidRPr="00C921DE">
        <w:rPr>
          <w:rFonts w:ascii="GHEA Grapalat" w:hAnsi="GHEA Grapalat"/>
          <w:sz w:val="22"/>
          <w:szCs w:val="22"/>
          <w:lang w:val="en-US"/>
        </w:rPr>
        <w:t xml:space="preserve"> </w:t>
      </w:r>
      <w:r w:rsidR="00F753BC" w:rsidRPr="00C921DE">
        <w:rPr>
          <w:rFonts w:ascii="GHEA Grapalat" w:hAnsi="GHEA Grapalat"/>
          <w:sz w:val="22"/>
          <w:szCs w:val="22"/>
        </w:rPr>
        <w:t>(Տրանշ Գ) համաձայնագրերի փոփոխությունների նախագծեր:</w:t>
      </w:r>
    </w:p>
    <w:p w14:paraId="06024616" w14:textId="77777777" w:rsidR="00F753BC" w:rsidRPr="00C921DE" w:rsidRDefault="00F753BC" w:rsidP="00F753BC">
      <w:pPr>
        <w:spacing w:line="360" w:lineRule="auto"/>
        <w:ind w:firstLine="567"/>
        <w:jc w:val="both"/>
        <w:rPr>
          <w:rFonts w:ascii="GHEA Grapalat" w:hAnsi="GHEA Grapalat"/>
          <w:sz w:val="22"/>
          <w:szCs w:val="22"/>
        </w:rPr>
      </w:pPr>
      <w:r w:rsidRPr="00C921DE">
        <w:rPr>
          <w:rFonts w:ascii="GHEA Grapalat" w:hAnsi="GHEA Grapalat"/>
          <w:sz w:val="22"/>
          <w:szCs w:val="22"/>
        </w:rPr>
        <w:t>2016թ. մայիսի 11-ին</w:t>
      </w:r>
      <w:r w:rsidR="006A2C9F" w:rsidRPr="00C921DE">
        <w:rPr>
          <w:rFonts w:ascii="GHEA Grapalat" w:hAnsi="GHEA Grapalat"/>
          <w:sz w:val="22"/>
          <w:szCs w:val="22"/>
        </w:rPr>
        <w:t xml:space="preserve"> </w:t>
      </w:r>
      <w:r w:rsidR="00F024EE" w:rsidRPr="00C921DE">
        <w:rPr>
          <w:rFonts w:ascii="GHEA Grapalat" w:hAnsi="GHEA Grapalat"/>
          <w:sz w:val="22"/>
          <w:szCs w:val="22"/>
          <w:lang w:val="en-US"/>
        </w:rPr>
        <w:t>ՀՀ</w:t>
      </w:r>
      <w:r w:rsidRPr="00C921DE">
        <w:rPr>
          <w:rFonts w:ascii="GHEA Grapalat" w:hAnsi="GHEA Grapalat"/>
          <w:sz w:val="22"/>
          <w:szCs w:val="22"/>
        </w:rPr>
        <w:t xml:space="preserve"> և ՎԶԵԲ-ի միջև կնքված Վարկային համաձայնագրի թիվ 2 փոփոխության նախագծի, ՎԶԵԲ-ի կողմից </w:t>
      </w:r>
      <w:r w:rsidR="004130CB" w:rsidRPr="00C921DE">
        <w:rPr>
          <w:rFonts w:ascii="GHEA Grapalat" w:hAnsi="GHEA Grapalat"/>
          <w:sz w:val="22"/>
          <w:szCs w:val="22"/>
        </w:rPr>
        <w:t>ծ</w:t>
      </w:r>
      <w:r w:rsidRPr="00C921DE">
        <w:rPr>
          <w:rFonts w:ascii="GHEA Grapalat" w:hAnsi="GHEA Grapalat"/>
          <w:sz w:val="22"/>
          <w:szCs w:val="22"/>
        </w:rPr>
        <w:t>րագրի վերանայված շրջանակի նպատակների իրագործման համար նախատեսվում է որպես Դ Տրանշ ներգրավել 2</w:t>
      </w:r>
      <w:r w:rsidRPr="00C921DE">
        <w:rPr>
          <w:rFonts w:ascii="GHEA Grapalat" w:hAnsi="GHEA Grapalat"/>
          <w:sz w:val="22"/>
          <w:szCs w:val="22"/>
          <w:lang w:val="en-US"/>
        </w:rPr>
        <w:t>.</w:t>
      </w:r>
      <w:r w:rsidRPr="00C921DE">
        <w:rPr>
          <w:rFonts w:ascii="GHEA Grapalat" w:hAnsi="GHEA Grapalat"/>
          <w:sz w:val="22"/>
          <w:szCs w:val="22"/>
        </w:rPr>
        <w:t>72 մլն եվրոյի չափով վարկային միջոցներ, որից 0</w:t>
      </w:r>
      <w:r w:rsidR="004130CB" w:rsidRPr="00C921DE">
        <w:rPr>
          <w:rFonts w:ascii="GHEA Grapalat" w:hAnsi="GHEA Grapalat"/>
          <w:sz w:val="22"/>
          <w:szCs w:val="22"/>
          <w:lang w:val="en-US"/>
        </w:rPr>
        <w:t>.</w:t>
      </w:r>
      <w:r w:rsidRPr="00C921DE">
        <w:rPr>
          <w:rFonts w:ascii="GHEA Grapalat" w:hAnsi="GHEA Grapalat"/>
          <w:sz w:val="22"/>
          <w:szCs w:val="22"/>
        </w:rPr>
        <w:t xml:space="preserve">75 մլն եվրոն հատկացվելու է </w:t>
      </w:r>
      <w:r w:rsidR="004130CB" w:rsidRPr="00C921DE">
        <w:rPr>
          <w:rFonts w:ascii="GHEA Grapalat" w:hAnsi="GHEA Grapalat"/>
          <w:sz w:val="22"/>
          <w:szCs w:val="22"/>
          <w:lang w:val="en-US"/>
        </w:rPr>
        <w:t>ծ</w:t>
      </w:r>
      <w:r w:rsidRPr="00C921DE">
        <w:rPr>
          <w:rFonts w:ascii="GHEA Grapalat" w:hAnsi="GHEA Grapalat"/>
          <w:sz w:val="22"/>
          <w:szCs w:val="22"/>
        </w:rPr>
        <w:t>րագրի իրագործման խմբի</w:t>
      </w:r>
      <w:r w:rsidR="004130CB" w:rsidRPr="00C921DE">
        <w:rPr>
          <w:rFonts w:ascii="GHEA Grapalat" w:hAnsi="GHEA Grapalat"/>
          <w:sz w:val="22"/>
          <w:szCs w:val="22"/>
          <w:lang w:val="en-US"/>
        </w:rPr>
        <w:t xml:space="preserve"> </w:t>
      </w:r>
      <w:r w:rsidRPr="00C921DE">
        <w:rPr>
          <w:rFonts w:ascii="GHEA Grapalat" w:hAnsi="GHEA Grapalat"/>
          <w:sz w:val="22"/>
          <w:szCs w:val="22"/>
        </w:rPr>
        <w:t>(ԾԻԽ) աջակցության Տեխնիկական համագործակցության բաղադրիչին։ Ծրագրի միևնույն բաղադրիչին՝ ՎԶԵԲ կողմից տնօրինվող դրամաշնորհների</w:t>
      </w:r>
      <w:r w:rsidR="004130CB" w:rsidRPr="00C921DE">
        <w:rPr>
          <w:rFonts w:ascii="GHEA Grapalat" w:hAnsi="GHEA Grapalat"/>
          <w:sz w:val="22"/>
          <w:szCs w:val="22"/>
        </w:rPr>
        <w:t>ց, նախատեսվում է հատկացնել ևս 0.</w:t>
      </w:r>
      <w:r w:rsidRPr="00C921DE">
        <w:rPr>
          <w:rFonts w:ascii="GHEA Grapalat" w:hAnsi="GHEA Grapalat"/>
          <w:sz w:val="22"/>
          <w:szCs w:val="22"/>
        </w:rPr>
        <w:t xml:space="preserve">75 մլն եվրո։ Նախատեսվում է ավելացնել նաև </w:t>
      </w:r>
      <w:r w:rsidR="004130CB" w:rsidRPr="00C921DE">
        <w:rPr>
          <w:rFonts w:ascii="GHEA Grapalat" w:hAnsi="GHEA Grapalat"/>
          <w:sz w:val="22"/>
          <w:szCs w:val="22"/>
          <w:lang w:val="en-US"/>
        </w:rPr>
        <w:t>ծ</w:t>
      </w:r>
      <w:r w:rsidRPr="00C921DE">
        <w:rPr>
          <w:rFonts w:ascii="GHEA Grapalat" w:hAnsi="GHEA Grapalat"/>
          <w:sz w:val="22"/>
          <w:szCs w:val="22"/>
        </w:rPr>
        <w:t xml:space="preserve">րագրի մեկ այլ դրամաշնորհային բաղադրիչի՝ Գյումրի քաղաքի «Շարժականության ակտիվների կառավարման և բարելավման պլանի» ձեռքբերմանն </w:t>
      </w:r>
      <w:r w:rsidR="004130CB" w:rsidRPr="00C921DE">
        <w:rPr>
          <w:rFonts w:ascii="GHEA Grapalat" w:hAnsi="GHEA Grapalat"/>
          <w:sz w:val="22"/>
          <w:szCs w:val="22"/>
        </w:rPr>
        <w:t>ուղղված դրամաշնորհի ծավալը 0.</w:t>
      </w:r>
      <w:r w:rsidRPr="00C921DE">
        <w:rPr>
          <w:rFonts w:ascii="GHEA Grapalat" w:hAnsi="GHEA Grapalat"/>
          <w:sz w:val="22"/>
          <w:szCs w:val="22"/>
        </w:rPr>
        <w:t>06 մլն եվրոյի չափով</w:t>
      </w:r>
      <w:r w:rsidR="004130CB" w:rsidRPr="00C921DE">
        <w:rPr>
          <w:rFonts w:ascii="GHEA Grapalat" w:hAnsi="GHEA Grapalat"/>
          <w:sz w:val="22"/>
          <w:szCs w:val="22"/>
          <w:lang w:val="en-US"/>
        </w:rPr>
        <w:t>՝</w:t>
      </w:r>
      <w:r w:rsidRPr="00C921DE">
        <w:rPr>
          <w:rFonts w:ascii="GHEA Grapalat" w:hAnsi="GHEA Grapalat"/>
          <w:sz w:val="22"/>
          <w:szCs w:val="22"/>
        </w:rPr>
        <w:t xml:space="preserve"> այսպիսով կազմելով 0</w:t>
      </w:r>
      <w:r w:rsidR="004130CB" w:rsidRPr="00C921DE">
        <w:rPr>
          <w:rFonts w:ascii="GHEA Grapalat" w:hAnsi="GHEA Grapalat"/>
          <w:sz w:val="22"/>
          <w:szCs w:val="22"/>
          <w:lang w:val="en-US"/>
        </w:rPr>
        <w:t>.</w:t>
      </w:r>
      <w:r w:rsidRPr="00C921DE">
        <w:rPr>
          <w:rFonts w:ascii="GHEA Grapalat" w:hAnsi="GHEA Grapalat"/>
          <w:sz w:val="22"/>
          <w:szCs w:val="22"/>
        </w:rPr>
        <w:t>3 մլն եվրո։</w:t>
      </w:r>
    </w:p>
    <w:p w14:paraId="20476873" w14:textId="5628ABA1" w:rsidR="00F753BC" w:rsidRPr="00C921DE" w:rsidRDefault="00F753BC" w:rsidP="00F753BC">
      <w:pPr>
        <w:spacing w:line="360" w:lineRule="auto"/>
        <w:ind w:firstLine="567"/>
        <w:jc w:val="both"/>
        <w:rPr>
          <w:rFonts w:ascii="GHEA Grapalat" w:hAnsi="GHEA Grapalat"/>
          <w:sz w:val="22"/>
          <w:szCs w:val="22"/>
        </w:rPr>
      </w:pPr>
      <w:r w:rsidRPr="00C921DE">
        <w:rPr>
          <w:rFonts w:ascii="GHEA Grapalat" w:hAnsi="GHEA Grapalat"/>
          <w:sz w:val="22"/>
          <w:szCs w:val="22"/>
        </w:rPr>
        <w:t>Համաձայն վերը թվարկված համաձայնագ</w:t>
      </w:r>
      <w:r w:rsidR="006D22CD" w:rsidRPr="00C921DE">
        <w:rPr>
          <w:rFonts w:ascii="GHEA Grapalat" w:hAnsi="GHEA Grapalat"/>
          <w:sz w:val="22"/>
          <w:szCs w:val="22"/>
          <w:lang w:val="en-US"/>
        </w:rPr>
        <w:t>ր</w:t>
      </w:r>
      <w:r w:rsidRPr="00C921DE">
        <w:rPr>
          <w:rFonts w:ascii="GHEA Grapalat" w:hAnsi="GHEA Grapalat"/>
          <w:sz w:val="22"/>
          <w:szCs w:val="22"/>
        </w:rPr>
        <w:t>երի փոփոխությունների նախագծերի</w:t>
      </w:r>
      <w:r w:rsidR="004130CB" w:rsidRPr="00C921DE">
        <w:rPr>
          <w:rFonts w:ascii="GHEA Grapalat" w:hAnsi="GHEA Grapalat"/>
          <w:sz w:val="22"/>
          <w:szCs w:val="22"/>
          <w:lang w:val="en-US"/>
        </w:rPr>
        <w:t>՝</w:t>
      </w:r>
      <w:r w:rsidRPr="00C921DE">
        <w:rPr>
          <w:rFonts w:ascii="GHEA Grapalat" w:hAnsi="GHEA Grapalat"/>
          <w:sz w:val="22"/>
          <w:szCs w:val="22"/>
        </w:rPr>
        <w:t xml:space="preserve"> </w:t>
      </w:r>
      <w:r w:rsidR="004130CB" w:rsidRPr="00C921DE">
        <w:rPr>
          <w:rFonts w:ascii="GHEA Grapalat" w:hAnsi="GHEA Grapalat"/>
          <w:sz w:val="22"/>
          <w:szCs w:val="22"/>
          <w:lang w:val="en-US"/>
        </w:rPr>
        <w:t>ծ</w:t>
      </w:r>
      <w:r w:rsidRPr="00C921DE">
        <w:rPr>
          <w:rFonts w:ascii="GHEA Grapalat" w:hAnsi="GHEA Grapalat"/>
          <w:sz w:val="22"/>
          <w:szCs w:val="22"/>
        </w:rPr>
        <w:t xml:space="preserve">րագրի բոլոր </w:t>
      </w:r>
      <w:r w:rsidR="004130CB" w:rsidRPr="00C921DE">
        <w:rPr>
          <w:rFonts w:ascii="GHEA Grapalat" w:hAnsi="GHEA Grapalat"/>
          <w:sz w:val="22"/>
          <w:szCs w:val="22"/>
          <w:lang w:val="en-US"/>
        </w:rPr>
        <w:t>տ</w:t>
      </w:r>
      <w:r w:rsidRPr="00C921DE">
        <w:rPr>
          <w:rFonts w:ascii="GHEA Grapalat" w:hAnsi="GHEA Grapalat"/>
          <w:sz w:val="22"/>
          <w:szCs w:val="22"/>
        </w:rPr>
        <w:t>րանշների, թե՛ վարկային և թե՛ դրամաշնորհային միջոցների վերջին հասանելիության ժամկետ է սահմանվում 2028թ. նոյե</w:t>
      </w:r>
      <w:r w:rsidR="004130CB" w:rsidRPr="00C921DE">
        <w:rPr>
          <w:rFonts w:ascii="GHEA Grapalat" w:hAnsi="GHEA Grapalat"/>
          <w:sz w:val="22"/>
          <w:szCs w:val="22"/>
        </w:rPr>
        <w:t>մբերի 28-ը, որը նաև կհանդիսանա ծ</w:t>
      </w:r>
      <w:r w:rsidRPr="00C921DE">
        <w:rPr>
          <w:rFonts w:ascii="GHEA Grapalat" w:hAnsi="GHEA Grapalat"/>
          <w:sz w:val="22"/>
          <w:szCs w:val="22"/>
        </w:rPr>
        <w:t xml:space="preserve">րագրի ավարտի ամսաթիվ։ ՎԶԵԲ-ը նաև </w:t>
      </w:r>
      <w:r w:rsidR="004130CB" w:rsidRPr="00C921DE">
        <w:rPr>
          <w:rFonts w:ascii="GHEA Grapalat" w:hAnsi="GHEA Grapalat"/>
          <w:sz w:val="22"/>
          <w:szCs w:val="22"/>
          <w:lang w:val="en-US"/>
        </w:rPr>
        <w:t>համաձայն</w:t>
      </w:r>
      <w:r w:rsidRPr="00C921DE">
        <w:rPr>
          <w:rFonts w:ascii="GHEA Grapalat" w:hAnsi="GHEA Grapalat"/>
          <w:sz w:val="22"/>
          <w:szCs w:val="22"/>
        </w:rPr>
        <w:t xml:space="preserve">ել է </w:t>
      </w:r>
      <w:r w:rsidR="004130CB" w:rsidRPr="00C921DE">
        <w:rPr>
          <w:rFonts w:ascii="GHEA Grapalat" w:hAnsi="GHEA Grapalat"/>
          <w:sz w:val="22"/>
          <w:szCs w:val="22"/>
          <w:lang w:val="en-US"/>
        </w:rPr>
        <w:t>ծ</w:t>
      </w:r>
      <w:r w:rsidRPr="00C921DE">
        <w:rPr>
          <w:rFonts w:ascii="GHEA Grapalat" w:hAnsi="GHEA Grapalat"/>
          <w:sz w:val="22"/>
          <w:szCs w:val="22"/>
        </w:rPr>
        <w:t xml:space="preserve">րագրի Ա և Բ </w:t>
      </w:r>
      <w:r w:rsidR="004130CB" w:rsidRPr="00C921DE">
        <w:rPr>
          <w:rFonts w:ascii="GHEA Grapalat" w:hAnsi="GHEA Grapalat"/>
          <w:sz w:val="22"/>
          <w:szCs w:val="22"/>
          <w:lang w:val="en-US"/>
        </w:rPr>
        <w:t>տ</w:t>
      </w:r>
      <w:r w:rsidRPr="00C921DE">
        <w:rPr>
          <w:rFonts w:ascii="GHEA Grapalat" w:hAnsi="GHEA Grapalat"/>
          <w:sz w:val="22"/>
          <w:szCs w:val="22"/>
        </w:rPr>
        <w:t>րանշներից գոյացած խնայողությունները</w:t>
      </w:r>
      <w:r w:rsidR="004130CB" w:rsidRPr="00C921DE">
        <w:rPr>
          <w:rFonts w:ascii="GHEA Grapalat" w:hAnsi="GHEA Grapalat"/>
          <w:sz w:val="22"/>
          <w:szCs w:val="22"/>
          <w:lang w:val="en-US"/>
        </w:rPr>
        <w:t xml:space="preserve"> </w:t>
      </w:r>
      <w:r w:rsidRPr="00C921DE">
        <w:rPr>
          <w:rFonts w:ascii="GHEA Grapalat" w:hAnsi="GHEA Grapalat"/>
          <w:sz w:val="22"/>
          <w:szCs w:val="22"/>
        </w:rPr>
        <w:t>(շո</w:t>
      </w:r>
      <w:r w:rsidR="000F686C" w:rsidRPr="00C921DE">
        <w:rPr>
          <w:rFonts w:ascii="GHEA Grapalat" w:hAnsi="GHEA Grapalat"/>
          <w:sz w:val="22"/>
          <w:szCs w:val="22"/>
        </w:rPr>
        <w:t>ւրջ 2.3 մլն եվրո) ուղղել Գ և Դ տ</w:t>
      </w:r>
      <w:r w:rsidRPr="00C921DE">
        <w:rPr>
          <w:rFonts w:ascii="GHEA Grapalat" w:hAnsi="GHEA Grapalat"/>
          <w:sz w:val="22"/>
          <w:szCs w:val="22"/>
        </w:rPr>
        <w:t>րանշների վերանայված շրջանակի նպատակներին։</w:t>
      </w:r>
    </w:p>
    <w:p w14:paraId="6E7ECEEE" w14:textId="77777777" w:rsidR="008D7282" w:rsidRPr="00C921DE" w:rsidRDefault="00F753BC" w:rsidP="00F753BC">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0F686C" w:rsidRPr="00C921DE">
        <w:rPr>
          <w:rFonts w:ascii="GHEA Grapalat" w:hAnsi="GHEA Grapalat"/>
          <w:sz w:val="22"/>
          <w:szCs w:val="22"/>
          <w:lang w:val="en-US"/>
        </w:rPr>
        <w:t xml:space="preserve"> </w:t>
      </w:r>
      <w:r w:rsidRPr="00C921DE">
        <w:rPr>
          <w:rFonts w:ascii="GHEA Grapalat" w:hAnsi="GHEA Grapalat"/>
          <w:sz w:val="22"/>
          <w:szCs w:val="22"/>
        </w:rPr>
        <w:t>թ</w:t>
      </w:r>
      <w:r w:rsidR="000F686C" w:rsidRPr="00C921DE">
        <w:rPr>
          <w:rFonts w:ascii="GHEA Grapalat" w:hAnsi="GHEA Grapalat"/>
          <w:sz w:val="22"/>
          <w:szCs w:val="22"/>
          <w:lang w:val="en-US"/>
        </w:rPr>
        <w:t>վական</w:t>
      </w:r>
      <w:r w:rsidR="000F686C" w:rsidRPr="00C921DE">
        <w:rPr>
          <w:rFonts w:ascii="GHEA Grapalat" w:hAnsi="GHEA Grapalat"/>
          <w:sz w:val="22"/>
          <w:szCs w:val="22"/>
        </w:rPr>
        <w:t>ի դ</w:t>
      </w:r>
      <w:r w:rsidRPr="00C921DE">
        <w:rPr>
          <w:rFonts w:ascii="GHEA Grapalat" w:hAnsi="GHEA Grapalat"/>
          <w:sz w:val="22"/>
          <w:szCs w:val="22"/>
        </w:rPr>
        <w:t>եկտեմբերի 13-ին հայտարարվել է ԾԻԽ աջակցության խորհրդատվության ծառայությունների ձեռքբերման մրցույթ, որի շրջանա</w:t>
      </w:r>
      <w:r w:rsidR="000F686C" w:rsidRPr="00C921DE">
        <w:rPr>
          <w:rFonts w:ascii="GHEA Grapalat" w:hAnsi="GHEA Grapalat"/>
          <w:sz w:val="22"/>
          <w:szCs w:val="22"/>
        </w:rPr>
        <w:t>կներում նախատեսվում է պատվիրել ծրագրի Գ և Դ տ</w:t>
      </w:r>
      <w:r w:rsidRPr="00C921DE">
        <w:rPr>
          <w:rFonts w:ascii="GHEA Grapalat" w:hAnsi="GHEA Grapalat"/>
          <w:sz w:val="22"/>
          <w:szCs w:val="22"/>
        </w:rPr>
        <w:t>րանշների նոր շրջանակի համաձայն սահմանված Անի և Ավստրիական թաղամասերի ճանապարհների հի</w:t>
      </w:r>
      <w:r w:rsidR="000F686C" w:rsidRPr="00C921DE">
        <w:rPr>
          <w:rFonts w:ascii="GHEA Grapalat" w:hAnsi="GHEA Grapalat"/>
          <w:sz w:val="22"/>
          <w:szCs w:val="22"/>
        </w:rPr>
        <w:t>մնանորոգման</w:t>
      </w:r>
      <w:r w:rsidRPr="00C921DE">
        <w:rPr>
          <w:rFonts w:ascii="GHEA Grapalat" w:hAnsi="GHEA Grapalat"/>
          <w:sz w:val="22"/>
          <w:szCs w:val="22"/>
        </w:rPr>
        <w:t xml:space="preserve"> և նույն թաղամասերի </w:t>
      </w:r>
      <w:r w:rsidR="000F686C" w:rsidRPr="00C921DE">
        <w:rPr>
          <w:rFonts w:ascii="GHEA Grapalat" w:hAnsi="GHEA Grapalat"/>
          <w:sz w:val="22"/>
          <w:szCs w:val="22"/>
          <w:lang w:val="en-US"/>
        </w:rPr>
        <w:t>ու</w:t>
      </w:r>
      <w:r w:rsidRPr="00C921DE">
        <w:rPr>
          <w:rFonts w:ascii="GHEA Grapalat" w:hAnsi="GHEA Grapalat"/>
          <w:sz w:val="22"/>
          <w:szCs w:val="22"/>
        </w:rPr>
        <w:t xml:space="preserve"> Շիրակացի փողոցի արտաքին լուսավորության արդիականացման մանրամասն նախագծեր, տեխնիկական և հեղինակայի</w:t>
      </w:r>
      <w:r w:rsidR="000F686C" w:rsidRPr="00C921DE">
        <w:rPr>
          <w:rFonts w:ascii="GHEA Grapalat" w:hAnsi="GHEA Grapalat"/>
          <w:sz w:val="22"/>
          <w:szCs w:val="22"/>
        </w:rPr>
        <w:t>ն հսկողության ծառայություններ, բ</w:t>
      </w:r>
      <w:r w:rsidRPr="00C921DE">
        <w:rPr>
          <w:rFonts w:ascii="GHEA Grapalat" w:hAnsi="GHEA Grapalat"/>
          <w:sz w:val="22"/>
          <w:szCs w:val="22"/>
        </w:rPr>
        <w:t>նապահպանական և սոցիալական ազդեցությունների գնահատման և գործողությունների պլանի կազմում։</w:t>
      </w:r>
    </w:p>
    <w:p w14:paraId="11D5616C" w14:textId="77777777" w:rsidR="00F753BC" w:rsidRPr="00C921DE" w:rsidRDefault="00F753BC" w:rsidP="00F753BC">
      <w:pPr>
        <w:spacing w:line="360" w:lineRule="auto"/>
        <w:ind w:firstLine="567"/>
        <w:jc w:val="both"/>
        <w:rPr>
          <w:rFonts w:ascii="GHEA Grapalat" w:hAnsi="GHEA Grapalat"/>
          <w:sz w:val="22"/>
          <w:szCs w:val="22"/>
        </w:rPr>
      </w:pPr>
    </w:p>
    <w:p w14:paraId="42072182" w14:textId="77777777" w:rsidR="001C411D" w:rsidRPr="00C921DE" w:rsidRDefault="001C411D" w:rsidP="007A6E1F">
      <w:pPr>
        <w:pStyle w:val="Heading2"/>
        <w:spacing w:before="0"/>
      </w:pPr>
      <w:bookmarkStart w:id="21" w:name="_Toc163745419"/>
      <w:r w:rsidRPr="00C921DE">
        <w:t>Ճանապարհային տնտեսություն</w:t>
      </w:r>
      <w:bookmarkEnd w:id="21"/>
    </w:p>
    <w:p w14:paraId="269D57B0" w14:textId="77777777" w:rsidR="006F33F1" w:rsidRPr="00C921DE" w:rsidRDefault="006F33F1" w:rsidP="001C2F9A">
      <w:pPr>
        <w:spacing w:line="360" w:lineRule="auto"/>
        <w:ind w:firstLine="567"/>
        <w:jc w:val="both"/>
        <w:rPr>
          <w:rFonts w:ascii="GHEA Grapalat" w:hAnsi="GHEA Grapalat"/>
          <w:sz w:val="22"/>
          <w:szCs w:val="22"/>
          <w:lang w:val="en-US"/>
        </w:rPr>
      </w:pPr>
      <w:r w:rsidRPr="00C921DE">
        <w:rPr>
          <w:rFonts w:ascii="GHEA Grapalat" w:hAnsi="GHEA Grapalat"/>
          <w:sz w:val="22"/>
          <w:szCs w:val="22"/>
        </w:rPr>
        <w:t xml:space="preserve">Ճանապարհային </w:t>
      </w:r>
      <w:r w:rsidR="001C2F9A" w:rsidRPr="00C921DE">
        <w:rPr>
          <w:rFonts w:ascii="GHEA Grapalat" w:hAnsi="GHEA Grapalat"/>
          <w:sz w:val="22"/>
          <w:szCs w:val="22"/>
          <w:lang w:val="en-US"/>
        </w:rPr>
        <w:t>տնտեսության բնագավառում</w:t>
      </w:r>
      <w:r w:rsidRPr="00C921DE">
        <w:rPr>
          <w:rFonts w:ascii="GHEA Grapalat" w:hAnsi="GHEA Grapalat"/>
          <w:sz w:val="22"/>
          <w:szCs w:val="22"/>
        </w:rPr>
        <w:t xml:space="preserve"> 2023</w:t>
      </w:r>
      <w:r w:rsidR="001C2F9A" w:rsidRPr="00C921DE">
        <w:rPr>
          <w:rFonts w:ascii="GHEA Grapalat" w:hAnsi="GHEA Grapalat"/>
          <w:sz w:val="22"/>
          <w:szCs w:val="22"/>
          <w:lang w:val="en-US"/>
        </w:rPr>
        <w:t xml:space="preserve"> </w:t>
      </w:r>
      <w:r w:rsidRPr="00C921DE">
        <w:rPr>
          <w:rFonts w:ascii="GHEA Grapalat" w:hAnsi="GHEA Grapalat"/>
          <w:sz w:val="22"/>
          <w:szCs w:val="22"/>
        </w:rPr>
        <w:t>թ</w:t>
      </w:r>
      <w:r w:rsidR="001C2F9A" w:rsidRPr="00C921DE">
        <w:rPr>
          <w:rFonts w:ascii="GHEA Grapalat" w:hAnsi="GHEA Grapalat"/>
          <w:sz w:val="22"/>
          <w:szCs w:val="22"/>
          <w:lang w:val="en-US"/>
        </w:rPr>
        <w:t>վականի</w:t>
      </w:r>
      <w:r w:rsidRPr="00C921DE">
        <w:rPr>
          <w:rFonts w:ascii="GHEA Grapalat" w:hAnsi="GHEA Grapalat"/>
          <w:sz w:val="22"/>
          <w:szCs w:val="22"/>
        </w:rPr>
        <w:t xml:space="preserve"> ընթացքում իրականացվել են մի շարք ծրագրեր‚ որոնց շրջանակում կատարվել են ճանապարհների կառուցման, վերականգնման‚ հիմնանորոգման, միջին նորոգման աշխատանքներ‚ ինչպես նաև վարկային ծրագրերով իրականացվող ճանապարհաշինական աշխատանքներ և մի շարք միջոցառումներ։</w:t>
      </w:r>
      <w:r w:rsidR="001C2F9A" w:rsidRPr="00C921DE">
        <w:rPr>
          <w:rFonts w:ascii="GHEA Grapalat" w:hAnsi="GHEA Grapalat"/>
          <w:sz w:val="22"/>
          <w:szCs w:val="22"/>
          <w:lang w:val="en-US"/>
        </w:rPr>
        <w:t xml:space="preserve"> </w:t>
      </w:r>
      <w:r w:rsidRPr="00C921DE">
        <w:rPr>
          <w:rFonts w:ascii="GHEA Grapalat" w:hAnsi="GHEA Grapalat"/>
          <w:sz w:val="22"/>
          <w:szCs w:val="22"/>
        </w:rPr>
        <w:t>Մասնավորապես</w:t>
      </w:r>
      <w:r w:rsidR="001C2F9A" w:rsidRPr="00C921DE">
        <w:rPr>
          <w:rFonts w:ascii="GHEA Grapalat" w:hAnsi="GHEA Grapalat"/>
          <w:sz w:val="22"/>
          <w:szCs w:val="22"/>
          <w:lang w:val="en-US"/>
        </w:rPr>
        <w:t>՝</w:t>
      </w:r>
    </w:p>
    <w:p w14:paraId="7D39BE25" w14:textId="1DA3D1E9"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2023 թվականին հիմնանորոգվել, նորոգվել, վերակառուցվել և կառուցվել</w:t>
      </w:r>
      <w:r w:rsidR="006B5113" w:rsidRPr="00C921DE">
        <w:rPr>
          <w:rFonts w:ascii="GHEA Grapalat" w:hAnsi="GHEA Grapalat" w:cs="GHEA Grapalat"/>
          <w:bCs/>
          <w:lang w:val="af-ZA"/>
        </w:rPr>
        <w:t xml:space="preserve"> </w:t>
      </w:r>
      <w:r w:rsidRPr="00C921DE">
        <w:rPr>
          <w:rFonts w:ascii="GHEA Grapalat" w:hAnsi="GHEA Grapalat" w:cs="GHEA Grapalat"/>
          <w:bCs/>
          <w:lang w:val="af-ZA"/>
        </w:rPr>
        <w:t>են շուրջ</w:t>
      </w:r>
      <w:r w:rsidR="006B5113" w:rsidRPr="00C921DE">
        <w:rPr>
          <w:rFonts w:ascii="GHEA Grapalat" w:hAnsi="GHEA Grapalat" w:cs="GHEA Grapalat"/>
          <w:bCs/>
          <w:lang w:val="af-ZA"/>
        </w:rPr>
        <w:t xml:space="preserve"> </w:t>
      </w:r>
      <w:r w:rsidRPr="00C921DE">
        <w:rPr>
          <w:rFonts w:ascii="GHEA Grapalat" w:hAnsi="GHEA Grapalat" w:cs="GHEA Grapalat"/>
          <w:bCs/>
          <w:lang w:val="af-ZA"/>
        </w:rPr>
        <w:t>551 կմ ընդհանուր երկարությամբ ՀՀ ընդհանուր օգտագործման ավտո</w:t>
      </w:r>
      <w:r w:rsidR="00BC2432" w:rsidRPr="00C921DE">
        <w:rPr>
          <w:rFonts w:ascii="GHEA Grapalat" w:hAnsi="GHEA Grapalat" w:cs="GHEA Grapalat"/>
          <w:bCs/>
          <w:lang w:val="af-ZA"/>
        </w:rPr>
        <w:t xml:space="preserve">մոբիլային ճանապարհներ, որից </w:t>
      </w:r>
      <w:r w:rsidR="00BC2432" w:rsidRPr="00C921DE">
        <w:rPr>
          <w:rFonts w:ascii="GHEA Grapalat" w:hAnsi="GHEA Grapalat" w:cs="GHEA Grapalat"/>
          <w:bCs/>
          <w:lang w:val="af-ZA"/>
        </w:rPr>
        <w:lastRenderedPageBreak/>
        <w:t>501</w:t>
      </w:r>
      <w:r w:rsidR="00BC2432" w:rsidRPr="00C921DE">
        <w:rPr>
          <w:bCs/>
          <w:lang w:val="af-ZA"/>
        </w:rPr>
        <w:t> </w:t>
      </w:r>
      <w:r w:rsidRPr="00C921DE">
        <w:rPr>
          <w:rFonts w:ascii="GHEA Grapalat" w:hAnsi="GHEA Grapalat" w:cs="GHEA Grapalat"/>
          <w:bCs/>
          <w:lang w:val="af-ZA"/>
        </w:rPr>
        <w:t>կմ-ի ճանապարհային պատվածք</w:t>
      </w:r>
      <w:r w:rsidR="00BC2432" w:rsidRPr="00C921DE">
        <w:rPr>
          <w:rFonts w:ascii="GHEA Grapalat" w:hAnsi="GHEA Grapalat" w:cs="GHEA Grapalat"/>
          <w:bCs/>
          <w:lang w:val="af-ZA"/>
        </w:rPr>
        <w:t>ն</w:t>
      </w:r>
      <w:r w:rsidRPr="00C921DE">
        <w:rPr>
          <w:rFonts w:ascii="GHEA Grapalat" w:hAnsi="GHEA Grapalat" w:cs="GHEA Grapalat"/>
          <w:bCs/>
          <w:lang w:val="af-ZA"/>
        </w:rPr>
        <w:t xml:space="preserve"> ամբողջությամբ իրականացված է,</w:t>
      </w:r>
      <w:r w:rsidR="006B5113" w:rsidRPr="00C921DE">
        <w:rPr>
          <w:rFonts w:ascii="GHEA Grapalat" w:hAnsi="GHEA Grapalat" w:cs="GHEA Grapalat"/>
          <w:bCs/>
          <w:lang w:val="af-ZA"/>
        </w:rPr>
        <w:t xml:space="preserve"> </w:t>
      </w:r>
      <w:r w:rsidRPr="00C921DE">
        <w:rPr>
          <w:rFonts w:ascii="GHEA Grapalat" w:hAnsi="GHEA Grapalat" w:cs="GHEA Grapalat"/>
          <w:bCs/>
          <w:lang w:val="af-ZA"/>
        </w:rPr>
        <w:t>իսկ 55 կմ հատվածներում իրականացվել է</w:t>
      </w:r>
      <w:r w:rsidR="006B5113" w:rsidRPr="00C921DE">
        <w:rPr>
          <w:rFonts w:ascii="GHEA Grapalat" w:hAnsi="GHEA Grapalat" w:cs="GHEA Grapalat"/>
          <w:bCs/>
          <w:lang w:val="af-ZA"/>
        </w:rPr>
        <w:t xml:space="preserve"> </w:t>
      </w:r>
      <w:r w:rsidRPr="00C921DE">
        <w:rPr>
          <w:rFonts w:ascii="GHEA Grapalat" w:hAnsi="GHEA Grapalat" w:cs="GHEA Grapalat"/>
          <w:bCs/>
          <w:lang w:val="af-ZA"/>
        </w:rPr>
        <w:t xml:space="preserve">ասֆալտբետոնե ներքին շերտով։ 2023 թվականին ավարտված 501 կմ ընդհանուր երկարությամբ </w:t>
      </w:r>
      <w:r w:rsidR="00BC2432" w:rsidRPr="00C921DE">
        <w:rPr>
          <w:rFonts w:ascii="GHEA Grapalat" w:hAnsi="GHEA Grapalat" w:cs="GHEA Grapalat"/>
          <w:bCs/>
          <w:lang w:val="af-ZA"/>
        </w:rPr>
        <w:t>հատվածներից 456.4</w:t>
      </w:r>
      <w:r w:rsidR="00866CDC" w:rsidRPr="00C921DE">
        <w:rPr>
          <w:rFonts w:ascii="GHEA Grapalat" w:hAnsi="GHEA Grapalat" w:cs="GHEA Grapalat"/>
          <w:bCs/>
          <w:lang w:val="af-ZA"/>
        </w:rPr>
        <w:t xml:space="preserve"> </w:t>
      </w:r>
      <w:r w:rsidR="00BC2432" w:rsidRPr="00C921DE">
        <w:rPr>
          <w:rFonts w:ascii="GHEA Grapalat" w:hAnsi="GHEA Grapalat" w:cs="GHEA Grapalat"/>
          <w:bCs/>
          <w:lang w:val="af-ZA"/>
        </w:rPr>
        <w:t xml:space="preserve">կմ-ի </w:t>
      </w:r>
      <w:r w:rsidRPr="00C921DE">
        <w:rPr>
          <w:rFonts w:ascii="GHEA Grapalat" w:hAnsi="GHEA Grapalat" w:cs="GHEA Grapalat"/>
          <w:bCs/>
          <w:lang w:val="af-ZA"/>
        </w:rPr>
        <w:t>ճանապարհաշինական աշխատանքներ</w:t>
      </w:r>
      <w:r w:rsidR="00BC2432" w:rsidRPr="00C921DE">
        <w:rPr>
          <w:rFonts w:ascii="GHEA Grapalat" w:hAnsi="GHEA Grapalat" w:cs="GHEA Grapalat"/>
          <w:bCs/>
          <w:lang w:val="af-ZA"/>
        </w:rPr>
        <w:t xml:space="preserve">ն </w:t>
      </w:r>
      <w:r w:rsidRPr="00C921DE">
        <w:rPr>
          <w:rFonts w:ascii="GHEA Grapalat" w:hAnsi="GHEA Grapalat" w:cs="GHEA Grapalat"/>
          <w:bCs/>
          <w:lang w:val="af-ZA"/>
        </w:rPr>
        <w:t>իրականացվել են ՀՀ պետական բյուջեի միջոցներով (այդ թվում՝ Պետական նշանակության ավտոճանապարհների հիմնանորոգում միջոցառման շրջանակներում՝ 3</w:t>
      </w:r>
      <w:r w:rsidR="00866CDC" w:rsidRPr="00C921DE">
        <w:rPr>
          <w:rFonts w:ascii="GHEA Grapalat" w:hAnsi="GHEA Grapalat" w:cs="GHEA Grapalat"/>
          <w:bCs/>
          <w:lang w:val="af-ZA"/>
        </w:rPr>
        <w:t>0</w:t>
      </w:r>
      <w:r w:rsidR="00AD6C7C" w:rsidRPr="00C921DE">
        <w:rPr>
          <w:rFonts w:ascii="GHEA Grapalat" w:hAnsi="GHEA Grapalat" w:cs="GHEA Grapalat"/>
          <w:bCs/>
          <w:lang w:val="af-ZA"/>
        </w:rPr>
        <w:t>5</w:t>
      </w:r>
      <w:r w:rsidRPr="00C921DE">
        <w:rPr>
          <w:rFonts w:ascii="Cambria Math" w:hAnsi="Cambria Math" w:cs="Cambria Math"/>
          <w:bCs/>
          <w:lang w:val="af-ZA"/>
        </w:rPr>
        <w:t>․</w:t>
      </w:r>
      <w:r w:rsidRPr="00C921DE">
        <w:rPr>
          <w:rFonts w:ascii="GHEA Grapalat" w:hAnsi="GHEA Grapalat" w:cs="GHEA Grapalat"/>
          <w:bCs/>
          <w:lang w:val="af-ZA"/>
        </w:rPr>
        <w:t>7 կմ, Միջպետական և հանրապետական նշանակության ավտոճանապարհների միջին նորոգում միջոցառման շրջանակներում՝ 148.7</w:t>
      </w:r>
      <w:r w:rsidRPr="00C921DE">
        <w:rPr>
          <w:bCs/>
          <w:lang w:val="af-ZA"/>
        </w:rPr>
        <w:t> </w:t>
      </w:r>
      <w:r w:rsidRPr="00C921DE">
        <w:rPr>
          <w:rFonts w:ascii="GHEA Grapalat" w:hAnsi="GHEA Grapalat" w:cs="GHEA Grapalat"/>
          <w:bCs/>
          <w:lang w:val="af-ZA"/>
        </w:rPr>
        <w:t>կմ</w:t>
      </w:r>
      <w:r w:rsidR="00FB36D2" w:rsidRPr="00C921DE">
        <w:rPr>
          <w:rFonts w:ascii="GHEA Grapalat" w:hAnsi="GHEA Grapalat" w:cs="GHEA Grapalat"/>
          <w:bCs/>
          <w:lang w:val="af-ZA"/>
        </w:rPr>
        <w:t>, ՀՀ մարզերում առաջնահերթ լուծում պահանջող անհետաձգելի ծրագրերի իրականացում միջոցառման շրջանակներում՝ 2 կմ</w:t>
      </w:r>
      <w:r w:rsidRPr="00C921DE">
        <w:rPr>
          <w:rFonts w:ascii="GHEA Grapalat" w:hAnsi="GHEA Grapalat" w:cs="GHEA Grapalat"/>
          <w:bCs/>
          <w:lang w:val="af-ZA"/>
        </w:rPr>
        <w:t xml:space="preserve">)‚ Հայաստանի </w:t>
      </w:r>
      <w:r w:rsidR="0025142A" w:rsidRPr="00C921DE">
        <w:rPr>
          <w:rFonts w:ascii="GHEA Grapalat" w:hAnsi="GHEA Grapalat" w:cs="GHEA Grapalat"/>
          <w:bCs/>
          <w:lang w:val="af-ZA"/>
        </w:rPr>
        <w:t>տարածքային զարգացման հիմնադրամի ծրագրերի շրջանակներում</w:t>
      </w:r>
      <w:r w:rsidRPr="00C921DE">
        <w:rPr>
          <w:rFonts w:ascii="GHEA Grapalat" w:hAnsi="GHEA Grapalat" w:cs="GHEA Grapalat"/>
          <w:bCs/>
          <w:lang w:val="af-ZA"/>
        </w:rPr>
        <w:t>՝ 13.6 կմ,</w:t>
      </w:r>
      <w:r w:rsidR="006B5113" w:rsidRPr="00C921DE">
        <w:rPr>
          <w:rFonts w:ascii="GHEA Grapalat" w:hAnsi="GHEA Grapalat" w:cs="GHEA Grapalat"/>
          <w:bCs/>
          <w:lang w:val="af-ZA"/>
        </w:rPr>
        <w:t xml:space="preserve"> </w:t>
      </w:r>
      <w:r w:rsidRPr="00C921DE">
        <w:rPr>
          <w:rFonts w:ascii="GHEA Grapalat" w:hAnsi="GHEA Grapalat" w:cs="GHEA Grapalat"/>
          <w:bCs/>
          <w:lang w:val="af-ZA"/>
        </w:rPr>
        <w:t>և վարկային միջոցներով՝ շուրջ 31</w:t>
      </w:r>
      <w:r w:rsidRPr="00C921DE">
        <w:rPr>
          <w:bCs/>
          <w:lang w:val="af-ZA"/>
        </w:rPr>
        <w:t> </w:t>
      </w:r>
      <w:r w:rsidRPr="00C921DE">
        <w:rPr>
          <w:rFonts w:ascii="GHEA Grapalat" w:hAnsi="GHEA Grapalat" w:cs="GHEA Grapalat"/>
          <w:bCs/>
          <w:lang w:val="af-ZA"/>
        </w:rPr>
        <w:t>կմ (Հյուսիս–հարավ ճանապարհային միջանցքի ներդրումային ծրագիր</w:t>
      </w:r>
      <w:r w:rsidR="0025142A" w:rsidRPr="00C921DE">
        <w:rPr>
          <w:rFonts w:ascii="GHEA Grapalat" w:hAnsi="GHEA Grapalat" w:cs="GHEA Grapalat"/>
          <w:bCs/>
          <w:lang w:val="af-ZA"/>
        </w:rPr>
        <w:t>)</w:t>
      </w:r>
      <w:r w:rsidRPr="00C921DE">
        <w:rPr>
          <w:rFonts w:ascii="GHEA Grapalat" w:hAnsi="GHEA Grapalat" w:cs="GHEA Grapalat"/>
          <w:bCs/>
          <w:lang w:val="af-ZA"/>
        </w:rPr>
        <w:t>։ Միջպետական և հանրապետական նշանակության ավտոմոբիլային ճանապարհներին տեղադրվել և վերականգնվել են</w:t>
      </w:r>
      <w:r w:rsidR="006B5113" w:rsidRPr="00C921DE">
        <w:rPr>
          <w:rFonts w:ascii="GHEA Grapalat" w:hAnsi="GHEA Grapalat" w:cs="GHEA Grapalat"/>
          <w:bCs/>
          <w:lang w:val="af-ZA"/>
        </w:rPr>
        <w:t xml:space="preserve"> </w:t>
      </w:r>
      <w:r w:rsidRPr="00C921DE">
        <w:rPr>
          <w:rFonts w:ascii="GHEA Grapalat" w:hAnsi="GHEA Grapalat" w:cs="GHEA Grapalat"/>
          <w:bCs/>
          <w:lang w:val="af-ZA"/>
        </w:rPr>
        <w:t>3792 ճանապարհային նշաններ</w:t>
      </w:r>
      <w:r w:rsidRPr="00C921DE" w:rsidDel="008668FD">
        <w:rPr>
          <w:rFonts w:ascii="GHEA Grapalat" w:hAnsi="GHEA Grapalat" w:cs="GHEA Grapalat"/>
          <w:bCs/>
          <w:lang w:val="af-ZA"/>
        </w:rPr>
        <w:t xml:space="preserve"> </w:t>
      </w:r>
      <w:r w:rsidRPr="00C921DE">
        <w:rPr>
          <w:rFonts w:ascii="GHEA Grapalat" w:hAnsi="GHEA Grapalat" w:cs="GHEA Grapalat"/>
          <w:bCs/>
          <w:lang w:val="af-ZA"/>
        </w:rPr>
        <w:t xml:space="preserve">և </w:t>
      </w:r>
      <w:r w:rsidR="008C5E43" w:rsidRPr="00C921DE">
        <w:rPr>
          <w:rFonts w:ascii="GHEA Grapalat" w:hAnsi="GHEA Grapalat" w:cs="GHEA Grapalat"/>
          <w:bCs/>
          <w:lang w:val="af-ZA"/>
        </w:rPr>
        <w:t>13 զբոսաշրջ</w:t>
      </w:r>
      <w:r w:rsidRPr="00C921DE">
        <w:rPr>
          <w:rFonts w:ascii="GHEA Grapalat" w:hAnsi="GHEA Grapalat" w:cs="GHEA Grapalat"/>
          <w:bCs/>
          <w:lang w:val="af-ZA"/>
        </w:rPr>
        <w:t xml:space="preserve">ային օբյեկտներ ցույց տվող նշաններ, վերականգնվել են 23162 գծմ մետաղական արգելափակոցներ։ Իրականացվել </w:t>
      </w:r>
      <w:r w:rsidR="008C5E43" w:rsidRPr="00C921DE">
        <w:rPr>
          <w:rFonts w:ascii="GHEA Grapalat" w:hAnsi="GHEA Grapalat" w:cs="GHEA Grapalat"/>
          <w:bCs/>
          <w:lang w:val="af-ZA"/>
        </w:rPr>
        <w:t>են</w:t>
      </w:r>
      <w:r w:rsidRPr="00C921DE">
        <w:rPr>
          <w:rFonts w:ascii="GHEA Grapalat" w:hAnsi="GHEA Grapalat" w:cs="GHEA Grapalat"/>
          <w:bCs/>
          <w:lang w:val="af-ZA"/>
        </w:rPr>
        <w:t xml:space="preserve"> </w:t>
      </w:r>
      <w:r w:rsidR="00314AEC" w:rsidRPr="00C921DE">
        <w:rPr>
          <w:rFonts w:ascii="GHEA Grapalat" w:hAnsi="GHEA Grapalat" w:cs="GHEA Grapalat"/>
          <w:bCs/>
          <w:lang w:val="af-ZA"/>
        </w:rPr>
        <w:t>մ</w:t>
      </w:r>
      <w:r w:rsidR="00AD6C7C" w:rsidRPr="00C921DE">
        <w:rPr>
          <w:rFonts w:ascii="GHEA Grapalat" w:hAnsi="GHEA Grapalat" w:cs="GHEA Grapalat"/>
          <w:bCs/>
          <w:lang w:val="af-ZA"/>
        </w:rPr>
        <w:t xml:space="preserve">իջպետական և հանրապետական նշանակության ավտոմոբիլային ճանապարհների 2853.3 կմ ընթացիկ ամառային և 3229.6 կմ ընթացիկ ձմեռային պահպանման աշխատանքներ, ընդհանուր օգտագործման ավտոմոբիլային ճանապարհների վրա գտնվող և առանձին պահպանման հանձնվող 3 թունելների, 5 կամուրջների, 765.310 կմ պարսպող համակարգերի պահպանման և գծանշման աշխատանքներ: 2023 թվականին իրականացվել է Գեղարքունիքի, Լոռու, Շիրակի, Սյունիքի, Վայոց ձորի, Տավուշի,Արագածոտնի,Արարատի,Կոտայքի և Արմավիրի մարզերի </w:t>
      </w:r>
      <w:r w:rsidRPr="00C921DE">
        <w:rPr>
          <w:rFonts w:ascii="GHEA Grapalat" w:hAnsi="GHEA Grapalat" w:cs="GHEA Grapalat"/>
          <w:bCs/>
          <w:lang w:val="af-ZA"/>
        </w:rPr>
        <w:t xml:space="preserve">միջպետական և հանրապետական </w:t>
      </w:r>
      <w:r w:rsidR="00AD6C7C" w:rsidRPr="00C921DE">
        <w:rPr>
          <w:rFonts w:ascii="GHEA Grapalat" w:hAnsi="GHEA Grapalat" w:cs="GHEA Grapalat"/>
          <w:bCs/>
          <w:lang w:val="af-ZA"/>
        </w:rPr>
        <w:t xml:space="preserve">նշանակության ավտոմոբիլային </w:t>
      </w:r>
      <w:r w:rsidRPr="00C921DE">
        <w:rPr>
          <w:rFonts w:ascii="GHEA Grapalat" w:hAnsi="GHEA Grapalat" w:cs="GHEA Grapalat"/>
          <w:bCs/>
          <w:lang w:val="af-ZA"/>
        </w:rPr>
        <w:t>ճանապարհների 4</w:t>
      </w:r>
      <w:r w:rsidR="00780F02" w:rsidRPr="00C921DE">
        <w:rPr>
          <w:rFonts w:ascii="GHEA Grapalat" w:hAnsi="GHEA Grapalat" w:cs="GHEA Grapalat"/>
          <w:bCs/>
          <w:lang w:val="af-ZA"/>
        </w:rPr>
        <w:t>34050</w:t>
      </w:r>
      <w:r w:rsidR="008C5E43" w:rsidRPr="00C921DE">
        <w:rPr>
          <w:rFonts w:ascii="GHEA Grapalat" w:hAnsi="GHEA Grapalat" w:cs="GHEA Grapalat"/>
          <w:bCs/>
          <w:lang w:val="af-ZA"/>
        </w:rPr>
        <w:t xml:space="preserve"> </w:t>
      </w:r>
      <w:r w:rsidRPr="00C921DE">
        <w:rPr>
          <w:rFonts w:ascii="GHEA Grapalat" w:hAnsi="GHEA Grapalat" w:cs="GHEA Grapalat"/>
          <w:bCs/>
          <w:lang w:val="af-ZA"/>
        </w:rPr>
        <w:t>քմ գծանշման աշխատանքներ, որից 48</w:t>
      </w:r>
      <w:r w:rsidR="00780F02" w:rsidRPr="00C921DE">
        <w:rPr>
          <w:rFonts w:ascii="GHEA Grapalat" w:hAnsi="GHEA Grapalat" w:cs="GHEA Grapalat"/>
          <w:bCs/>
          <w:lang w:val="af-ZA"/>
        </w:rPr>
        <w:t>670</w:t>
      </w:r>
      <w:r w:rsidRPr="00C921DE">
        <w:rPr>
          <w:rFonts w:ascii="GHEA Grapalat" w:hAnsi="GHEA Grapalat" w:cs="GHEA Grapalat"/>
          <w:bCs/>
          <w:lang w:val="af-ZA"/>
        </w:rPr>
        <w:t xml:space="preserve"> քմ</w:t>
      </w:r>
      <w:r w:rsidR="008C5E43" w:rsidRPr="00C921DE">
        <w:rPr>
          <w:rFonts w:ascii="GHEA Grapalat" w:hAnsi="GHEA Grapalat" w:cs="GHEA Grapalat"/>
          <w:bCs/>
          <w:lang w:val="af-ZA"/>
        </w:rPr>
        <w:t>-ը՝</w:t>
      </w:r>
      <w:r w:rsidRPr="00C921DE">
        <w:rPr>
          <w:rFonts w:ascii="GHEA Grapalat" w:hAnsi="GHEA Grapalat" w:cs="GHEA Grapalat"/>
          <w:bCs/>
          <w:lang w:val="af-ZA"/>
        </w:rPr>
        <w:t xml:space="preserve"> ջերմաթաղա</w:t>
      </w:r>
      <w:r w:rsidR="00780F02" w:rsidRPr="00C921DE">
        <w:rPr>
          <w:rFonts w:ascii="GHEA Grapalat" w:hAnsi="GHEA Grapalat" w:cs="GHEA Grapalat"/>
          <w:bCs/>
          <w:lang w:val="af-ZA"/>
        </w:rPr>
        <w:t>նթով: Ավարտին են հասցվել 26</w:t>
      </w:r>
      <w:r w:rsidRPr="00C921DE">
        <w:rPr>
          <w:rFonts w:ascii="GHEA Grapalat" w:hAnsi="GHEA Grapalat" w:cs="GHEA Grapalat"/>
          <w:bCs/>
          <w:lang w:val="af-ZA"/>
        </w:rPr>
        <w:t xml:space="preserve"> «սև կետերի» վերացման և 38 կմ երկարությամբ ճանապարհահատվածում անվտանգության տարրերի բարելավման աշխատանքները</w:t>
      </w:r>
      <w:r w:rsidR="008C5E43" w:rsidRPr="00C921DE">
        <w:rPr>
          <w:rFonts w:ascii="GHEA Grapalat" w:hAnsi="GHEA Grapalat" w:cs="GHEA Grapalat"/>
          <w:bCs/>
          <w:lang w:val="af-ZA"/>
        </w:rPr>
        <w:t>.</w:t>
      </w:r>
      <w:r w:rsidRPr="00C921DE">
        <w:rPr>
          <w:rFonts w:ascii="GHEA Grapalat" w:hAnsi="GHEA Grapalat" w:cs="GHEA Grapalat"/>
          <w:bCs/>
          <w:lang w:val="af-ZA"/>
        </w:rPr>
        <w:t xml:space="preserve"> </w:t>
      </w:r>
    </w:p>
    <w:p w14:paraId="2B408F06"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Ավարտվել են</w:t>
      </w:r>
      <w:r w:rsidR="006B5113" w:rsidRPr="00C921DE">
        <w:rPr>
          <w:rFonts w:ascii="GHEA Grapalat" w:hAnsi="GHEA Grapalat" w:cs="GHEA Grapalat"/>
          <w:bCs/>
          <w:lang w:val="af-ZA"/>
        </w:rPr>
        <w:t xml:space="preserve"> </w:t>
      </w:r>
      <w:r w:rsidRPr="00C921DE">
        <w:rPr>
          <w:rFonts w:ascii="GHEA Grapalat" w:hAnsi="GHEA Grapalat" w:cs="GHEA Grapalat"/>
          <w:bCs/>
          <w:lang w:val="af-ZA"/>
        </w:rPr>
        <w:t>Մ-6, Վանաձոր-Ալավերդի-Բագրատաշեն միջպետական նշանակության ճանապարհի 51.13 կմ երկարությամբ հատվածի վերակառուցման շինարարական աշխատանքները։</w:t>
      </w:r>
      <w:r w:rsidRPr="00C921DE">
        <w:rPr>
          <w:bCs/>
          <w:lang w:val="af-ZA"/>
        </w:rPr>
        <w:t> </w:t>
      </w:r>
      <w:r w:rsidRPr="00C921DE">
        <w:rPr>
          <w:rFonts w:ascii="GHEA Grapalat" w:hAnsi="GHEA Grapalat" w:cs="GHEA Grapalat"/>
          <w:bCs/>
          <w:lang w:val="af-ZA"/>
        </w:rPr>
        <w:t>Ծրագրի շրջանակում իրականացվել են նաև քարաթափումներից պաշտպանու</w:t>
      </w:r>
      <w:r w:rsidR="008C5E43" w:rsidRPr="00C921DE">
        <w:rPr>
          <w:rFonts w:ascii="GHEA Grapalat" w:hAnsi="GHEA Grapalat" w:cs="GHEA Grapalat"/>
          <w:bCs/>
          <w:lang w:val="af-ZA"/>
        </w:rPr>
        <w:t>թյան լրացուցիչ միջոցառումներ.</w:t>
      </w:r>
    </w:p>
    <w:p w14:paraId="66BB9D23" w14:textId="3F8ECC84"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Հյուսիս-հարավ ճանապարհային միջանցքի ծրագրի Տրանշ 2-ի՝ Աշտարակ-Թալին 42 կմ հատվածի վերակառուցման գործող ծրագրի շրջանակներում շինարարական աշխատանքները մեկնարկել են Ագարակի հնագիտական վայրը շրջանցող 8 կմ և անավարտ 34 կմ հատվածներում: Ագարակի հնագիտական վայրը շրջ</w:t>
      </w:r>
      <w:r w:rsidR="008C5E43" w:rsidRPr="00C921DE">
        <w:rPr>
          <w:rFonts w:ascii="GHEA Grapalat" w:hAnsi="GHEA Grapalat" w:cs="GHEA Grapalat"/>
          <w:bCs/>
          <w:lang w:val="af-ZA"/>
        </w:rPr>
        <w:t>ա</w:t>
      </w:r>
      <w:r w:rsidRPr="00C921DE">
        <w:rPr>
          <w:rFonts w:ascii="GHEA Grapalat" w:hAnsi="GHEA Grapalat" w:cs="GHEA Grapalat"/>
          <w:bCs/>
          <w:lang w:val="af-ZA"/>
        </w:rPr>
        <w:t xml:space="preserve">նցող 8 կմ հատվածում կատարված աշխատանքների առաջընթացը կազմում է շուրջ 36 տոկոս, ավարտը նախատեսվում է 2024 թվականին։ 34 կմ հատվածի շինարարական աշխատանքները մեկնարկել են Աշտարակ-Թալին ճանապարհահատվածի </w:t>
      </w:r>
      <w:r w:rsidRPr="00C921DE">
        <w:rPr>
          <w:rFonts w:ascii="GHEA Grapalat" w:hAnsi="GHEA Grapalat" w:cs="GHEA Grapalat"/>
          <w:bCs/>
          <w:lang w:val="af-ZA"/>
        </w:rPr>
        <w:lastRenderedPageBreak/>
        <w:t>կմ60+100–կմ71+435 հատվածում, ինչի շնորհիվ երթևեկությունն արդեն իսկ</w:t>
      </w:r>
      <w:r w:rsidR="00A357A0" w:rsidRPr="00C921DE">
        <w:rPr>
          <w:rFonts w:ascii="GHEA Grapalat" w:hAnsi="GHEA Grapalat" w:cs="GHEA Grapalat"/>
          <w:bCs/>
          <w:lang w:val="af-ZA"/>
        </w:rPr>
        <w:t xml:space="preserve"> իրականացվում է նշված հատվածով.</w:t>
      </w:r>
    </w:p>
    <w:p w14:paraId="46883E40"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Ավարտվել են Տրանշ 3</w:t>
      </w:r>
      <w:r w:rsidR="00A357A0" w:rsidRPr="00C921DE">
        <w:rPr>
          <w:rFonts w:ascii="GHEA Grapalat" w:hAnsi="GHEA Grapalat" w:cs="GHEA Grapalat"/>
          <w:bCs/>
          <w:lang w:val="af-ZA"/>
        </w:rPr>
        <w:t>-ի շրջանակներում Թալին-Լանջիկ</w:t>
      </w:r>
      <w:r w:rsidRPr="00C921DE">
        <w:rPr>
          <w:rFonts w:ascii="GHEA Grapalat" w:hAnsi="GHEA Grapalat" w:cs="GHEA Grapalat"/>
          <w:bCs/>
          <w:lang w:val="af-ZA"/>
        </w:rPr>
        <w:t xml:space="preserve"> 18</w:t>
      </w:r>
      <w:r w:rsidRPr="00C921DE">
        <w:rPr>
          <w:rFonts w:ascii="Cambria Math" w:hAnsi="Cambria Math" w:cs="Cambria Math"/>
          <w:bCs/>
          <w:lang w:val="af-ZA"/>
        </w:rPr>
        <w:t>․</w:t>
      </w:r>
      <w:r w:rsidRPr="00C921DE">
        <w:rPr>
          <w:rFonts w:ascii="GHEA Grapalat" w:hAnsi="GHEA Grapalat" w:cs="GHEA Grapalat"/>
          <w:bCs/>
          <w:lang w:val="af-ZA"/>
        </w:rPr>
        <w:t xml:space="preserve">7 կմ հատվածի հիմնական աշխատանքները և ընդունվել </w:t>
      </w:r>
      <w:r w:rsidR="00A357A0" w:rsidRPr="00C921DE">
        <w:rPr>
          <w:rFonts w:ascii="GHEA Grapalat" w:hAnsi="GHEA Grapalat" w:cs="GHEA Grapalat"/>
          <w:bCs/>
          <w:lang w:val="af-ZA"/>
        </w:rPr>
        <w:t>ի</w:t>
      </w:r>
      <w:r w:rsidRPr="00C921DE">
        <w:rPr>
          <w:rFonts w:ascii="GHEA Grapalat" w:hAnsi="GHEA Grapalat" w:cs="GHEA Grapalat"/>
          <w:bCs/>
          <w:lang w:val="af-ZA"/>
        </w:rPr>
        <w:t>նժեների կողմից։ Ճանապարհահատվածի 1</w:t>
      </w:r>
      <w:r w:rsidRPr="00C921DE">
        <w:rPr>
          <w:rFonts w:ascii="Cambria Math" w:hAnsi="Cambria Math" w:cs="Cambria Math"/>
          <w:bCs/>
          <w:lang w:val="af-ZA"/>
        </w:rPr>
        <w:t>․</w:t>
      </w:r>
      <w:r w:rsidRPr="00C921DE">
        <w:rPr>
          <w:rFonts w:ascii="GHEA Grapalat" w:hAnsi="GHEA Grapalat" w:cs="GHEA Grapalat"/>
          <w:bCs/>
          <w:lang w:val="af-ZA"/>
        </w:rPr>
        <w:t>8 կմ հատվածում քարաթափման վտանգի կանխարգելման նպատակով նախաձեռնվել են հավելյալ անվտանգության հենապատերի կառուցման աշխատանքներ, որոնք</w:t>
      </w:r>
      <w:r w:rsidR="006B5113" w:rsidRPr="00C921DE">
        <w:rPr>
          <w:rFonts w:ascii="GHEA Grapalat" w:hAnsi="GHEA Grapalat" w:cs="GHEA Grapalat"/>
          <w:bCs/>
          <w:lang w:val="af-ZA"/>
        </w:rPr>
        <w:t xml:space="preserve"> </w:t>
      </w:r>
      <w:r w:rsidRPr="00C921DE">
        <w:rPr>
          <w:rFonts w:ascii="GHEA Grapalat" w:hAnsi="GHEA Grapalat" w:cs="GHEA Grapalat"/>
          <w:bCs/>
          <w:lang w:val="af-ZA"/>
        </w:rPr>
        <w:t>կմեկնարկեն 2024</w:t>
      </w:r>
      <w:r w:rsidR="00A357A0" w:rsidRPr="00C921DE">
        <w:rPr>
          <w:rFonts w:ascii="GHEA Grapalat" w:hAnsi="GHEA Grapalat" w:cs="GHEA Grapalat"/>
          <w:bCs/>
          <w:lang w:val="af-ZA"/>
        </w:rPr>
        <w:t xml:space="preserve"> </w:t>
      </w:r>
      <w:r w:rsidRPr="00C921DE">
        <w:rPr>
          <w:rFonts w:ascii="GHEA Grapalat" w:hAnsi="GHEA Grapalat" w:cs="GHEA Grapalat"/>
          <w:bCs/>
          <w:lang w:val="af-ZA"/>
        </w:rPr>
        <w:t>թ</w:t>
      </w:r>
      <w:r w:rsidR="00A357A0" w:rsidRPr="00C921DE">
        <w:rPr>
          <w:rFonts w:ascii="GHEA Grapalat" w:hAnsi="GHEA Grapalat" w:cs="GHEA Grapalat"/>
          <w:bCs/>
          <w:lang w:val="af-ZA"/>
        </w:rPr>
        <w:t>վականի</w:t>
      </w:r>
      <w:r w:rsidRPr="00C921DE">
        <w:rPr>
          <w:rFonts w:ascii="GHEA Grapalat" w:hAnsi="GHEA Grapalat" w:cs="GHEA Grapalat"/>
          <w:bCs/>
          <w:lang w:val="af-ZA"/>
        </w:rPr>
        <w:t xml:space="preserve"> գարնանը։ Լանջիկ-Գյումրի ճանապարհահատվածում (23 կմ) իրականացվել է երկու ուղղությամբ եռաշերտ ասֆալտբետոնե ծածկի տեղադրում 26 կմ հիմնական և 5 կմ մոտեցնող ճանապարհներին ու հանգույցներում։ Իրականացվել է շինա</w:t>
      </w:r>
      <w:r w:rsidR="00A357A0" w:rsidRPr="00C921DE">
        <w:rPr>
          <w:rFonts w:ascii="GHEA Grapalat" w:hAnsi="GHEA Grapalat" w:cs="GHEA Grapalat"/>
          <w:bCs/>
          <w:lang w:val="af-ZA"/>
        </w:rPr>
        <w:t>րարական աշխատանքների 70 տոկոսը.</w:t>
      </w:r>
    </w:p>
    <w:p w14:paraId="73C904B9"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Տրանշ 4-ի Սիսիան-Քաջարան 60 կմ երկարությամբ նոր ճանապարհահատվածի կառուցման մանրամասն նախագիծը և շինարարության նախահաշիվը պատրաստ է: Ավարտվել է ծրագրի տեխնիկատնտեսական հետազոտությունը, իրականացվել է երթևեկության հոսքերի կրկնակի ուսումնասիրում (հաշվարկ), իրականացվել է նախագծի շրջակա միջավայրի վրա ազդեցության փորձաքննությունը, մշակվել է ծրագրի ազդեցության հողերի օտարման և վերաբնակեցման շրջանակը և փոխհատուցման սկզբունքները փաստաթուղթը, որը հաստատվել է միջազգային վարկային կազմակերպությունների կողմից։ Շարունակվում են Սիսիան-Քաջարան ճանապարհահատվածի կառուցման ֆինանսավորման և մրցութային գործընթացի վերաբերյալ բանակցությունները, որոնք իրականացվում են Վերակառուցման և զարգացման եվրոպական բանկի, Եվրոպական ներդրումային բանկ</w:t>
      </w:r>
      <w:r w:rsidR="00483381" w:rsidRPr="00C921DE">
        <w:rPr>
          <w:rFonts w:ascii="GHEA Grapalat" w:hAnsi="GHEA Grapalat" w:cs="GHEA Grapalat"/>
          <w:bCs/>
          <w:lang w:val="af-ZA"/>
        </w:rPr>
        <w:t>ի և Ասիական զարգացման բանկի հետ.</w:t>
      </w:r>
    </w:p>
    <w:p w14:paraId="01C7277E"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Տրանշ 4</w:t>
      </w:r>
      <w:r w:rsidR="00483381" w:rsidRPr="00C921DE">
        <w:rPr>
          <w:rFonts w:ascii="GHEA Grapalat" w:hAnsi="GHEA Grapalat" w:cs="GHEA Grapalat"/>
          <w:bCs/>
          <w:lang w:val="af-ZA"/>
        </w:rPr>
        <w:t>-ի</w:t>
      </w:r>
      <w:r w:rsidRPr="00C921DE">
        <w:rPr>
          <w:rFonts w:ascii="GHEA Grapalat" w:hAnsi="GHEA Grapalat" w:cs="GHEA Grapalat"/>
          <w:bCs/>
          <w:lang w:val="af-ZA"/>
        </w:rPr>
        <w:t>՝ Քաջարան-Ագարակ (Իրանի սահման) 32 կմ ճանապարհահատվածի վերակառուցման իրականացված միջազգային մրցութային գործընթացների արդյունքում ճանապարհի վերակառուցման պայմանագիր է կնքվել իրանական «Abad Rahan Pars International Group» և «Tunnel Sadd Ariana» համատեղ գործող ընկերությունների հետ և տեխնիկական հսկողության պայմանագիր՝ խորվաթական «IGH ինստիտուտ» կազմակերպութան հետ։ Շինարարական աշխատանքները մեկնարկելու նպատակով իրականացվել են նախապատրաստական աշխատանքներ (տրամադրվել է կանխավճար, ընթ</w:t>
      </w:r>
      <w:r w:rsidR="000548F2" w:rsidRPr="00C921DE">
        <w:rPr>
          <w:rFonts w:ascii="GHEA Grapalat" w:hAnsi="GHEA Grapalat" w:cs="GHEA Grapalat"/>
          <w:bCs/>
          <w:lang w:val="af-ZA"/>
        </w:rPr>
        <w:t>ացքի մեջ է օտարման գործընթացը).</w:t>
      </w:r>
    </w:p>
    <w:p w14:paraId="5042D108"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Տրանշ 4</w:t>
      </w:r>
      <w:r w:rsidR="000548F2" w:rsidRPr="00C921DE">
        <w:rPr>
          <w:rFonts w:ascii="GHEA Grapalat" w:hAnsi="GHEA Grapalat" w:cs="GHEA Grapalat"/>
          <w:bCs/>
          <w:lang w:val="af-ZA"/>
        </w:rPr>
        <w:t>-ի</w:t>
      </w:r>
      <w:r w:rsidRPr="00C921DE">
        <w:rPr>
          <w:rFonts w:ascii="GHEA Grapalat" w:hAnsi="GHEA Grapalat" w:cs="GHEA Grapalat"/>
          <w:bCs/>
          <w:lang w:val="af-ZA"/>
        </w:rPr>
        <w:t>՝ Քաջարանի թունելի կառուցման հեռանկարային ծրագրի իրականացման նպատակով ՀՀ ֆինանսների նախարարությունը նախաձեռնել է համապատասխան բանակցություններ ֆինանսական դոնորների հետ, մասնավորապես՝ Եվրասիական զարգացման բանկի հետ։ Ֆինանսական միջոցների ներգրավման նպատակով</w:t>
      </w:r>
      <w:r w:rsidR="006B5113" w:rsidRPr="00C921DE">
        <w:rPr>
          <w:rFonts w:ascii="GHEA Grapalat" w:hAnsi="GHEA Grapalat" w:cs="GHEA Grapalat"/>
          <w:bCs/>
          <w:lang w:val="af-ZA"/>
        </w:rPr>
        <w:t xml:space="preserve"> </w:t>
      </w:r>
      <w:r w:rsidRPr="00C921DE">
        <w:rPr>
          <w:rFonts w:ascii="GHEA Grapalat" w:hAnsi="GHEA Grapalat" w:cs="GHEA Grapalat"/>
          <w:bCs/>
          <w:lang w:val="af-ZA"/>
        </w:rPr>
        <w:t xml:space="preserve">բանակցություններ են ընթանում </w:t>
      </w:r>
      <w:r w:rsidRPr="00C921DE">
        <w:rPr>
          <w:rFonts w:ascii="GHEA Grapalat" w:hAnsi="GHEA Grapalat" w:cs="GHEA Grapalat"/>
          <w:bCs/>
          <w:lang w:val="af-ZA"/>
        </w:rPr>
        <w:lastRenderedPageBreak/>
        <w:t xml:space="preserve">Վերակառուցման և զարգացման եվրոպական, Եվրոպական ներդրումային </w:t>
      </w:r>
      <w:r w:rsidR="000548F2" w:rsidRPr="00C921DE">
        <w:rPr>
          <w:rFonts w:ascii="GHEA Grapalat" w:hAnsi="GHEA Grapalat" w:cs="GHEA Grapalat"/>
          <w:bCs/>
          <w:lang w:val="af-ZA"/>
        </w:rPr>
        <w:t>և Ասիական զարգացման բանկերի հետ.</w:t>
      </w:r>
    </w:p>
    <w:p w14:paraId="2E5A0BF5"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Տրանշ 4</w:t>
      </w:r>
      <w:r w:rsidR="000548F2" w:rsidRPr="00C921DE">
        <w:rPr>
          <w:rFonts w:ascii="GHEA Grapalat" w:hAnsi="GHEA Grapalat" w:cs="GHEA Grapalat"/>
          <w:bCs/>
          <w:lang w:val="af-ZA"/>
        </w:rPr>
        <w:t>-ի</w:t>
      </w:r>
      <w:r w:rsidRPr="00C921DE">
        <w:rPr>
          <w:rFonts w:ascii="GHEA Grapalat" w:hAnsi="GHEA Grapalat" w:cs="GHEA Grapalat"/>
          <w:bCs/>
          <w:lang w:val="af-ZA"/>
        </w:rPr>
        <w:t>՝ Աշտարակ-Սիսիան ճանապարհահատվածի մանրամասն նախագծային աշխատանքները մշակելու նպատակով կազմվել է համապատասխան տեխնիկական առաջադրանք</w:t>
      </w:r>
      <w:r w:rsidR="000548F2" w:rsidRPr="00C921DE">
        <w:rPr>
          <w:rFonts w:ascii="GHEA Grapalat" w:hAnsi="GHEA Grapalat" w:cs="GHEA Grapalat"/>
          <w:bCs/>
          <w:lang w:val="af-ZA"/>
        </w:rPr>
        <w:t>,</w:t>
      </w:r>
      <w:r w:rsidRPr="00C921DE">
        <w:rPr>
          <w:rFonts w:ascii="GHEA Grapalat" w:hAnsi="GHEA Grapalat" w:cs="GHEA Grapalat"/>
          <w:bCs/>
          <w:lang w:val="af-ZA"/>
        </w:rPr>
        <w:t xml:space="preserve"> և համապատասխան ֆինանսավորման պարագայում՝ մանրամաս</w:t>
      </w:r>
      <w:r w:rsidR="000548F2" w:rsidRPr="00C921DE">
        <w:rPr>
          <w:rFonts w:ascii="GHEA Grapalat" w:hAnsi="GHEA Grapalat" w:cs="GHEA Grapalat"/>
          <w:bCs/>
          <w:lang w:val="af-ZA"/>
        </w:rPr>
        <w:t>ն նախագծման մրցույթ կհայտարարվի.</w:t>
      </w:r>
    </w:p>
    <w:p w14:paraId="4F897DA2"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Դիլիջանի, Պուշկինի և Նալբանդի (Սպիտակի) թունելների վերականգնման նպատակով իրականա</w:t>
      </w:r>
      <w:r w:rsidR="000548F2" w:rsidRPr="00C921DE">
        <w:rPr>
          <w:rFonts w:ascii="GHEA Grapalat" w:hAnsi="GHEA Grapalat" w:cs="GHEA Grapalat"/>
          <w:bCs/>
          <w:lang w:val="af-ZA"/>
        </w:rPr>
        <w:t>ցվում են նախագծային աշխատանքներ.</w:t>
      </w:r>
    </w:p>
    <w:p w14:paraId="68A5A291"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2023 թվականին ավարտվել են 4 կամուրջների, 1 վերգետնյա հետիոտնային անցման, 2 տրանսպորտային հանգույցի (հենապատեր) հիմնանորոգման և կառուցման աշխատանքները: 2023</w:t>
      </w:r>
      <w:r w:rsidR="000548F2" w:rsidRPr="00C921DE">
        <w:rPr>
          <w:rFonts w:ascii="GHEA Grapalat" w:hAnsi="GHEA Grapalat" w:cs="GHEA Grapalat"/>
          <w:bCs/>
          <w:lang w:val="af-ZA"/>
        </w:rPr>
        <w:t xml:space="preserve"> </w:t>
      </w:r>
      <w:r w:rsidRPr="00C921DE">
        <w:rPr>
          <w:rFonts w:ascii="GHEA Grapalat" w:hAnsi="GHEA Grapalat" w:cs="GHEA Grapalat"/>
          <w:bCs/>
          <w:lang w:val="af-ZA"/>
        </w:rPr>
        <w:t>թ</w:t>
      </w:r>
      <w:r w:rsidR="000548F2" w:rsidRPr="00C921DE">
        <w:rPr>
          <w:rFonts w:ascii="GHEA Grapalat" w:hAnsi="GHEA Grapalat" w:cs="GHEA Grapalat"/>
          <w:bCs/>
          <w:lang w:val="af-ZA"/>
        </w:rPr>
        <w:t>վականին</w:t>
      </w:r>
      <w:r w:rsidRPr="00C921DE">
        <w:rPr>
          <w:rFonts w:ascii="GHEA Grapalat" w:hAnsi="GHEA Grapalat" w:cs="GHEA Grapalat"/>
          <w:bCs/>
          <w:lang w:val="af-ZA"/>
        </w:rPr>
        <w:t xml:space="preserve"> մեկնարկել </w:t>
      </w:r>
      <w:r w:rsidR="000548F2" w:rsidRPr="00C921DE">
        <w:rPr>
          <w:rFonts w:ascii="GHEA Grapalat" w:hAnsi="GHEA Grapalat" w:cs="GHEA Grapalat"/>
          <w:bCs/>
          <w:lang w:val="af-ZA"/>
        </w:rPr>
        <w:t>են</w:t>
      </w:r>
      <w:r w:rsidRPr="00C921DE">
        <w:rPr>
          <w:rFonts w:ascii="GHEA Grapalat" w:hAnsi="GHEA Grapalat" w:cs="GHEA Grapalat"/>
          <w:bCs/>
          <w:lang w:val="af-ZA"/>
        </w:rPr>
        <w:t xml:space="preserve"> ևս 1 կամրջի և 2 տրանսպորտային հանգո</w:t>
      </w:r>
      <w:r w:rsidR="000548F2" w:rsidRPr="00C921DE">
        <w:rPr>
          <w:rFonts w:ascii="GHEA Grapalat" w:hAnsi="GHEA Grapalat" w:cs="GHEA Grapalat"/>
          <w:bCs/>
          <w:lang w:val="af-ZA"/>
        </w:rPr>
        <w:t>ւյցի հիմնանորոգման աշխատանքները.</w:t>
      </w:r>
    </w:p>
    <w:p w14:paraId="355A720A"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Իրականացվել են միջպետական և հանրապետական նշանակության ավտոճանապարհների 28</w:t>
      </w:r>
      <w:r w:rsidR="00876EBB" w:rsidRPr="00C921DE">
        <w:rPr>
          <w:rFonts w:ascii="GHEA Grapalat" w:hAnsi="GHEA Grapalat" w:cs="GHEA Grapalat"/>
          <w:bCs/>
          <w:lang w:val="af-ZA"/>
        </w:rPr>
        <w:t>53.3 կմ ընթացիկ ամառային և 3229.6</w:t>
      </w:r>
      <w:r w:rsidRPr="00C921DE">
        <w:rPr>
          <w:rFonts w:ascii="GHEA Grapalat" w:hAnsi="GHEA Grapalat" w:cs="GHEA Grapalat"/>
          <w:bCs/>
          <w:lang w:val="af-ZA"/>
        </w:rPr>
        <w:t xml:space="preserve"> կմ ընթացիկ ձմեռային պահպանման աշխատանքներ,</w:t>
      </w:r>
      <w:r w:rsidR="006B5113" w:rsidRPr="00C921DE">
        <w:rPr>
          <w:rFonts w:ascii="GHEA Grapalat" w:hAnsi="GHEA Grapalat" w:cs="GHEA Grapalat"/>
          <w:bCs/>
          <w:lang w:val="af-ZA"/>
        </w:rPr>
        <w:t xml:space="preserve"> </w:t>
      </w:r>
      <w:r w:rsidRPr="00C921DE">
        <w:rPr>
          <w:rFonts w:ascii="GHEA Grapalat" w:hAnsi="GHEA Grapalat" w:cs="GHEA Grapalat"/>
          <w:bCs/>
          <w:lang w:val="af-ZA"/>
        </w:rPr>
        <w:t>ընդհանուր օգտագործման ավտոմոբիլային ճանապարհների վրա գտնվող և առանձին պահպանման հանձնվող 3 թունելների, 5 կամուրջների, 880</w:t>
      </w:r>
      <w:r w:rsidRPr="00C921DE">
        <w:rPr>
          <w:rFonts w:ascii="Cambria Math" w:hAnsi="Cambria Math" w:cs="Cambria Math"/>
          <w:bCs/>
          <w:lang w:val="af-ZA"/>
        </w:rPr>
        <w:t>․</w:t>
      </w:r>
      <w:r w:rsidRPr="00C921DE">
        <w:rPr>
          <w:rFonts w:ascii="GHEA Grapalat" w:hAnsi="GHEA Grapalat" w:cs="GHEA Grapalat"/>
          <w:bCs/>
          <w:lang w:val="af-ZA"/>
        </w:rPr>
        <w:t>447 կմ պարսպող համ</w:t>
      </w:r>
      <w:r w:rsidR="009778E9" w:rsidRPr="00C921DE">
        <w:rPr>
          <w:rFonts w:ascii="GHEA Grapalat" w:hAnsi="GHEA Grapalat" w:cs="GHEA Grapalat"/>
          <w:bCs/>
          <w:lang w:val="af-ZA"/>
        </w:rPr>
        <w:t>ակարգերի պահպանման աշխատանքներ.</w:t>
      </w:r>
    </w:p>
    <w:p w14:paraId="69D5A98B" w14:textId="77777777" w:rsidR="006F33F1" w:rsidRPr="00C921DE" w:rsidRDefault="006F33F1" w:rsidP="001C2F9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Ուսումնասիրվել են ՀՀ ընդհանուր օգտագործման պետական ավտոմոբիլային ճանապարհների օտարման շերտում և պաշտպանական գոտում սպասարկման օբյեկտների և հաղորդակցուղիների տեղադրման, ինչպես նաև հողամասերի նպատակային նշանակության փոփոխության</w:t>
      </w:r>
      <w:r w:rsidRPr="00C921DE">
        <w:rPr>
          <w:bCs/>
          <w:lang w:val="af-ZA"/>
        </w:rPr>
        <w:t> </w:t>
      </w:r>
      <w:r w:rsidRPr="00C921DE">
        <w:rPr>
          <w:rFonts w:ascii="GHEA Grapalat" w:hAnsi="GHEA Grapalat" w:cs="GHEA Grapalat"/>
          <w:bCs/>
          <w:lang w:val="af-ZA"/>
        </w:rPr>
        <w:t>նպատակով ներկայացված շուրջ 900 փաթեթներ</w:t>
      </w:r>
      <w:r w:rsidR="009778E9" w:rsidRPr="00C921DE">
        <w:rPr>
          <w:rFonts w:ascii="GHEA Grapalat" w:hAnsi="GHEA Grapalat" w:cs="GHEA Grapalat"/>
          <w:bCs/>
          <w:lang w:val="af-ZA"/>
        </w:rPr>
        <w:t>,</w:t>
      </w:r>
      <w:r w:rsidRPr="00C921DE">
        <w:rPr>
          <w:rFonts w:ascii="GHEA Grapalat" w:hAnsi="GHEA Grapalat" w:cs="GHEA Grapalat"/>
          <w:bCs/>
          <w:lang w:val="af-ZA"/>
        </w:rPr>
        <w:t xml:space="preserve"> և հաղորդակցուղիների տեղադրման մասով տրվել են շուրջ 200 տեխնիկական պայմաններ։</w:t>
      </w:r>
    </w:p>
    <w:p w14:paraId="3BA72ECF" w14:textId="38852CFF" w:rsidR="006F33F1" w:rsidRPr="00C921DE" w:rsidRDefault="006F33F1" w:rsidP="0009752A">
      <w:pPr>
        <w:spacing w:line="360" w:lineRule="auto"/>
        <w:ind w:firstLine="567"/>
        <w:jc w:val="both"/>
        <w:rPr>
          <w:rFonts w:ascii="GHEA Grapalat" w:hAnsi="GHEA Grapalat"/>
          <w:sz w:val="22"/>
          <w:szCs w:val="22"/>
        </w:rPr>
      </w:pPr>
    </w:p>
    <w:p w14:paraId="0ED65A66" w14:textId="77777777" w:rsidR="001C411D" w:rsidRPr="00C921DE" w:rsidRDefault="001C411D" w:rsidP="007A6E1F">
      <w:pPr>
        <w:pStyle w:val="Heading2"/>
        <w:spacing w:before="0"/>
      </w:pPr>
      <w:bookmarkStart w:id="22" w:name="_Toc163745420"/>
      <w:r w:rsidRPr="00C921DE">
        <w:t>Էներգետիկա</w:t>
      </w:r>
      <w:bookmarkEnd w:id="22"/>
    </w:p>
    <w:p w14:paraId="5056B99F" w14:textId="77777777" w:rsidR="00642D2F" w:rsidRPr="00C921DE" w:rsidRDefault="00642D2F" w:rsidP="009778E9">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էներգետիկայի բնագավառում աշխատանքներն ուղղված են եղել էներգետիկ համակարգի կայուն զարգացմանը և սպառողներին անխափան ու հուսալի էլեկտրամատակարարման և գազամատակարարման ապահովմանը:</w:t>
      </w:r>
    </w:p>
    <w:p w14:paraId="2A1BD5F1" w14:textId="4F2A2050" w:rsidR="00642D2F" w:rsidRPr="00C921DE" w:rsidRDefault="00642D2F" w:rsidP="009778E9">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000ADB" w:rsidRPr="00C921DE">
        <w:rPr>
          <w:rFonts w:ascii="GHEA Grapalat" w:hAnsi="GHEA Grapalat"/>
          <w:sz w:val="22"/>
          <w:szCs w:val="22"/>
          <w:lang w:val="en-US"/>
        </w:rPr>
        <w:t xml:space="preserve"> </w:t>
      </w:r>
      <w:r w:rsidRPr="00C921DE">
        <w:rPr>
          <w:rFonts w:ascii="GHEA Grapalat" w:hAnsi="GHEA Grapalat"/>
          <w:sz w:val="22"/>
          <w:szCs w:val="22"/>
        </w:rPr>
        <w:t>թ</w:t>
      </w:r>
      <w:r w:rsidR="00000ADB" w:rsidRPr="00C921DE">
        <w:rPr>
          <w:rFonts w:ascii="GHEA Grapalat" w:hAnsi="GHEA Grapalat"/>
          <w:sz w:val="22"/>
          <w:szCs w:val="22"/>
          <w:lang w:val="en-US"/>
        </w:rPr>
        <w:t>վական</w:t>
      </w:r>
      <w:r w:rsidRPr="00C921DE">
        <w:rPr>
          <w:rFonts w:ascii="GHEA Grapalat" w:hAnsi="GHEA Grapalat"/>
          <w:sz w:val="22"/>
          <w:szCs w:val="22"/>
        </w:rPr>
        <w:t>ին արտադրվել է 8,84</w:t>
      </w:r>
      <w:r w:rsidR="00F25ACD" w:rsidRPr="00C921DE">
        <w:rPr>
          <w:rFonts w:ascii="GHEA Grapalat" w:hAnsi="GHEA Grapalat"/>
          <w:sz w:val="22"/>
          <w:szCs w:val="22"/>
          <w:lang w:val="en-US"/>
        </w:rPr>
        <w:t>5.5</w:t>
      </w:r>
      <w:r w:rsidRPr="00C921DE">
        <w:rPr>
          <w:rFonts w:ascii="GHEA Grapalat" w:hAnsi="GHEA Grapalat"/>
          <w:sz w:val="22"/>
          <w:szCs w:val="22"/>
        </w:rPr>
        <w:t xml:space="preserve"> մլրդ կՎտժ էլեկտրաէներգիա</w:t>
      </w:r>
      <w:r w:rsidR="00000ADB" w:rsidRPr="00C921DE">
        <w:rPr>
          <w:rFonts w:ascii="GHEA Grapalat" w:hAnsi="GHEA Grapalat"/>
          <w:sz w:val="22"/>
          <w:szCs w:val="22"/>
          <w:lang w:val="en-US"/>
        </w:rPr>
        <w:t>,</w:t>
      </w:r>
      <w:r w:rsidRPr="00C921DE">
        <w:rPr>
          <w:rFonts w:ascii="GHEA Grapalat" w:hAnsi="GHEA Grapalat"/>
          <w:sz w:val="22"/>
          <w:szCs w:val="22"/>
        </w:rPr>
        <w:t xml:space="preserve"> այդ թվում</w:t>
      </w:r>
      <w:r w:rsidR="00000ADB" w:rsidRPr="00C921DE">
        <w:rPr>
          <w:rFonts w:ascii="GHEA Grapalat" w:hAnsi="GHEA Grapalat"/>
          <w:sz w:val="22"/>
          <w:szCs w:val="22"/>
          <w:lang w:val="en-US"/>
        </w:rPr>
        <w:t>՝</w:t>
      </w:r>
      <w:r w:rsidRPr="00C921DE">
        <w:rPr>
          <w:rFonts w:ascii="GHEA Grapalat" w:hAnsi="GHEA Grapalat"/>
          <w:sz w:val="22"/>
          <w:szCs w:val="22"/>
        </w:rPr>
        <w:t xml:space="preserve"> ԱԷԿ-</w:t>
      </w:r>
      <w:r w:rsidR="00000ADB" w:rsidRPr="00C921DE">
        <w:rPr>
          <w:rFonts w:ascii="GHEA Grapalat" w:hAnsi="GHEA Grapalat"/>
          <w:sz w:val="22"/>
          <w:szCs w:val="22"/>
          <w:lang w:val="en-US"/>
        </w:rPr>
        <w:t xml:space="preserve">ում՝ </w:t>
      </w:r>
      <w:r w:rsidRPr="00C921DE">
        <w:rPr>
          <w:rFonts w:ascii="GHEA Grapalat" w:hAnsi="GHEA Grapalat"/>
          <w:sz w:val="22"/>
          <w:szCs w:val="22"/>
        </w:rPr>
        <w:t>2,709</w:t>
      </w:r>
      <w:r w:rsidR="00000ADB" w:rsidRPr="00C921DE">
        <w:rPr>
          <w:rFonts w:ascii="Calibri" w:hAnsi="Calibri" w:cs="Calibri"/>
          <w:sz w:val="22"/>
          <w:szCs w:val="22"/>
          <w:lang w:val="en-US"/>
        </w:rPr>
        <w:t> </w:t>
      </w:r>
      <w:r w:rsidRPr="00C921DE">
        <w:rPr>
          <w:rFonts w:ascii="GHEA Grapalat" w:hAnsi="GHEA Grapalat"/>
          <w:sz w:val="22"/>
          <w:szCs w:val="22"/>
        </w:rPr>
        <w:t>մլրդ կՎտժ կամ 30.6%, ՋԷԿ-</w:t>
      </w:r>
      <w:r w:rsidR="00000ADB" w:rsidRPr="00C921DE">
        <w:rPr>
          <w:rFonts w:ascii="GHEA Grapalat" w:hAnsi="GHEA Grapalat"/>
          <w:sz w:val="22"/>
          <w:szCs w:val="22"/>
          <w:lang w:val="en-US"/>
        </w:rPr>
        <w:t>երում՝</w:t>
      </w:r>
      <w:r w:rsidRPr="00C921DE">
        <w:rPr>
          <w:rFonts w:ascii="GHEA Grapalat" w:hAnsi="GHEA Grapalat"/>
          <w:sz w:val="22"/>
          <w:szCs w:val="22"/>
        </w:rPr>
        <w:t xml:space="preserve"> 3,</w:t>
      </w:r>
      <w:r w:rsidR="00000ADB" w:rsidRPr="00C921DE">
        <w:rPr>
          <w:rFonts w:ascii="GHEA Grapalat" w:hAnsi="GHEA Grapalat"/>
          <w:sz w:val="22"/>
          <w:szCs w:val="22"/>
        </w:rPr>
        <w:t>71</w:t>
      </w:r>
      <w:r w:rsidR="00F25ACD" w:rsidRPr="00C921DE">
        <w:rPr>
          <w:rFonts w:ascii="GHEA Grapalat" w:hAnsi="GHEA Grapalat"/>
          <w:sz w:val="22"/>
          <w:szCs w:val="22"/>
          <w:lang w:val="en-US"/>
        </w:rPr>
        <w:t>6</w:t>
      </w:r>
      <w:r w:rsidR="00000ADB" w:rsidRPr="00C921DE">
        <w:rPr>
          <w:rFonts w:ascii="GHEA Grapalat" w:hAnsi="GHEA Grapalat"/>
          <w:sz w:val="22"/>
          <w:szCs w:val="22"/>
        </w:rPr>
        <w:t xml:space="preserve"> մլրդ կՎտժ կամ 4</w:t>
      </w:r>
      <w:r w:rsidR="00F25ACD" w:rsidRPr="00C921DE">
        <w:rPr>
          <w:rFonts w:ascii="GHEA Grapalat" w:hAnsi="GHEA Grapalat"/>
          <w:sz w:val="22"/>
          <w:szCs w:val="22"/>
          <w:lang w:val="en-US"/>
        </w:rPr>
        <w:t>2</w:t>
      </w:r>
      <w:r w:rsidR="00000ADB" w:rsidRPr="00C921DE">
        <w:rPr>
          <w:rFonts w:ascii="GHEA Grapalat" w:hAnsi="GHEA Grapalat"/>
          <w:sz w:val="22"/>
          <w:szCs w:val="22"/>
        </w:rPr>
        <w:t>%, ՀԷԿ-երում՝</w:t>
      </w:r>
      <w:r w:rsidRPr="00C921DE">
        <w:rPr>
          <w:rFonts w:ascii="GHEA Grapalat" w:hAnsi="GHEA Grapalat"/>
          <w:sz w:val="22"/>
          <w:szCs w:val="22"/>
        </w:rPr>
        <w:t xml:space="preserve"> 1,64</w:t>
      </w:r>
      <w:r w:rsidR="00F25ACD" w:rsidRPr="00C921DE">
        <w:rPr>
          <w:rFonts w:ascii="GHEA Grapalat" w:hAnsi="GHEA Grapalat"/>
          <w:sz w:val="22"/>
          <w:szCs w:val="22"/>
          <w:lang w:val="en-US"/>
        </w:rPr>
        <w:t>6</w:t>
      </w:r>
      <w:r w:rsidRPr="00C921DE">
        <w:rPr>
          <w:rFonts w:ascii="GHEA Grapalat" w:hAnsi="GHEA Grapalat"/>
          <w:sz w:val="22"/>
          <w:szCs w:val="22"/>
        </w:rPr>
        <w:t xml:space="preserve"> մլրդ կՎտժ կամ 18.6%, </w:t>
      </w:r>
      <w:r w:rsidR="00000ADB" w:rsidRPr="00C921DE">
        <w:rPr>
          <w:rFonts w:ascii="GHEA Grapalat" w:hAnsi="GHEA Grapalat"/>
          <w:sz w:val="22"/>
          <w:szCs w:val="22"/>
          <w:lang w:val="en-US"/>
        </w:rPr>
        <w:t>ա</w:t>
      </w:r>
      <w:r w:rsidRPr="00C921DE">
        <w:rPr>
          <w:rFonts w:ascii="GHEA Grapalat" w:hAnsi="GHEA Grapalat"/>
          <w:sz w:val="22"/>
          <w:szCs w:val="22"/>
        </w:rPr>
        <w:t>րևային կայաններ</w:t>
      </w:r>
      <w:r w:rsidR="00000ADB" w:rsidRPr="00C921DE">
        <w:rPr>
          <w:rFonts w:ascii="GHEA Grapalat" w:hAnsi="GHEA Grapalat"/>
          <w:sz w:val="22"/>
          <w:szCs w:val="22"/>
          <w:lang w:val="en-US"/>
        </w:rPr>
        <w:t xml:space="preserve">ում՝ </w:t>
      </w:r>
      <w:r w:rsidRPr="00C921DE">
        <w:rPr>
          <w:rFonts w:ascii="GHEA Grapalat" w:hAnsi="GHEA Grapalat"/>
          <w:sz w:val="22"/>
          <w:szCs w:val="22"/>
        </w:rPr>
        <w:t>77</w:t>
      </w:r>
      <w:r w:rsidR="00F25ACD" w:rsidRPr="00C921DE">
        <w:rPr>
          <w:rFonts w:ascii="GHEA Grapalat" w:hAnsi="GHEA Grapalat"/>
          <w:sz w:val="22"/>
          <w:szCs w:val="22"/>
          <w:lang w:val="en-US"/>
        </w:rPr>
        <w:t>2.2</w:t>
      </w:r>
      <w:r w:rsidRPr="00C921DE">
        <w:rPr>
          <w:rFonts w:ascii="GHEA Grapalat" w:hAnsi="GHEA Grapalat"/>
          <w:sz w:val="22"/>
          <w:szCs w:val="22"/>
        </w:rPr>
        <w:t xml:space="preserve"> մլն կՎտժ կամ 8.8%, այլ աղբյուրներ</w:t>
      </w:r>
      <w:r w:rsidR="00000ADB" w:rsidRPr="00C921DE">
        <w:rPr>
          <w:rFonts w:ascii="GHEA Grapalat" w:hAnsi="GHEA Grapalat"/>
          <w:sz w:val="22"/>
          <w:szCs w:val="22"/>
          <w:lang w:val="en-US"/>
        </w:rPr>
        <w:t>ում՝</w:t>
      </w:r>
      <w:r w:rsidRPr="00C921DE">
        <w:rPr>
          <w:rFonts w:ascii="GHEA Grapalat" w:hAnsi="GHEA Grapalat"/>
          <w:sz w:val="22"/>
          <w:szCs w:val="22"/>
        </w:rPr>
        <w:t xml:space="preserve"> </w:t>
      </w:r>
      <w:r w:rsidR="00F25ACD" w:rsidRPr="00C921DE">
        <w:rPr>
          <w:rFonts w:ascii="GHEA Grapalat" w:hAnsi="GHEA Grapalat"/>
          <w:sz w:val="22"/>
          <w:szCs w:val="22"/>
          <w:lang w:val="en-US"/>
        </w:rPr>
        <w:t>2.3</w:t>
      </w:r>
      <w:r w:rsidRPr="00C921DE">
        <w:rPr>
          <w:rFonts w:ascii="GHEA Grapalat" w:hAnsi="GHEA Grapalat"/>
          <w:sz w:val="22"/>
          <w:szCs w:val="22"/>
        </w:rPr>
        <w:t xml:space="preserve"> մլն կՎտժ կամ 0.0</w:t>
      </w:r>
      <w:r w:rsidR="00F25ACD" w:rsidRPr="00C921DE">
        <w:rPr>
          <w:rFonts w:ascii="GHEA Grapalat" w:hAnsi="GHEA Grapalat"/>
          <w:sz w:val="22"/>
          <w:szCs w:val="22"/>
          <w:lang w:val="en-US"/>
        </w:rPr>
        <w:t>3</w:t>
      </w:r>
      <w:r w:rsidRPr="00C921DE">
        <w:rPr>
          <w:rFonts w:ascii="GHEA Grapalat" w:hAnsi="GHEA Grapalat"/>
          <w:sz w:val="22"/>
          <w:szCs w:val="22"/>
        </w:rPr>
        <w:t>%։ Արտահանվել է 1.241 մլրդ կՎտժ, ներկրվել՝ 97.6 մլն կՎտժ</w:t>
      </w:r>
      <w:r w:rsidR="000932A5" w:rsidRPr="00C921DE">
        <w:rPr>
          <w:rFonts w:ascii="GHEA Grapalat" w:hAnsi="GHEA Grapalat"/>
          <w:sz w:val="22"/>
          <w:szCs w:val="22"/>
          <w:lang w:val="en-US"/>
        </w:rPr>
        <w:t xml:space="preserve"> էլեկտրաէներգիա</w:t>
      </w:r>
      <w:r w:rsidRPr="00C921DE">
        <w:rPr>
          <w:rFonts w:ascii="GHEA Grapalat" w:hAnsi="GHEA Grapalat"/>
          <w:sz w:val="22"/>
          <w:szCs w:val="22"/>
        </w:rPr>
        <w:t>։</w:t>
      </w:r>
    </w:p>
    <w:p w14:paraId="08EB357A" w14:textId="6448B70C" w:rsidR="00642D2F" w:rsidRPr="00C921DE" w:rsidRDefault="00642D2F" w:rsidP="009778E9">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2022</w:t>
      </w:r>
      <w:r w:rsidR="000932A5" w:rsidRPr="00C921DE">
        <w:rPr>
          <w:rFonts w:ascii="GHEA Grapalat" w:hAnsi="GHEA Grapalat"/>
          <w:sz w:val="22"/>
          <w:szCs w:val="22"/>
          <w:lang w:val="en-US"/>
        </w:rPr>
        <w:t xml:space="preserve"> </w:t>
      </w:r>
      <w:r w:rsidRPr="00C921DE">
        <w:rPr>
          <w:rFonts w:ascii="GHEA Grapalat" w:hAnsi="GHEA Grapalat"/>
          <w:sz w:val="22"/>
          <w:szCs w:val="22"/>
        </w:rPr>
        <w:t>թ</w:t>
      </w:r>
      <w:r w:rsidR="000932A5" w:rsidRPr="00C921DE">
        <w:rPr>
          <w:rFonts w:ascii="GHEA Grapalat" w:hAnsi="GHEA Grapalat"/>
          <w:sz w:val="22"/>
          <w:szCs w:val="22"/>
          <w:lang w:val="en-US"/>
        </w:rPr>
        <w:t>վական</w:t>
      </w:r>
      <w:r w:rsidRPr="00C921DE">
        <w:rPr>
          <w:rFonts w:ascii="GHEA Grapalat" w:hAnsi="GHEA Grapalat"/>
          <w:sz w:val="22"/>
          <w:szCs w:val="22"/>
        </w:rPr>
        <w:t xml:space="preserve">ի նկատմամբ </w:t>
      </w:r>
      <w:r w:rsidR="000932A5" w:rsidRPr="00C921DE">
        <w:rPr>
          <w:rFonts w:ascii="GHEA Grapalat" w:hAnsi="GHEA Grapalat"/>
          <w:sz w:val="22"/>
          <w:szCs w:val="22"/>
          <w:lang w:val="en-US"/>
        </w:rPr>
        <w:t>էլեկտրաէներգիայի</w:t>
      </w:r>
      <w:r w:rsidR="000932A5" w:rsidRPr="00C921DE">
        <w:rPr>
          <w:rFonts w:ascii="GHEA Grapalat" w:hAnsi="GHEA Grapalat"/>
          <w:sz w:val="22"/>
          <w:szCs w:val="22"/>
        </w:rPr>
        <w:t xml:space="preserve"> </w:t>
      </w:r>
      <w:r w:rsidRPr="00C921DE">
        <w:rPr>
          <w:rFonts w:ascii="GHEA Grapalat" w:hAnsi="GHEA Grapalat"/>
          <w:sz w:val="22"/>
          <w:szCs w:val="22"/>
        </w:rPr>
        <w:t>արտադրությունը նվազել է 34</w:t>
      </w:r>
      <w:r w:rsidR="00F25ACD" w:rsidRPr="00C921DE">
        <w:rPr>
          <w:rFonts w:ascii="GHEA Grapalat" w:hAnsi="GHEA Grapalat"/>
          <w:sz w:val="22"/>
          <w:szCs w:val="22"/>
          <w:lang w:val="en-US"/>
        </w:rPr>
        <w:t>5.1</w:t>
      </w:r>
      <w:r w:rsidRPr="00C921DE">
        <w:rPr>
          <w:rFonts w:ascii="GHEA Grapalat" w:hAnsi="GHEA Grapalat"/>
          <w:sz w:val="22"/>
          <w:szCs w:val="22"/>
        </w:rPr>
        <w:t xml:space="preserve"> մլն կ</w:t>
      </w:r>
      <w:r w:rsidR="00901587" w:rsidRPr="00C921DE">
        <w:rPr>
          <w:rFonts w:ascii="GHEA Grapalat" w:hAnsi="GHEA Grapalat"/>
          <w:sz w:val="22"/>
          <w:szCs w:val="22"/>
          <w:lang w:val="en-US"/>
        </w:rPr>
        <w:t>Վ</w:t>
      </w:r>
      <w:r w:rsidRPr="00C921DE">
        <w:rPr>
          <w:rFonts w:ascii="GHEA Grapalat" w:hAnsi="GHEA Grapalat"/>
          <w:sz w:val="22"/>
          <w:szCs w:val="22"/>
        </w:rPr>
        <w:t>տժ-ով կամ 3.75%ով, արտահանումը նվազել է 303 մլն կՎտժ-ով կամ 19.6%-ով, ներկրումը նվազել է 26.2</w:t>
      </w:r>
      <w:r w:rsidR="006516A3" w:rsidRPr="00C921DE">
        <w:rPr>
          <w:rFonts w:ascii="Calibri" w:hAnsi="Calibri" w:cs="Calibri"/>
          <w:sz w:val="22"/>
          <w:szCs w:val="22"/>
          <w:lang w:val="en-US"/>
        </w:rPr>
        <w:t> </w:t>
      </w:r>
      <w:r w:rsidRPr="00C921DE">
        <w:rPr>
          <w:rFonts w:ascii="GHEA Grapalat" w:hAnsi="GHEA Grapalat"/>
          <w:sz w:val="22"/>
          <w:szCs w:val="22"/>
        </w:rPr>
        <w:t xml:space="preserve">մլն կՎտժ–ով կամ 21.2%-ով։ Արևային կայաններից </w:t>
      </w:r>
      <w:r w:rsidR="006516A3" w:rsidRPr="00C921DE">
        <w:rPr>
          <w:rFonts w:ascii="GHEA Grapalat" w:hAnsi="GHEA Grapalat"/>
          <w:sz w:val="22"/>
          <w:szCs w:val="22"/>
          <w:lang w:val="en-US"/>
        </w:rPr>
        <w:t>էլեկտրաէներգիայի</w:t>
      </w:r>
      <w:r w:rsidR="006516A3" w:rsidRPr="00C921DE">
        <w:rPr>
          <w:rFonts w:ascii="GHEA Grapalat" w:hAnsi="GHEA Grapalat"/>
          <w:sz w:val="22"/>
          <w:szCs w:val="22"/>
        </w:rPr>
        <w:t xml:space="preserve"> </w:t>
      </w:r>
      <w:r w:rsidRPr="00C921DE">
        <w:rPr>
          <w:rFonts w:ascii="GHEA Grapalat" w:hAnsi="GHEA Grapalat"/>
          <w:sz w:val="22"/>
          <w:szCs w:val="22"/>
        </w:rPr>
        <w:t>արտադրությունն աճել է 2</w:t>
      </w:r>
      <w:r w:rsidR="00F25ACD" w:rsidRPr="00C921DE">
        <w:rPr>
          <w:rFonts w:ascii="GHEA Grapalat" w:hAnsi="GHEA Grapalat"/>
          <w:sz w:val="22"/>
          <w:szCs w:val="22"/>
          <w:lang w:val="en-US"/>
        </w:rPr>
        <w:t>48.7</w:t>
      </w:r>
      <w:r w:rsidRPr="00C921DE">
        <w:rPr>
          <w:rFonts w:ascii="GHEA Grapalat" w:hAnsi="GHEA Grapalat"/>
          <w:sz w:val="22"/>
          <w:szCs w:val="22"/>
        </w:rPr>
        <w:t xml:space="preserve"> մլն կՎտժ-ով կամ 4</w:t>
      </w:r>
      <w:r w:rsidR="00F25ACD" w:rsidRPr="00C921DE">
        <w:rPr>
          <w:rFonts w:ascii="GHEA Grapalat" w:hAnsi="GHEA Grapalat"/>
          <w:sz w:val="22"/>
          <w:szCs w:val="22"/>
          <w:lang w:val="en-US"/>
        </w:rPr>
        <w:t>7.5</w:t>
      </w:r>
      <w:r w:rsidRPr="00C921DE">
        <w:rPr>
          <w:rFonts w:ascii="GHEA Grapalat" w:hAnsi="GHEA Grapalat"/>
          <w:sz w:val="22"/>
          <w:szCs w:val="22"/>
        </w:rPr>
        <w:t>%–ով: 2023</w:t>
      </w:r>
      <w:r w:rsidR="006516A3" w:rsidRPr="00C921DE">
        <w:rPr>
          <w:rFonts w:ascii="GHEA Grapalat" w:hAnsi="GHEA Grapalat"/>
          <w:sz w:val="22"/>
          <w:szCs w:val="22"/>
          <w:lang w:val="en-US"/>
        </w:rPr>
        <w:t xml:space="preserve"> </w:t>
      </w:r>
      <w:r w:rsidRPr="00C921DE">
        <w:rPr>
          <w:rFonts w:ascii="GHEA Grapalat" w:hAnsi="GHEA Grapalat"/>
          <w:sz w:val="22"/>
          <w:szCs w:val="22"/>
        </w:rPr>
        <w:t>թ</w:t>
      </w:r>
      <w:r w:rsidR="006516A3" w:rsidRPr="00C921DE">
        <w:rPr>
          <w:rFonts w:ascii="GHEA Grapalat" w:hAnsi="GHEA Grapalat"/>
          <w:sz w:val="22"/>
          <w:szCs w:val="22"/>
          <w:lang w:val="en-US"/>
        </w:rPr>
        <w:t>վականին</w:t>
      </w:r>
      <w:r w:rsidRPr="00C921DE">
        <w:rPr>
          <w:rFonts w:ascii="GHEA Grapalat" w:hAnsi="GHEA Grapalat"/>
          <w:sz w:val="22"/>
          <w:szCs w:val="22"/>
        </w:rPr>
        <w:t xml:space="preserve"> արտահանումը նվազել է</w:t>
      </w:r>
      <w:r w:rsidR="006516A3" w:rsidRPr="00C921DE">
        <w:rPr>
          <w:rFonts w:ascii="GHEA Grapalat" w:hAnsi="GHEA Grapalat"/>
          <w:sz w:val="22"/>
          <w:szCs w:val="22"/>
          <w:lang w:val="en-US"/>
        </w:rPr>
        <w:t>՝</w:t>
      </w:r>
      <w:r w:rsidRPr="00C921DE">
        <w:rPr>
          <w:rFonts w:ascii="GHEA Grapalat" w:hAnsi="GHEA Grapalat"/>
          <w:sz w:val="22"/>
          <w:szCs w:val="22"/>
        </w:rPr>
        <w:t xml:space="preserve"> </w:t>
      </w:r>
      <w:r w:rsidR="006516A3" w:rsidRPr="00C921DE">
        <w:rPr>
          <w:rFonts w:ascii="GHEA Grapalat" w:hAnsi="GHEA Grapalat"/>
          <w:sz w:val="22"/>
          <w:szCs w:val="22"/>
          <w:lang w:val="en-US"/>
        </w:rPr>
        <w:t>պայմանավոր</w:t>
      </w:r>
      <w:r w:rsidRPr="00C921DE">
        <w:rPr>
          <w:rFonts w:ascii="GHEA Grapalat" w:hAnsi="GHEA Grapalat"/>
          <w:sz w:val="22"/>
          <w:szCs w:val="22"/>
        </w:rPr>
        <w:t>ված եվրոպական շուկաներում էլեկտրաէներգիայի և գազի գնի նվազմամբ, ինչի հետևանքով նվազել է նաև ընդհանուր արտադրանքը։</w:t>
      </w:r>
    </w:p>
    <w:p w14:paraId="426F4244" w14:textId="77777777" w:rsidR="00642D2F" w:rsidRPr="00C921DE" w:rsidRDefault="00642D2F" w:rsidP="009778E9">
      <w:pPr>
        <w:spacing w:line="360" w:lineRule="auto"/>
        <w:ind w:firstLine="567"/>
        <w:jc w:val="both"/>
        <w:rPr>
          <w:rFonts w:ascii="GHEA Grapalat" w:hAnsi="GHEA Grapalat"/>
          <w:sz w:val="22"/>
          <w:szCs w:val="22"/>
        </w:rPr>
      </w:pPr>
      <w:r w:rsidRPr="00C921DE">
        <w:rPr>
          <w:rFonts w:ascii="GHEA Grapalat" w:hAnsi="GHEA Grapalat"/>
          <w:sz w:val="22"/>
          <w:szCs w:val="22"/>
        </w:rPr>
        <w:t>2024</w:t>
      </w:r>
      <w:r w:rsidR="00801ED1" w:rsidRPr="00C921DE">
        <w:rPr>
          <w:rFonts w:ascii="GHEA Grapalat" w:hAnsi="GHEA Grapalat"/>
          <w:sz w:val="22"/>
          <w:szCs w:val="22"/>
          <w:lang w:val="en-US"/>
        </w:rPr>
        <w:t xml:space="preserve"> </w:t>
      </w:r>
      <w:r w:rsidRPr="00C921DE">
        <w:rPr>
          <w:rFonts w:ascii="GHEA Grapalat" w:hAnsi="GHEA Grapalat"/>
          <w:sz w:val="22"/>
          <w:szCs w:val="22"/>
        </w:rPr>
        <w:t>թ</w:t>
      </w:r>
      <w:r w:rsidR="00801ED1" w:rsidRPr="00C921DE">
        <w:rPr>
          <w:rFonts w:ascii="GHEA Grapalat" w:hAnsi="GHEA Grapalat"/>
          <w:sz w:val="22"/>
          <w:szCs w:val="22"/>
          <w:lang w:val="en-US"/>
        </w:rPr>
        <w:t>վականի</w:t>
      </w:r>
      <w:r w:rsidRPr="00C921DE">
        <w:rPr>
          <w:rFonts w:ascii="GHEA Grapalat" w:hAnsi="GHEA Grapalat"/>
          <w:sz w:val="22"/>
          <w:szCs w:val="22"/>
        </w:rPr>
        <w:t xml:space="preserve"> հունվարի 1-ի դրությամբ ընդհանուր սպառվող էլեկտրաէներգիայի շուրջ 21%-ը վաճառվել է ազատականացված շուկայում՝ չկարգավորվող մրցակցային գներով։ 2023</w:t>
      </w:r>
      <w:r w:rsidR="00801ED1" w:rsidRPr="00C921DE">
        <w:rPr>
          <w:rFonts w:ascii="GHEA Grapalat" w:hAnsi="GHEA Grapalat"/>
          <w:sz w:val="22"/>
          <w:szCs w:val="22"/>
          <w:lang w:val="en-US"/>
        </w:rPr>
        <w:t xml:space="preserve"> </w:t>
      </w:r>
      <w:r w:rsidRPr="00C921DE">
        <w:rPr>
          <w:rFonts w:ascii="GHEA Grapalat" w:hAnsi="GHEA Grapalat"/>
          <w:sz w:val="22"/>
          <w:szCs w:val="22"/>
        </w:rPr>
        <w:t>թ</w:t>
      </w:r>
      <w:r w:rsidR="00801ED1" w:rsidRPr="00C921DE">
        <w:rPr>
          <w:rFonts w:ascii="GHEA Grapalat" w:hAnsi="GHEA Grapalat"/>
          <w:sz w:val="22"/>
          <w:szCs w:val="22"/>
          <w:lang w:val="en-US"/>
        </w:rPr>
        <w:t>վականի</w:t>
      </w:r>
      <w:r w:rsidRPr="00C921DE">
        <w:rPr>
          <w:rFonts w:ascii="GHEA Grapalat" w:hAnsi="GHEA Grapalat"/>
          <w:sz w:val="22"/>
          <w:szCs w:val="22"/>
        </w:rPr>
        <w:t xml:space="preserve"> հունվարի 1-ի համեմատ աճը կազմել է 10%։ Էլեկտրաէներգետիկական շուկայից օգտվում են 70 խոշոր սպառողներ։</w:t>
      </w:r>
    </w:p>
    <w:p w14:paraId="414E0657" w14:textId="77777777" w:rsidR="00642D2F" w:rsidRPr="00C921DE" w:rsidRDefault="00642D2F" w:rsidP="009778E9">
      <w:pPr>
        <w:spacing w:line="360" w:lineRule="auto"/>
        <w:ind w:firstLine="567"/>
        <w:jc w:val="both"/>
        <w:rPr>
          <w:rFonts w:ascii="GHEA Grapalat" w:hAnsi="GHEA Grapalat"/>
          <w:sz w:val="22"/>
          <w:szCs w:val="22"/>
        </w:rPr>
      </w:pPr>
      <w:r w:rsidRPr="00C921DE">
        <w:rPr>
          <w:rFonts w:ascii="GHEA Grapalat" w:hAnsi="GHEA Grapalat"/>
          <w:sz w:val="22"/>
          <w:szCs w:val="22"/>
        </w:rPr>
        <w:t>2024</w:t>
      </w:r>
      <w:r w:rsidR="00801ED1" w:rsidRPr="00C921DE">
        <w:rPr>
          <w:rFonts w:ascii="GHEA Grapalat" w:hAnsi="GHEA Grapalat"/>
          <w:sz w:val="22"/>
          <w:szCs w:val="22"/>
          <w:lang w:val="en-US"/>
        </w:rPr>
        <w:t xml:space="preserve"> </w:t>
      </w:r>
      <w:r w:rsidRPr="00C921DE">
        <w:rPr>
          <w:rFonts w:ascii="GHEA Grapalat" w:hAnsi="GHEA Grapalat"/>
          <w:sz w:val="22"/>
          <w:szCs w:val="22"/>
        </w:rPr>
        <w:t>թ</w:t>
      </w:r>
      <w:r w:rsidR="00801ED1" w:rsidRPr="00C921DE">
        <w:rPr>
          <w:rFonts w:ascii="GHEA Grapalat" w:hAnsi="GHEA Grapalat"/>
          <w:sz w:val="22"/>
          <w:szCs w:val="22"/>
          <w:lang w:val="en-US"/>
        </w:rPr>
        <w:t>վականի</w:t>
      </w:r>
      <w:r w:rsidRPr="00C921DE">
        <w:rPr>
          <w:rFonts w:ascii="GHEA Grapalat" w:hAnsi="GHEA Grapalat"/>
          <w:sz w:val="22"/>
          <w:szCs w:val="22"/>
        </w:rPr>
        <w:t xml:space="preserve"> հունվարի 1-ի դրությամբ գործում են 471 ՄՎտ գումարային հզորությամբ արևային կայաններ, այդ թվում՝ 61 արդյունաբերական մասշտաբի և 16920 ինքնավար կայաններ 265</w:t>
      </w:r>
      <w:r w:rsidR="00BB09DE" w:rsidRPr="00C921DE">
        <w:rPr>
          <w:rFonts w:ascii="GHEA Grapalat" w:hAnsi="GHEA Grapalat"/>
          <w:sz w:val="22"/>
          <w:szCs w:val="22"/>
          <w:lang w:val="en-US"/>
        </w:rPr>
        <w:t>.</w:t>
      </w:r>
      <w:r w:rsidRPr="00C921DE">
        <w:rPr>
          <w:rFonts w:ascii="GHEA Grapalat" w:hAnsi="GHEA Grapalat"/>
          <w:sz w:val="22"/>
          <w:szCs w:val="22"/>
        </w:rPr>
        <w:t>7 ՄՎտ ընդհանուր հզորությամբ։ 2023</w:t>
      </w:r>
      <w:r w:rsidR="009F7A65" w:rsidRPr="00C921DE">
        <w:rPr>
          <w:rFonts w:ascii="GHEA Grapalat" w:hAnsi="GHEA Grapalat"/>
          <w:sz w:val="22"/>
          <w:szCs w:val="22"/>
          <w:lang w:val="en-US"/>
        </w:rPr>
        <w:t xml:space="preserve"> </w:t>
      </w:r>
      <w:r w:rsidRPr="00C921DE">
        <w:rPr>
          <w:rFonts w:ascii="GHEA Grapalat" w:hAnsi="GHEA Grapalat"/>
          <w:sz w:val="22"/>
          <w:szCs w:val="22"/>
        </w:rPr>
        <w:t>թ</w:t>
      </w:r>
      <w:r w:rsidR="009F7A65" w:rsidRPr="00C921DE">
        <w:rPr>
          <w:rFonts w:ascii="GHEA Grapalat" w:hAnsi="GHEA Grapalat"/>
          <w:sz w:val="22"/>
          <w:szCs w:val="22"/>
          <w:lang w:val="en-US"/>
        </w:rPr>
        <w:t>վականի</w:t>
      </w:r>
      <w:r w:rsidRPr="00C921DE">
        <w:rPr>
          <w:rFonts w:ascii="GHEA Grapalat" w:hAnsi="GHEA Grapalat"/>
          <w:sz w:val="22"/>
          <w:szCs w:val="22"/>
        </w:rPr>
        <w:t xml:space="preserve"> հունվարի 1-ի համեմատ ինքնավար էներգաարտադրողների ընդհանուր թիվ</w:t>
      </w:r>
      <w:r w:rsidR="009F7A65" w:rsidRPr="00C921DE">
        <w:rPr>
          <w:rFonts w:ascii="GHEA Grapalat" w:hAnsi="GHEA Grapalat"/>
          <w:sz w:val="22"/>
          <w:szCs w:val="22"/>
          <w:lang w:val="en-US"/>
        </w:rPr>
        <w:t>ն</w:t>
      </w:r>
      <w:r w:rsidRPr="00C921DE">
        <w:rPr>
          <w:rFonts w:ascii="GHEA Grapalat" w:hAnsi="GHEA Grapalat"/>
          <w:sz w:val="22"/>
          <w:szCs w:val="22"/>
        </w:rPr>
        <w:t xml:space="preserve"> աճել է 6638–ով կամ 64.6%–ով, իսկ ընդհանուր հզորությունը</w:t>
      </w:r>
      <w:r w:rsidR="009F7A65" w:rsidRPr="00C921DE">
        <w:rPr>
          <w:rFonts w:ascii="GHEA Grapalat" w:hAnsi="GHEA Grapalat"/>
          <w:sz w:val="22"/>
          <w:szCs w:val="22"/>
          <w:lang w:val="en-US"/>
        </w:rPr>
        <w:t xml:space="preserve">՝ </w:t>
      </w:r>
      <w:r w:rsidRPr="00C921DE">
        <w:rPr>
          <w:rFonts w:ascii="GHEA Grapalat" w:hAnsi="GHEA Grapalat"/>
          <w:sz w:val="22"/>
          <w:szCs w:val="22"/>
        </w:rPr>
        <w:t>68.7 ՄՎտ–ով կամ 33.7%-ով: Իրականացվում են տեխնիկատնտեսական հիմնավորման մշակման աշխատանքներ արևային կուտակիչ կայանների կառուցման վերաբերյալ։ Իրականացվում է Հայաստանում հողմային ներուժի գնահատում, որի արդյունքներով կնախապատրաստվեն ներդրումային ծրագրեր։</w:t>
      </w:r>
    </w:p>
    <w:p w14:paraId="69561710" w14:textId="77777777" w:rsidR="00642D2F" w:rsidRPr="00C921DE" w:rsidRDefault="009F7A65" w:rsidP="009778E9">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Pr="00C921DE">
        <w:rPr>
          <w:rFonts w:ascii="GHEA Grapalat" w:hAnsi="GHEA Grapalat"/>
          <w:sz w:val="22"/>
          <w:szCs w:val="22"/>
          <w:lang w:val="en-US"/>
        </w:rPr>
        <w:t xml:space="preserve"> </w:t>
      </w:r>
      <w:r w:rsidRPr="00C921DE">
        <w:rPr>
          <w:rFonts w:ascii="GHEA Grapalat" w:hAnsi="GHEA Grapalat"/>
          <w:sz w:val="22"/>
          <w:szCs w:val="22"/>
        </w:rPr>
        <w:t>թ</w:t>
      </w:r>
      <w:r w:rsidRPr="00C921DE">
        <w:rPr>
          <w:rFonts w:ascii="GHEA Grapalat" w:hAnsi="GHEA Grapalat"/>
          <w:sz w:val="22"/>
          <w:szCs w:val="22"/>
          <w:lang w:val="en-US"/>
        </w:rPr>
        <w:t>վականի</w:t>
      </w:r>
      <w:r w:rsidRPr="00C921DE">
        <w:rPr>
          <w:rFonts w:ascii="GHEA Grapalat" w:hAnsi="GHEA Grapalat"/>
          <w:sz w:val="22"/>
          <w:szCs w:val="22"/>
        </w:rPr>
        <w:t xml:space="preserve"> արդյունքներով </w:t>
      </w:r>
      <w:r w:rsidRPr="00C921DE">
        <w:rPr>
          <w:rFonts w:ascii="GHEA Grapalat" w:hAnsi="GHEA Grapalat"/>
          <w:sz w:val="22"/>
          <w:szCs w:val="22"/>
          <w:lang w:val="en-US"/>
        </w:rPr>
        <w:t>բ</w:t>
      </w:r>
      <w:r w:rsidR="00642D2F" w:rsidRPr="00C921DE">
        <w:rPr>
          <w:rFonts w:ascii="GHEA Grapalat" w:hAnsi="GHEA Grapalat"/>
          <w:sz w:val="22"/>
          <w:szCs w:val="22"/>
        </w:rPr>
        <w:t>նակելի տների և բազմաբնակարան շենքերի էներգաարդյունավետ վերանորոգման (ռենովացիա) պետական աջակցության ծրագրի շահառուների թիվը 7638 է, 2022</w:t>
      </w:r>
      <w:r w:rsidRPr="00C921DE">
        <w:rPr>
          <w:rFonts w:ascii="GHEA Grapalat" w:hAnsi="GHEA Grapalat"/>
          <w:sz w:val="22"/>
          <w:szCs w:val="22"/>
        </w:rPr>
        <w:t xml:space="preserve"> թվականի</w:t>
      </w:r>
      <w:r w:rsidR="00642D2F" w:rsidRPr="00C921DE">
        <w:rPr>
          <w:rFonts w:ascii="GHEA Grapalat" w:hAnsi="GHEA Grapalat"/>
          <w:sz w:val="22"/>
          <w:szCs w:val="22"/>
        </w:rPr>
        <w:t xml:space="preserve"> 1265 շահառուի փոխարեն, աճը՝ 504%, տրամադրված վարկի գումարը՝ շուրջ 16 մլրդ դրամ</w:t>
      </w:r>
      <w:r w:rsidR="00BB09DE" w:rsidRPr="00C921DE">
        <w:rPr>
          <w:rFonts w:ascii="GHEA Grapalat" w:hAnsi="GHEA Grapalat"/>
          <w:sz w:val="22"/>
          <w:szCs w:val="22"/>
          <w:lang w:val="en-US"/>
        </w:rPr>
        <w:t>՝</w:t>
      </w:r>
      <w:r w:rsidR="00642D2F" w:rsidRPr="00C921DE">
        <w:rPr>
          <w:rFonts w:ascii="GHEA Grapalat" w:hAnsi="GHEA Grapalat"/>
          <w:sz w:val="22"/>
          <w:szCs w:val="22"/>
        </w:rPr>
        <w:t xml:space="preserve"> 2022</w:t>
      </w:r>
      <w:r w:rsidR="00BB09DE" w:rsidRPr="00C921DE">
        <w:rPr>
          <w:rFonts w:ascii="GHEA Grapalat" w:hAnsi="GHEA Grapalat"/>
          <w:sz w:val="22"/>
          <w:szCs w:val="22"/>
        </w:rPr>
        <w:t xml:space="preserve"> թվականի 2.</w:t>
      </w:r>
      <w:r w:rsidR="00642D2F" w:rsidRPr="00C921DE">
        <w:rPr>
          <w:rFonts w:ascii="GHEA Grapalat" w:hAnsi="GHEA Grapalat"/>
          <w:sz w:val="22"/>
          <w:szCs w:val="22"/>
        </w:rPr>
        <w:t>5 մլրդ դրամի փոխարեն, աճը՝ 540%, իսկ պետական բյուջեից սուբսիդավորումը</w:t>
      </w:r>
      <w:r w:rsidR="00BB09DE" w:rsidRPr="00C921DE">
        <w:rPr>
          <w:rFonts w:ascii="GHEA Grapalat" w:hAnsi="GHEA Grapalat"/>
          <w:sz w:val="22"/>
          <w:szCs w:val="22"/>
          <w:lang w:val="en-US"/>
        </w:rPr>
        <w:t>՝</w:t>
      </w:r>
      <w:r w:rsidR="00642D2F" w:rsidRPr="00C921DE">
        <w:rPr>
          <w:rFonts w:ascii="GHEA Grapalat" w:hAnsi="GHEA Grapalat"/>
          <w:sz w:val="22"/>
          <w:szCs w:val="22"/>
        </w:rPr>
        <w:t xml:space="preserve"> ավելի քան 860 մլն դրամ՝ 2022</w:t>
      </w:r>
      <w:r w:rsidR="00BB09DE" w:rsidRPr="00C921DE">
        <w:rPr>
          <w:rFonts w:ascii="GHEA Grapalat" w:hAnsi="GHEA Grapalat"/>
          <w:sz w:val="22"/>
          <w:szCs w:val="22"/>
        </w:rPr>
        <w:t xml:space="preserve"> թվականի</w:t>
      </w:r>
      <w:r w:rsidR="00642D2F" w:rsidRPr="00C921DE">
        <w:rPr>
          <w:rFonts w:ascii="GHEA Grapalat" w:hAnsi="GHEA Grapalat"/>
          <w:sz w:val="22"/>
          <w:szCs w:val="22"/>
        </w:rPr>
        <w:t xml:space="preserve"> 40 մլն դրամի փոխարեն, աճը՝ 2050%։</w:t>
      </w:r>
    </w:p>
    <w:p w14:paraId="26BFAA63" w14:textId="77777777" w:rsidR="004C55BC" w:rsidRPr="00C921DE" w:rsidRDefault="004C55BC" w:rsidP="004C55BC">
      <w:pPr>
        <w:spacing w:line="360" w:lineRule="auto"/>
        <w:ind w:firstLine="567"/>
        <w:jc w:val="both"/>
        <w:rPr>
          <w:rFonts w:ascii="GHEA Grapalat" w:hAnsi="GHEA Grapalat"/>
          <w:sz w:val="22"/>
          <w:szCs w:val="22"/>
        </w:rPr>
      </w:pPr>
      <w:r w:rsidRPr="00C921DE">
        <w:rPr>
          <w:rFonts w:ascii="GHEA Grapalat" w:hAnsi="GHEA Grapalat"/>
          <w:sz w:val="22"/>
          <w:szCs w:val="22"/>
        </w:rPr>
        <w:t xml:space="preserve">Ավարտվել են </w:t>
      </w:r>
      <w:bookmarkStart w:id="23" w:name="_Hlk156208589"/>
      <w:r w:rsidRPr="00C921DE">
        <w:rPr>
          <w:rFonts w:ascii="GHEA Grapalat" w:hAnsi="GHEA Grapalat"/>
          <w:sz w:val="22"/>
          <w:szCs w:val="22"/>
        </w:rPr>
        <w:t xml:space="preserve">բարձրավոլտ էլեկտրահաղորդման </w:t>
      </w:r>
      <w:bookmarkEnd w:id="23"/>
      <w:r w:rsidRPr="00C921DE">
        <w:rPr>
          <w:rFonts w:ascii="GHEA Grapalat" w:hAnsi="GHEA Grapalat"/>
          <w:sz w:val="22"/>
          <w:szCs w:val="22"/>
        </w:rPr>
        <w:t>ցանցի 220 կՎ լարման «Լիճք», «Աշնակ» և «Վանաձոր 1» ենթակայանների վերակառուցման աշխատանքները։ Վերակառուցման ընթացքում են 220 կՎ լարման «Զովունի», «Արարատ-2», «Ագարակ-2» և «Շինուհայր» ենթակայանները։ Նախատեսվում է բարձրավոլտ էլեկտրահաղորդման ցանցի 220 կՎ լարման մյուս՝ «Մարաշ, «Եղեգնաձոր և «Շահումյան-2 ենթակայանների վերազինման աշխատանքների համար 2024 թվականի ընթացքում վարկային միջոցների ներգրավում։</w:t>
      </w:r>
    </w:p>
    <w:p w14:paraId="21F86F2F" w14:textId="13C4361B" w:rsidR="00642D2F" w:rsidRPr="00C921DE" w:rsidRDefault="00642D2F" w:rsidP="009778E9">
      <w:pPr>
        <w:spacing w:line="360" w:lineRule="auto"/>
        <w:ind w:firstLine="567"/>
        <w:jc w:val="both"/>
        <w:rPr>
          <w:rFonts w:ascii="GHEA Grapalat" w:hAnsi="GHEA Grapalat"/>
          <w:sz w:val="22"/>
          <w:szCs w:val="22"/>
        </w:rPr>
      </w:pPr>
      <w:r w:rsidRPr="00C921DE">
        <w:rPr>
          <w:rFonts w:ascii="GHEA Grapalat" w:hAnsi="GHEA Grapalat"/>
          <w:sz w:val="22"/>
          <w:szCs w:val="22"/>
        </w:rPr>
        <w:t>Հաստատվել է Հայկական ԱԷԿ-ի երկրորդ էներգաբլոկի նախագծային շահագործման ժամկետ</w:t>
      </w:r>
      <w:r w:rsidR="00353C53" w:rsidRPr="00C921DE">
        <w:rPr>
          <w:rFonts w:ascii="GHEA Grapalat" w:hAnsi="GHEA Grapalat"/>
          <w:sz w:val="22"/>
          <w:szCs w:val="22"/>
          <w:lang w:val="en-US"/>
        </w:rPr>
        <w:t>ի</w:t>
      </w:r>
      <w:r w:rsidRPr="00C921DE">
        <w:rPr>
          <w:rFonts w:ascii="GHEA Grapalat" w:hAnsi="GHEA Grapalat"/>
          <w:sz w:val="22"/>
          <w:szCs w:val="22"/>
        </w:rPr>
        <w:t xml:space="preserve"> կրկնակի՝ 2026-2036թթ. երկարաձգման ՇԺԵ-2 </w:t>
      </w:r>
      <w:r w:rsidR="00353C53" w:rsidRPr="00C921DE">
        <w:rPr>
          <w:rFonts w:ascii="GHEA Grapalat" w:hAnsi="GHEA Grapalat"/>
          <w:sz w:val="22"/>
          <w:szCs w:val="22"/>
          <w:lang w:val="en-US"/>
        </w:rPr>
        <w:t>ծ</w:t>
      </w:r>
      <w:r w:rsidRPr="00C921DE">
        <w:rPr>
          <w:rFonts w:ascii="GHEA Grapalat" w:hAnsi="GHEA Grapalat"/>
          <w:sz w:val="22"/>
          <w:szCs w:val="22"/>
        </w:rPr>
        <w:t xml:space="preserve">րագիրը։ Ծրագրով նախատեսվում </w:t>
      </w:r>
      <w:r w:rsidR="00353C53" w:rsidRPr="00C921DE">
        <w:rPr>
          <w:rFonts w:ascii="GHEA Grapalat" w:hAnsi="GHEA Grapalat"/>
          <w:sz w:val="22"/>
          <w:szCs w:val="22"/>
          <w:lang w:val="en-US"/>
        </w:rPr>
        <w:t>է</w:t>
      </w:r>
      <w:r w:rsidRPr="00C921DE">
        <w:rPr>
          <w:rFonts w:ascii="GHEA Grapalat" w:hAnsi="GHEA Grapalat"/>
          <w:sz w:val="22"/>
          <w:szCs w:val="22"/>
        </w:rPr>
        <w:t xml:space="preserve"> իրականացնել շուրջ 160 մլն ԱՄ</w:t>
      </w:r>
      <w:r w:rsidR="00901587" w:rsidRPr="00C921DE">
        <w:rPr>
          <w:rFonts w:ascii="GHEA Grapalat" w:hAnsi="GHEA Grapalat"/>
          <w:sz w:val="22"/>
          <w:szCs w:val="22"/>
          <w:lang w:val="en-US"/>
        </w:rPr>
        <w:t>Ն</w:t>
      </w:r>
      <w:r w:rsidRPr="00C921DE">
        <w:rPr>
          <w:rFonts w:ascii="GHEA Grapalat" w:hAnsi="GHEA Grapalat"/>
          <w:sz w:val="22"/>
          <w:szCs w:val="22"/>
        </w:rPr>
        <w:t xml:space="preserve"> դոլարի չափով ներդրումներ։ Հայաստանում նոր միջուկային էներգաբլոկ </w:t>
      </w:r>
      <w:r w:rsidRPr="00C921DE">
        <w:rPr>
          <w:rFonts w:ascii="GHEA Grapalat" w:hAnsi="GHEA Grapalat"/>
          <w:sz w:val="22"/>
          <w:szCs w:val="22"/>
        </w:rPr>
        <w:lastRenderedPageBreak/>
        <w:t>կառուցելու նպատակով շարունակվում են աշխարհում գործող միջուկային տեխնոլոգիաների այդ թվում</w:t>
      </w:r>
      <w:r w:rsidR="00353C53" w:rsidRPr="00C921DE">
        <w:rPr>
          <w:rFonts w:ascii="GHEA Grapalat" w:hAnsi="GHEA Grapalat"/>
          <w:sz w:val="22"/>
          <w:szCs w:val="22"/>
          <w:lang w:val="en-US"/>
        </w:rPr>
        <w:t>՝</w:t>
      </w:r>
      <w:r w:rsidRPr="00C921DE">
        <w:rPr>
          <w:rFonts w:ascii="GHEA Grapalat" w:hAnsi="GHEA Grapalat"/>
          <w:sz w:val="22"/>
          <w:szCs w:val="22"/>
        </w:rPr>
        <w:t xml:space="preserve"> փոքր մոդուլյար ռե</w:t>
      </w:r>
      <w:r w:rsidR="00E6713F" w:rsidRPr="00C921DE">
        <w:rPr>
          <w:rFonts w:ascii="GHEA Grapalat" w:hAnsi="GHEA Grapalat"/>
          <w:sz w:val="22"/>
          <w:szCs w:val="22"/>
          <w:lang w:val="en-US"/>
        </w:rPr>
        <w:t>ա</w:t>
      </w:r>
      <w:r w:rsidRPr="00C921DE">
        <w:rPr>
          <w:rFonts w:ascii="GHEA Grapalat" w:hAnsi="GHEA Grapalat"/>
          <w:sz w:val="22"/>
          <w:szCs w:val="22"/>
        </w:rPr>
        <w:t>կտորներ ուսումնասիրությունները։ Ուսումնասիրության արդյունքում կհստակեցվի նախատեսվող միջուկային էներգաբլոկի մոդելը, այդ թվում՝ Հայաստանի էներգահամակարգի հետ դրա համատեղելիության, հզորության, ֆինանսավորման կառուցվածքի հետ կապված հարցերը։ Այդ նպատակով Ատոմային էներգիայի միջազգային գործակալության ուղեցույցներին համապատասխան նախատեսվում է Հայաստանում նոր ատոմային էլեկտրակայանի կառուցման ծրագիր իրականացնող կազմակերպության ստեղծում։</w:t>
      </w:r>
    </w:p>
    <w:p w14:paraId="52CE2209" w14:textId="77777777" w:rsidR="005E72F9" w:rsidRPr="00C921DE" w:rsidRDefault="005E72F9" w:rsidP="00C05C83">
      <w:pPr>
        <w:spacing w:line="360" w:lineRule="auto"/>
        <w:ind w:firstLine="567"/>
        <w:jc w:val="both"/>
        <w:rPr>
          <w:rFonts w:ascii="GHEA Grapalat" w:hAnsi="GHEA Grapalat"/>
          <w:sz w:val="22"/>
          <w:szCs w:val="22"/>
        </w:rPr>
      </w:pPr>
      <w:r w:rsidRPr="00C921DE">
        <w:rPr>
          <w:rFonts w:ascii="GHEA Grapalat" w:hAnsi="GHEA Grapalat"/>
          <w:sz w:val="22"/>
          <w:szCs w:val="22"/>
        </w:rPr>
        <w:t>Հաշվետու տարում մշակվել են ատոմային էներգիայի օգտագործման բնագավառը կար</w:t>
      </w:r>
      <w:r w:rsidR="00C05C83" w:rsidRPr="00C921DE">
        <w:rPr>
          <w:rFonts w:ascii="GHEA Grapalat" w:hAnsi="GHEA Grapalat"/>
          <w:sz w:val="22"/>
          <w:szCs w:val="22"/>
        </w:rPr>
        <w:t>գավորող հետևյալ իրավական ակտերը.</w:t>
      </w:r>
    </w:p>
    <w:p w14:paraId="48FC8371" w14:textId="77777777" w:rsidR="005E72F9" w:rsidRPr="00C921DE" w:rsidRDefault="005E72F9" w:rsidP="007B755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«Վարչական իրավախախտումների վերաբերյալ Հայաստանի Հանրապետության օրենսգրքում փոփոխություններ</w:t>
      </w:r>
      <w:r w:rsidR="00C05C83" w:rsidRPr="00C921DE">
        <w:rPr>
          <w:rFonts w:ascii="GHEA Grapalat" w:hAnsi="GHEA Grapalat" w:cs="GHEA Grapalat"/>
          <w:bCs/>
          <w:lang w:val="af-ZA"/>
        </w:rPr>
        <w:t xml:space="preserve"> </w:t>
      </w:r>
      <w:r w:rsidRPr="00C921DE">
        <w:rPr>
          <w:rFonts w:ascii="GHEA Grapalat" w:hAnsi="GHEA Grapalat" w:cs="GHEA Grapalat"/>
          <w:bCs/>
          <w:lang w:val="af-ZA"/>
        </w:rPr>
        <w:t>և լրացում կատ</w:t>
      </w:r>
      <w:r w:rsidR="00C05C83" w:rsidRPr="00C921DE">
        <w:rPr>
          <w:rFonts w:ascii="GHEA Grapalat" w:hAnsi="GHEA Grapalat" w:cs="GHEA Grapalat"/>
          <w:bCs/>
          <w:lang w:val="af-ZA"/>
        </w:rPr>
        <w:t xml:space="preserve">արելու մասին» օրենքի նախագիծը, որով </w:t>
      </w:r>
      <w:r w:rsidRPr="00C921DE">
        <w:rPr>
          <w:rFonts w:ascii="GHEA Grapalat" w:hAnsi="GHEA Grapalat" w:cs="GHEA Grapalat"/>
          <w:bCs/>
          <w:lang w:val="af-ZA"/>
        </w:rPr>
        <w:t>ապահովվում է վարչական տույժերի խստության համարժեքությունը վարչական զանցանքների ծանրության աստիճանին, որը կնպաստի ատոմային էներգիայի օգտագործման բնագավառում անվտանգության նկատմամբ</w:t>
      </w:r>
      <w:r w:rsidR="00DE09E5" w:rsidRPr="00C921DE">
        <w:rPr>
          <w:rFonts w:ascii="GHEA Grapalat" w:hAnsi="GHEA Grapalat" w:cs="GHEA Grapalat"/>
          <w:bCs/>
          <w:lang w:val="af-ZA"/>
        </w:rPr>
        <w:t xml:space="preserve"> պատասխանատվության բարձրացմանը.</w:t>
      </w:r>
    </w:p>
    <w:p w14:paraId="1A4B6D88" w14:textId="77777777" w:rsidR="005E72F9" w:rsidRPr="00C921DE" w:rsidRDefault="005E72F9" w:rsidP="00DE09E5">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«Ատոմային էներգ</w:t>
      </w:r>
      <w:r w:rsidR="00DE09E5" w:rsidRPr="00C921DE">
        <w:rPr>
          <w:rFonts w:ascii="GHEA Grapalat" w:hAnsi="GHEA Grapalat" w:cs="GHEA Grapalat"/>
          <w:bCs/>
          <w:lang w:val="af-ZA"/>
        </w:rPr>
        <w:t>իայի մասին» ՀՀ նոր օրենքի նախագիծը.</w:t>
      </w:r>
    </w:p>
    <w:p w14:paraId="5AB5A7F6" w14:textId="77777777" w:rsidR="005E72F9" w:rsidRPr="00C921DE" w:rsidRDefault="005E72F9" w:rsidP="00C05C83">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bookmarkStart w:id="24" w:name="_Hlk142383501"/>
      <w:r w:rsidRPr="00C921DE">
        <w:rPr>
          <w:rFonts w:ascii="GHEA Grapalat" w:hAnsi="GHEA Grapalat" w:cs="GHEA Grapalat"/>
          <w:bCs/>
          <w:lang w:val="af-ZA"/>
        </w:rPr>
        <w:t>«Ատոմային էներգիայի անվտանգության տեսակետից կարևոր օբյեկտների շրջակա միջավայրի վրա ազդեցության գնահատման և</w:t>
      </w:r>
      <w:r w:rsidR="00C05C83" w:rsidRPr="00C921DE">
        <w:rPr>
          <w:rFonts w:ascii="GHEA Grapalat" w:hAnsi="GHEA Grapalat" w:cs="GHEA Grapalat"/>
          <w:bCs/>
          <w:lang w:val="af-ZA"/>
        </w:rPr>
        <w:t xml:space="preserve"> </w:t>
      </w:r>
      <w:r w:rsidRPr="00C921DE">
        <w:rPr>
          <w:rFonts w:ascii="GHEA Grapalat" w:hAnsi="GHEA Grapalat" w:cs="GHEA Grapalat"/>
          <w:bCs/>
          <w:lang w:val="af-ZA"/>
        </w:rPr>
        <w:t>փորձաքննության գործընթացում դիտարկման ենթակա բնութագրերը հաստատելու մասին»</w:t>
      </w:r>
      <w:r w:rsidR="00EA2DB2" w:rsidRPr="00C921DE">
        <w:rPr>
          <w:rFonts w:ascii="GHEA Grapalat" w:hAnsi="GHEA Grapalat" w:cs="GHEA Grapalat"/>
          <w:bCs/>
          <w:lang w:val="af-ZA"/>
        </w:rPr>
        <w:t xml:space="preserve"> </w:t>
      </w:r>
      <w:r w:rsidR="00617379" w:rsidRPr="00C921DE">
        <w:rPr>
          <w:rFonts w:ascii="GHEA Grapalat" w:hAnsi="GHEA Grapalat" w:cs="GHEA Grapalat"/>
          <w:bCs/>
          <w:lang w:val="af-ZA"/>
        </w:rPr>
        <w:t xml:space="preserve">ՀՀ կառավարության </w:t>
      </w:r>
      <w:r w:rsidR="00EA2DB2" w:rsidRPr="00C921DE">
        <w:rPr>
          <w:rFonts w:ascii="GHEA Grapalat" w:hAnsi="GHEA Grapalat" w:cs="GHEA Grapalat"/>
          <w:bCs/>
          <w:lang w:val="af-ZA"/>
        </w:rPr>
        <w:t>ո</w:t>
      </w:r>
      <w:r w:rsidRPr="00C921DE">
        <w:rPr>
          <w:rFonts w:ascii="GHEA Grapalat" w:hAnsi="GHEA Grapalat" w:cs="GHEA Grapalat"/>
          <w:bCs/>
          <w:lang w:val="af-ZA"/>
        </w:rPr>
        <w:t>րոշման</w:t>
      </w:r>
      <w:r w:rsidR="00617379" w:rsidRPr="00C921DE">
        <w:rPr>
          <w:rFonts w:ascii="GHEA Grapalat" w:hAnsi="GHEA Grapalat" w:cs="GHEA Grapalat"/>
          <w:bCs/>
          <w:lang w:val="af-ZA"/>
        </w:rPr>
        <w:t xml:space="preserve"> նախագիծը, որի</w:t>
      </w:r>
      <w:r w:rsidRPr="00C921DE">
        <w:rPr>
          <w:rFonts w:ascii="GHEA Grapalat" w:hAnsi="GHEA Grapalat" w:cs="GHEA Grapalat"/>
          <w:bCs/>
          <w:lang w:val="af-ZA"/>
        </w:rPr>
        <w:t xml:space="preserve"> ընդունմամբ կսահմանվեն ատոմային էներգիայի անվտանգության տեսակետից կարևոր օբյեկտների՝ շրջակա միջավայրի վրա ճառագայթային ազդեցության գնահատման և փորձաքննության գործընթացում դիտարկման ենթակա բնութագրերը</w:t>
      </w:r>
      <w:r w:rsidR="00617379" w:rsidRPr="00C921DE">
        <w:rPr>
          <w:rFonts w:ascii="GHEA Grapalat" w:hAnsi="GHEA Grapalat" w:cs="GHEA Grapalat"/>
          <w:bCs/>
          <w:lang w:val="af-ZA"/>
        </w:rPr>
        <w:t>՝</w:t>
      </w:r>
      <w:r w:rsidRPr="00C921DE">
        <w:rPr>
          <w:rFonts w:ascii="GHEA Grapalat" w:hAnsi="GHEA Grapalat" w:cs="GHEA Grapalat"/>
          <w:bCs/>
          <w:lang w:val="af-ZA"/>
        </w:rPr>
        <w:t xml:space="preserve"> ապահովելու ՀՀ բնակչության և շրջակա միջավայրի պաշտպանությունն իոնացնող ճառագայթման հնարավոր վնասակար ազդեցությունից միջազգային պայմանագրերով ՀՀ կողմից ստանձնած պարտավորություններին համապատասխան։</w:t>
      </w:r>
    </w:p>
    <w:p w14:paraId="05F972FE" w14:textId="77777777" w:rsidR="005E72F9" w:rsidRPr="00C921DE" w:rsidRDefault="005E72F9" w:rsidP="00C05C83">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«Հայաստանի Հանրապետության կառավարության 2014 թվականի հուլիսի 3-ի «Պետական իշխանության մարմիններում քաղաքացիական աշխատանք կատարող և տեխնիկական սպասարկում իրականացնող անձանց պաշտոնային դրույքաչափերը սահմանելու մասին» № 737-Ն որոշման մեջ լրացումներ կատարելու մասին»</w:t>
      </w:r>
      <w:r w:rsidR="000A09C4" w:rsidRPr="00C921DE">
        <w:rPr>
          <w:rFonts w:ascii="GHEA Grapalat" w:hAnsi="GHEA Grapalat" w:cs="GHEA Grapalat"/>
          <w:bCs/>
          <w:lang w:val="af-ZA"/>
        </w:rPr>
        <w:t xml:space="preserve"> ՀՀ կառավարության որոշման նախագիծը</w:t>
      </w:r>
      <w:r w:rsidRPr="00C921DE">
        <w:rPr>
          <w:rFonts w:ascii="GHEA Grapalat" w:hAnsi="GHEA Grapalat" w:cs="GHEA Grapalat"/>
          <w:bCs/>
          <w:lang w:val="af-ZA"/>
        </w:rPr>
        <w:t xml:space="preserve">։ </w:t>
      </w:r>
    </w:p>
    <w:p w14:paraId="4DBD3FF5" w14:textId="77777777" w:rsidR="005E72F9" w:rsidRPr="00C921DE" w:rsidRDefault="005E72F9" w:rsidP="000A09C4">
      <w:pPr>
        <w:spacing w:line="360" w:lineRule="auto"/>
        <w:ind w:firstLine="567"/>
        <w:jc w:val="both"/>
        <w:rPr>
          <w:rFonts w:ascii="GHEA Grapalat" w:hAnsi="GHEA Grapalat"/>
          <w:sz w:val="22"/>
          <w:szCs w:val="22"/>
        </w:rPr>
      </w:pPr>
      <w:r w:rsidRPr="00C921DE">
        <w:rPr>
          <w:rFonts w:ascii="GHEA Grapalat" w:hAnsi="GHEA Grapalat"/>
          <w:sz w:val="22"/>
          <w:szCs w:val="22"/>
        </w:rPr>
        <w:t>Իրականացվել են հետևյալ տեսչական ստուգումները՝</w:t>
      </w:r>
    </w:p>
    <w:p w14:paraId="704B70FE" w14:textId="77777777" w:rsidR="005E72F9" w:rsidRPr="00C921DE" w:rsidRDefault="005E72F9" w:rsidP="000A09C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 Համալիր տեսչական ստուգում «</w:t>
      </w:r>
      <w:bookmarkStart w:id="25" w:name="_Hlk142383596"/>
      <w:r w:rsidRPr="00C921DE">
        <w:rPr>
          <w:rFonts w:ascii="GHEA Grapalat" w:hAnsi="GHEA Grapalat" w:cs="GHEA Grapalat"/>
          <w:bCs/>
          <w:lang w:val="af-ZA"/>
        </w:rPr>
        <w:t>ՊՆՎ-</w:t>
      </w:r>
      <w:bookmarkEnd w:id="25"/>
      <w:r w:rsidRPr="00C921DE">
        <w:rPr>
          <w:rFonts w:ascii="GHEA Grapalat" w:hAnsi="GHEA Grapalat" w:cs="GHEA Grapalat"/>
          <w:bCs/>
          <w:lang w:val="af-ZA"/>
        </w:rPr>
        <w:t xml:space="preserve">ից հետո </w:t>
      </w:r>
      <w:bookmarkStart w:id="26" w:name="_Hlk142383657"/>
      <w:r w:rsidRPr="00C921DE">
        <w:rPr>
          <w:rFonts w:ascii="GHEA Grapalat" w:hAnsi="GHEA Grapalat" w:cs="GHEA Grapalat"/>
          <w:bCs/>
          <w:lang w:val="af-ZA"/>
        </w:rPr>
        <w:t>ՀԱԷԿ</w:t>
      </w:r>
      <w:bookmarkEnd w:id="26"/>
      <w:r w:rsidRPr="00C921DE">
        <w:rPr>
          <w:rFonts w:ascii="GHEA Grapalat" w:hAnsi="GHEA Grapalat" w:cs="GHEA Grapalat"/>
          <w:bCs/>
          <w:lang w:val="af-ZA"/>
        </w:rPr>
        <w:t>-ի №2 Էներգաբլոկի թողարկմանը պատրաստվածության ստուգում» թեմայով:</w:t>
      </w:r>
    </w:p>
    <w:p w14:paraId="193ABC0F" w14:textId="77777777" w:rsidR="005E72F9" w:rsidRPr="00C921DE" w:rsidRDefault="005E72F9" w:rsidP="000A09C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 xml:space="preserve"> </w:t>
      </w:r>
      <w:bookmarkStart w:id="27" w:name="_Hlk142030601"/>
      <w:r w:rsidRPr="00C921DE">
        <w:rPr>
          <w:rFonts w:ascii="GHEA Grapalat" w:hAnsi="GHEA Grapalat" w:cs="GHEA Grapalat"/>
          <w:bCs/>
          <w:lang w:val="af-ZA"/>
        </w:rPr>
        <w:t xml:space="preserve">Նպատակային տեսչական ստուգում «ՀԱԷԿ-ի մետաղների ախտորոշման համակարգի համապատասխանությունը ատոմային էներգիայի օգտագործման ոլորտում գործող նորմատիվ-տեխնիկական փաստաթղթերի պահանջներին» թեմայով։ </w:t>
      </w:r>
      <w:bookmarkStart w:id="28" w:name="_Hlk142031605"/>
      <w:bookmarkEnd w:id="27"/>
    </w:p>
    <w:p w14:paraId="7D4D419E" w14:textId="695C5650" w:rsidR="005E72F9" w:rsidRPr="00C921DE" w:rsidRDefault="005E72F9" w:rsidP="000A09C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ՀԱԷԿ 2-րդ էներգաբլոկի ռեակտորային և տուրբինային արտադրամասերի և հակահրդեհային համակարգի 67 տարրերի 2023 թվականի գրաֆիկով նախատեսված ծավալներով տեխնիկական հավաստագրման աշխատանքներին (տարրերի շահագործական հսկման փաստաթղթերի և անձնագրերի դիտարկում, տարրերի ներքին և արտաքին զննում, տարրերի հիդրավլիկ փորձարկում) մասնակցություն։ Տեխնիկական հավաստագրման արդյունքները ամփոփվել են համապատասխան ակտերով, որոնց հիման վրա թույլատրվել է նշված սարքավորումների հետագա շահագործումը։</w:t>
      </w:r>
    </w:p>
    <w:p w14:paraId="17DB571E" w14:textId="77777777" w:rsidR="005E72F9" w:rsidRPr="00C921DE" w:rsidRDefault="005E72F9" w:rsidP="000A09C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Նպատակային տեսչական ստուգում «ՀԱԷԿ ֆիզիկական պաշտպանության համակարգի գործունակության և արդիականացման աշխատանքների կատարման ընթացքի ստուգում» թեմայով։ </w:t>
      </w:r>
      <w:bookmarkEnd w:id="28"/>
    </w:p>
    <w:p w14:paraId="54A9D22B" w14:textId="77777777" w:rsidR="005E72F9" w:rsidRPr="00C921DE" w:rsidRDefault="005E72F9" w:rsidP="000A09C4">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Միջուկային զենքի չտարածման պայմանագրի հետ կապված երաշխիքների կիրառման մասին Հայաստանի Հանրապետության և Ատոմային էներգիայի միջազգային գործակալության (ԱԷՄԳ) միջև համաձայնագրի ու համաձայնագրին կից Լրացուցիչ արձանագրության շրջանակներում իրականացվել են 10 տեսչական ստուգումներ.</w:t>
      </w:r>
    </w:p>
    <w:p w14:paraId="11F0A546" w14:textId="77777777" w:rsidR="005E72F9" w:rsidRPr="00C921DE" w:rsidRDefault="005E72F9" w:rsidP="000A09C4">
      <w:pPr>
        <w:spacing w:line="360" w:lineRule="auto"/>
        <w:ind w:firstLine="567"/>
        <w:jc w:val="both"/>
        <w:rPr>
          <w:rFonts w:ascii="GHEA Grapalat" w:hAnsi="GHEA Grapalat"/>
          <w:sz w:val="22"/>
          <w:szCs w:val="22"/>
        </w:rPr>
      </w:pPr>
      <w:r w:rsidRPr="00C921DE">
        <w:rPr>
          <w:rFonts w:ascii="GHEA Grapalat" w:hAnsi="GHEA Grapalat"/>
          <w:sz w:val="22"/>
          <w:szCs w:val="22"/>
        </w:rPr>
        <w:t>Տեսչական ստուգումների արդյունքում ԱԷՄԳ է ներկայացվել «Միջուկային զենքի չտարածման պայմանագրի» շրջանակներում միջուկային նյութի քանակության մասին հաշվետվությունները, ինչպես նաև եռամսյակային և տարեկան հայտարարագրերը։</w:t>
      </w:r>
    </w:p>
    <w:p w14:paraId="58012640" w14:textId="77777777" w:rsidR="005E72F9" w:rsidRPr="00C921DE" w:rsidRDefault="005E72F9" w:rsidP="000A09C4">
      <w:pPr>
        <w:spacing w:line="360" w:lineRule="auto"/>
        <w:ind w:firstLine="567"/>
        <w:jc w:val="both"/>
        <w:rPr>
          <w:rFonts w:ascii="GHEA Grapalat" w:hAnsi="GHEA Grapalat"/>
          <w:sz w:val="22"/>
          <w:szCs w:val="22"/>
        </w:rPr>
      </w:pPr>
      <w:r w:rsidRPr="00C921DE">
        <w:rPr>
          <w:rFonts w:ascii="GHEA Grapalat" w:hAnsi="GHEA Grapalat"/>
          <w:sz w:val="22"/>
          <w:szCs w:val="22"/>
        </w:rPr>
        <w:t xml:space="preserve">ԱԷՄԳ-ի կոմից ներկայացված հայտարարությունների համաձայն </w:t>
      </w:r>
      <w:r w:rsidR="00F024EE" w:rsidRPr="00C921DE">
        <w:rPr>
          <w:rFonts w:ascii="GHEA Grapalat" w:hAnsi="GHEA Grapalat"/>
          <w:sz w:val="22"/>
          <w:szCs w:val="22"/>
          <w:lang w:val="en-US"/>
        </w:rPr>
        <w:t>ՀՀ-ն</w:t>
      </w:r>
      <w:r w:rsidRPr="00C921DE">
        <w:rPr>
          <w:rFonts w:ascii="GHEA Grapalat" w:hAnsi="GHEA Grapalat"/>
          <w:sz w:val="22"/>
          <w:szCs w:val="22"/>
        </w:rPr>
        <w:t xml:space="preserve"> ամբողջությամբ կատարել է իր ստանձնած պարտավորությունները:</w:t>
      </w:r>
    </w:p>
    <w:p w14:paraId="3F254B74" w14:textId="371B385C" w:rsidR="005E72F9" w:rsidRPr="00C921DE" w:rsidRDefault="005E72F9" w:rsidP="000A09C4">
      <w:pPr>
        <w:spacing w:line="360" w:lineRule="auto"/>
        <w:ind w:firstLine="567"/>
        <w:jc w:val="both"/>
        <w:rPr>
          <w:rFonts w:ascii="GHEA Grapalat" w:hAnsi="GHEA Grapalat"/>
          <w:sz w:val="22"/>
          <w:szCs w:val="22"/>
        </w:rPr>
      </w:pPr>
      <w:r w:rsidRPr="00C921DE">
        <w:rPr>
          <w:rFonts w:ascii="GHEA Grapalat" w:hAnsi="GHEA Grapalat"/>
          <w:sz w:val="22"/>
          <w:szCs w:val="22"/>
        </w:rPr>
        <w:t xml:space="preserve">Տեսչական ստուգման արդյունքում հայտնաբերվել </w:t>
      </w:r>
      <w:r w:rsidR="00E1089C" w:rsidRPr="00C921DE">
        <w:rPr>
          <w:rFonts w:ascii="GHEA Grapalat" w:hAnsi="GHEA Grapalat"/>
          <w:sz w:val="22"/>
          <w:szCs w:val="22"/>
          <w:lang w:val="en-US"/>
        </w:rPr>
        <w:t>են</w:t>
      </w:r>
      <w:r w:rsidRPr="00C921DE">
        <w:rPr>
          <w:rFonts w:ascii="GHEA Grapalat" w:hAnsi="GHEA Grapalat"/>
          <w:sz w:val="22"/>
          <w:szCs w:val="22"/>
        </w:rPr>
        <w:t xml:space="preserve"> </w:t>
      </w:r>
      <w:bookmarkStart w:id="29" w:name="_Hlk142033290"/>
      <w:r w:rsidRPr="00C921DE">
        <w:rPr>
          <w:rFonts w:ascii="GHEA Grapalat" w:hAnsi="GHEA Grapalat"/>
          <w:sz w:val="22"/>
          <w:szCs w:val="22"/>
        </w:rPr>
        <w:t xml:space="preserve">ատոմային էներգիայի օգտագործման բնագավառի օրենսդրության խախտումներ՝ կազմվել է 7 արձանագրություն ՀՀ ՄԱԿ կոմիտեի վերահսկման օբյեկտում ատոմային էներգիայի օգտագործման բնագավառի օրենսդրության խախտման վերաբերյալ։ </w:t>
      </w:r>
      <w:bookmarkEnd w:id="29"/>
      <w:r w:rsidRPr="00C921DE">
        <w:rPr>
          <w:rFonts w:ascii="GHEA Grapalat" w:hAnsi="GHEA Grapalat"/>
          <w:sz w:val="22"/>
          <w:szCs w:val="22"/>
        </w:rPr>
        <w:t>Կազմված արձանագրությունների հիման վրա ՀՀ միջուկային անվտանգության կարգավորման կոմիտեի նախագահի կողմից կայացվել է վարչական տույժ նշանակելու մասին 7 որոշում</w:t>
      </w:r>
      <w:r w:rsidR="008A6F5A" w:rsidRPr="00C921DE">
        <w:rPr>
          <w:rFonts w:ascii="GHEA Grapalat" w:hAnsi="GHEA Grapalat"/>
          <w:sz w:val="22"/>
          <w:szCs w:val="22"/>
          <w:lang w:val="en-US"/>
        </w:rPr>
        <w:t>,</w:t>
      </w:r>
      <w:r w:rsidRPr="00C921DE">
        <w:rPr>
          <w:rFonts w:ascii="GHEA Grapalat" w:hAnsi="GHEA Grapalat"/>
          <w:sz w:val="22"/>
          <w:szCs w:val="22"/>
        </w:rPr>
        <w:t xml:space="preserve"> և «Հայկական ԱԷԿ» ՓԲԸ, «Ռադիոակտիվ թափոնների վնասազերծում» ՓԲԸ տնօրինության նկատմա</w:t>
      </w:r>
      <w:r w:rsidR="00E57566" w:rsidRPr="00C921DE">
        <w:rPr>
          <w:rFonts w:ascii="GHEA Grapalat" w:hAnsi="GHEA Grapalat"/>
          <w:sz w:val="22"/>
          <w:szCs w:val="22"/>
          <w:lang w:val="en-US"/>
        </w:rPr>
        <w:t>մ</w:t>
      </w:r>
      <w:r w:rsidRPr="00C921DE">
        <w:rPr>
          <w:rFonts w:ascii="GHEA Grapalat" w:hAnsi="GHEA Grapalat"/>
          <w:sz w:val="22"/>
          <w:szCs w:val="22"/>
        </w:rPr>
        <w:t>բ կիրառվել է վարչական պատասխանատվություն (տուգանք) ատոմային էներգիայի օգտագործման բնագավառի օրենսդրության խախտումներ և նախկինում</w:t>
      </w:r>
      <w:r w:rsidR="00C05C83" w:rsidRPr="00C921DE">
        <w:rPr>
          <w:rFonts w:ascii="GHEA Grapalat" w:hAnsi="GHEA Grapalat"/>
          <w:sz w:val="22"/>
          <w:szCs w:val="22"/>
        </w:rPr>
        <w:t xml:space="preserve"> </w:t>
      </w:r>
      <w:r w:rsidRPr="00C921DE">
        <w:rPr>
          <w:rFonts w:ascii="GHEA Grapalat" w:hAnsi="GHEA Grapalat"/>
          <w:sz w:val="22"/>
          <w:szCs w:val="22"/>
        </w:rPr>
        <w:t>տրված կարգադրագրերի պահանջները չկատարելու համար։</w:t>
      </w:r>
    </w:p>
    <w:p w14:paraId="14CC71B1" w14:textId="77777777" w:rsidR="005E72F9" w:rsidRPr="00C921DE" w:rsidRDefault="005E72F9" w:rsidP="000A09C4">
      <w:pPr>
        <w:spacing w:line="360" w:lineRule="auto"/>
        <w:ind w:firstLine="567"/>
        <w:jc w:val="both"/>
        <w:rPr>
          <w:rFonts w:ascii="GHEA Grapalat" w:hAnsi="GHEA Grapalat"/>
          <w:sz w:val="22"/>
          <w:szCs w:val="22"/>
        </w:rPr>
      </w:pPr>
      <w:r w:rsidRPr="00C921DE">
        <w:rPr>
          <w:rFonts w:ascii="GHEA Grapalat" w:hAnsi="GHEA Grapalat"/>
          <w:sz w:val="22"/>
          <w:szCs w:val="22"/>
        </w:rPr>
        <w:t>Կազմակերպվել են տեսչական ստուգումներ</w:t>
      </w:r>
      <w:r w:rsidR="00C05C83" w:rsidRPr="00C921DE">
        <w:rPr>
          <w:rFonts w:ascii="GHEA Grapalat" w:hAnsi="GHEA Grapalat"/>
          <w:sz w:val="22"/>
          <w:szCs w:val="22"/>
        </w:rPr>
        <w:t xml:space="preserve"> </w:t>
      </w:r>
      <w:r w:rsidRPr="00C921DE">
        <w:rPr>
          <w:rFonts w:ascii="GHEA Grapalat" w:hAnsi="GHEA Grapalat"/>
          <w:sz w:val="22"/>
          <w:szCs w:val="22"/>
        </w:rPr>
        <w:t>23 առողջապահական, գիտական և արտադրական</w:t>
      </w:r>
      <w:r w:rsidR="00B979DD" w:rsidRPr="00C921DE">
        <w:rPr>
          <w:rFonts w:ascii="GHEA Grapalat" w:hAnsi="GHEA Grapalat"/>
          <w:sz w:val="22"/>
          <w:szCs w:val="22"/>
        </w:rPr>
        <w:t xml:space="preserve"> օբյեկտներում</w:t>
      </w:r>
      <w:r w:rsidR="00B979DD" w:rsidRPr="00C921DE">
        <w:rPr>
          <w:rFonts w:ascii="GHEA Grapalat" w:hAnsi="GHEA Grapalat"/>
          <w:sz w:val="22"/>
          <w:szCs w:val="22"/>
          <w:lang w:val="en-US"/>
        </w:rPr>
        <w:t xml:space="preserve">: </w:t>
      </w:r>
      <w:r w:rsidRPr="00C921DE">
        <w:rPr>
          <w:rFonts w:ascii="GHEA Grapalat" w:hAnsi="GHEA Grapalat"/>
          <w:sz w:val="22"/>
          <w:szCs w:val="22"/>
        </w:rPr>
        <w:t xml:space="preserve">Տեսչական ստուգումների արդյունքում վերը նշված կազմակերպություններին տրվել են </w:t>
      </w:r>
      <w:r w:rsidRPr="00C921DE">
        <w:rPr>
          <w:rFonts w:ascii="GHEA Grapalat" w:hAnsi="GHEA Grapalat"/>
          <w:sz w:val="22"/>
          <w:szCs w:val="22"/>
        </w:rPr>
        <w:lastRenderedPageBreak/>
        <w:t xml:space="preserve">հայտնաբերված </w:t>
      </w:r>
      <w:r w:rsidR="00B979DD" w:rsidRPr="00C921DE">
        <w:rPr>
          <w:rFonts w:ascii="GHEA Grapalat" w:hAnsi="GHEA Grapalat"/>
          <w:sz w:val="22"/>
          <w:szCs w:val="22"/>
          <w:lang w:val="en-US"/>
        </w:rPr>
        <w:t>խ</w:t>
      </w:r>
      <w:r w:rsidRPr="00C921DE">
        <w:rPr>
          <w:rFonts w:ascii="GHEA Grapalat" w:hAnsi="GHEA Grapalat"/>
          <w:sz w:val="22"/>
          <w:szCs w:val="22"/>
        </w:rPr>
        <w:t>ախտումների վերացման կարգադրագրեր։ Իրական</w:t>
      </w:r>
      <w:r w:rsidR="00B979DD" w:rsidRPr="00C921DE">
        <w:rPr>
          <w:rFonts w:ascii="GHEA Grapalat" w:hAnsi="GHEA Grapalat"/>
          <w:sz w:val="22"/>
          <w:szCs w:val="22"/>
          <w:lang w:val="en-US"/>
        </w:rPr>
        <w:t>ա</w:t>
      </w:r>
      <w:r w:rsidRPr="00C921DE">
        <w:rPr>
          <w:rFonts w:ascii="GHEA Grapalat" w:hAnsi="GHEA Grapalat"/>
          <w:sz w:val="22"/>
          <w:szCs w:val="22"/>
        </w:rPr>
        <w:t xml:space="preserve">ցվել է տրված կարգադրագրերի պահանջների կատարման հսկողություն և կատարման նորմատիվաիրավական ակտերի պահանջներին համապատասխանության ստուգում։ </w:t>
      </w:r>
    </w:p>
    <w:p w14:paraId="023250E5" w14:textId="77777777" w:rsidR="005E72F9" w:rsidRPr="00C921DE" w:rsidRDefault="005E72F9" w:rsidP="00B979DD">
      <w:pPr>
        <w:spacing w:line="360" w:lineRule="auto"/>
        <w:ind w:firstLine="567"/>
        <w:jc w:val="both"/>
        <w:rPr>
          <w:rFonts w:ascii="GHEA Grapalat" w:hAnsi="GHEA Grapalat"/>
          <w:sz w:val="22"/>
          <w:szCs w:val="22"/>
          <w:lang w:val="en-US"/>
        </w:rPr>
      </w:pPr>
      <w:r w:rsidRPr="00C921DE">
        <w:rPr>
          <w:rFonts w:ascii="GHEA Grapalat" w:hAnsi="GHEA Grapalat"/>
          <w:sz w:val="22"/>
          <w:szCs w:val="22"/>
        </w:rPr>
        <w:t>Հաշվետու ժամանակահատվածում դիտարկվել, վերլուծվել և համաձայնեցվել են ՀԱԷԿ-ի կողմից ներկայացված անվտանգության համար կարևոր ծրագրերում և հրահանգներում նախատեսվող 30 փոփոխությունների փաթեթներ</w:t>
      </w:r>
      <w:r w:rsidR="0054341F" w:rsidRPr="00C921DE">
        <w:rPr>
          <w:rFonts w:ascii="Cambria Math" w:hAnsi="Cambria Math" w:cs="Cambria Math"/>
          <w:sz w:val="22"/>
          <w:szCs w:val="22"/>
          <w:lang w:val="en-US"/>
        </w:rPr>
        <w:t>:</w:t>
      </w:r>
    </w:p>
    <w:p w14:paraId="5F562081" w14:textId="77777777" w:rsidR="005E72F9" w:rsidRPr="00C921DE" w:rsidRDefault="005E72F9" w:rsidP="00B979DD">
      <w:pPr>
        <w:spacing w:line="360" w:lineRule="auto"/>
        <w:ind w:firstLine="567"/>
        <w:jc w:val="both"/>
        <w:rPr>
          <w:rFonts w:ascii="GHEA Grapalat" w:hAnsi="GHEA Grapalat"/>
          <w:sz w:val="22"/>
          <w:szCs w:val="22"/>
        </w:rPr>
      </w:pPr>
      <w:r w:rsidRPr="00C921DE">
        <w:rPr>
          <w:rFonts w:ascii="GHEA Grapalat" w:hAnsi="GHEA Grapalat"/>
          <w:sz w:val="22"/>
          <w:szCs w:val="22"/>
        </w:rPr>
        <w:t>Կատարվել է ՀԱԷԿ 2-րդ էներգաբլոկի տարրերի մետաղի որակի շահագործական և նախաշահագործական հսկման փաստաթղթերի (հսկման ծրագրեր, հսկման աշխատանքների եզրակացություններ, հսկման տեխնոլոգիական քարտեր, հսկման մատյաններ, ախտորոշողների և եռակցողների որակավորման վկայականներ, եռակցման տիպային տեխնոլոգիական պրոցես, եռակցման նյութերի վկայականներ, հսկման սարքավորումների անձնագրեր, հսկման մեթոդիկաներ) դիտարկում։ Դիտարկման արդյունքները ներկայացվել են ՀԱԷԿ։</w:t>
      </w:r>
    </w:p>
    <w:p w14:paraId="0629E15E" w14:textId="77777777" w:rsidR="005E72F9" w:rsidRPr="00C921DE" w:rsidRDefault="005E72F9" w:rsidP="0054341F">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թվականին շարունակվել են ՀՀ ՄԱԿԿ-ի կողմից հաստատված «ՀԱԷԿ-ի երկրորդ բլոկի սեյսմիկ անվտանգության գնահատումը ճշգրտված մակարդակի երկրաշարժի PGA=042g դեպքում» ծրագրով (այսուհետ՝ վերագնահատման ծրագիր) նախատեսված աշխատանքներն ըստ համապատասխան ժամանակացույցի։ </w:t>
      </w:r>
    </w:p>
    <w:p w14:paraId="0FB777DE" w14:textId="0AEA77E4" w:rsidR="005E72F9" w:rsidRPr="00C921DE" w:rsidRDefault="005E72F9" w:rsidP="0054341F">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ՀՀ ԱԻՆ, ՀՀ ՄԱԿԿ և ՀԱԷԿ միջև կնքված եռակողմ համաձայնագրի հիման վրա շարունակվել են ՀԱԷԿ-ից 50</w:t>
      </w:r>
      <w:r w:rsidR="0041400F" w:rsidRPr="00C921DE">
        <w:rPr>
          <w:rFonts w:ascii="GHEA Grapalat" w:hAnsi="GHEA Grapalat"/>
          <w:sz w:val="22"/>
          <w:szCs w:val="22"/>
          <w:lang w:val="en-US"/>
        </w:rPr>
        <w:t xml:space="preserve"> </w:t>
      </w:r>
      <w:r w:rsidRPr="00C921DE">
        <w:rPr>
          <w:rFonts w:ascii="GHEA Grapalat" w:hAnsi="GHEA Grapalat"/>
          <w:sz w:val="22"/>
          <w:szCs w:val="22"/>
        </w:rPr>
        <w:t>կմ, 100</w:t>
      </w:r>
      <w:r w:rsidR="0041400F" w:rsidRPr="00C921DE">
        <w:rPr>
          <w:rFonts w:ascii="GHEA Grapalat" w:hAnsi="GHEA Grapalat"/>
          <w:sz w:val="22"/>
          <w:szCs w:val="22"/>
          <w:lang w:val="en-US"/>
        </w:rPr>
        <w:t xml:space="preserve"> </w:t>
      </w:r>
      <w:r w:rsidRPr="00C921DE">
        <w:rPr>
          <w:rFonts w:ascii="GHEA Grapalat" w:hAnsi="GHEA Grapalat"/>
          <w:sz w:val="22"/>
          <w:szCs w:val="22"/>
        </w:rPr>
        <w:t>կմ և ավելի շառավղով սեյսմիկ մոնիտորինգի դիտարկման աշխատանքները</w:t>
      </w:r>
      <w:r w:rsidR="0054341F" w:rsidRPr="00C921DE">
        <w:rPr>
          <w:rFonts w:ascii="GHEA Grapalat" w:hAnsi="GHEA Grapalat"/>
          <w:sz w:val="22"/>
          <w:szCs w:val="22"/>
          <w:lang w:val="en-US"/>
        </w:rPr>
        <w:t>՝</w:t>
      </w:r>
      <w:r w:rsidRPr="00C921DE">
        <w:rPr>
          <w:rFonts w:ascii="GHEA Grapalat" w:hAnsi="GHEA Grapalat"/>
          <w:sz w:val="22"/>
          <w:szCs w:val="22"/>
        </w:rPr>
        <w:t xml:space="preserve"> օգտագործելով այդ նպատակով ԱԷՄԳ-ից ստացված GURALP 6TD տիպի սեյսմիկ գրանցող սարքերը, որոնք միացված են Սեյսմիկ պաշտպանության ազգային ծառայության ցանցին։</w:t>
      </w:r>
    </w:p>
    <w:p w14:paraId="0C7E3347" w14:textId="77777777" w:rsidR="005E72F9" w:rsidRPr="00C921DE" w:rsidRDefault="005E72F9" w:rsidP="0054341F">
      <w:pPr>
        <w:spacing w:line="360" w:lineRule="auto"/>
        <w:ind w:firstLine="567"/>
        <w:jc w:val="both"/>
        <w:rPr>
          <w:rFonts w:ascii="GHEA Grapalat" w:hAnsi="GHEA Grapalat"/>
          <w:sz w:val="22"/>
          <w:szCs w:val="22"/>
          <w:lang w:val="en-US"/>
        </w:rPr>
      </w:pPr>
      <w:r w:rsidRPr="00C921DE">
        <w:rPr>
          <w:rFonts w:ascii="GHEA Grapalat" w:hAnsi="GHEA Grapalat"/>
          <w:sz w:val="22"/>
          <w:szCs w:val="22"/>
        </w:rPr>
        <w:t>Հաշվետու ժամանակահատվածում իրականացվել է Հայկական ԱԷԿ-ի 2-րդ Էներգաբլոկի միջուկային վառելիքի 35-րդ բեռնավորման նեյտրոնաֆիզիկական հաշվարկների վերլուծություն և գնահատում, տրվել է ռեակտորի</w:t>
      </w:r>
      <w:r w:rsidR="00CE04A7" w:rsidRPr="00C921DE">
        <w:rPr>
          <w:rFonts w:ascii="GHEA Grapalat" w:hAnsi="GHEA Grapalat"/>
          <w:sz w:val="22"/>
          <w:szCs w:val="22"/>
        </w:rPr>
        <w:t xml:space="preserve"> վերաբեռնավորման թույլտվություն</w:t>
      </w:r>
      <w:r w:rsidR="00CE04A7" w:rsidRPr="00C921DE">
        <w:rPr>
          <w:rFonts w:ascii="GHEA Grapalat" w:hAnsi="GHEA Grapalat"/>
          <w:sz w:val="22"/>
          <w:szCs w:val="22"/>
          <w:lang w:val="en-US"/>
        </w:rPr>
        <w:t>:</w:t>
      </w:r>
    </w:p>
    <w:p w14:paraId="6081E409" w14:textId="1577EF08" w:rsidR="005E72F9" w:rsidRPr="00C921DE" w:rsidRDefault="005E72F9" w:rsidP="0054341F">
      <w:pPr>
        <w:spacing w:line="360" w:lineRule="auto"/>
        <w:ind w:firstLine="567"/>
        <w:jc w:val="both"/>
        <w:rPr>
          <w:rFonts w:ascii="GHEA Grapalat" w:hAnsi="GHEA Grapalat"/>
          <w:sz w:val="22"/>
          <w:szCs w:val="22"/>
        </w:rPr>
      </w:pPr>
      <w:r w:rsidRPr="00C921DE">
        <w:rPr>
          <w:rFonts w:ascii="GHEA Grapalat" w:hAnsi="GHEA Grapalat"/>
          <w:sz w:val="22"/>
          <w:szCs w:val="22"/>
        </w:rPr>
        <w:t>Աշխատած միջուկային վառելիքի չոր պահեստարանի վիճակի գնահատման նպատակով իրականացվել է ՀԱԷԿ-ի կողմից ներկայացվող աշխատած միջուկային վառելիքի չոր պահեստարանի վիճակի եռամսյակային հա</w:t>
      </w:r>
      <w:r w:rsidR="00E57566" w:rsidRPr="00C921DE">
        <w:rPr>
          <w:rFonts w:ascii="GHEA Grapalat" w:hAnsi="GHEA Grapalat"/>
          <w:sz w:val="22"/>
          <w:szCs w:val="22"/>
          <w:lang w:val="en-US"/>
        </w:rPr>
        <w:t>շ</w:t>
      </w:r>
      <w:r w:rsidRPr="00C921DE">
        <w:rPr>
          <w:rFonts w:ascii="GHEA Grapalat" w:hAnsi="GHEA Grapalat"/>
          <w:sz w:val="22"/>
          <w:szCs w:val="22"/>
        </w:rPr>
        <w:t>վետվությունների վերլուծություն և գնահատում:</w:t>
      </w:r>
      <w:bookmarkEnd w:id="24"/>
    </w:p>
    <w:p w14:paraId="721624C7" w14:textId="77777777" w:rsidR="001C411D" w:rsidRPr="00C921DE" w:rsidRDefault="001C411D" w:rsidP="00AC199C">
      <w:pPr>
        <w:spacing w:line="360" w:lineRule="auto"/>
        <w:ind w:firstLine="567"/>
        <w:jc w:val="both"/>
        <w:rPr>
          <w:rFonts w:ascii="GHEA Grapalat" w:hAnsi="GHEA Grapalat"/>
          <w:sz w:val="22"/>
          <w:szCs w:val="22"/>
        </w:rPr>
      </w:pPr>
    </w:p>
    <w:p w14:paraId="568DDBA1" w14:textId="77777777" w:rsidR="001C411D" w:rsidRPr="00C921DE" w:rsidRDefault="001C411D" w:rsidP="00695F26">
      <w:pPr>
        <w:pStyle w:val="Heading2"/>
        <w:spacing w:before="0"/>
      </w:pPr>
      <w:bookmarkStart w:id="30" w:name="_Toc163745421"/>
      <w:r w:rsidRPr="00C921DE">
        <w:t>Ջրային տնտեսություն</w:t>
      </w:r>
      <w:bookmarkEnd w:id="30"/>
    </w:p>
    <w:p w14:paraId="1B2F9AB7" w14:textId="759F8FE1" w:rsidR="001C411D" w:rsidRPr="00C921DE" w:rsidRDefault="001C411D" w:rsidP="00921282">
      <w:pPr>
        <w:spacing w:line="360" w:lineRule="auto"/>
        <w:ind w:firstLine="567"/>
        <w:jc w:val="both"/>
        <w:rPr>
          <w:rFonts w:ascii="GHEA Grapalat" w:hAnsi="GHEA Grapalat"/>
          <w:sz w:val="22"/>
          <w:szCs w:val="22"/>
        </w:rPr>
      </w:pPr>
      <w:r w:rsidRPr="00C921DE">
        <w:rPr>
          <w:rFonts w:ascii="GHEA Grapalat" w:hAnsi="GHEA Grapalat"/>
          <w:sz w:val="22"/>
          <w:szCs w:val="22"/>
        </w:rPr>
        <w:t>Ջրային տնտեսու</w:t>
      </w:r>
      <w:r w:rsidRPr="00C921DE">
        <w:rPr>
          <w:rFonts w:ascii="GHEA Grapalat" w:hAnsi="GHEA Grapalat"/>
          <w:sz w:val="22"/>
          <w:szCs w:val="22"/>
        </w:rPr>
        <w:softHyphen/>
        <w:t>թյան ոլորտում ջրային կոմիտեի համակարգմամբ 202</w:t>
      </w:r>
      <w:r w:rsidR="008C0D34" w:rsidRPr="00C921DE">
        <w:rPr>
          <w:rFonts w:ascii="GHEA Grapalat" w:hAnsi="GHEA Grapalat"/>
          <w:sz w:val="22"/>
          <w:szCs w:val="22"/>
          <w:lang w:val="en-US"/>
        </w:rPr>
        <w:t>3</w:t>
      </w:r>
      <w:r w:rsidRPr="00C921DE">
        <w:rPr>
          <w:rFonts w:ascii="GHEA Grapalat" w:hAnsi="GHEA Grapalat"/>
          <w:sz w:val="22"/>
          <w:szCs w:val="22"/>
        </w:rPr>
        <w:t xml:space="preserve"> թվականի ընթացքում կատարվել են հետևյալ հիմնական աշխատանք</w:t>
      </w:r>
      <w:r w:rsidRPr="00C921DE">
        <w:rPr>
          <w:rFonts w:ascii="GHEA Grapalat" w:hAnsi="GHEA Grapalat"/>
          <w:sz w:val="22"/>
          <w:szCs w:val="22"/>
        </w:rPr>
        <w:softHyphen/>
        <w:t>ները.</w:t>
      </w:r>
    </w:p>
    <w:p w14:paraId="0C4F0F30" w14:textId="04E9D9B0" w:rsidR="00B41573" w:rsidRPr="00C921DE" w:rsidRDefault="00B41573" w:rsidP="005F4409">
      <w:pPr>
        <w:numPr>
          <w:ilvl w:val="0"/>
          <w:numId w:val="7"/>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lastRenderedPageBreak/>
        <w:t xml:space="preserve">Համաձայն 2016 թվականի նոյեմբերի 21-ին </w:t>
      </w:r>
      <w:r w:rsidR="00301BC8" w:rsidRPr="00C921DE">
        <w:rPr>
          <w:rFonts w:ascii="GHEA Grapalat" w:hAnsi="GHEA Grapalat"/>
          <w:sz w:val="22"/>
          <w:szCs w:val="22"/>
          <w:lang w:val="en-US"/>
        </w:rPr>
        <w:t>Կ</w:t>
      </w:r>
      <w:r w:rsidRPr="00C921DE">
        <w:rPr>
          <w:rFonts w:ascii="GHEA Grapalat" w:hAnsi="GHEA Grapalat"/>
          <w:sz w:val="22"/>
          <w:szCs w:val="22"/>
        </w:rPr>
        <w:t xml:space="preserve">առավարության` ի դեմս ՀՀ ԷԵԲՊՆ ջրային տնտեսության պետական </w:t>
      </w:r>
      <w:r w:rsidR="005F4409" w:rsidRPr="00C921DE">
        <w:rPr>
          <w:rFonts w:ascii="GHEA Grapalat" w:hAnsi="GHEA Grapalat"/>
          <w:sz w:val="22"/>
          <w:szCs w:val="22"/>
          <w:lang w:val="en-US"/>
        </w:rPr>
        <w:t>կ</w:t>
      </w:r>
      <w:r w:rsidRPr="00C921DE">
        <w:rPr>
          <w:rFonts w:ascii="GHEA Grapalat" w:hAnsi="GHEA Grapalat"/>
          <w:sz w:val="22"/>
          <w:szCs w:val="22"/>
        </w:rPr>
        <w:t>ոմիտեի, «Վեոլիա Օ Ժեներալ դեզ Օ» կոմանդիտային բաժնետիրական ընկերության և «Վեոլիա Ջուր» փակ բաժնետիրական ընկերության միջև ստորագրված վարձակալության պայմանագրի, որն ուժի մեջ է մտել 2017 թվականի հունվարի 1-ից, 2023 թվականին «Վեոլիա Ջուր» ՓԲԸ-ի կողմից որպես վարձակալական վճար ՀՀ պետական բյուջե մուտքագրվել է 2,724.5 մլն դրամ:</w:t>
      </w:r>
    </w:p>
    <w:p w14:paraId="50065A76" w14:textId="77777777" w:rsidR="00B41573" w:rsidRPr="00C921DE" w:rsidRDefault="00B41573" w:rsidP="005F4409">
      <w:pPr>
        <w:numPr>
          <w:ilvl w:val="0"/>
          <w:numId w:val="7"/>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Ոռոգման նպատակով ջրառ իրականացնող «Ջրառ» փակ բաժնետիրական ընկերության, ինչպես նաև ոռոգման ջուր մատակարարող 15 ջրօգտագործողների ընկերությունների գործունեություննե</w:t>
      </w:r>
      <w:r w:rsidR="00D63461" w:rsidRPr="00C921DE">
        <w:rPr>
          <w:rFonts w:ascii="GHEA Grapalat" w:hAnsi="GHEA Grapalat"/>
          <w:sz w:val="22"/>
          <w:szCs w:val="22"/>
        </w:rPr>
        <w:t>րի արդյունքներով ապահովվել է 87.</w:t>
      </w:r>
      <w:r w:rsidRPr="00C921DE">
        <w:rPr>
          <w:rFonts w:ascii="GHEA Grapalat" w:hAnsi="GHEA Grapalat"/>
          <w:sz w:val="22"/>
          <w:szCs w:val="22"/>
        </w:rPr>
        <w:t>96 հազ. հա հողատարածքների կայուն ջրամատակարարումը:</w:t>
      </w:r>
    </w:p>
    <w:p w14:paraId="1EC93949" w14:textId="77777777" w:rsidR="00B41573" w:rsidRPr="00C921DE" w:rsidRDefault="00B41573" w:rsidP="005F4409">
      <w:pPr>
        <w:numPr>
          <w:ilvl w:val="0"/>
          <w:numId w:val="7"/>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 xml:space="preserve">Համակարգի կազմակերպությունների հիմնական գործունեության վերլուծությունը ցույց է տալիս, որ 2023 թվականին իրագործվել են հաստատված ծրագրերը: </w:t>
      </w:r>
    </w:p>
    <w:p w14:paraId="28A765E2" w14:textId="77777777" w:rsidR="00B41573" w:rsidRPr="00C921DE" w:rsidRDefault="00B41573" w:rsidP="00FC6753">
      <w:pPr>
        <w:spacing w:line="360" w:lineRule="auto"/>
        <w:ind w:firstLine="567"/>
        <w:jc w:val="both"/>
        <w:rPr>
          <w:rFonts w:ascii="GHEA Grapalat" w:hAnsi="GHEA Grapalat"/>
          <w:sz w:val="22"/>
          <w:szCs w:val="22"/>
        </w:rPr>
      </w:pPr>
      <w:r w:rsidRPr="00C921DE">
        <w:rPr>
          <w:rFonts w:ascii="GHEA Grapalat" w:hAnsi="GHEA Grapalat"/>
          <w:sz w:val="22"/>
          <w:szCs w:val="22"/>
        </w:rPr>
        <w:t xml:space="preserve">Ոռոգման և խմելու ջրամատակարարման ծառայությունների դիմաց հավաքագրումների գծով 2023 թվականին համակարգի գանձումը կազմել է շուրջ 34.41 մլրդ դրամ` 2022 թվականի 31.88 մլրդ դրամի փոխարեն կամ ավել է գանձվել 2.53 մլրդ դրամ։ </w:t>
      </w:r>
    </w:p>
    <w:p w14:paraId="38FC6A11" w14:textId="77777777" w:rsidR="00B41573" w:rsidRPr="00C921DE" w:rsidRDefault="00B41573" w:rsidP="00FC6753">
      <w:pPr>
        <w:spacing w:line="360" w:lineRule="auto"/>
        <w:ind w:firstLine="567"/>
        <w:jc w:val="both"/>
        <w:rPr>
          <w:rFonts w:ascii="GHEA Grapalat" w:hAnsi="GHEA Grapalat"/>
          <w:sz w:val="22"/>
          <w:szCs w:val="22"/>
        </w:rPr>
      </w:pPr>
      <w:r w:rsidRPr="00C921DE">
        <w:rPr>
          <w:rFonts w:ascii="GHEA Grapalat" w:hAnsi="GHEA Grapalat"/>
          <w:sz w:val="22"/>
          <w:szCs w:val="22"/>
        </w:rPr>
        <w:t>Խմելու ջրի մասով գանձվել է շուրջ 95%` 2022 թվականի 94.2%-ի դիմաց կամ ավել է գանձվել շուրջ 0.8%, իսկ ոռոգման ոլորտում գանձվել է 71.9%՝ 2022 թվականի 69.5%-ի դիմաց կամ ավել է գանձվել շուրջ 2.4%, որը նաև նախորդ տարիների համեմատ ամենաբարձր ցուցանիշն է։</w:t>
      </w:r>
    </w:p>
    <w:p w14:paraId="467DD548" w14:textId="77777777" w:rsidR="00B41573" w:rsidRPr="00C921DE" w:rsidRDefault="00B41573" w:rsidP="00FC6753">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էլեկտրաէներգիայի ծախսը կազմել է 236.2 մլն կՎտժ կամ 10.23 մլրդ դրամ՝ 2022 թվականի 238.8 մլն կՎտժ</w:t>
      </w:r>
      <w:r w:rsidR="00D21C7B" w:rsidRPr="00C921DE">
        <w:rPr>
          <w:rFonts w:ascii="GHEA Grapalat" w:hAnsi="GHEA Grapalat"/>
          <w:sz w:val="22"/>
          <w:szCs w:val="22"/>
          <w:lang w:val="en-US"/>
        </w:rPr>
        <w:t>-</w:t>
      </w:r>
      <w:r w:rsidRPr="00C921DE">
        <w:rPr>
          <w:rFonts w:ascii="GHEA Grapalat" w:hAnsi="GHEA Grapalat"/>
          <w:sz w:val="22"/>
          <w:szCs w:val="22"/>
        </w:rPr>
        <w:t xml:space="preserve">ի </w:t>
      </w:r>
      <w:r w:rsidR="00D21C7B" w:rsidRPr="00C921DE">
        <w:rPr>
          <w:rFonts w:ascii="GHEA Grapalat" w:hAnsi="GHEA Grapalat"/>
          <w:sz w:val="22"/>
          <w:szCs w:val="22"/>
          <w:lang w:val="en-US"/>
        </w:rPr>
        <w:t xml:space="preserve">կամ </w:t>
      </w:r>
      <w:r w:rsidRPr="00C921DE">
        <w:rPr>
          <w:rFonts w:ascii="GHEA Grapalat" w:hAnsi="GHEA Grapalat"/>
          <w:sz w:val="22"/>
          <w:szCs w:val="22"/>
        </w:rPr>
        <w:t>10.61 մլրդ դրամ</w:t>
      </w:r>
      <w:r w:rsidR="00D21C7B" w:rsidRPr="00C921DE">
        <w:rPr>
          <w:rFonts w:ascii="GHEA Grapalat" w:hAnsi="GHEA Grapalat"/>
          <w:sz w:val="22"/>
          <w:szCs w:val="22"/>
          <w:lang w:val="en-US"/>
        </w:rPr>
        <w:t>ի դիմաց</w:t>
      </w:r>
      <w:r w:rsidRPr="00C921DE">
        <w:rPr>
          <w:rFonts w:ascii="GHEA Grapalat" w:hAnsi="GHEA Grapalat"/>
          <w:sz w:val="22"/>
          <w:szCs w:val="22"/>
        </w:rPr>
        <w:t xml:space="preserve"> կամ պակաս է ծախսվել 2.6 մլ</w:t>
      </w:r>
      <w:r w:rsidR="00D21C7B" w:rsidRPr="00C921DE">
        <w:rPr>
          <w:rFonts w:ascii="GHEA Grapalat" w:hAnsi="GHEA Grapalat"/>
          <w:sz w:val="22"/>
          <w:szCs w:val="22"/>
        </w:rPr>
        <w:t>ն կՎտ</w:t>
      </w:r>
      <w:r w:rsidRPr="00C921DE">
        <w:rPr>
          <w:rFonts w:ascii="GHEA Grapalat" w:hAnsi="GHEA Grapalat"/>
          <w:sz w:val="22"/>
          <w:szCs w:val="22"/>
        </w:rPr>
        <w:t>ժ՝ շուրջ 380.0 մլն դրամ։</w:t>
      </w:r>
    </w:p>
    <w:p w14:paraId="646C1374" w14:textId="77777777" w:rsidR="00B41573" w:rsidRPr="00C921DE" w:rsidRDefault="00B41573" w:rsidP="00D21C7B">
      <w:pPr>
        <w:numPr>
          <w:ilvl w:val="0"/>
          <w:numId w:val="7"/>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2023 թվականի ընթացքում «Վեոլիա Ջուր» ՓԲԸ-ի սպասարկման տարածքում ջրամատակարարման միջին կշռային տևողությունը Երևան քաղաքում եղել է 23.2 ժամ/օր, այլ քաղաքային համայնքներում</w:t>
      </w:r>
      <w:r w:rsidR="00537674" w:rsidRPr="00C921DE">
        <w:rPr>
          <w:rFonts w:ascii="GHEA Grapalat" w:hAnsi="GHEA Grapalat"/>
          <w:sz w:val="22"/>
          <w:szCs w:val="22"/>
          <w:lang w:val="en-US"/>
        </w:rPr>
        <w:t>՝</w:t>
      </w:r>
      <w:r w:rsidRPr="00C921DE">
        <w:rPr>
          <w:rFonts w:ascii="GHEA Grapalat" w:hAnsi="GHEA Grapalat"/>
          <w:sz w:val="22"/>
          <w:szCs w:val="22"/>
        </w:rPr>
        <w:t xml:space="preserve"> 20.5 ժամ/օր, իսկ գյուղական տարածքներում</w:t>
      </w:r>
      <w:r w:rsidR="00537674" w:rsidRPr="00C921DE">
        <w:rPr>
          <w:rFonts w:ascii="GHEA Grapalat" w:hAnsi="GHEA Grapalat"/>
          <w:sz w:val="22"/>
          <w:szCs w:val="22"/>
          <w:lang w:val="en-US"/>
        </w:rPr>
        <w:t>՝</w:t>
      </w:r>
      <w:r w:rsidRPr="00C921DE">
        <w:rPr>
          <w:rFonts w:ascii="GHEA Grapalat" w:hAnsi="GHEA Grapalat"/>
          <w:sz w:val="22"/>
          <w:szCs w:val="22"/>
        </w:rPr>
        <w:t xml:space="preserve"> 20.2 ժամ/օր:</w:t>
      </w:r>
    </w:p>
    <w:p w14:paraId="2133435A" w14:textId="77777777" w:rsidR="00B41573" w:rsidRPr="00C921DE" w:rsidRDefault="00B41573" w:rsidP="00D21C7B">
      <w:pPr>
        <w:numPr>
          <w:ilvl w:val="0"/>
          <w:numId w:val="7"/>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2023 թվականի մայիսի 11-ին ընդունվել է «Ոռոգման նպատակով 2023 թվականին Սևանա լճից ջրառի մասին» ՀՀ կառավարության N 704-Ա որոշումը, որով ոռոգման նպատակով Սևանա լճից 2023 թվականի ջրառի չափաքանակը սահմանվել է մինչև 170.0 մլն մ</w:t>
      </w:r>
      <w:r w:rsidR="00537674" w:rsidRPr="00C921DE">
        <w:rPr>
          <w:rFonts w:ascii="GHEA Grapalat" w:hAnsi="GHEA Grapalat"/>
          <w:sz w:val="22"/>
          <w:szCs w:val="22"/>
          <w:vertAlign w:val="superscript"/>
          <w:lang w:val="en-US"/>
        </w:rPr>
        <w:t>3</w:t>
      </w:r>
      <w:r w:rsidRPr="00C921DE">
        <w:rPr>
          <w:rFonts w:ascii="GHEA Grapalat" w:hAnsi="GHEA Grapalat"/>
          <w:sz w:val="22"/>
          <w:szCs w:val="22"/>
        </w:rPr>
        <w:t xml:space="preserve">: </w:t>
      </w:r>
    </w:p>
    <w:p w14:paraId="46AB90FD" w14:textId="77777777" w:rsidR="00B41573" w:rsidRPr="00C921DE" w:rsidRDefault="00B41573" w:rsidP="00537674">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հուլիսի 12-ին ընդունվել է «Սևանա լճի էկոհամակարգի վերականգնման, պահպանման, վերարտադրման և օգտագործման միջոցառումների տարեկան ու համալիր ծրագրերը հաստատելու մասին» օրենքում լրացումներ կատարելու մասին» օրենքում լրացումներ կատարելու մասին ՀՕ-254-Ն օրենքը, որի համաձայն 2023 թվականին Սևանա լճից ոռոգման նպատակով ջրի </w:t>
      </w:r>
      <w:r w:rsidRPr="00C921DE">
        <w:rPr>
          <w:rFonts w:ascii="GHEA Grapalat" w:hAnsi="GHEA Grapalat"/>
          <w:sz w:val="22"/>
          <w:szCs w:val="22"/>
        </w:rPr>
        <w:lastRenderedPageBreak/>
        <w:t>բացթողնման</w:t>
      </w:r>
      <w:r w:rsidR="00C03043" w:rsidRPr="00C921DE">
        <w:rPr>
          <w:rFonts w:ascii="GHEA Grapalat" w:hAnsi="GHEA Grapalat"/>
          <w:sz w:val="22"/>
          <w:szCs w:val="22"/>
        </w:rPr>
        <w:t xml:space="preserve"> տարեկան առավելագույն չափաքանակն</w:t>
      </w:r>
      <w:r w:rsidRPr="00C921DE">
        <w:rPr>
          <w:rFonts w:ascii="GHEA Grapalat" w:hAnsi="GHEA Grapalat"/>
          <w:sz w:val="22"/>
          <w:szCs w:val="22"/>
        </w:rPr>
        <w:t xml:space="preserve"> ավելացվել է 70 մլն</w:t>
      </w:r>
      <w:r w:rsidR="00C03043" w:rsidRPr="00C921DE">
        <w:rPr>
          <w:rFonts w:ascii="GHEA Grapalat" w:hAnsi="GHEA Grapalat"/>
          <w:sz w:val="22"/>
          <w:szCs w:val="22"/>
          <w:lang w:val="en-US"/>
        </w:rPr>
        <w:t xml:space="preserve"> </w:t>
      </w:r>
      <w:r w:rsidRPr="00C921DE">
        <w:rPr>
          <w:rFonts w:ascii="GHEA Grapalat" w:hAnsi="GHEA Grapalat"/>
          <w:sz w:val="22"/>
          <w:szCs w:val="22"/>
        </w:rPr>
        <w:t>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-ով և սահմանվել է մինչև 240 մլն 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w:t>
      </w:r>
      <w:r w:rsidR="006B5113" w:rsidRPr="00C921DE">
        <w:rPr>
          <w:rFonts w:ascii="GHEA Grapalat" w:hAnsi="GHEA Grapalat"/>
          <w:sz w:val="22"/>
          <w:szCs w:val="22"/>
        </w:rPr>
        <w:t xml:space="preserve"> </w:t>
      </w:r>
    </w:p>
    <w:p w14:paraId="3EE603B7" w14:textId="77777777" w:rsidR="00B41573" w:rsidRPr="00C921DE" w:rsidRDefault="00B41573" w:rsidP="00537674">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մայիսի 14-ից մինչև սեպտեմբերի 15-ը Սևանա լճից ոռոգման նպատակով բաց է թողնվել 228.234 մլն 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 xml:space="preserve"> ջուր, նախորդ տարվա ոռոգման շրջանում բաց է թողնվել 165.063 մլն </w:t>
      </w:r>
      <w:r w:rsidR="00C03043" w:rsidRPr="00C921DE">
        <w:rPr>
          <w:rFonts w:ascii="GHEA Grapalat" w:hAnsi="GHEA Grapalat"/>
          <w:sz w:val="22"/>
          <w:szCs w:val="22"/>
        </w:rPr>
        <w:t>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 xml:space="preserve"> ջուր, կամ ավել է բաց թողնվել շուրջ 63.17 մլն </w:t>
      </w:r>
      <w:r w:rsidR="00C03043" w:rsidRPr="00C921DE">
        <w:rPr>
          <w:rFonts w:ascii="GHEA Grapalat" w:hAnsi="GHEA Grapalat"/>
          <w:sz w:val="22"/>
          <w:szCs w:val="22"/>
        </w:rPr>
        <w:t>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 xml:space="preserve"> ջուր: Արփա-Սևան թունելով 2023 թվականի դեկտեմբերի 31-ի դրությամբ Սևանա լիճ է տեղափոխվել շուրջ 126.760 մլն </w:t>
      </w:r>
      <w:r w:rsidR="00C03043" w:rsidRPr="00C921DE">
        <w:rPr>
          <w:rFonts w:ascii="GHEA Grapalat" w:hAnsi="GHEA Grapalat"/>
          <w:sz w:val="22"/>
          <w:szCs w:val="22"/>
        </w:rPr>
        <w:t>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 xml:space="preserve"> ջուր, 2022 թվականին՝ 168.598 մլն </w:t>
      </w:r>
      <w:r w:rsidR="00C03043" w:rsidRPr="00C921DE">
        <w:rPr>
          <w:rFonts w:ascii="GHEA Grapalat" w:hAnsi="GHEA Grapalat"/>
          <w:sz w:val="22"/>
          <w:szCs w:val="22"/>
        </w:rPr>
        <w:t>մ</w:t>
      </w:r>
      <w:r w:rsidR="00C03043" w:rsidRPr="00C921DE">
        <w:rPr>
          <w:rFonts w:ascii="GHEA Grapalat" w:hAnsi="GHEA Grapalat"/>
          <w:sz w:val="22"/>
          <w:szCs w:val="22"/>
          <w:vertAlign w:val="superscript"/>
          <w:lang w:val="en-US"/>
        </w:rPr>
        <w:t>3</w:t>
      </w:r>
      <w:r w:rsidR="00C03043" w:rsidRPr="00C921DE">
        <w:rPr>
          <w:rFonts w:ascii="GHEA Grapalat" w:hAnsi="GHEA Grapalat"/>
          <w:sz w:val="22"/>
          <w:szCs w:val="22"/>
          <w:lang w:val="en-US"/>
        </w:rPr>
        <w:t>-ի</w:t>
      </w:r>
      <w:r w:rsidRPr="00C921DE">
        <w:rPr>
          <w:rFonts w:ascii="GHEA Grapalat" w:hAnsi="GHEA Grapalat"/>
          <w:sz w:val="22"/>
          <w:szCs w:val="22"/>
        </w:rPr>
        <w:t xml:space="preserve"> դիմաց կամ պակաս է տեղափոխվել շուրջ 41.838 մլն </w:t>
      </w:r>
      <w:r w:rsidR="00C03043" w:rsidRPr="00C921DE">
        <w:rPr>
          <w:rFonts w:ascii="GHEA Grapalat" w:hAnsi="GHEA Grapalat"/>
          <w:sz w:val="22"/>
          <w:szCs w:val="22"/>
        </w:rPr>
        <w:t>մ</w:t>
      </w:r>
      <w:r w:rsidR="00C03043" w:rsidRPr="00C921DE">
        <w:rPr>
          <w:rFonts w:ascii="GHEA Grapalat" w:hAnsi="GHEA Grapalat"/>
          <w:sz w:val="22"/>
          <w:szCs w:val="22"/>
          <w:vertAlign w:val="superscript"/>
          <w:lang w:val="en-US"/>
        </w:rPr>
        <w:t>3</w:t>
      </w:r>
      <w:r w:rsidRPr="00C921DE">
        <w:rPr>
          <w:rFonts w:ascii="GHEA Grapalat" w:hAnsi="GHEA Grapalat"/>
          <w:sz w:val="22"/>
          <w:szCs w:val="22"/>
        </w:rPr>
        <w:t xml:space="preserve"> ջուր: </w:t>
      </w:r>
    </w:p>
    <w:p w14:paraId="19295A1A" w14:textId="77777777" w:rsidR="00B41573" w:rsidRPr="00C921DE" w:rsidRDefault="00364368" w:rsidP="00364368">
      <w:pPr>
        <w:numPr>
          <w:ilvl w:val="0"/>
          <w:numId w:val="7"/>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Փոքր և միջին ջրամբարաշինությա</w:t>
      </w:r>
      <w:r w:rsidR="00B41573" w:rsidRPr="00C921DE">
        <w:rPr>
          <w:rFonts w:ascii="GHEA Grapalat" w:hAnsi="GHEA Grapalat"/>
          <w:sz w:val="22"/>
          <w:szCs w:val="22"/>
        </w:rPr>
        <w:t>ն ծրագրում ներառված 15 ջրամբարներից՝ Աստղաձորի, Ելփինի, Քասախի, Լիճքի և Արթիկի մասով նախագծանախահաշվային փաստաթղթերի մշակման աշխատանքներն ավարտման փուլում են, իսկ Արգիճիի ջրամբարի նախագծման աշխատանքների ժամկետներ</w:t>
      </w:r>
      <w:r w:rsidR="00C57534" w:rsidRPr="00C921DE">
        <w:rPr>
          <w:rFonts w:ascii="GHEA Grapalat" w:hAnsi="GHEA Grapalat"/>
          <w:sz w:val="22"/>
          <w:szCs w:val="22"/>
          <w:lang w:val="en-US"/>
        </w:rPr>
        <w:t>ը</w:t>
      </w:r>
      <w:r w:rsidR="00B41573" w:rsidRPr="00C921DE">
        <w:rPr>
          <w:rFonts w:ascii="GHEA Grapalat" w:hAnsi="GHEA Grapalat"/>
          <w:sz w:val="22"/>
          <w:szCs w:val="22"/>
        </w:rPr>
        <w:t xml:space="preserve"> երկարաձգվել են՝ տարածքում ենթակառուցվածքների (ՓՀԷԿ) առկայության պատճառով։ Մնացած 9 ջրամբարների մասով Վերակառուցման և </w:t>
      </w:r>
      <w:r w:rsidR="00C57534" w:rsidRPr="00C921DE">
        <w:rPr>
          <w:rFonts w:ascii="GHEA Grapalat" w:hAnsi="GHEA Grapalat"/>
          <w:sz w:val="22"/>
          <w:szCs w:val="22"/>
          <w:lang w:val="en-US"/>
        </w:rPr>
        <w:t>զ</w:t>
      </w:r>
      <w:r w:rsidR="00B41573" w:rsidRPr="00C921DE">
        <w:rPr>
          <w:rFonts w:ascii="GHEA Grapalat" w:hAnsi="GHEA Grapalat"/>
          <w:sz w:val="22"/>
          <w:szCs w:val="22"/>
        </w:rPr>
        <w:t xml:space="preserve">արգացման </w:t>
      </w:r>
      <w:r w:rsidR="00C57534" w:rsidRPr="00C921DE">
        <w:rPr>
          <w:rFonts w:ascii="GHEA Grapalat" w:hAnsi="GHEA Grapalat"/>
          <w:sz w:val="22"/>
          <w:szCs w:val="22"/>
          <w:lang w:val="en-US"/>
        </w:rPr>
        <w:t>ե</w:t>
      </w:r>
      <w:r w:rsidR="00B41573" w:rsidRPr="00C921DE">
        <w:rPr>
          <w:rFonts w:ascii="GHEA Grapalat" w:hAnsi="GHEA Grapalat"/>
          <w:sz w:val="22"/>
          <w:szCs w:val="22"/>
        </w:rPr>
        <w:t xml:space="preserve">վրոպական </w:t>
      </w:r>
      <w:r w:rsidR="00C57534" w:rsidRPr="00C921DE">
        <w:rPr>
          <w:rFonts w:ascii="GHEA Grapalat" w:hAnsi="GHEA Grapalat"/>
          <w:sz w:val="22"/>
          <w:szCs w:val="22"/>
          <w:lang w:val="en-US"/>
        </w:rPr>
        <w:t>բ</w:t>
      </w:r>
      <w:r w:rsidR="00B41573" w:rsidRPr="00C921DE">
        <w:rPr>
          <w:rFonts w:ascii="GHEA Grapalat" w:hAnsi="GHEA Grapalat"/>
          <w:sz w:val="22"/>
          <w:szCs w:val="22"/>
        </w:rPr>
        <w:t>անկի թիմի մասնագիտական աջակցությամբ նախատեսվում է իրականացնել իրագործելիության ուսումնասիրություն:</w:t>
      </w:r>
    </w:p>
    <w:p w14:paraId="62724A05" w14:textId="1A50E32C" w:rsidR="00B41573" w:rsidRPr="00C921DE" w:rsidRDefault="00B41573" w:rsidP="00364368">
      <w:pPr>
        <w:spacing w:line="360" w:lineRule="auto"/>
        <w:ind w:firstLine="567"/>
        <w:jc w:val="both"/>
        <w:rPr>
          <w:rFonts w:ascii="GHEA Grapalat" w:hAnsi="GHEA Grapalat"/>
          <w:sz w:val="22"/>
          <w:szCs w:val="22"/>
        </w:rPr>
      </w:pPr>
      <w:r w:rsidRPr="00C921DE">
        <w:rPr>
          <w:rFonts w:ascii="GHEA Grapalat" w:hAnsi="GHEA Grapalat"/>
          <w:sz w:val="22"/>
          <w:szCs w:val="22"/>
        </w:rPr>
        <w:t xml:space="preserve">Օրվա կարգավորման ջրավազանների </w:t>
      </w:r>
      <w:r w:rsidR="00C57534" w:rsidRPr="00C921DE">
        <w:rPr>
          <w:rFonts w:ascii="GHEA Grapalat" w:hAnsi="GHEA Grapalat"/>
          <w:sz w:val="22"/>
          <w:szCs w:val="22"/>
        </w:rPr>
        <w:t>կառուցման և վերակառուցման համար</w:t>
      </w:r>
      <w:r w:rsidRPr="00C921DE">
        <w:rPr>
          <w:rFonts w:ascii="GHEA Grapalat" w:hAnsi="GHEA Grapalat"/>
          <w:sz w:val="22"/>
          <w:szCs w:val="22"/>
        </w:rPr>
        <w:t xml:space="preserve"> Ջրային կոմիտեի հետ կնքված համապատասխան պայմանագրերի շրջանակներում </w:t>
      </w:r>
      <w:r w:rsidR="00C57534" w:rsidRPr="00C921DE">
        <w:rPr>
          <w:rFonts w:ascii="GHEA Grapalat" w:hAnsi="GHEA Grapalat"/>
          <w:sz w:val="22"/>
          <w:szCs w:val="22"/>
          <w:lang w:val="en-US"/>
        </w:rPr>
        <w:t>խ</w:t>
      </w:r>
      <w:r w:rsidRPr="00C921DE">
        <w:rPr>
          <w:rFonts w:ascii="GHEA Grapalat" w:hAnsi="GHEA Grapalat"/>
          <w:sz w:val="22"/>
          <w:szCs w:val="22"/>
        </w:rPr>
        <w:t>որհրդատու կազմակերպության կողմից ներկայացվել են օրվա կարգավորման 28 ջրավազանների նախագծանախահաշվային փաստաթղթերի ամբողջական փաթեթները, որոնց վերաբերյալ ստացվել են քաղաքաշինական պարզ փորձաքննության դրական եզրակացություններ։ Ներկայացված փաթեթները գտնվում են համալիր փորձաքննության փուլում:</w:t>
      </w:r>
    </w:p>
    <w:p w14:paraId="558E92F5" w14:textId="77777777" w:rsidR="00B41573" w:rsidRPr="00C921DE" w:rsidRDefault="00B41573" w:rsidP="00921282">
      <w:pPr>
        <w:spacing w:line="360" w:lineRule="auto"/>
        <w:ind w:firstLine="567"/>
        <w:jc w:val="both"/>
        <w:rPr>
          <w:rFonts w:ascii="GHEA Grapalat" w:hAnsi="GHEA Grapalat"/>
          <w:sz w:val="22"/>
          <w:szCs w:val="22"/>
        </w:rPr>
      </w:pPr>
    </w:p>
    <w:p w14:paraId="59A8A57B" w14:textId="77777777" w:rsidR="001C411D" w:rsidRPr="00C921DE" w:rsidRDefault="001C411D" w:rsidP="00695F26">
      <w:pPr>
        <w:pStyle w:val="Heading2"/>
        <w:spacing w:before="0"/>
      </w:pPr>
      <w:bookmarkStart w:id="31" w:name="_Toc89428259"/>
      <w:bookmarkStart w:id="32" w:name="_Toc163745422"/>
      <w:r w:rsidRPr="00C921DE">
        <w:t>Հանրային ծառայությունների կարգավորում</w:t>
      </w:r>
      <w:bookmarkEnd w:id="31"/>
      <w:bookmarkEnd w:id="32"/>
      <w:r w:rsidRPr="00C921DE">
        <w:t xml:space="preserve"> </w:t>
      </w:r>
    </w:p>
    <w:p w14:paraId="35E14FC7" w14:textId="055FA04E"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2022 թվականի փետրվարի 1-ից ներդրված էլեկտրաէներգետիկական շուկայի ազատական մոդելի գործարկման արդյունքում ի հայտ եկած խնդիրները և հնարավոր ռիսկերը չեզոքացնելու նպատակով 2023 թվականին լրամշակվել են շուկայի ներկայիս մոդելի հիմքում ընկած հիմնական կարգավորող իրավական ակտերը (էլեկտրաէներգետիկական մեծածախ և մանրածախ շուկայի առևտրային կանոններ, օֆերտայի պայմանագրի օրինակելի ձև, հաղորդման և բաշխման ցանցային կանոններ)։ Ներդրվել է հաշվեկշռման և հաճախականության կարգավորման նպատակով երկրորդային և երրորդային պահուստի ապահովման ծառայությունը, սահմանվել է նշված ծառայության մատուցման սակագինը և վերահաշվարկի մեխանիզմը, շուկայի մասնակիցների համար </w:t>
      </w:r>
      <w:r w:rsidRPr="00C921DE">
        <w:rPr>
          <w:rFonts w:ascii="GHEA Grapalat" w:hAnsi="GHEA Grapalat"/>
          <w:sz w:val="22"/>
          <w:szCs w:val="22"/>
        </w:rPr>
        <w:lastRenderedPageBreak/>
        <w:t>կարգավորումներ են նախատեսվել շուկայի հակամրցակցային գործելակերպի կանխարգելման, մենաշնորհային դիրքի հնարավոր չարաշահման դեմ։</w:t>
      </w:r>
    </w:p>
    <w:p w14:paraId="5DF635E2" w14:textId="2C82E564" w:rsidR="00017A5E" w:rsidRPr="00C921DE" w:rsidRDefault="00017A5E" w:rsidP="00017A5E">
      <w:pPr>
        <w:spacing w:line="360" w:lineRule="auto"/>
        <w:ind w:firstLine="567"/>
        <w:jc w:val="both"/>
        <w:rPr>
          <w:rFonts w:ascii="GHEA Grapalat" w:hAnsi="GHEA Grapalat"/>
          <w:sz w:val="22"/>
          <w:szCs w:val="22"/>
        </w:rPr>
      </w:pPr>
      <w:r w:rsidRPr="00C921DE">
        <w:rPr>
          <w:rFonts w:ascii="GHEA Grapalat" w:hAnsi="GHEA Grapalat"/>
          <w:sz w:val="22"/>
          <w:szCs w:val="22"/>
        </w:rPr>
        <w:t>Էլեկտրաէներգետիկական մանրածախ շուկայի առևտրային կանոնների լրամշակմամբ հանձնաժողովը 2023 թվականին ևս շարունակել է ինքնավար էներգաարտադրության գործընթացը սպառողների համար առավել գրավիչ և տնտեսապես արդյունավետ դարձնելուն ուղղված նոր կարգավորումների ներդրման քաղաքականությունը։ Հանձնաժողովի կողմից ոլորտին առնչվող կարգավորումների շարունակական բարելավման արդյունքում ինքնավար էներգաարտադրությունը հանդիսանում է Հայաստանի Հանրապետությունում վերականգնվող էներգետիկայի ամենաարագ զարգացող ուղղություններից, ինչի մասին են վկայում արձանագրված ցուցանիշները։ Մասնավորապես՝ 2023 թվականի ընթացքում ինքնավար էներգաարտադրողների քանակը հանրապետությունում ավելացել է 6830-ով (2024 թվականի հունվարի 1-ի դրությամբ կազմել է 17112 ինքնավար էներգաարտադրող՝ 2023 թվականի հունվարի 1-ի դրությամբ 10282-ի փոխարեն), իսկ վերջիններիս էներգաարտադրող կայանների ընդհանուր դրվածքային հզորությունը՝ 71</w:t>
      </w:r>
      <w:r w:rsidRPr="00C921DE">
        <w:rPr>
          <w:rFonts w:ascii="Cambria Math" w:hAnsi="Cambria Math" w:cs="Cambria Math"/>
          <w:sz w:val="22"/>
          <w:szCs w:val="22"/>
        </w:rPr>
        <w:t>․</w:t>
      </w:r>
      <w:r w:rsidRPr="00C921DE">
        <w:rPr>
          <w:rFonts w:ascii="GHEA Grapalat" w:hAnsi="GHEA Grapalat"/>
          <w:sz w:val="22"/>
          <w:szCs w:val="22"/>
        </w:rPr>
        <w:t>6 ՄՎտ-ով (2024 թվականի հունվարի 1-ի դրությամբ կազմել է 268</w:t>
      </w:r>
      <w:r w:rsidRPr="00C921DE">
        <w:rPr>
          <w:rFonts w:ascii="Cambria Math" w:hAnsi="Cambria Math" w:cs="Cambria Math"/>
          <w:sz w:val="22"/>
          <w:szCs w:val="22"/>
        </w:rPr>
        <w:t>․</w:t>
      </w:r>
      <w:r w:rsidRPr="00C921DE">
        <w:rPr>
          <w:rFonts w:ascii="GHEA Grapalat" w:hAnsi="GHEA Grapalat"/>
          <w:sz w:val="22"/>
          <w:szCs w:val="22"/>
        </w:rPr>
        <w:t xml:space="preserve">4 </w:t>
      </w:r>
      <w:r w:rsidRPr="00C921DE">
        <w:rPr>
          <w:rFonts w:ascii="GHEA Grapalat" w:hAnsi="GHEA Grapalat" w:cs="GHEA Grapalat"/>
          <w:sz w:val="22"/>
          <w:szCs w:val="22"/>
        </w:rPr>
        <w:t>ՄՎտ</w:t>
      </w:r>
      <w:r w:rsidRPr="00C921DE">
        <w:rPr>
          <w:rFonts w:ascii="GHEA Grapalat" w:hAnsi="GHEA Grapalat"/>
          <w:sz w:val="22"/>
          <w:szCs w:val="22"/>
        </w:rPr>
        <w:t>՝ 2023 թվականի հունվարի 1-ի դրությամբ 196</w:t>
      </w:r>
      <w:r w:rsidRPr="00C921DE">
        <w:rPr>
          <w:rFonts w:ascii="Cambria Math" w:hAnsi="Cambria Math" w:cs="Cambria Math"/>
          <w:sz w:val="22"/>
          <w:szCs w:val="22"/>
        </w:rPr>
        <w:t>․</w:t>
      </w:r>
      <w:r w:rsidRPr="00C921DE">
        <w:rPr>
          <w:rFonts w:ascii="GHEA Grapalat" w:hAnsi="GHEA Grapalat"/>
          <w:sz w:val="22"/>
          <w:szCs w:val="22"/>
        </w:rPr>
        <w:t>8 ՄՎտ-ի փոխարեն)։</w:t>
      </w:r>
    </w:p>
    <w:p w14:paraId="1FBE54F2" w14:textId="77777777" w:rsidR="001A2390" w:rsidRPr="00C921DE" w:rsidRDefault="004E582D" w:rsidP="001A2390">
      <w:pPr>
        <w:spacing w:line="360" w:lineRule="auto"/>
        <w:ind w:firstLine="567"/>
        <w:jc w:val="both"/>
        <w:rPr>
          <w:rFonts w:ascii="GHEA Grapalat" w:hAnsi="GHEA Grapalat"/>
          <w:sz w:val="22"/>
          <w:szCs w:val="22"/>
        </w:rPr>
      </w:pPr>
      <w:r w:rsidRPr="00C921DE">
        <w:rPr>
          <w:rFonts w:ascii="GHEA Grapalat" w:hAnsi="GHEA Grapalat"/>
          <w:sz w:val="22"/>
          <w:szCs w:val="22"/>
        </w:rPr>
        <w:t>ՀՀ հանրային ծառայությունները կարգավորող հ</w:t>
      </w:r>
      <w:r w:rsidR="001A2390" w:rsidRPr="00C921DE">
        <w:rPr>
          <w:rFonts w:ascii="GHEA Grapalat" w:hAnsi="GHEA Grapalat"/>
          <w:sz w:val="22"/>
          <w:szCs w:val="22"/>
        </w:rPr>
        <w:t>անձնաժողովին վերապահված էլեկտրաէներ</w:t>
      </w:r>
      <w:r w:rsidRPr="00C921DE">
        <w:rPr>
          <w:rFonts w:ascii="GHEA Grapalat" w:hAnsi="GHEA Grapalat"/>
          <w:sz w:val="22"/>
          <w:szCs w:val="22"/>
          <w:lang w:val="en-US"/>
        </w:rPr>
        <w:t>-</w:t>
      </w:r>
      <w:r w:rsidR="001A2390" w:rsidRPr="00C921DE">
        <w:rPr>
          <w:rFonts w:ascii="GHEA Grapalat" w:hAnsi="GHEA Grapalat"/>
          <w:sz w:val="22"/>
          <w:szCs w:val="22"/>
        </w:rPr>
        <w:t>գետիկական մեծածախ շուկայի մոնիթորինգի գործառույթի շրջանակում ամենօրյա ռեժիմով դիտարկվել է շուկայի գործունեությունը, բացահայտվել են շուկայի մասնակիցների կողմից թույլ տ</w:t>
      </w:r>
      <w:r w:rsidRPr="00C921DE">
        <w:rPr>
          <w:rFonts w:ascii="GHEA Grapalat" w:hAnsi="GHEA Grapalat"/>
          <w:sz w:val="22"/>
          <w:szCs w:val="22"/>
          <w:lang w:val="en-US"/>
        </w:rPr>
        <w:t>ր</w:t>
      </w:r>
      <w:r w:rsidR="001A2390" w:rsidRPr="00C921DE">
        <w:rPr>
          <w:rFonts w:ascii="GHEA Grapalat" w:hAnsi="GHEA Grapalat"/>
          <w:sz w:val="22"/>
          <w:szCs w:val="22"/>
        </w:rPr>
        <w:t xml:space="preserve">ված խախտումները (բացթողումները), հասցեական գնահատականներ են տրվել դրանց, օպերատիվ կերպով լուծումներ են առաջադրվել առևտրի ընթացքում ծագող օբյեկտիվ խնդիրներին։ </w:t>
      </w:r>
    </w:p>
    <w:p w14:paraId="63CD7E9C" w14:textId="77777777"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արդյունքներով, ընդհանուր սպառվող էլեկտրաէներգիայի 20.1%-ը վաճառվել է ազատականացված շուկայում՝ չկարգավորվող մրցակցային գներով (տարվա ընթացքում շուրջ 10 տոկոսային կետով աճ)։ Ազատ առևտրի մասնակիցների թիվը կազմել է 171 (այդ թվում՝ մատակարարները՝ 16, մեծածախ առևտրի լիցենզիա ունեցողները՝ 5, որակավորված սպառողները՝ 9 և մանրածախ սպառողները՝ 141), իսկ կնքված գործարքները՝ 6923:</w:t>
      </w:r>
    </w:p>
    <w:p w14:paraId="5D7F1770" w14:textId="77777777"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Հաշվի առնելով էներգետիկայի բնագավառում գործող ընկերությունների սակագների հաշվարկման մեթոդիկան, պետություն-մասնավոր գործընկերության պայմանագրերի ու լիցենզիայի պայմանների պահանջները,</w:t>
      </w:r>
      <w:r w:rsidR="00063AB1" w:rsidRPr="00C921DE">
        <w:rPr>
          <w:rFonts w:ascii="GHEA Grapalat" w:hAnsi="GHEA Grapalat"/>
          <w:sz w:val="22"/>
          <w:szCs w:val="22"/>
        </w:rPr>
        <w:t xml:space="preserve"> </w:t>
      </w:r>
      <w:r w:rsidRPr="00C921DE">
        <w:rPr>
          <w:rFonts w:ascii="GHEA Grapalat" w:hAnsi="GHEA Grapalat"/>
          <w:sz w:val="22"/>
          <w:szCs w:val="22"/>
        </w:rPr>
        <w:t>էներգետիկ հաշվեկշիռների և ընկերությունների ֆինանսատնտեսական գործունեության վրա ազդող մի շարք այլ գործոնների փոփոխությունները՝</w:t>
      </w:r>
      <w:r w:rsidR="002C1A48" w:rsidRPr="00C921DE">
        <w:rPr>
          <w:rFonts w:ascii="GHEA Grapalat" w:hAnsi="GHEA Grapalat"/>
          <w:sz w:val="22"/>
          <w:szCs w:val="22"/>
        </w:rPr>
        <w:t xml:space="preserve"> ՀՀ հանրային ծառայությունները կարգավորող</w:t>
      </w:r>
      <w:r w:rsidRPr="00C921DE">
        <w:rPr>
          <w:rFonts w:ascii="GHEA Grapalat" w:hAnsi="GHEA Grapalat"/>
          <w:sz w:val="22"/>
          <w:szCs w:val="22"/>
        </w:rPr>
        <w:t xml:space="preserve"> հանձնաժողովը 2023 թվականին վերահաշվարկել է սակագնային կարգավորման ենթակա խոշոր արտադրողներից առաքվող էլեկտրական էներգիայի (հզորության), էլեկտրաէներգետիկական և գազամատակարարման համակարգերում ծառայություններ </w:t>
      </w:r>
      <w:r w:rsidRPr="00C921DE">
        <w:rPr>
          <w:rFonts w:ascii="GHEA Grapalat" w:hAnsi="GHEA Grapalat"/>
          <w:sz w:val="22"/>
          <w:szCs w:val="22"/>
        </w:rPr>
        <w:lastRenderedPageBreak/>
        <w:t>մատուցողների կողմից էլեկտրական էներգիայի հաղորդման, բնական գազի փոխադրման, համակարգի օպերատորների, շուկայի օպերատորի, էլեկտրական էներգիայի հաշվեկշռման (նվազագույն և առավելագույն) և էլեկտրական էներգիայի ու բնական գազի բաշխման ծառայությունների մատուցման սակագները։ Նշված սակագների վերանայման արդյունքում սպառողներին վաճառվող էլեկտրական էներգիայի և բնական գազի սակագների վերանայման անհրաժեշտություն չի առաջացել</w:t>
      </w:r>
      <w:r w:rsidR="000D39FE" w:rsidRPr="00C921DE">
        <w:rPr>
          <w:rFonts w:ascii="GHEA Grapalat" w:hAnsi="GHEA Grapalat"/>
          <w:sz w:val="22"/>
          <w:szCs w:val="22"/>
          <w:lang w:val="en-US"/>
        </w:rPr>
        <w:t>,</w:t>
      </w:r>
      <w:r w:rsidRPr="00C921DE">
        <w:rPr>
          <w:rFonts w:ascii="GHEA Grapalat" w:hAnsi="GHEA Grapalat"/>
          <w:sz w:val="22"/>
          <w:szCs w:val="22"/>
        </w:rPr>
        <w:t xml:space="preserve"> և դրանք մնացել են անփոփոխ։ Բացի այդ, ելնելով սղաճի և արտարժույթի փոխարժեքի փոփոխություններից՝ հանձնաժողովի նախաձեռնությամբ վերանայվել են օրենքով սահմանված գնման երաշխիք ունեցող վերականգնվող էներգետիկ ռեսուրսների օգտագործմամբ էլեկտրական էներգիա արտադրող կայաններից առաքվող էլեկտրական էներգիայի վաճառքի սակագները։ «Վեոլիա Ջուր» ՓԲԸ-ի լիցենզիայի պայմաններին համապատասխան ճշգրտվել են խմելու ջրի մատակարարման և ջրահեռացման (կեղտաջրերի մաքրման) ծառայությունների մատուցման սակագները։</w:t>
      </w:r>
    </w:p>
    <w:p w14:paraId="6FB30BAF" w14:textId="409583AA"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ընթացքում հանձնաժողովը համաձայնություն է տվել «Հայաստանի էլեկտրական ցանցեր», «Գազպրոմ Արմենիա», «ՔոնթուրԳլոբալ Հիդրո Կասկադ», «Միջազգային էներգետիկ կորպորացիա», «Բարձրավոլը էլեկտրացանցեր» ու «Հաշվարկային կենտրոն» ՓԲԸ-ների ներդրումային ծրագրերին, ինչպես նաև շարունակել է հանրային կազմակերպությունների գնումների առանձին գործարքների մոնի</w:t>
      </w:r>
      <w:r w:rsidR="001138CF" w:rsidRPr="00C921DE">
        <w:rPr>
          <w:rFonts w:ascii="GHEA Grapalat" w:hAnsi="GHEA Grapalat"/>
          <w:sz w:val="22"/>
          <w:szCs w:val="22"/>
          <w:lang w:val="en-US"/>
        </w:rPr>
        <w:t>տ</w:t>
      </w:r>
      <w:r w:rsidRPr="00C921DE">
        <w:rPr>
          <w:rFonts w:ascii="GHEA Grapalat" w:hAnsi="GHEA Grapalat"/>
          <w:sz w:val="22"/>
          <w:szCs w:val="22"/>
        </w:rPr>
        <w:t>որինգի աշխատանքները։</w:t>
      </w:r>
    </w:p>
    <w:p w14:paraId="086E7A8B" w14:textId="7E5B8FC9" w:rsidR="00017A5E" w:rsidRPr="00C921DE" w:rsidRDefault="00017A5E" w:rsidP="00017A5E">
      <w:pPr>
        <w:spacing w:line="360" w:lineRule="auto"/>
        <w:ind w:firstLine="450"/>
        <w:jc w:val="both"/>
        <w:rPr>
          <w:rFonts w:ascii="GHEA Grapalat" w:hAnsi="GHEA Grapalat"/>
          <w:sz w:val="22"/>
          <w:szCs w:val="22"/>
        </w:rPr>
      </w:pPr>
      <w:r w:rsidRPr="00C921DE">
        <w:rPr>
          <w:rFonts w:ascii="GHEA Grapalat" w:hAnsi="GHEA Grapalat"/>
          <w:sz w:val="22"/>
          <w:szCs w:val="22"/>
        </w:rPr>
        <w:t>Հանրային ծառայությունների ոլորտի մատակարար կազմակերպություններից («Հայաստանի էլեկտրական ցանցեր», «Գազպրոմ Արմենիա» և «Վեոլիա Ջուր» ՓԲԸ-ներ) ստանալով տեխնիկական հաշվետվություններ՝ հանձնաժողովը 2023 թվականին շարունակել է վերահսկել սպառողներին մատուցվող ծառայությունների սպասարկման որակի ցուցանիշները և այդ մասով հանրությանն իրազեկելու նպատակով դրանց ամփոփ արդյունքները հրապարակել է իր պաշտոնական ինտերնետային կայքում։</w:t>
      </w:r>
    </w:p>
    <w:p w14:paraId="42D43D46" w14:textId="42E8D47E" w:rsidR="001A2390" w:rsidRPr="00C921DE" w:rsidRDefault="00017A5E" w:rsidP="001A2390">
      <w:pPr>
        <w:spacing w:line="360" w:lineRule="auto"/>
        <w:ind w:firstLine="567"/>
        <w:jc w:val="both"/>
        <w:rPr>
          <w:rFonts w:ascii="GHEA Grapalat" w:hAnsi="GHEA Grapalat"/>
          <w:sz w:val="22"/>
          <w:szCs w:val="22"/>
        </w:rPr>
      </w:pPr>
      <w:r w:rsidRPr="00C921DE">
        <w:rPr>
          <w:rFonts w:ascii="GHEA Grapalat" w:hAnsi="GHEA Grapalat"/>
          <w:sz w:val="22"/>
          <w:szCs w:val="22"/>
        </w:rPr>
        <w:t>Հանձնաժողովը 2023 թվականին հանրային ծառայությունների կարգավորվող ոլորտի սպառողներից ստացել է 3424 դիմում-բողոք, որոնցից 974-ը` գրավոր, իսկ 2450-ը` բանավոր, որոնք քննարկվել են «Հանրային ծառայությունները կարգավորող մարմնի մասին» օրենքով ս</w:t>
      </w:r>
      <w:r w:rsidR="008B1B72" w:rsidRPr="00C921DE">
        <w:rPr>
          <w:rFonts w:ascii="GHEA Grapalat" w:hAnsi="GHEA Grapalat"/>
          <w:sz w:val="22"/>
          <w:szCs w:val="22"/>
        </w:rPr>
        <w:t>ահմանված կարգով և ժամկետներում։</w:t>
      </w:r>
      <w:r w:rsidR="001A2390" w:rsidRPr="00C921DE">
        <w:rPr>
          <w:rFonts w:ascii="GHEA Grapalat" w:hAnsi="GHEA Grapalat"/>
          <w:sz w:val="22"/>
          <w:szCs w:val="22"/>
        </w:rPr>
        <w:t xml:space="preserve">ՀՀ տարածքում էլեկտրոնային հաղորդակցության ծառայությունների հասանելիության և ենթակառուցվածքների զարգացման ուղղությամբ իրականացված աշխատանքների արդյունքում 2023 թվականի տարեվերջի դրությամբ Հայաստանի բոլոր բնակավայրերն ապահովված են շարժական կապի 2G, 3G և 4G+ (LTE Advanced) տեխնոլոգիաների ծածկույթներով: Ընդ որում, բնակավայրերում առնվազն երկու օպերատորի փոխադարձ ներթափանցելի 4G+ (LTE </w:t>
      </w:r>
      <w:r w:rsidR="00603141" w:rsidRPr="00C921DE">
        <w:rPr>
          <w:rFonts w:ascii="GHEA Grapalat" w:hAnsi="GHEA Grapalat"/>
          <w:sz w:val="22"/>
          <w:szCs w:val="22"/>
        </w:rPr>
        <w:t>Advanced) ծածկույթը կազմել է 91.</w:t>
      </w:r>
      <w:r w:rsidR="001A2390" w:rsidRPr="00C921DE">
        <w:rPr>
          <w:rFonts w:ascii="GHEA Grapalat" w:hAnsi="GHEA Grapalat"/>
          <w:sz w:val="22"/>
          <w:szCs w:val="22"/>
        </w:rPr>
        <w:t>4% (915 բնակա</w:t>
      </w:r>
      <w:r w:rsidR="00603141" w:rsidRPr="00C921DE">
        <w:rPr>
          <w:rFonts w:ascii="GHEA Grapalat" w:hAnsi="GHEA Grapalat"/>
          <w:sz w:val="22"/>
          <w:szCs w:val="22"/>
        </w:rPr>
        <w:t xml:space="preserve">վայր), իսկ երեք </w:t>
      </w:r>
      <w:r w:rsidR="00603141" w:rsidRPr="00C921DE">
        <w:rPr>
          <w:rFonts w:ascii="GHEA Grapalat" w:hAnsi="GHEA Grapalat"/>
          <w:sz w:val="22"/>
          <w:szCs w:val="22"/>
        </w:rPr>
        <w:lastRenderedPageBreak/>
        <w:t>օպերատորինը՝ 21.</w:t>
      </w:r>
      <w:r w:rsidR="001A2390" w:rsidRPr="00C921DE">
        <w:rPr>
          <w:rFonts w:ascii="GHEA Grapalat" w:hAnsi="GHEA Grapalat"/>
          <w:sz w:val="22"/>
          <w:szCs w:val="22"/>
        </w:rPr>
        <w:t>8% (218 բնակավայր), որն ընդգրկում է հանրապետության բնակչության շուրջ 76%</w:t>
      </w:r>
      <w:r w:rsidR="00603141" w:rsidRPr="00C921DE">
        <w:rPr>
          <w:rFonts w:ascii="GHEA Grapalat" w:hAnsi="GHEA Grapalat"/>
          <w:sz w:val="22"/>
          <w:szCs w:val="22"/>
          <w:lang w:val="en-US"/>
        </w:rPr>
        <w:t>-ը</w:t>
      </w:r>
      <w:r w:rsidR="001A2390" w:rsidRPr="00C921DE">
        <w:rPr>
          <w:rFonts w:ascii="GHEA Grapalat" w:hAnsi="GHEA Grapalat"/>
          <w:sz w:val="22"/>
          <w:szCs w:val="22"/>
        </w:rPr>
        <w:t>:</w:t>
      </w:r>
    </w:p>
    <w:p w14:paraId="633F7447" w14:textId="2AFA2DAB"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Հանրապետության բոլոր բնակավայրերում հասանելի են ամրակցված հեռախոս</w:t>
      </w:r>
      <w:r w:rsidR="00603141" w:rsidRPr="00C921DE">
        <w:rPr>
          <w:rFonts w:ascii="GHEA Grapalat" w:hAnsi="GHEA Grapalat"/>
          <w:sz w:val="22"/>
          <w:szCs w:val="22"/>
        </w:rPr>
        <w:t xml:space="preserve">ակապի ծառայությունները, </w:t>
      </w:r>
      <w:r w:rsidR="001138CF" w:rsidRPr="00C921DE">
        <w:rPr>
          <w:rFonts w:ascii="GHEA Grapalat" w:hAnsi="GHEA Grapalat"/>
          <w:sz w:val="22"/>
          <w:szCs w:val="22"/>
          <w:lang w:val="en-US"/>
        </w:rPr>
        <w:t>725</w:t>
      </w:r>
      <w:r w:rsidR="00603141" w:rsidRPr="00C921DE">
        <w:rPr>
          <w:rFonts w:ascii="GHEA Grapalat" w:hAnsi="GHEA Grapalat"/>
          <w:sz w:val="22"/>
          <w:szCs w:val="22"/>
        </w:rPr>
        <w:t xml:space="preserve"> (</w:t>
      </w:r>
      <w:r w:rsidR="001138CF" w:rsidRPr="00C921DE">
        <w:rPr>
          <w:rFonts w:ascii="GHEA Grapalat" w:hAnsi="GHEA Grapalat"/>
          <w:sz w:val="22"/>
          <w:szCs w:val="22"/>
          <w:lang w:val="en-US"/>
        </w:rPr>
        <w:t>72.4</w:t>
      </w:r>
      <w:r w:rsidRPr="00C921DE">
        <w:rPr>
          <w:rFonts w:ascii="GHEA Grapalat" w:hAnsi="GHEA Grapalat"/>
          <w:sz w:val="22"/>
          <w:szCs w:val="22"/>
        </w:rPr>
        <w:t>%) բնակավայրերում՝ ամրակցված կապի լայնաշերտ ինտերնետի լարային տեխնոլոգիաների ծառայությունները, այդ թվում՝ 6</w:t>
      </w:r>
      <w:r w:rsidR="00C1661E" w:rsidRPr="00C921DE">
        <w:rPr>
          <w:rFonts w:ascii="GHEA Grapalat" w:hAnsi="GHEA Grapalat"/>
          <w:sz w:val="22"/>
          <w:szCs w:val="22"/>
          <w:lang w:val="en-US"/>
        </w:rPr>
        <w:t>92</w:t>
      </w:r>
      <w:r w:rsidRPr="00C921DE">
        <w:rPr>
          <w:rFonts w:ascii="GHEA Grapalat" w:hAnsi="GHEA Grapalat"/>
          <w:sz w:val="22"/>
          <w:szCs w:val="22"/>
        </w:rPr>
        <w:t xml:space="preserve"> (6</w:t>
      </w:r>
      <w:r w:rsidR="00C1661E" w:rsidRPr="00C921DE">
        <w:rPr>
          <w:rFonts w:ascii="GHEA Grapalat" w:hAnsi="GHEA Grapalat"/>
          <w:sz w:val="22"/>
          <w:szCs w:val="22"/>
          <w:lang w:val="en-US"/>
        </w:rPr>
        <w:t>9.1</w:t>
      </w:r>
      <w:r w:rsidRPr="00C921DE">
        <w:rPr>
          <w:rFonts w:ascii="GHEA Grapalat" w:hAnsi="GHEA Grapalat"/>
          <w:sz w:val="22"/>
          <w:szCs w:val="22"/>
        </w:rPr>
        <w:t>%) բնակավայրերում՝</w:t>
      </w:r>
      <w:r w:rsidR="00063AB1" w:rsidRPr="00C921DE">
        <w:rPr>
          <w:rFonts w:ascii="GHEA Grapalat" w:hAnsi="GHEA Grapalat"/>
          <w:sz w:val="22"/>
          <w:szCs w:val="22"/>
        </w:rPr>
        <w:t xml:space="preserve"> </w:t>
      </w:r>
      <w:r w:rsidRPr="00C921DE">
        <w:rPr>
          <w:rFonts w:ascii="GHEA Grapalat" w:hAnsi="GHEA Grapalat"/>
          <w:sz w:val="22"/>
          <w:szCs w:val="22"/>
        </w:rPr>
        <w:t xml:space="preserve">օպտիկամանրաթելային ցանցերը, որոնք ընդգրկում են երկրի բնակչության </w:t>
      </w:r>
      <w:r w:rsidR="00C41B54" w:rsidRPr="00C921DE">
        <w:rPr>
          <w:rFonts w:ascii="GHEA Grapalat" w:hAnsi="GHEA Grapalat"/>
          <w:sz w:val="22"/>
          <w:szCs w:val="22"/>
          <w:lang w:val="en-US"/>
        </w:rPr>
        <w:t>շուրջ 97</w:t>
      </w:r>
      <w:r w:rsidRPr="00C921DE">
        <w:rPr>
          <w:rFonts w:ascii="GHEA Grapalat" w:hAnsi="GHEA Grapalat"/>
          <w:sz w:val="22"/>
          <w:szCs w:val="22"/>
        </w:rPr>
        <w:t>%-ը, իսկ 996 (99</w:t>
      </w:r>
      <w:r w:rsidR="00603141" w:rsidRPr="00C921DE">
        <w:rPr>
          <w:rFonts w:ascii="GHEA Grapalat" w:hAnsi="GHEA Grapalat"/>
          <w:sz w:val="22"/>
          <w:szCs w:val="22"/>
          <w:lang w:val="en-US"/>
        </w:rPr>
        <w:t>.</w:t>
      </w:r>
      <w:r w:rsidRPr="00C921DE">
        <w:rPr>
          <w:rFonts w:ascii="GHEA Grapalat" w:hAnsi="GHEA Grapalat"/>
          <w:sz w:val="22"/>
          <w:szCs w:val="22"/>
        </w:rPr>
        <w:t>5%) բնակավայրերում՝ 2-30Մբիթ/վ արագությամբ լայնաշերտ ինտերնետի անլար տեխնոլոգիաների ծառայությունները։</w:t>
      </w:r>
    </w:p>
    <w:p w14:paraId="145CBD6F" w14:textId="0CC655C2"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 xml:space="preserve">Արդյունքում, ընդհանուր լայնաշերտ ինտերնետի բաժանորդների թվաքանակը 2023 թվականի </w:t>
      </w:r>
      <w:r w:rsidR="00C37C88" w:rsidRPr="00C921DE">
        <w:rPr>
          <w:rFonts w:ascii="GHEA Grapalat" w:hAnsi="GHEA Grapalat"/>
          <w:sz w:val="22"/>
          <w:szCs w:val="22"/>
          <w:lang w:val="en-US"/>
        </w:rPr>
        <w:t>տարեվերջի</w:t>
      </w:r>
      <w:r w:rsidRPr="00C921DE">
        <w:rPr>
          <w:rFonts w:ascii="GHEA Grapalat" w:hAnsi="GHEA Grapalat"/>
          <w:sz w:val="22"/>
          <w:szCs w:val="22"/>
        </w:rPr>
        <w:t xml:space="preserve"> արդյունք</w:t>
      </w:r>
      <w:r w:rsidR="00C37C88" w:rsidRPr="00C921DE">
        <w:rPr>
          <w:rFonts w:ascii="GHEA Grapalat" w:hAnsi="GHEA Grapalat"/>
          <w:sz w:val="22"/>
          <w:szCs w:val="22"/>
          <w:lang w:val="en-US"/>
        </w:rPr>
        <w:t>ն</w:t>
      </w:r>
      <w:r w:rsidRPr="00C921DE">
        <w:rPr>
          <w:rFonts w:ascii="GHEA Grapalat" w:hAnsi="GHEA Grapalat"/>
          <w:sz w:val="22"/>
          <w:szCs w:val="22"/>
        </w:rPr>
        <w:t>երով (հանձնաժողովի կողմից ներկայումս իրականացվում են 2023 թվականի տարեկան ոլորտային ցուցանիշների ամփոփման աշխատանքները</w:t>
      </w:r>
      <w:r w:rsidR="00603141" w:rsidRPr="00C921DE">
        <w:rPr>
          <w:rFonts w:ascii="GHEA Grapalat" w:hAnsi="GHEA Grapalat"/>
          <w:sz w:val="22"/>
          <w:szCs w:val="22"/>
          <w:lang w:val="en-US"/>
        </w:rPr>
        <w:t>՝</w:t>
      </w:r>
      <w:r w:rsidRPr="00C921DE">
        <w:rPr>
          <w:rFonts w:ascii="GHEA Grapalat" w:hAnsi="GHEA Grapalat"/>
          <w:sz w:val="22"/>
          <w:szCs w:val="22"/>
        </w:rPr>
        <w:t xml:space="preserve"> նկատի ունենալով օպերատորների կողմից տվյալ ցուցանիշների մասով հաշվետվությունների ներկայացման համար սահմանված ժամկետները) կազմել է շուրջ 3</w:t>
      </w:r>
      <w:r w:rsidR="00603141" w:rsidRPr="00C921DE">
        <w:rPr>
          <w:rFonts w:ascii="GHEA Grapalat" w:hAnsi="GHEA Grapalat"/>
          <w:sz w:val="22"/>
          <w:szCs w:val="22"/>
          <w:lang w:val="en-US"/>
        </w:rPr>
        <w:t>.</w:t>
      </w:r>
      <w:r w:rsidR="00C37C88" w:rsidRPr="00C921DE">
        <w:rPr>
          <w:rFonts w:ascii="GHEA Grapalat" w:hAnsi="GHEA Grapalat"/>
          <w:sz w:val="22"/>
          <w:szCs w:val="22"/>
          <w:lang w:val="en-US"/>
        </w:rPr>
        <w:t>8</w:t>
      </w:r>
      <w:r w:rsidRPr="00C921DE">
        <w:rPr>
          <w:rFonts w:ascii="GHEA Grapalat" w:hAnsi="GHEA Grapalat"/>
          <w:sz w:val="22"/>
          <w:szCs w:val="22"/>
        </w:rPr>
        <w:t xml:space="preserve"> մլն, այդ թվում՝ շարժական լայնաշերտ ինտերնետի բաժանորդների թվաքանակը՝ շուրջ 3</w:t>
      </w:r>
      <w:r w:rsidR="00C37C88" w:rsidRPr="00C921DE">
        <w:rPr>
          <w:rFonts w:ascii="GHEA Grapalat" w:hAnsi="GHEA Grapalat"/>
          <w:sz w:val="22"/>
          <w:szCs w:val="22"/>
          <w:lang w:val="en-US"/>
        </w:rPr>
        <w:t>.2</w:t>
      </w:r>
      <w:r w:rsidRPr="00C921DE">
        <w:rPr>
          <w:rFonts w:ascii="GHEA Grapalat" w:hAnsi="GHEA Grapalat"/>
          <w:sz w:val="22"/>
          <w:szCs w:val="22"/>
        </w:rPr>
        <w:t xml:space="preserve"> մլն, իսկ ամրակցված լայնաշերտ ինտերնետի բաժանորդների քանակը՝ </w:t>
      </w:r>
      <w:r w:rsidR="00C37C88" w:rsidRPr="00C921DE">
        <w:rPr>
          <w:rFonts w:ascii="GHEA Grapalat" w:hAnsi="GHEA Grapalat"/>
          <w:sz w:val="22"/>
          <w:szCs w:val="22"/>
          <w:lang w:val="en-US"/>
        </w:rPr>
        <w:t>546 հազար</w:t>
      </w:r>
      <w:r w:rsidRPr="00C921DE">
        <w:rPr>
          <w:rFonts w:ascii="GHEA Grapalat" w:hAnsi="GHEA Grapalat"/>
          <w:sz w:val="22"/>
          <w:szCs w:val="22"/>
        </w:rPr>
        <w:t xml:space="preserve"> (գերակշռել են օպտիկա</w:t>
      </w:r>
      <w:r w:rsidR="00C37C88" w:rsidRPr="00C921DE">
        <w:rPr>
          <w:rFonts w:ascii="GHEA Grapalat" w:hAnsi="GHEA Grapalat"/>
          <w:sz w:val="22"/>
          <w:szCs w:val="22"/>
          <w:lang w:val="en-US"/>
        </w:rPr>
        <w:t>-</w:t>
      </w:r>
      <w:r w:rsidRPr="00C921DE">
        <w:rPr>
          <w:rFonts w:ascii="GHEA Grapalat" w:hAnsi="GHEA Grapalat"/>
          <w:sz w:val="22"/>
          <w:szCs w:val="22"/>
        </w:rPr>
        <w:t>մանրաթելային տեխնոլոգիայից օգտվող բաժանորդները, որոնց տեսակարար կշիռը կազմել է շուրջ 8</w:t>
      </w:r>
      <w:r w:rsidR="00C37C88" w:rsidRPr="00C921DE">
        <w:rPr>
          <w:rFonts w:ascii="GHEA Grapalat" w:hAnsi="GHEA Grapalat"/>
          <w:sz w:val="22"/>
          <w:szCs w:val="22"/>
          <w:lang w:val="en-US"/>
        </w:rPr>
        <w:t>3.3</w:t>
      </w:r>
      <w:r w:rsidRPr="00C921DE">
        <w:rPr>
          <w:rFonts w:ascii="GHEA Grapalat" w:hAnsi="GHEA Grapalat"/>
          <w:sz w:val="22"/>
          <w:szCs w:val="22"/>
        </w:rPr>
        <w:t>% (4</w:t>
      </w:r>
      <w:r w:rsidR="002954B6" w:rsidRPr="00C921DE">
        <w:rPr>
          <w:rFonts w:ascii="GHEA Grapalat" w:hAnsi="GHEA Grapalat"/>
          <w:sz w:val="22"/>
          <w:szCs w:val="22"/>
          <w:lang w:val="en-US"/>
        </w:rPr>
        <w:t>55</w:t>
      </w:r>
      <w:r w:rsidRPr="00C921DE">
        <w:rPr>
          <w:rFonts w:ascii="GHEA Grapalat" w:hAnsi="GHEA Grapalat"/>
          <w:sz w:val="22"/>
          <w:szCs w:val="22"/>
        </w:rPr>
        <w:t xml:space="preserve"> հազար բաժանորդ)՝ 2022 թվականի տարեվերջի համ</w:t>
      </w:r>
      <w:r w:rsidR="00E57566" w:rsidRPr="00C921DE">
        <w:rPr>
          <w:rFonts w:ascii="GHEA Grapalat" w:hAnsi="GHEA Grapalat"/>
          <w:sz w:val="22"/>
          <w:szCs w:val="22"/>
          <w:lang w:val="en-US"/>
        </w:rPr>
        <w:t>ե</w:t>
      </w:r>
      <w:r w:rsidRPr="00C921DE">
        <w:rPr>
          <w:rFonts w:ascii="GHEA Grapalat" w:hAnsi="GHEA Grapalat"/>
          <w:sz w:val="22"/>
          <w:szCs w:val="22"/>
        </w:rPr>
        <w:t>մ</w:t>
      </w:r>
      <w:r w:rsidR="00E57566" w:rsidRPr="00C921DE">
        <w:rPr>
          <w:rFonts w:ascii="GHEA Grapalat" w:hAnsi="GHEA Grapalat"/>
          <w:sz w:val="22"/>
          <w:szCs w:val="22"/>
          <w:lang w:val="en-US"/>
        </w:rPr>
        <w:t>ա</w:t>
      </w:r>
      <w:r w:rsidRPr="00C921DE">
        <w:rPr>
          <w:rFonts w:ascii="GHEA Grapalat" w:hAnsi="GHEA Grapalat"/>
          <w:sz w:val="22"/>
          <w:szCs w:val="22"/>
        </w:rPr>
        <w:t xml:space="preserve">տ աճելով ավելի քան </w:t>
      </w:r>
      <w:r w:rsidR="002954B6" w:rsidRPr="00C921DE">
        <w:rPr>
          <w:rFonts w:ascii="GHEA Grapalat" w:hAnsi="GHEA Grapalat"/>
          <w:sz w:val="22"/>
          <w:szCs w:val="22"/>
          <w:lang w:val="en-US"/>
        </w:rPr>
        <w:t>13.3</w:t>
      </w:r>
      <w:r w:rsidRPr="00C921DE">
        <w:rPr>
          <w:rFonts w:ascii="GHEA Grapalat" w:hAnsi="GHEA Grapalat"/>
          <w:sz w:val="22"/>
          <w:szCs w:val="22"/>
        </w:rPr>
        <w:t>%-ով)։ 2022 թվականի տարեվերջի համեմատ հաշվետու տարում ընդհանուր լայնաշերտ ինտերնետի կապի օգտագործման ծավալներ</w:t>
      </w:r>
      <w:r w:rsidR="000E6F89" w:rsidRPr="00C921DE">
        <w:rPr>
          <w:rFonts w:ascii="GHEA Grapalat" w:hAnsi="GHEA Grapalat"/>
          <w:sz w:val="22"/>
          <w:szCs w:val="22"/>
          <w:lang w:val="en-US"/>
        </w:rPr>
        <w:t xml:space="preserve">ն </w:t>
      </w:r>
      <w:r w:rsidR="000E6F89" w:rsidRPr="00C921DE">
        <w:rPr>
          <w:rFonts w:ascii="GHEA Grapalat" w:hAnsi="GHEA Grapalat"/>
          <w:sz w:val="22"/>
          <w:szCs w:val="22"/>
        </w:rPr>
        <w:t>աճել են</w:t>
      </w:r>
      <w:r w:rsidRPr="00C921DE">
        <w:rPr>
          <w:rFonts w:ascii="GHEA Grapalat" w:hAnsi="GHEA Grapalat"/>
          <w:sz w:val="22"/>
          <w:szCs w:val="22"/>
        </w:rPr>
        <w:t xml:space="preserve"> շուրջ </w:t>
      </w:r>
      <w:r w:rsidR="002954B6" w:rsidRPr="00C921DE">
        <w:rPr>
          <w:rFonts w:ascii="GHEA Grapalat" w:hAnsi="GHEA Grapalat"/>
          <w:sz w:val="22"/>
          <w:szCs w:val="22"/>
          <w:lang w:val="en-US"/>
        </w:rPr>
        <w:t>6.2</w:t>
      </w:r>
      <w:r w:rsidRPr="00C921DE">
        <w:rPr>
          <w:rFonts w:ascii="GHEA Grapalat" w:hAnsi="GHEA Grapalat"/>
          <w:sz w:val="22"/>
          <w:szCs w:val="22"/>
        </w:rPr>
        <w:t>%</w:t>
      </w:r>
      <w:r w:rsidR="000E6F89" w:rsidRPr="00C921DE">
        <w:rPr>
          <w:rFonts w:ascii="GHEA Grapalat" w:hAnsi="GHEA Grapalat"/>
          <w:sz w:val="22"/>
          <w:szCs w:val="22"/>
          <w:lang w:val="en-US"/>
        </w:rPr>
        <w:t>-ով</w:t>
      </w:r>
      <w:r w:rsidRPr="00C921DE">
        <w:rPr>
          <w:rFonts w:ascii="GHEA Grapalat" w:hAnsi="GHEA Grapalat"/>
          <w:sz w:val="22"/>
          <w:szCs w:val="22"/>
        </w:rPr>
        <w:t xml:space="preserve">։ </w:t>
      </w:r>
    </w:p>
    <w:p w14:paraId="44DC058B" w14:textId="28731DF6" w:rsidR="001A2390"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Հանձնաժողովի կողմից 700</w:t>
      </w:r>
      <w:r w:rsidR="00B00B36" w:rsidRPr="00C921DE">
        <w:rPr>
          <w:rFonts w:ascii="GHEA Grapalat" w:hAnsi="GHEA Grapalat"/>
          <w:sz w:val="22"/>
          <w:szCs w:val="22"/>
          <w:lang w:val="en-US"/>
        </w:rPr>
        <w:t xml:space="preserve"> </w:t>
      </w:r>
      <w:r w:rsidRPr="00C921DE">
        <w:rPr>
          <w:rFonts w:ascii="GHEA Grapalat" w:hAnsi="GHEA Grapalat"/>
          <w:sz w:val="22"/>
          <w:szCs w:val="22"/>
        </w:rPr>
        <w:t>ՄՀց, 800</w:t>
      </w:r>
      <w:r w:rsidR="00B00B36" w:rsidRPr="00C921DE">
        <w:rPr>
          <w:rFonts w:ascii="GHEA Grapalat" w:hAnsi="GHEA Grapalat"/>
          <w:sz w:val="22"/>
          <w:szCs w:val="22"/>
          <w:lang w:val="en-US"/>
        </w:rPr>
        <w:t xml:space="preserve"> </w:t>
      </w:r>
      <w:r w:rsidRPr="00C921DE">
        <w:rPr>
          <w:rFonts w:ascii="GHEA Grapalat" w:hAnsi="GHEA Grapalat"/>
          <w:sz w:val="22"/>
          <w:szCs w:val="22"/>
        </w:rPr>
        <w:t>ՄՀց և 1800</w:t>
      </w:r>
      <w:r w:rsidR="00B00B36" w:rsidRPr="00C921DE">
        <w:rPr>
          <w:rFonts w:ascii="GHEA Grapalat" w:hAnsi="GHEA Grapalat"/>
          <w:sz w:val="22"/>
          <w:szCs w:val="22"/>
          <w:lang w:val="en-US"/>
        </w:rPr>
        <w:t xml:space="preserve"> </w:t>
      </w:r>
      <w:r w:rsidRPr="00C921DE">
        <w:rPr>
          <w:rFonts w:ascii="GHEA Grapalat" w:hAnsi="GHEA Grapalat"/>
          <w:sz w:val="22"/>
          <w:szCs w:val="22"/>
        </w:rPr>
        <w:t>ՄՀց տիրույթների տրամադրման մրցութային գործընթացների կազմակերպման արդյունքում տրամադրված թույլտվություններով, ինչպես նաև «Յուքոմ» ՓԲԸ-ի լիցենզիայի երկարաձգման շրջանակում վերջինիս լիցենզիայով սահմանված</w:t>
      </w:r>
      <w:r w:rsidR="00063AB1" w:rsidRPr="00C921DE">
        <w:rPr>
          <w:rFonts w:ascii="GHEA Grapalat" w:hAnsi="GHEA Grapalat"/>
          <w:sz w:val="22"/>
          <w:szCs w:val="22"/>
        </w:rPr>
        <w:t xml:space="preserve"> </w:t>
      </w:r>
      <w:r w:rsidRPr="00C921DE">
        <w:rPr>
          <w:rFonts w:ascii="GHEA Grapalat" w:hAnsi="GHEA Grapalat"/>
          <w:sz w:val="22"/>
          <w:szCs w:val="22"/>
        </w:rPr>
        <w:t>պարտավորությունների կատարմամբ՝ ըստ համապատասխան պարտավորության</w:t>
      </w:r>
      <w:r w:rsidR="00063AB1" w:rsidRPr="00C921DE">
        <w:rPr>
          <w:rFonts w:ascii="GHEA Grapalat" w:hAnsi="GHEA Grapalat"/>
          <w:sz w:val="22"/>
          <w:szCs w:val="22"/>
        </w:rPr>
        <w:t xml:space="preserve"> </w:t>
      </w:r>
      <w:r w:rsidRPr="00C921DE">
        <w:rPr>
          <w:rFonts w:ascii="GHEA Grapalat" w:hAnsi="GHEA Grapalat"/>
          <w:sz w:val="22"/>
          <w:szCs w:val="22"/>
        </w:rPr>
        <w:t>2-ից 3 տարվա ընթացքում.</w:t>
      </w:r>
    </w:p>
    <w:p w14:paraId="47CD8481" w14:textId="77777777" w:rsidR="001A2390" w:rsidRPr="00C921DE" w:rsidRDefault="001A2390"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բնակավայրերի առնվազն 80%-ում հասանելի կլինի բոլոր երեք օպերատորի փոխադարձ ներթափանցելի 4G+ (LTE Advanced) ծածկույթ, </w:t>
      </w:r>
    </w:p>
    <w:p w14:paraId="32612EFE" w14:textId="77777777" w:rsidR="001A2390" w:rsidRPr="00C921DE" w:rsidRDefault="001A2390"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Երևանում, Գյումրիում և Վանաձորում «Տելեկոմ Արմենիա» ԲԲԸ-ի կողմից կներդրվի շարժական լայնաշերտ կապի 5G</w:t>
      </w:r>
      <w:r w:rsidR="00063AB1" w:rsidRPr="00C921DE">
        <w:rPr>
          <w:bCs/>
          <w:lang w:val="af-ZA"/>
        </w:rPr>
        <w:t xml:space="preserve"> </w:t>
      </w:r>
      <w:r w:rsidRPr="00C921DE">
        <w:rPr>
          <w:rFonts w:ascii="GHEA Grapalat" w:hAnsi="GHEA Grapalat" w:cs="GHEA Grapalat"/>
          <w:bCs/>
          <w:lang w:val="af-ZA"/>
        </w:rPr>
        <w:t xml:space="preserve">ցանց, </w:t>
      </w:r>
    </w:p>
    <w:p w14:paraId="55548FDA" w14:textId="77777777" w:rsidR="001A2390" w:rsidRPr="00C921DE" w:rsidRDefault="001A2390"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կբարձրացվեն շարժական կապի բոլոր երեք օպերատորների կապի ցանցերի հուսալիության և անվտանգության մակարդակները,</w:t>
      </w:r>
    </w:p>
    <w:p w14:paraId="281F8646" w14:textId="77777777" w:rsidR="001A2390" w:rsidRPr="00C921DE" w:rsidRDefault="001A2390"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ընդհանուր շուրջ 2 մլրդ ՀՀ դրամի կապիտալ ներդրումների իրականացմամբ կընդլայնվեն շարժական կապի բոլոր երեք օպերատորների կապի ենթակառուցվ</w:t>
      </w:r>
      <w:r w:rsidR="008B15FC" w:rsidRPr="00C921DE">
        <w:rPr>
          <w:rFonts w:ascii="GHEA Grapalat" w:hAnsi="GHEA Grapalat" w:cs="GHEA Grapalat"/>
          <w:bCs/>
          <w:lang w:val="af-ZA"/>
        </w:rPr>
        <w:t>ածքները,</w:t>
      </w:r>
    </w:p>
    <w:p w14:paraId="5C6EEA5E" w14:textId="7904C2DD" w:rsidR="001A2390" w:rsidRPr="00C921DE" w:rsidRDefault="001A2390"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մասնագիտացված ՀՀ պետական ԲՈՒՀ-ում «</w:t>
      </w:r>
      <w:r w:rsidR="002954B6" w:rsidRPr="00C921DE">
        <w:rPr>
          <w:rFonts w:ascii="GHEA Grapalat" w:hAnsi="GHEA Grapalat" w:cs="GHEA Grapalat"/>
          <w:bCs/>
          <w:lang w:val="af-ZA"/>
        </w:rPr>
        <w:t>Վիվա Արմենիա</w:t>
      </w:r>
      <w:r w:rsidRPr="00C921DE">
        <w:rPr>
          <w:rFonts w:ascii="GHEA Grapalat" w:hAnsi="GHEA Grapalat" w:cs="GHEA Grapalat"/>
          <w:bCs/>
          <w:lang w:val="af-ZA"/>
        </w:rPr>
        <w:t>» ՓԲԸ-ի կողմից կհիմնվի շարժական կապի ծառայություններ մատուցելու հնարավոր</w:t>
      </w:r>
      <w:r w:rsidR="008B15FC" w:rsidRPr="00C921DE">
        <w:rPr>
          <w:rFonts w:ascii="GHEA Grapalat" w:hAnsi="GHEA Grapalat" w:cs="GHEA Grapalat"/>
          <w:bCs/>
          <w:lang w:val="af-ZA"/>
        </w:rPr>
        <w:t>ությամբ ուսումնական լաբորատորիա,</w:t>
      </w:r>
    </w:p>
    <w:p w14:paraId="2622082B" w14:textId="77777777" w:rsidR="001A2390" w:rsidRPr="00C921DE" w:rsidRDefault="001A2390"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օպտիկամանրաթելային հասանելիություն չունեցող 302 բնակավայրերում «Յուքոմ» ՓԲԸ-ի կողմից կապահովվի լարային օպտիկամանրաթելային և (կամ) դրան որակապես համարժեք անլար տեխնո</w:t>
      </w:r>
      <w:r w:rsidR="008B15FC" w:rsidRPr="00C921DE">
        <w:rPr>
          <w:rFonts w:ascii="GHEA Grapalat" w:hAnsi="GHEA Grapalat" w:cs="GHEA Grapalat"/>
          <w:bCs/>
          <w:lang w:val="af-ZA"/>
        </w:rPr>
        <w:t>լոգիայի ամրակցված լայնաշերտ կապ,</w:t>
      </w:r>
      <w:r w:rsidRPr="00C921DE">
        <w:rPr>
          <w:rFonts w:ascii="GHEA Grapalat" w:hAnsi="GHEA Grapalat" w:cs="GHEA Grapalat"/>
          <w:bCs/>
          <w:lang w:val="af-ZA"/>
        </w:rPr>
        <w:t xml:space="preserve"> արդյունքում նշված տեխնոլոգիայի լայնաշերտ ինտերնետ կապը հասանելի կլինի հանրապետության բոլոր բնակավայրերում</w:t>
      </w:r>
      <w:r w:rsidR="008B15FC" w:rsidRPr="00C921DE">
        <w:rPr>
          <w:rFonts w:ascii="GHEA Grapalat" w:hAnsi="GHEA Grapalat" w:cs="GHEA Grapalat"/>
          <w:bCs/>
          <w:lang w:val="af-ZA"/>
        </w:rPr>
        <w:t>:</w:t>
      </w:r>
    </w:p>
    <w:p w14:paraId="02A0224E" w14:textId="77777777" w:rsidR="001C411D" w:rsidRPr="00C921DE" w:rsidRDefault="001A2390" w:rsidP="001A2390">
      <w:pPr>
        <w:spacing w:line="360" w:lineRule="auto"/>
        <w:ind w:firstLine="567"/>
        <w:jc w:val="both"/>
        <w:rPr>
          <w:rFonts w:ascii="GHEA Grapalat" w:hAnsi="GHEA Grapalat"/>
          <w:sz w:val="22"/>
          <w:szCs w:val="22"/>
        </w:rPr>
      </w:pPr>
      <w:r w:rsidRPr="00C921DE">
        <w:rPr>
          <w:rFonts w:ascii="GHEA Grapalat" w:hAnsi="GHEA Grapalat"/>
          <w:sz w:val="22"/>
          <w:szCs w:val="22"/>
        </w:rPr>
        <w:t>Նշված ռադիոհաճախականությունների տրամադրմամբ ապահովվել են 2</w:t>
      </w:r>
      <w:r w:rsidR="009D20D3" w:rsidRPr="00C921DE">
        <w:rPr>
          <w:rFonts w:ascii="GHEA Grapalat" w:hAnsi="GHEA Grapalat"/>
          <w:sz w:val="22"/>
          <w:szCs w:val="22"/>
          <w:lang w:val="en-US"/>
        </w:rPr>
        <w:t>.</w:t>
      </w:r>
      <w:r w:rsidR="009D20D3" w:rsidRPr="00C921DE">
        <w:rPr>
          <w:rFonts w:ascii="GHEA Grapalat" w:hAnsi="GHEA Grapalat"/>
          <w:sz w:val="22"/>
          <w:szCs w:val="22"/>
        </w:rPr>
        <w:t>25</w:t>
      </w:r>
      <w:r w:rsidRPr="00C921DE">
        <w:rPr>
          <w:rFonts w:ascii="GHEA Grapalat" w:hAnsi="GHEA Grapalat"/>
          <w:sz w:val="22"/>
          <w:szCs w:val="22"/>
        </w:rPr>
        <w:t xml:space="preserve"> մլրդ ՀՀ դրամի միանվագ, իսկ հետագայում</w:t>
      </w:r>
      <w:r w:rsidR="009D20D3" w:rsidRPr="00C921DE">
        <w:rPr>
          <w:rFonts w:ascii="GHEA Grapalat" w:hAnsi="GHEA Grapalat"/>
          <w:sz w:val="22"/>
          <w:szCs w:val="22"/>
          <w:lang w:val="en-US"/>
        </w:rPr>
        <w:t>՝</w:t>
      </w:r>
      <w:r w:rsidRPr="00C921DE">
        <w:rPr>
          <w:rFonts w:ascii="GHEA Grapalat" w:hAnsi="GHEA Grapalat"/>
          <w:sz w:val="22"/>
          <w:szCs w:val="22"/>
        </w:rPr>
        <w:t xml:space="preserve"> 1</w:t>
      </w:r>
      <w:r w:rsidR="009D20D3" w:rsidRPr="00C921DE">
        <w:rPr>
          <w:rFonts w:ascii="GHEA Grapalat" w:hAnsi="GHEA Grapalat"/>
          <w:sz w:val="22"/>
          <w:szCs w:val="22"/>
          <w:lang w:val="en-US"/>
        </w:rPr>
        <w:t>.</w:t>
      </w:r>
      <w:r w:rsidRPr="00C921DE">
        <w:rPr>
          <w:rFonts w:ascii="GHEA Grapalat" w:hAnsi="GHEA Grapalat"/>
          <w:sz w:val="22"/>
          <w:szCs w:val="22"/>
        </w:rPr>
        <w:t>176 մլրդ ՀՀ դրամ տարեկան լրացուցիչ</w:t>
      </w:r>
      <w:r w:rsidR="00063AB1" w:rsidRPr="00C921DE">
        <w:rPr>
          <w:rFonts w:ascii="Calibri" w:hAnsi="Calibri" w:cs="Calibri"/>
          <w:sz w:val="22"/>
          <w:szCs w:val="22"/>
        </w:rPr>
        <w:t xml:space="preserve"> </w:t>
      </w:r>
      <w:r w:rsidRPr="00C921DE">
        <w:rPr>
          <w:rFonts w:ascii="GHEA Grapalat" w:hAnsi="GHEA Grapalat"/>
          <w:sz w:val="22"/>
          <w:szCs w:val="22"/>
        </w:rPr>
        <w:t>մուտքեր պետական բյուջե։</w:t>
      </w:r>
    </w:p>
    <w:p w14:paraId="5450C527" w14:textId="77777777" w:rsidR="001C411D" w:rsidRPr="00C921DE" w:rsidRDefault="001C411D" w:rsidP="007A724F">
      <w:pPr>
        <w:spacing w:line="360" w:lineRule="auto"/>
        <w:ind w:firstLine="567"/>
        <w:jc w:val="both"/>
        <w:rPr>
          <w:rFonts w:ascii="GHEA Grapalat" w:hAnsi="GHEA Grapalat"/>
          <w:sz w:val="22"/>
          <w:szCs w:val="22"/>
        </w:rPr>
      </w:pPr>
    </w:p>
    <w:p w14:paraId="39A85990" w14:textId="77777777" w:rsidR="001C411D" w:rsidRPr="00C921DE" w:rsidRDefault="001C411D" w:rsidP="00695F26">
      <w:pPr>
        <w:pStyle w:val="Heading2"/>
        <w:spacing w:before="0"/>
      </w:pPr>
      <w:bookmarkStart w:id="33" w:name="_Toc163745423"/>
      <w:r w:rsidRPr="00C921DE">
        <w:t>Քաղաքացիական ավիացիա</w:t>
      </w:r>
      <w:bookmarkEnd w:id="33"/>
    </w:p>
    <w:p w14:paraId="0A80C57A" w14:textId="77777777" w:rsidR="00B41573" w:rsidRPr="00C921DE" w:rsidRDefault="00B41573" w:rsidP="009629F2">
      <w:pPr>
        <w:spacing w:line="360" w:lineRule="auto"/>
        <w:ind w:firstLine="567"/>
        <w:jc w:val="both"/>
        <w:rPr>
          <w:rFonts w:ascii="GHEA Grapalat" w:hAnsi="GHEA Grapalat"/>
          <w:sz w:val="22"/>
          <w:szCs w:val="22"/>
        </w:rPr>
      </w:pPr>
      <w:r w:rsidRPr="00C921DE">
        <w:rPr>
          <w:rFonts w:ascii="GHEA Grapalat" w:hAnsi="GHEA Grapalat"/>
          <w:sz w:val="22"/>
          <w:szCs w:val="22"/>
        </w:rPr>
        <w:t>Իրականացվել է ինստիտուցիոնալ համագործակցություն Քաղաքացիական ավիացիայի միջազգային կազմակերպության (ICAO), Թռիչքների անվտանգության եվրոպական գործակալության (EASA),</w:t>
      </w:r>
      <w:r w:rsidR="006B5113" w:rsidRPr="00C921DE">
        <w:rPr>
          <w:rFonts w:ascii="GHEA Grapalat" w:hAnsi="GHEA Grapalat"/>
          <w:sz w:val="22"/>
          <w:szCs w:val="22"/>
        </w:rPr>
        <w:t xml:space="preserve"> </w:t>
      </w:r>
      <w:r w:rsidRPr="00C921DE">
        <w:rPr>
          <w:rFonts w:ascii="GHEA Grapalat" w:hAnsi="GHEA Grapalat"/>
          <w:sz w:val="22"/>
          <w:szCs w:val="22"/>
        </w:rPr>
        <w:t xml:space="preserve">ԵՄ Շարժունակության և տրանսպորտի վարչության (DG MOVE), ԵՏՀ տրանսպորտի և ենթակառուցվածքի հարցերով խորհրդատվական կոմիտեի հետ քաղաքացիական ավիացիայի ենթակոմիտեի շրջանակներում: </w:t>
      </w:r>
    </w:p>
    <w:p w14:paraId="09249CD6" w14:textId="77777777" w:rsidR="00B41573" w:rsidRPr="00C921DE" w:rsidRDefault="00B41573" w:rsidP="009629F2">
      <w:pPr>
        <w:spacing w:line="360" w:lineRule="auto"/>
        <w:ind w:firstLine="567"/>
        <w:jc w:val="both"/>
        <w:rPr>
          <w:rFonts w:ascii="GHEA Grapalat" w:hAnsi="GHEA Grapalat"/>
          <w:sz w:val="22"/>
          <w:szCs w:val="22"/>
        </w:rPr>
      </w:pPr>
      <w:r w:rsidRPr="00C921DE">
        <w:rPr>
          <w:rFonts w:ascii="GHEA Grapalat" w:hAnsi="GHEA Grapalat"/>
          <w:sz w:val="22"/>
          <w:szCs w:val="22"/>
        </w:rPr>
        <w:t>ԵՄ թռիչքների անվտանգության ցուցակից դուրս գալու կապակցությամբ ՀՀ Քաղաքացիական ավիացիայի կոմիտեն համագործակցում է Թռիչքների անվտանգության եվրոպական գործակալության (EASA) հետ: Համագործակցության շրջանակներում</w:t>
      </w:r>
      <w:r w:rsidR="009629F2" w:rsidRPr="00C921DE">
        <w:rPr>
          <w:rFonts w:ascii="GHEA Grapalat" w:hAnsi="GHEA Grapalat"/>
          <w:sz w:val="22"/>
          <w:szCs w:val="22"/>
          <w:lang w:val="en-US"/>
        </w:rPr>
        <w:t>,</w:t>
      </w:r>
      <w:r w:rsidRPr="00C921DE">
        <w:rPr>
          <w:rFonts w:ascii="GHEA Grapalat" w:hAnsi="GHEA Grapalat"/>
          <w:sz w:val="22"/>
          <w:szCs w:val="22"/>
        </w:rPr>
        <w:t xml:space="preserve"> մասնավորապես</w:t>
      </w:r>
      <w:r w:rsidR="009629F2" w:rsidRPr="00C921DE">
        <w:rPr>
          <w:rFonts w:ascii="GHEA Grapalat" w:hAnsi="GHEA Grapalat"/>
          <w:sz w:val="22"/>
          <w:szCs w:val="22"/>
          <w:lang w:val="en-US"/>
        </w:rPr>
        <w:t>,</w:t>
      </w:r>
      <w:r w:rsidRPr="00C921DE">
        <w:rPr>
          <w:rFonts w:ascii="GHEA Grapalat" w:hAnsi="GHEA Grapalat"/>
          <w:sz w:val="22"/>
          <w:szCs w:val="22"/>
        </w:rPr>
        <w:t xml:space="preserve"> իրականացվել են մի շարք ընթացակարգերի մշակում և ներդրում, անվճար դասընթացների կազմակերպում:</w:t>
      </w:r>
    </w:p>
    <w:p w14:paraId="5CA1641B" w14:textId="77777777" w:rsidR="00B41573" w:rsidRPr="00C921DE" w:rsidRDefault="00B41573" w:rsidP="009629F2">
      <w:pPr>
        <w:spacing w:line="360" w:lineRule="auto"/>
        <w:ind w:firstLine="567"/>
        <w:jc w:val="both"/>
        <w:rPr>
          <w:rFonts w:ascii="GHEA Grapalat" w:hAnsi="GHEA Grapalat"/>
          <w:sz w:val="22"/>
          <w:szCs w:val="22"/>
        </w:rPr>
      </w:pPr>
      <w:r w:rsidRPr="00C921DE">
        <w:rPr>
          <w:rFonts w:ascii="GHEA Grapalat" w:hAnsi="GHEA Grapalat"/>
          <w:sz w:val="22"/>
          <w:szCs w:val="22"/>
        </w:rPr>
        <w:t>Թռիչքային և ավիացիոն անվտանգության մակարդակի բարձրացման նպատակով ոլորտի կանոնակարգման շրջանակներում Քաղաքացիական ավիացիայի կոմիտեի կողմից մշակվել և ընդունվել են մի շարք նորմատիվ իրավական ակտեր:</w:t>
      </w:r>
    </w:p>
    <w:p w14:paraId="368A39A6" w14:textId="77777777" w:rsidR="00B41573" w:rsidRPr="00C921DE" w:rsidRDefault="00B41573" w:rsidP="009629F2">
      <w:pPr>
        <w:spacing w:line="360" w:lineRule="auto"/>
        <w:ind w:firstLine="567"/>
        <w:jc w:val="both"/>
        <w:rPr>
          <w:rFonts w:ascii="GHEA Grapalat" w:hAnsi="GHEA Grapalat"/>
          <w:sz w:val="22"/>
          <w:szCs w:val="22"/>
        </w:rPr>
      </w:pPr>
      <w:r w:rsidRPr="00C921DE">
        <w:rPr>
          <w:rFonts w:ascii="GHEA Grapalat" w:hAnsi="GHEA Grapalat"/>
          <w:sz w:val="22"/>
          <w:szCs w:val="22"/>
        </w:rPr>
        <w:t>Վերասերտիֆիկացվել են «Ֆլայ Արնա-Հայկական ազգային ավիաուղիներ», «Ֆլայուան Արմենիա» ավիաընկերությունների օդանավ շահագործողի վկայականները, իսկ «Էյր Դիլիջանս» ավիաընկերության օդանավ շահագործողի վկայականը վերասերտիֆիկացման գործընթացի մեջ է։</w:t>
      </w:r>
    </w:p>
    <w:p w14:paraId="6FD266F9" w14:textId="77777777" w:rsidR="00B41573" w:rsidRPr="00C921DE" w:rsidRDefault="00B41573" w:rsidP="009629F2">
      <w:pPr>
        <w:spacing w:line="360" w:lineRule="auto"/>
        <w:ind w:firstLine="567"/>
        <w:jc w:val="both"/>
        <w:rPr>
          <w:rFonts w:ascii="GHEA Grapalat" w:hAnsi="GHEA Grapalat"/>
          <w:sz w:val="22"/>
          <w:szCs w:val="22"/>
        </w:rPr>
      </w:pPr>
      <w:r w:rsidRPr="00C921DE">
        <w:rPr>
          <w:rFonts w:ascii="GHEA Grapalat" w:hAnsi="GHEA Grapalat"/>
          <w:sz w:val="22"/>
          <w:szCs w:val="22"/>
        </w:rPr>
        <w:t>«Հայվեյզ» ավիաընկերությանը օդանավ շահագործողի վկայականի տրամադրումը գործընթացի մեջ է։</w:t>
      </w:r>
    </w:p>
    <w:p w14:paraId="75C55E35" w14:textId="77777777" w:rsidR="00B41573" w:rsidRPr="00C921DE" w:rsidRDefault="00B41573" w:rsidP="009629F2">
      <w:pPr>
        <w:spacing w:line="360" w:lineRule="auto"/>
        <w:ind w:firstLine="567"/>
        <w:jc w:val="both"/>
        <w:rPr>
          <w:rFonts w:ascii="GHEA Grapalat" w:hAnsi="GHEA Grapalat"/>
          <w:sz w:val="22"/>
          <w:szCs w:val="22"/>
        </w:rPr>
      </w:pPr>
      <w:r w:rsidRPr="00C921DE">
        <w:rPr>
          <w:rFonts w:ascii="GHEA Grapalat" w:hAnsi="GHEA Grapalat"/>
          <w:sz w:val="22"/>
          <w:szCs w:val="22"/>
        </w:rPr>
        <w:t>Կանոնավոր առևտրային օդային փոխադրումների իրականացման հավաստագիր է տրամադրվել «Հայկական Ավիաուղիներ» ավիաընկերությանը։</w:t>
      </w:r>
    </w:p>
    <w:p w14:paraId="2FBC0BEB" w14:textId="77777777" w:rsidR="001C411D" w:rsidRPr="00C921DE" w:rsidRDefault="001C411D" w:rsidP="00AC199C">
      <w:pPr>
        <w:spacing w:line="360" w:lineRule="auto"/>
        <w:ind w:firstLine="567"/>
        <w:jc w:val="both"/>
        <w:rPr>
          <w:rFonts w:ascii="GHEA Grapalat" w:hAnsi="GHEA Grapalat"/>
          <w:sz w:val="22"/>
          <w:szCs w:val="22"/>
        </w:rPr>
      </w:pPr>
    </w:p>
    <w:p w14:paraId="5C22092A" w14:textId="77777777" w:rsidR="001C411D" w:rsidRPr="00C921DE" w:rsidRDefault="001C411D" w:rsidP="00695F26">
      <w:pPr>
        <w:pStyle w:val="Heading2"/>
        <w:spacing w:before="0"/>
      </w:pPr>
      <w:bookmarkStart w:id="34" w:name="_Toc163745424"/>
      <w:r w:rsidRPr="00C921DE">
        <w:lastRenderedPageBreak/>
        <w:t>Պետական գույքի կառավարում</w:t>
      </w:r>
      <w:bookmarkEnd w:id="34"/>
    </w:p>
    <w:p w14:paraId="20C68573" w14:textId="77777777" w:rsidR="00556039" w:rsidRPr="00C921DE" w:rsidRDefault="00556039" w:rsidP="00556039">
      <w:pPr>
        <w:spacing w:line="360" w:lineRule="auto"/>
        <w:ind w:firstLine="567"/>
        <w:jc w:val="both"/>
        <w:rPr>
          <w:rFonts w:ascii="GHEA Grapalat" w:hAnsi="GHEA Grapalat"/>
          <w:sz w:val="22"/>
          <w:szCs w:val="22"/>
        </w:rPr>
      </w:pPr>
      <w:r w:rsidRPr="00C921DE">
        <w:rPr>
          <w:rFonts w:ascii="GHEA Grapalat" w:hAnsi="GHEA Grapalat"/>
          <w:sz w:val="22"/>
          <w:szCs w:val="22"/>
        </w:rPr>
        <w:t>Հաշվետու ժամանակահատվածում պետական գույքի կառավարման առանձին բնագավառներում ձեռք են բերվել հետևյալ արդյունքները:</w:t>
      </w:r>
    </w:p>
    <w:p w14:paraId="7AFA438C" w14:textId="77777777" w:rsidR="006F33F1" w:rsidRPr="00C921DE" w:rsidRDefault="006F33F1" w:rsidP="00405E89">
      <w:pPr>
        <w:spacing w:line="360" w:lineRule="auto"/>
        <w:ind w:firstLine="567"/>
        <w:jc w:val="both"/>
        <w:rPr>
          <w:rFonts w:ascii="GHEA Grapalat" w:hAnsi="GHEA Grapalat"/>
          <w:sz w:val="22"/>
          <w:szCs w:val="22"/>
        </w:rPr>
      </w:pPr>
      <w:r w:rsidRPr="00C921DE">
        <w:rPr>
          <w:rFonts w:ascii="GHEA Grapalat" w:hAnsi="GHEA Grapalat"/>
          <w:sz w:val="22"/>
          <w:szCs w:val="22"/>
        </w:rPr>
        <w:t xml:space="preserve">Պետական գույքի էլեկտրոնային հաշվառման համակարգում գրանցված է 10910 միավոր պետական սեփականություն հանդիսացող անշարժ գույք՝ 8226530.26 </w:t>
      </w:r>
      <w:r w:rsidR="00405E89" w:rsidRPr="00C921DE">
        <w:rPr>
          <w:rFonts w:ascii="GHEA Grapalat" w:hAnsi="GHEA Grapalat"/>
          <w:sz w:val="22"/>
          <w:szCs w:val="22"/>
          <w:lang w:val="en-US"/>
        </w:rPr>
        <w:t>մ</w:t>
      </w:r>
      <w:r w:rsidR="00405E89" w:rsidRPr="00C921DE">
        <w:rPr>
          <w:rFonts w:ascii="GHEA Grapalat" w:hAnsi="GHEA Grapalat"/>
          <w:sz w:val="22"/>
          <w:szCs w:val="22"/>
          <w:vertAlign w:val="superscript"/>
          <w:lang w:val="en-US"/>
        </w:rPr>
        <w:t>2</w:t>
      </w:r>
      <w:r w:rsidRPr="00C921DE">
        <w:rPr>
          <w:rFonts w:ascii="GHEA Grapalat" w:hAnsi="GHEA Grapalat"/>
          <w:sz w:val="22"/>
          <w:szCs w:val="22"/>
        </w:rPr>
        <w:t xml:space="preserve"> ընդհանուր մակերեսով (այդ թվում՝ այլ երկրներում գտնվող 16 միավոր անշարժ գույք՝ 14160.57 </w:t>
      </w:r>
      <w:r w:rsidR="00405E89" w:rsidRPr="00C921DE">
        <w:rPr>
          <w:rFonts w:ascii="GHEA Grapalat" w:hAnsi="GHEA Grapalat"/>
          <w:sz w:val="22"/>
          <w:szCs w:val="22"/>
          <w:lang w:val="en-US"/>
        </w:rPr>
        <w:t>մ</w:t>
      </w:r>
      <w:r w:rsidR="00405E89" w:rsidRPr="00C921DE">
        <w:rPr>
          <w:rFonts w:ascii="GHEA Grapalat" w:hAnsi="GHEA Grapalat"/>
          <w:sz w:val="22"/>
          <w:szCs w:val="22"/>
          <w:vertAlign w:val="superscript"/>
          <w:lang w:val="en-US"/>
        </w:rPr>
        <w:t>2</w:t>
      </w:r>
      <w:r w:rsidRPr="00C921DE">
        <w:rPr>
          <w:rFonts w:ascii="GHEA Grapalat" w:hAnsi="GHEA Grapalat"/>
          <w:sz w:val="22"/>
          <w:szCs w:val="22"/>
        </w:rPr>
        <w:t xml:space="preserve"> ընդհանուր մակերեսով), իրավաբանական անձանց գույքի կազմում ընդգրկված 2919 միավոր անշարժ գույք՝ 1</w:t>
      </w:r>
      <w:r w:rsidR="00405E89" w:rsidRPr="00C921DE">
        <w:rPr>
          <w:rFonts w:ascii="GHEA Grapalat" w:hAnsi="GHEA Grapalat"/>
          <w:sz w:val="22"/>
          <w:szCs w:val="22"/>
        </w:rPr>
        <w:t>402973.2</w:t>
      </w:r>
      <w:r w:rsidR="00405E89" w:rsidRPr="00C921DE">
        <w:rPr>
          <w:rFonts w:ascii="GHEA Grapalat" w:hAnsi="GHEA Grapalat"/>
          <w:sz w:val="22"/>
          <w:szCs w:val="22"/>
          <w:lang w:val="en-US"/>
        </w:rPr>
        <w:t xml:space="preserve"> մ</w:t>
      </w:r>
      <w:r w:rsidR="00405E89" w:rsidRPr="00C921DE">
        <w:rPr>
          <w:rFonts w:ascii="GHEA Grapalat" w:hAnsi="GHEA Grapalat"/>
          <w:sz w:val="22"/>
          <w:szCs w:val="22"/>
          <w:vertAlign w:val="superscript"/>
          <w:lang w:val="en-US"/>
        </w:rPr>
        <w:t>2</w:t>
      </w:r>
      <w:r w:rsidRPr="00C921DE">
        <w:rPr>
          <w:rFonts w:ascii="GHEA Grapalat" w:hAnsi="GHEA Grapalat"/>
          <w:sz w:val="22"/>
          <w:szCs w:val="22"/>
        </w:rPr>
        <w:t xml:space="preserve"> ընդհանուր մակերեսով, 28 միավոր պետական սեփականություն հանդիսացող չկառուցապատված հողամաս՝ 48.633709 հա ընդհանուր մակերեսով, 5853 միավոր տրանսպորտային միջոց, 294 անվանում (քանակը՝ 16719) մտավոր սեփականության օբյեկտ, 184 պետական մասնակցությամբ առևտրային կազմակերպություն, որոնց կանոնադրական կապիտալում պետական մասնակցության չափը կազմում է 250,248,499.483 հազ.</w:t>
      </w:r>
      <w:r w:rsidR="006E6A08" w:rsidRPr="00C921DE">
        <w:rPr>
          <w:rFonts w:ascii="GHEA Grapalat" w:hAnsi="GHEA Grapalat"/>
          <w:sz w:val="22"/>
          <w:szCs w:val="22"/>
          <w:lang w:val="en-US"/>
        </w:rPr>
        <w:t xml:space="preserve"> </w:t>
      </w:r>
      <w:r w:rsidRPr="00C921DE">
        <w:rPr>
          <w:rFonts w:ascii="GHEA Grapalat" w:hAnsi="GHEA Grapalat"/>
          <w:sz w:val="22"/>
          <w:szCs w:val="22"/>
        </w:rPr>
        <w:t>դրամ, ընդհանուր օգտագործման ավտոմոբիլային ճանապարհների երկարությունը կազմում է 7742.19 կմ (այդ թվում` միջպետական նշանակության` 1721.34 կմ, հանրապետական նշանակության` 2065.75 կմ, մարզային նշանակության` 3955.1 կմ):</w:t>
      </w:r>
    </w:p>
    <w:p w14:paraId="6DFE4998" w14:textId="77777777" w:rsidR="006F33F1" w:rsidRPr="00C921DE" w:rsidRDefault="006F33F1" w:rsidP="00556039">
      <w:pPr>
        <w:spacing w:line="360" w:lineRule="auto"/>
        <w:ind w:firstLine="567"/>
        <w:jc w:val="both"/>
        <w:rPr>
          <w:rFonts w:ascii="GHEA Grapalat" w:hAnsi="GHEA Grapalat"/>
          <w:sz w:val="22"/>
          <w:szCs w:val="22"/>
        </w:rPr>
      </w:pPr>
      <w:r w:rsidRPr="00C921DE">
        <w:rPr>
          <w:rFonts w:ascii="GHEA Grapalat" w:hAnsi="GHEA Grapalat"/>
          <w:sz w:val="22"/>
          <w:szCs w:val="22"/>
        </w:rPr>
        <w:t xml:space="preserve">Լուծարվող կազմակերպություններում իրականացվել </w:t>
      </w:r>
      <w:r w:rsidR="006E6A08" w:rsidRPr="00C921DE">
        <w:rPr>
          <w:rFonts w:ascii="GHEA Grapalat" w:hAnsi="GHEA Grapalat"/>
          <w:sz w:val="22"/>
          <w:szCs w:val="22"/>
          <w:lang w:val="en-US"/>
        </w:rPr>
        <w:t>են</w:t>
      </w:r>
      <w:r w:rsidRPr="00C921DE">
        <w:rPr>
          <w:rFonts w:ascii="GHEA Grapalat" w:hAnsi="GHEA Grapalat"/>
          <w:sz w:val="22"/>
          <w:szCs w:val="22"/>
        </w:rPr>
        <w:t xml:space="preserve"> շուրջ 259,717.0 հազ.</w:t>
      </w:r>
      <w:r w:rsidR="006E6A08" w:rsidRPr="00C921DE">
        <w:rPr>
          <w:rFonts w:ascii="GHEA Grapalat" w:hAnsi="GHEA Grapalat"/>
          <w:sz w:val="22"/>
          <w:szCs w:val="22"/>
          <w:lang w:val="en-US"/>
        </w:rPr>
        <w:t xml:space="preserve"> </w:t>
      </w:r>
      <w:r w:rsidRPr="00C921DE">
        <w:rPr>
          <w:rFonts w:ascii="GHEA Grapalat" w:hAnsi="GHEA Grapalat"/>
          <w:sz w:val="22"/>
          <w:szCs w:val="22"/>
        </w:rPr>
        <w:t>դրամ վճարումներ, որից ՀՀ պետական բյուջե` 216,330.0 հազ.</w:t>
      </w:r>
      <w:r w:rsidR="004D3E7E" w:rsidRPr="00C921DE">
        <w:rPr>
          <w:rFonts w:ascii="GHEA Grapalat" w:hAnsi="GHEA Grapalat"/>
          <w:sz w:val="22"/>
          <w:szCs w:val="22"/>
          <w:lang w:val="en-US"/>
        </w:rPr>
        <w:t xml:space="preserve"> </w:t>
      </w:r>
      <w:r w:rsidRPr="00C921DE">
        <w:rPr>
          <w:rFonts w:ascii="GHEA Grapalat" w:hAnsi="GHEA Grapalat"/>
          <w:sz w:val="22"/>
          <w:szCs w:val="22"/>
        </w:rPr>
        <w:t xml:space="preserve">դրամ գումար: </w:t>
      </w:r>
      <w:r w:rsidR="006E6A08" w:rsidRPr="00C921DE">
        <w:rPr>
          <w:rFonts w:ascii="GHEA Grapalat" w:hAnsi="GHEA Grapalat"/>
          <w:sz w:val="22"/>
          <w:szCs w:val="22"/>
          <w:lang w:val="en-US"/>
        </w:rPr>
        <w:t>Պետական գույքի կառավարման կ</w:t>
      </w:r>
      <w:r w:rsidR="006E6A08" w:rsidRPr="00C921DE">
        <w:rPr>
          <w:rFonts w:ascii="GHEA Grapalat" w:hAnsi="GHEA Grapalat"/>
          <w:sz w:val="22"/>
          <w:szCs w:val="22"/>
        </w:rPr>
        <w:t>ոմիտեի</w:t>
      </w:r>
      <w:r w:rsidRPr="00C921DE">
        <w:rPr>
          <w:rFonts w:ascii="GHEA Grapalat" w:hAnsi="GHEA Grapalat"/>
          <w:sz w:val="22"/>
          <w:szCs w:val="22"/>
        </w:rPr>
        <w:t xml:space="preserve"> ենթակայության շահույթով աշխատած ընկերություններից ՀՀ պետական բյուջե է փոխանցվել 35,184.6 հազ.</w:t>
      </w:r>
      <w:r w:rsidR="004D3E7E" w:rsidRPr="00C921DE">
        <w:rPr>
          <w:rFonts w:ascii="GHEA Grapalat" w:hAnsi="GHEA Grapalat"/>
          <w:sz w:val="22"/>
          <w:szCs w:val="22"/>
          <w:lang w:val="en-US"/>
        </w:rPr>
        <w:t xml:space="preserve"> </w:t>
      </w:r>
      <w:r w:rsidRPr="00C921DE">
        <w:rPr>
          <w:rFonts w:ascii="GHEA Grapalat" w:hAnsi="GHEA Grapalat"/>
          <w:sz w:val="22"/>
          <w:szCs w:val="22"/>
        </w:rPr>
        <w:t>դրամ շահութաբաժնի գումար։ Լուծարումից հետո ՀՀ պետական բյուջե է փոխանցվել 110,881.0 հազ.</w:t>
      </w:r>
      <w:r w:rsidR="004D3E7E" w:rsidRPr="00C921DE">
        <w:rPr>
          <w:rFonts w:ascii="GHEA Grapalat" w:hAnsi="GHEA Grapalat"/>
          <w:sz w:val="22"/>
          <w:szCs w:val="22"/>
          <w:lang w:val="en-US"/>
        </w:rPr>
        <w:t xml:space="preserve"> </w:t>
      </w:r>
      <w:r w:rsidRPr="00C921DE">
        <w:rPr>
          <w:rFonts w:ascii="GHEA Grapalat" w:hAnsi="GHEA Grapalat"/>
          <w:sz w:val="22"/>
          <w:szCs w:val="22"/>
        </w:rPr>
        <w:t>դրամ գումար։</w:t>
      </w:r>
    </w:p>
    <w:p w14:paraId="4F5A303F" w14:textId="2302AB7C" w:rsidR="006F33F1" w:rsidRPr="00C921DE" w:rsidRDefault="004D3E7E" w:rsidP="00556039">
      <w:pPr>
        <w:spacing w:line="360" w:lineRule="auto"/>
        <w:ind w:firstLine="567"/>
        <w:jc w:val="both"/>
        <w:rPr>
          <w:rFonts w:ascii="GHEA Grapalat" w:hAnsi="GHEA Grapalat"/>
          <w:sz w:val="22"/>
          <w:szCs w:val="22"/>
        </w:rPr>
      </w:pPr>
      <w:r w:rsidRPr="00C921DE">
        <w:rPr>
          <w:rFonts w:ascii="GHEA Grapalat" w:hAnsi="GHEA Grapalat"/>
          <w:sz w:val="22"/>
          <w:szCs w:val="22"/>
          <w:lang w:val="en-US"/>
        </w:rPr>
        <w:t>Պետական գույքի կառավարման կ</w:t>
      </w:r>
      <w:r w:rsidRPr="00C921DE">
        <w:rPr>
          <w:rFonts w:ascii="GHEA Grapalat" w:hAnsi="GHEA Grapalat"/>
          <w:sz w:val="22"/>
          <w:szCs w:val="22"/>
        </w:rPr>
        <w:t>ոմիտեի</w:t>
      </w:r>
      <w:r w:rsidR="006F33F1" w:rsidRPr="00C921DE">
        <w:rPr>
          <w:rFonts w:ascii="GHEA Grapalat" w:hAnsi="GHEA Grapalat"/>
          <w:sz w:val="22"/>
          <w:szCs w:val="22"/>
        </w:rPr>
        <w:t xml:space="preserve"> կողմից մշակվել և շրջանառության մեջ են դրվել պետական գույքի տնօրինման վերաբերյալ </w:t>
      </w:r>
      <w:r w:rsidRPr="00C921DE">
        <w:rPr>
          <w:rFonts w:ascii="GHEA Grapalat" w:hAnsi="GHEA Grapalat"/>
          <w:sz w:val="22"/>
          <w:szCs w:val="22"/>
          <w:lang w:val="en-US"/>
        </w:rPr>
        <w:t>կ</w:t>
      </w:r>
      <w:r w:rsidR="006F33F1" w:rsidRPr="00C921DE">
        <w:rPr>
          <w:rFonts w:ascii="GHEA Grapalat" w:hAnsi="GHEA Grapalat"/>
          <w:sz w:val="22"/>
          <w:szCs w:val="22"/>
        </w:rPr>
        <w:t xml:space="preserve">ոմիտեի նախագահի 215 հրաման և </w:t>
      </w:r>
      <w:r w:rsidR="00301BC8" w:rsidRPr="00C921DE">
        <w:rPr>
          <w:rFonts w:ascii="GHEA Grapalat" w:hAnsi="GHEA Grapalat"/>
          <w:sz w:val="22"/>
          <w:szCs w:val="22"/>
          <w:lang w:val="en-US"/>
        </w:rPr>
        <w:t>Կ</w:t>
      </w:r>
      <w:r w:rsidR="006F33F1" w:rsidRPr="00C921DE">
        <w:rPr>
          <w:rFonts w:ascii="GHEA Grapalat" w:hAnsi="GHEA Grapalat"/>
          <w:sz w:val="22"/>
          <w:szCs w:val="22"/>
        </w:rPr>
        <w:t>առավարության</w:t>
      </w:r>
      <w:r w:rsidR="00C05C83" w:rsidRPr="00C921DE">
        <w:rPr>
          <w:rFonts w:ascii="GHEA Grapalat" w:hAnsi="GHEA Grapalat"/>
          <w:sz w:val="22"/>
          <w:szCs w:val="22"/>
        </w:rPr>
        <w:t xml:space="preserve"> </w:t>
      </w:r>
      <w:r w:rsidR="006F33F1" w:rsidRPr="00C921DE">
        <w:rPr>
          <w:rFonts w:ascii="GHEA Grapalat" w:hAnsi="GHEA Grapalat"/>
          <w:sz w:val="22"/>
          <w:szCs w:val="22"/>
        </w:rPr>
        <w:t xml:space="preserve">որոշման </w:t>
      </w:r>
      <w:r w:rsidRPr="00C921DE">
        <w:rPr>
          <w:rFonts w:ascii="GHEA Grapalat" w:hAnsi="GHEA Grapalat"/>
          <w:sz w:val="22"/>
          <w:szCs w:val="22"/>
        </w:rPr>
        <w:t>113</w:t>
      </w:r>
      <w:r w:rsidRPr="00C921DE">
        <w:rPr>
          <w:rFonts w:ascii="GHEA Grapalat" w:hAnsi="GHEA Grapalat"/>
          <w:sz w:val="22"/>
          <w:szCs w:val="22"/>
          <w:lang w:val="en-US"/>
        </w:rPr>
        <w:t xml:space="preserve"> </w:t>
      </w:r>
      <w:r w:rsidR="006F33F1" w:rsidRPr="00C921DE">
        <w:rPr>
          <w:rFonts w:ascii="GHEA Grapalat" w:hAnsi="GHEA Grapalat"/>
          <w:sz w:val="22"/>
          <w:szCs w:val="22"/>
        </w:rPr>
        <w:t xml:space="preserve">նախագիծ, որից 60-ն ընդունվել է </w:t>
      </w:r>
      <w:r w:rsidR="00301BC8" w:rsidRPr="00C921DE">
        <w:rPr>
          <w:rFonts w:ascii="GHEA Grapalat" w:hAnsi="GHEA Grapalat"/>
          <w:sz w:val="22"/>
          <w:szCs w:val="22"/>
          <w:lang w:val="en-US"/>
        </w:rPr>
        <w:t>Կ</w:t>
      </w:r>
      <w:r w:rsidR="006F33F1" w:rsidRPr="00C921DE">
        <w:rPr>
          <w:rFonts w:ascii="GHEA Grapalat" w:hAnsi="GHEA Grapalat"/>
          <w:sz w:val="22"/>
          <w:szCs w:val="22"/>
        </w:rPr>
        <w:t xml:space="preserve">առավարության կողմից, ինչպես նաև պետական գույքն օտարելու մասին </w:t>
      </w:r>
      <w:r w:rsidR="00301BC8" w:rsidRPr="00C921DE">
        <w:rPr>
          <w:rFonts w:ascii="GHEA Grapalat" w:hAnsi="GHEA Grapalat"/>
          <w:sz w:val="22"/>
          <w:szCs w:val="22"/>
          <w:lang w:val="en-US"/>
        </w:rPr>
        <w:t>Կ</w:t>
      </w:r>
      <w:r w:rsidR="006F33F1" w:rsidRPr="00C921DE">
        <w:rPr>
          <w:rFonts w:ascii="GHEA Grapalat" w:hAnsi="GHEA Grapalat"/>
          <w:sz w:val="22"/>
          <w:szCs w:val="22"/>
        </w:rPr>
        <w:t>առավարության որոշման</w:t>
      </w:r>
      <w:r w:rsidRPr="00C921DE">
        <w:rPr>
          <w:rFonts w:ascii="GHEA Grapalat" w:hAnsi="GHEA Grapalat"/>
          <w:sz w:val="22"/>
          <w:szCs w:val="22"/>
          <w:lang w:val="en-US"/>
        </w:rPr>
        <w:t xml:space="preserve"> </w:t>
      </w:r>
      <w:r w:rsidRPr="00C921DE">
        <w:rPr>
          <w:rFonts w:ascii="GHEA Grapalat" w:hAnsi="GHEA Grapalat"/>
          <w:sz w:val="22"/>
          <w:szCs w:val="22"/>
        </w:rPr>
        <w:t>39</w:t>
      </w:r>
      <w:r w:rsidR="006F33F1" w:rsidRPr="00C921DE">
        <w:rPr>
          <w:rFonts w:ascii="GHEA Grapalat" w:hAnsi="GHEA Grapalat"/>
          <w:sz w:val="22"/>
          <w:szCs w:val="22"/>
        </w:rPr>
        <w:t xml:space="preserve"> նախագիծ, որից 31-ն ընդու</w:t>
      </w:r>
      <w:r w:rsidRPr="00C921DE">
        <w:rPr>
          <w:rFonts w:ascii="GHEA Grapalat" w:hAnsi="GHEA Grapalat"/>
          <w:sz w:val="22"/>
          <w:szCs w:val="22"/>
        </w:rPr>
        <w:t xml:space="preserve">նվել է </w:t>
      </w:r>
      <w:r w:rsidR="00301BC8" w:rsidRPr="00C921DE">
        <w:rPr>
          <w:rFonts w:ascii="GHEA Grapalat" w:hAnsi="GHEA Grapalat"/>
          <w:sz w:val="22"/>
          <w:szCs w:val="22"/>
          <w:lang w:val="en-US"/>
        </w:rPr>
        <w:t>Կ</w:t>
      </w:r>
      <w:r w:rsidRPr="00C921DE">
        <w:rPr>
          <w:rFonts w:ascii="GHEA Grapalat" w:hAnsi="GHEA Grapalat"/>
          <w:sz w:val="22"/>
          <w:szCs w:val="22"/>
        </w:rPr>
        <w:t>առավարության կողմից։</w:t>
      </w:r>
    </w:p>
    <w:p w14:paraId="51F9CD9B" w14:textId="77777777" w:rsidR="006F33F1" w:rsidRPr="00C921DE" w:rsidRDefault="006F33F1" w:rsidP="00556039">
      <w:pPr>
        <w:spacing w:line="360" w:lineRule="auto"/>
        <w:ind w:firstLine="567"/>
        <w:jc w:val="both"/>
        <w:rPr>
          <w:rFonts w:ascii="GHEA Grapalat" w:hAnsi="GHEA Grapalat"/>
          <w:sz w:val="22"/>
          <w:szCs w:val="22"/>
        </w:rPr>
      </w:pPr>
      <w:r w:rsidRPr="00C921DE">
        <w:rPr>
          <w:rFonts w:ascii="GHEA Grapalat" w:hAnsi="GHEA Grapalat"/>
          <w:sz w:val="22"/>
          <w:szCs w:val="22"/>
        </w:rPr>
        <w:t>Բարենպաստ ներդրումային միջավայր ստեղծելու և պետական գույքի արդյունավետությունը բարձրացնելու միջոցառման շրջանակներում կնքված 11 օտարման պայմանագրերով գնորդները ստանձնել են 8,689,235.0 հազ.</w:t>
      </w:r>
      <w:r w:rsidR="004555A2" w:rsidRPr="00C921DE">
        <w:rPr>
          <w:rFonts w:ascii="GHEA Grapalat" w:hAnsi="GHEA Grapalat"/>
          <w:sz w:val="22"/>
          <w:szCs w:val="22"/>
          <w:lang w:val="en-US"/>
        </w:rPr>
        <w:t xml:space="preserve"> </w:t>
      </w:r>
      <w:r w:rsidRPr="00C921DE">
        <w:rPr>
          <w:rFonts w:ascii="GHEA Grapalat" w:hAnsi="GHEA Grapalat"/>
          <w:sz w:val="22"/>
          <w:szCs w:val="22"/>
        </w:rPr>
        <w:t>դրամի ներդրումային և 1 պայմանագրով` 2 սոցիալական երաշխիքների ապահովման պարտավորություններ։</w:t>
      </w:r>
    </w:p>
    <w:p w14:paraId="7751A2A6" w14:textId="0154E5E3" w:rsidR="006F33F1" w:rsidRPr="00C921DE" w:rsidRDefault="006F33F1" w:rsidP="00556039">
      <w:pPr>
        <w:spacing w:line="360" w:lineRule="auto"/>
        <w:ind w:firstLine="567"/>
        <w:jc w:val="both"/>
        <w:rPr>
          <w:rFonts w:ascii="GHEA Grapalat" w:hAnsi="GHEA Grapalat"/>
          <w:sz w:val="22"/>
          <w:szCs w:val="22"/>
        </w:rPr>
      </w:pPr>
      <w:r w:rsidRPr="00C921DE">
        <w:rPr>
          <w:rFonts w:ascii="GHEA Grapalat" w:hAnsi="GHEA Grapalat"/>
          <w:sz w:val="22"/>
          <w:szCs w:val="22"/>
        </w:rPr>
        <w:t xml:space="preserve">Բնակչության սոցիալական խնդիրների լուծման ոլորտում մշակվել և </w:t>
      </w:r>
      <w:r w:rsidR="00061EC7" w:rsidRPr="00C921DE">
        <w:rPr>
          <w:rFonts w:ascii="GHEA Grapalat" w:hAnsi="GHEA Grapalat"/>
          <w:sz w:val="22"/>
          <w:szCs w:val="22"/>
          <w:lang w:val="en-US"/>
        </w:rPr>
        <w:t>Կ</w:t>
      </w:r>
      <w:r w:rsidRPr="00C921DE">
        <w:rPr>
          <w:rFonts w:ascii="GHEA Grapalat" w:hAnsi="GHEA Grapalat"/>
          <w:sz w:val="22"/>
          <w:szCs w:val="22"/>
        </w:rPr>
        <w:t xml:space="preserve">առավարության կողմից ընդունվել են 1988-1992 թվականներին Ադրբեջանի Հանրապետությունից բռնագաղթած և ՀՀ քաղաքացիություն ստացած անձանց կողմից զբաղեցրած բնակելի տարածքները </w:t>
      </w:r>
      <w:r w:rsidRPr="00C921DE">
        <w:rPr>
          <w:rFonts w:ascii="GHEA Grapalat" w:hAnsi="GHEA Grapalat"/>
          <w:sz w:val="22"/>
          <w:szCs w:val="22"/>
        </w:rPr>
        <w:lastRenderedPageBreak/>
        <w:t xml:space="preserve">սեփականաշնորհելու մասին </w:t>
      </w:r>
      <w:r w:rsidR="00061EC7" w:rsidRPr="00C921DE">
        <w:rPr>
          <w:rFonts w:ascii="GHEA Grapalat" w:hAnsi="GHEA Grapalat"/>
          <w:sz w:val="22"/>
          <w:szCs w:val="22"/>
          <w:lang w:val="en-US"/>
        </w:rPr>
        <w:t>Կ</w:t>
      </w:r>
      <w:r w:rsidRPr="00C921DE">
        <w:rPr>
          <w:rFonts w:ascii="GHEA Grapalat" w:hAnsi="GHEA Grapalat"/>
          <w:sz w:val="22"/>
          <w:szCs w:val="22"/>
        </w:rPr>
        <w:t>առավարության</w:t>
      </w:r>
      <w:r w:rsidR="004555A2" w:rsidRPr="00C921DE">
        <w:rPr>
          <w:rFonts w:ascii="GHEA Grapalat" w:hAnsi="GHEA Grapalat"/>
          <w:sz w:val="22"/>
          <w:szCs w:val="22"/>
          <w:lang w:val="en-US"/>
        </w:rPr>
        <w:t xml:space="preserve"> </w:t>
      </w:r>
      <w:r w:rsidR="004555A2" w:rsidRPr="00C921DE">
        <w:rPr>
          <w:rFonts w:ascii="GHEA Grapalat" w:hAnsi="GHEA Grapalat"/>
          <w:sz w:val="22"/>
          <w:szCs w:val="22"/>
        </w:rPr>
        <w:t>1</w:t>
      </w:r>
      <w:r w:rsidRPr="00C921DE">
        <w:rPr>
          <w:rFonts w:ascii="GHEA Grapalat" w:hAnsi="GHEA Grapalat"/>
          <w:sz w:val="22"/>
          <w:szCs w:val="22"/>
        </w:rPr>
        <w:t xml:space="preserve"> որոշում (1 բնակելի տարածք, 1 ընտանիք, 1 անձ), իսկ տեղաբնակ հանդիսացող ՀՀ քաղաքացիների</w:t>
      </w:r>
      <w:r w:rsidR="004555A2" w:rsidRPr="00C921DE">
        <w:rPr>
          <w:rFonts w:ascii="GHEA Grapalat" w:hAnsi="GHEA Grapalat"/>
          <w:sz w:val="22"/>
          <w:szCs w:val="22"/>
          <w:lang w:val="en-US"/>
        </w:rPr>
        <w:t>՝</w:t>
      </w:r>
      <w:r w:rsidRPr="00C921DE">
        <w:rPr>
          <w:rFonts w:ascii="GHEA Grapalat" w:hAnsi="GHEA Grapalat"/>
          <w:sz w:val="22"/>
          <w:szCs w:val="22"/>
        </w:rPr>
        <w:t xml:space="preserve"> իրենց կողմից զբաղեցրած բնակե</w:t>
      </w:r>
      <w:r w:rsidR="004555A2" w:rsidRPr="00C921DE">
        <w:rPr>
          <w:rFonts w:ascii="GHEA Grapalat" w:hAnsi="GHEA Grapalat"/>
          <w:sz w:val="22"/>
          <w:szCs w:val="22"/>
        </w:rPr>
        <w:t>լի տարածքները նվիրելու նպատակով</w:t>
      </w:r>
      <w:r w:rsidRPr="00C921DE">
        <w:rPr>
          <w:rFonts w:ascii="GHEA Grapalat" w:hAnsi="GHEA Grapalat"/>
          <w:sz w:val="22"/>
          <w:szCs w:val="22"/>
        </w:rPr>
        <w:t xml:space="preserve"> մշակվել և ընդունվել է </w:t>
      </w:r>
      <w:r w:rsidR="00061EC7" w:rsidRPr="00C921DE">
        <w:rPr>
          <w:rFonts w:ascii="GHEA Grapalat" w:hAnsi="GHEA Grapalat"/>
          <w:sz w:val="22"/>
          <w:szCs w:val="22"/>
          <w:lang w:val="en-US"/>
        </w:rPr>
        <w:t>Կ</w:t>
      </w:r>
      <w:r w:rsidRPr="00C921DE">
        <w:rPr>
          <w:rFonts w:ascii="GHEA Grapalat" w:hAnsi="GHEA Grapalat"/>
          <w:sz w:val="22"/>
          <w:szCs w:val="22"/>
        </w:rPr>
        <w:t xml:space="preserve">առավարության </w:t>
      </w:r>
      <w:r w:rsidR="004555A2" w:rsidRPr="00C921DE">
        <w:rPr>
          <w:rFonts w:ascii="GHEA Grapalat" w:hAnsi="GHEA Grapalat"/>
          <w:sz w:val="22"/>
          <w:szCs w:val="22"/>
        </w:rPr>
        <w:t xml:space="preserve">4 </w:t>
      </w:r>
      <w:r w:rsidRPr="00C921DE">
        <w:rPr>
          <w:rFonts w:ascii="GHEA Grapalat" w:hAnsi="GHEA Grapalat"/>
          <w:sz w:val="22"/>
          <w:szCs w:val="22"/>
        </w:rPr>
        <w:t>որոշում (27 բնակելի տարածք, 22 ընտանիք, 63 անձ):</w:t>
      </w:r>
    </w:p>
    <w:p w14:paraId="11D9B75D" w14:textId="77777777" w:rsidR="006F33F1" w:rsidRPr="00C921DE" w:rsidRDefault="006F33F1" w:rsidP="00556039">
      <w:pPr>
        <w:spacing w:line="360" w:lineRule="auto"/>
        <w:ind w:firstLine="567"/>
        <w:jc w:val="both"/>
        <w:rPr>
          <w:rFonts w:ascii="GHEA Grapalat" w:hAnsi="GHEA Grapalat"/>
          <w:sz w:val="22"/>
          <w:szCs w:val="22"/>
        </w:rPr>
      </w:pPr>
      <w:r w:rsidRPr="00C921DE">
        <w:rPr>
          <w:rFonts w:ascii="GHEA Grapalat" w:hAnsi="GHEA Grapalat"/>
          <w:sz w:val="22"/>
          <w:szCs w:val="22"/>
        </w:rPr>
        <w:t>Պետական գույքի օտարումից ստացված միջոցները կազմել</w:t>
      </w:r>
      <w:r w:rsidR="00CB0687" w:rsidRPr="00C921DE">
        <w:rPr>
          <w:rFonts w:ascii="GHEA Grapalat" w:hAnsi="GHEA Grapalat"/>
          <w:sz w:val="22"/>
          <w:szCs w:val="22"/>
        </w:rPr>
        <w:t xml:space="preserve"> են 16,555,141.2 հազ.</w:t>
      </w:r>
      <w:r w:rsidR="004E078B" w:rsidRPr="00C921DE">
        <w:rPr>
          <w:rFonts w:ascii="GHEA Grapalat" w:hAnsi="GHEA Grapalat"/>
          <w:sz w:val="22"/>
          <w:szCs w:val="22"/>
          <w:lang w:val="en-US"/>
        </w:rPr>
        <w:t xml:space="preserve"> </w:t>
      </w:r>
      <w:r w:rsidR="00CB0687" w:rsidRPr="00C921DE">
        <w:rPr>
          <w:rFonts w:ascii="GHEA Grapalat" w:hAnsi="GHEA Grapalat"/>
          <w:sz w:val="22"/>
          <w:szCs w:val="22"/>
        </w:rPr>
        <w:t>դրամ, որից</w:t>
      </w:r>
      <w:r w:rsidRPr="00C921DE">
        <w:rPr>
          <w:rFonts w:ascii="GHEA Grapalat" w:hAnsi="GHEA Grapalat"/>
          <w:sz w:val="22"/>
          <w:szCs w:val="22"/>
        </w:rPr>
        <w:t xml:space="preserve"> ՀՀ պետական բյուջե է փոխանցվել 15,384,477.2 հազ.</w:t>
      </w:r>
      <w:r w:rsidR="004E078B" w:rsidRPr="00C921DE">
        <w:rPr>
          <w:rFonts w:ascii="GHEA Grapalat" w:hAnsi="GHEA Grapalat"/>
          <w:sz w:val="22"/>
          <w:szCs w:val="22"/>
          <w:lang w:val="en-US"/>
        </w:rPr>
        <w:t xml:space="preserve"> </w:t>
      </w:r>
      <w:r w:rsidRPr="00C921DE">
        <w:rPr>
          <w:rFonts w:ascii="GHEA Grapalat" w:hAnsi="GHEA Grapalat"/>
          <w:sz w:val="22"/>
          <w:szCs w:val="22"/>
        </w:rPr>
        <w:t>դրամ, պետական գույքի մասնավորեցումից ստացված միջոցները կազմել են 3,790,321.6 հազ.</w:t>
      </w:r>
      <w:r w:rsidR="008A1002" w:rsidRPr="00C921DE">
        <w:rPr>
          <w:rFonts w:ascii="GHEA Grapalat" w:hAnsi="GHEA Grapalat"/>
          <w:sz w:val="22"/>
          <w:szCs w:val="22"/>
          <w:lang w:val="en-US"/>
        </w:rPr>
        <w:t xml:space="preserve"> </w:t>
      </w:r>
      <w:r w:rsidRPr="00C921DE">
        <w:rPr>
          <w:rFonts w:ascii="GHEA Grapalat" w:hAnsi="GHEA Grapalat"/>
          <w:sz w:val="22"/>
          <w:szCs w:val="22"/>
        </w:rPr>
        <w:t>դրամ, որից ՀՀ պետական բյուջե է փոխանցվել 2,673,596.6 հազ.</w:t>
      </w:r>
      <w:r w:rsidR="00CB0687" w:rsidRPr="00C921DE">
        <w:rPr>
          <w:rFonts w:ascii="GHEA Grapalat" w:hAnsi="GHEA Grapalat"/>
          <w:sz w:val="22"/>
          <w:szCs w:val="22"/>
          <w:lang w:val="en-US"/>
        </w:rPr>
        <w:t xml:space="preserve"> </w:t>
      </w:r>
      <w:r w:rsidRPr="00C921DE">
        <w:rPr>
          <w:rFonts w:ascii="GHEA Grapalat" w:hAnsi="GHEA Grapalat"/>
          <w:sz w:val="22"/>
          <w:szCs w:val="22"/>
        </w:rPr>
        <w:t>դրամ, պետական գույքի վարձակալությունից ՀՀ պետական բյուջե է մուտքագրվել 673,552.4 հազ.</w:t>
      </w:r>
      <w:r w:rsidR="00CB0687" w:rsidRPr="00C921DE">
        <w:rPr>
          <w:rFonts w:ascii="GHEA Grapalat" w:hAnsi="GHEA Grapalat"/>
          <w:sz w:val="22"/>
          <w:szCs w:val="22"/>
          <w:lang w:val="en-US"/>
        </w:rPr>
        <w:t xml:space="preserve"> </w:t>
      </w:r>
      <w:r w:rsidRPr="00C921DE">
        <w:rPr>
          <w:rFonts w:ascii="GHEA Grapalat" w:hAnsi="GHEA Grapalat"/>
          <w:sz w:val="22"/>
          <w:szCs w:val="22"/>
        </w:rPr>
        <w:t>դրամ, ՀՀ պետական սեփականություն հանդիսացող շենքերի և շինությունների տանիքներին ու ձեղնահարկերում կապի սարքավորումների տեղակայման և սպասարկման պայմանագրերից հավաքագրվել է 288,985.3 հազ.</w:t>
      </w:r>
      <w:r w:rsidR="0035034E" w:rsidRPr="00C921DE">
        <w:rPr>
          <w:rFonts w:ascii="GHEA Grapalat" w:hAnsi="GHEA Grapalat"/>
          <w:sz w:val="22"/>
          <w:szCs w:val="22"/>
          <w:lang w:val="en-US"/>
        </w:rPr>
        <w:t xml:space="preserve"> </w:t>
      </w:r>
      <w:r w:rsidRPr="00C921DE">
        <w:rPr>
          <w:rFonts w:ascii="GHEA Grapalat" w:hAnsi="GHEA Grapalat"/>
          <w:sz w:val="22"/>
          <w:szCs w:val="22"/>
        </w:rPr>
        <w:t>դրամ, որից 74,820.1</w:t>
      </w:r>
      <w:r w:rsidR="00CB0687" w:rsidRPr="00C921DE">
        <w:rPr>
          <w:rFonts w:ascii="GHEA Grapalat" w:hAnsi="GHEA Grapalat"/>
          <w:sz w:val="22"/>
          <w:szCs w:val="22"/>
          <w:lang w:val="en-US"/>
        </w:rPr>
        <w:t xml:space="preserve"> </w:t>
      </w:r>
      <w:r w:rsidRPr="00C921DE">
        <w:rPr>
          <w:rFonts w:ascii="GHEA Grapalat" w:hAnsi="GHEA Grapalat"/>
          <w:sz w:val="22"/>
          <w:szCs w:val="22"/>
        </w:rPr>
        <w:t>հազ.</w:t>
      </w:r>
      <w:r w:rsidR="00CB0687" w:rsidRPr="00C921DE">
        <w:rPr>
          <w:rFonts w:ascii="GHEA Grapalat" w:hAnsi="GHEA Grapalat"/>
          <w:sz w:val="22"/>
          <w:szCs w:val="22"/>
          <w:lang w:val="en-US"/>
        </w:rPr>
        <w:t xml:space="preserve"> </w:t>
      </w:r>
      <w:r w:rsidRPr="00C921DE">
        <w:rPr>
          <w:rFonts w:ascii="GHEA Grapalat" w:hAnsi="GHEA Grapalat"/>
          <w:sz w:val="22"/>
          <w:szCs w:val="22"/>
        </w:rPr>
        <w:t>դրամը մուտքագրվել է ՀՀ պետական բյուջե։ Պետական սեփականություն համարվող հողերի կադաստրային արժեքի վճարումից մուտքերը կազմել են 6,246,548.1 հազ.</w:t>
      </w:r>
      <w:r w:rsidR="00CB0687" w:rsidRPr="00C921DE">
        <w:rPr>
          <w:rFonts w:ascii="GHEA Grapalat" w:hAnsi="GHEA Grapalat"/>
          <w:sz w:val="22"/>
          <w:szCs w:val="22"/>
          <w:lang w:val="en-US"/>
        </w:rPr>
        <w:t xml:space="preserve"> </w:t>
      </w:r>
      <w:r w:rsidRPr="00C921DE">
        <w:rPr>
          <w:rFonts w:ascii="GHEA Grapalat" w:hAnsi="GHEA Grapalat"/>
          <w:sz w:val="22"/>
          <w:szCs w:val="22"/>
        </w:rPr>
        <w:t>դրամ: Վերը նշված հոդվածներով ստացված միջոցները կազմել են 27,554,548.6 հազ.</w:t>
      </w:r>
      <w:r w:rsidR="00CB0687" w:rsidRPr="00C921DE">
        <w:rPr>
          <w:rFonts w:ascii="GHEA Grapalat" w:hAnsi="GHEA Grapalat"/>
          <w:sz w:val="22"/>
          <w:szCs w:val="22"/>
          <w:lang w:val="en-US"/>
        </w:rPr>
        <w:t xml:space="preserve"> </w:t>
      </w:r>
      <w:r w:rsidRPr="00C921DE">
        <w:rPr>
          <w:rFonts w:ascii="GHEA Grapalat" w:hAnsi="GHEA Grapalat"/>
          <w:sz w:val="22"/>
          <w:szCs w:val="22"/>
        </w:rPr>
        <w:t>դրամ, որից ՀՀ պետական բյուջե է փոխանցվել 25,052,994.4 հազ.</w:t>
      </w:r>
      <w:r w:rsidR="00CB0687" w:rsidRPr="00C921DE">
        <w:rPr>
          <w:rFonts w:ascii="GHEA Grapalat" w:hAnsi="GHEA Grapalat"/>
          <w:sz w:val="22"/>
          <w:szCs w:val="22"/>
          <w:lang w:val="en-US"/>
        </w:rPr>
        <w:t xml:space="preserve"> </w:t>
      </w:r>
      <w:r w:rsidRPr="00C921DE">
        <w:rPr>
          <w:rFonts w:ascii="GHEA Grapalat" w:hAnsi="GHEA Grapalat"/>
          <w:sz w:val="22"/>
          <w:szCs w:val="22"/>
        </w:rPr>
        <w:t>դրամ։</w:t>
      </w:r>
    </w:p>
    <w:p w14:paraId="685C2467" w14:textId="77777777" w:rsidR="006F33F1" w:rsidRPr="00C921DE" w:rsidRDefault="006F33F1" w:rsidP="00556039">
      <w:pPr>
        <w:spacing w:line="360" w:lineRule="auto"/>
        <w:ind w:firstLine="567"/>
        <w:jc w:val="both"/>
        <w:rPr>
          <w:rFonts w:ascii="GHEA Grapalat" w:hAnsi="GHEA Grapalat"/>
          <w:sz w:val="22"/>
          <w:szCs w:val="22"/>
        </w:rPr>
      </w:pPr>
      <w:r w:rsidRPr="00C921DE">
        <w:rPr>
          <w:rFonts w:ascii="GHEA Grapalat" w:hAnsi="GHEA Grapalat"/>
          <w:sz w:val="22"/>
          <w:szCs w:val="22"/>
        </w:rPr>
        <w:t>Պետական գույքային հարաբերությունները կաանոնակարգող օրենսդրության բարեփոխման</w:t>
      </w:r>
      <w:r w:rsidR="006B5113" w:rsidRPr="00C921DE">
        <w:rPr>
          <w:rFonts w:ascii="GHEA Grapalat" w:hAnsi="GHEA Grapalat"/>
          <w:sz w:val="22"/>
          <w:szCs w:val="22"/>
        </w:rPr>
        <w:t xml:space="preserve"> </w:t>
      </w:r>
      <w:r w:rsidRPr="00C921DE">
        <w:rPr>
          <w:rFonts w:ascii="GHEA Grapalat" w:hAnsi="GHEA Grapalat"/>
          <w:sz w:val="22"/>
          <w:szCs w:val="22"/>
        </w:rPr>
        <w:t xml:space="preserve">ոլորտում ընդունվել է 26 իրավական ակտ, 10 ենթաօրենսդրական ակտ, մշակվել և օրենսդրությամբ սահմանված կարգով շրջանառության մեջ է դրվել 15 իրավական ակտի նախագիծ: </w:t>
      </w:r>
    </w:p>
    <w:p w14:paraId="31ED7768" w14:textId="77777777" w:rsidR="001C411D" w:rsidRPr="00C921DE" w:rsidRDefault="001C411D" w:rsidP="00AC199C">
      <w:pPr>
        <w:spacing w:line="360" w:lineRule="auto"/>
        <w:ind w:firstLine="567"/>
        <w:jc w:val="both"/>
        <w:rPr>
          <w:rFonts w:ascii="GHEA Grapalat" w:hAnsi="GHEA Grapalat"/>
          <w:sz w:val="22"/>
          <w:szCs w:val="22"/>
        </w:rPr>
      </w:pPr>
    </w:p>
    <w:p w14:paraId="7E0AB183" w14:textId="77777777" w:rsidR="001C411D" w:rsidRPr="00C921DE" w:rsidRDefault="001C411D" w:rsidP="00695F26">
      <w:pPr>
        <w:pStyle w:val="Heading2"/>
        <w:spacing w:before="0"/>
      </w:pPr>
      <w:bookmarkStart w:id="35" w:name="_Toc163745425"/>
      <w:r w:rsidRPr="00C921DE">
        <w:t>Միգրացիա</w:t>
      </w:r>
      <w:bookmarkEnd w:id="35"/>
    </w:p>
    <w:p w14:paraId="7B48DB88" w14:textId="77777777" w:rsidR="00752BF7" w:rsidRPr="00C921DE" w:rsidRDefault="00752BF7" w:rsidP="00997998">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1. Միգրացիայի</w:t>
      </w:r>
      <w:r w:rsidR="00997998" w:rsidRPr="00C921DE">
        <w:rPr>
          <w:rFonts w:ascii="GHEA Grapalat" w:hAnsi="GHEA Grapalat"/>
          <w:sz w:val="22"/>
          <w:szCs w:val="22"/>
          <w:u w:val="single"/>
        </w:rPr>
        <w:t xml:space="preserve"> </w:t>
      </w:r>
      <w:r w:rsidRPr="00C921DE">
        <w:rPr>
          <w:rFonts w:ascii="GHEA Grapalat" w:hAnsi="GHEA Grapalat"/>
          <w:sz w:val="22"/>
          <w:szCs w:val="22"/>
          <w:u w:val="single"/>
        </w:rPr>
        <w:t>կառավարման համակարգի բարեփոխումներ</w:t>
      </w:r>
    </w:p>
    <w:p w14:paraId="351AF4CE" w14:textId="77777777" w:rsidR="00752BF7" w:rsidRPr="00C921DE" w:rsidRDefault="00752BF7" w:rsidP="0099799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Միգրացիայի կառավարման համակարգի բարեփոխումներից բխող ծրագրին համապատասխան Ներքին գործերի նախարարության կազմում ձևավորվել է Միգրացիայի և քաղաքացիության ծառայությունը (այսուհետ՝ Ծառայություն)՝ որպես Ներքին գործերի նախարարությանը ենթակա մարմին։ </w:t>
      </w:r>
    </w:p>
    <w:p w14:paraId="662E5B2D" w14:textId="77777777" w:rsidR="00752BF7" w:rsidRPr="00C921DE" w:rsidRDefault="00752BF7" w:rsidP="00997998">
      <w:pPr>
        <w:spacing w:line="360" w:lineRule="auto"/>
        <w:ind w:firstLine="567"/>
        <w:jc w:val="both"/>
        <w:rPr>
          <w:rFonts w:ascii="GHEA Grapalat" w:hAnsi="GHEA Grapalat"/>
          <w:sz w:val="22"/>
          <w:szCs w:val="22"/>
        </w:rPr>
      </w:pPr>
      <w:r w:rsidRPr="00C921DE">
        <w:rPr>
          <w:rFonts w:ascii="GHEA Grapalat" w:hAnsi="GHEA Grapalat"/>
          <w:sz w:val="22"/>
          <w:szCs w:val="22"/>
        </w:rPr>
        <w:t>Կառուցվածքային բարեփոխումների նպատակը միգրացիոն շղթայի միասնական և արդյունավետ կառավարումն է, Ծառայության</w:t>
      </w:r>
      <w:r w:rsidR="00997998" w:rsidRPr="00C921DE">
        <w:rPr>
          <w:rFonts w:ascii="GHEA Grapalat" w:hAnsi="GHEA Grapalat"/>
          <w:sz w:val="22"/>
          <w:szCs w:val="22"/>
        </w:rPr>
        <w:t xml:space="preserve"> </w:t>
      </w:r>
      <w:r w:rsidRPr="00C921DE">
        <w:rPr>
          <w:rFonts w:ascii="GHEA Grapalat" w:hAnsi="GHEA Grapalat"/>
          <w:sz w:val="22"/>
          <w:szCs w:val="22"/>
        </w:rPr>
        <w:t>փոխադրումը ՆԳՆ կազմ՝ հաշվի առնելով ծառայությունների և գործընթացների անվտանգային բաղադրիչը</w:t>
      </w:r>
      <w:r w:rsidR="00997998" w:rsidRPr="00C921DE">
        <w:rPr>
          <w:rFonts w:ascii="GHEA Grapalat" w:hAnsi="GHEA Grapalat"/>
          <w:sz w:val="22"/>
          <w:szCs w:val="22"/>
          <w:lang w:val="en-US"/>
        </w:rPr>
        <w:t>,</w:t>
      </w:r>
      <w:r w:rsidRPr="00C921DE">
        <w:rPr>
          <w:rFonts w:ascii="GHEA Grapalat" w:hAnsi="GHEA Grapalat"/>
          <w:sz w:val="22"/>
          <w:szCs w:val="22"/>
        </w:rPr>
        <w:t xml:space="preserve"> և ուժային տրամաբանությունից անցումն է դեպի քաղաքացիակենտրոն ծառայությունների մատուցում։ Կառուցվածքային փոփոխություններն ուղղված են ռազմավարական, գործառնական մարտահրավերներին, դրանց արձագանքելու ուղիներին ու ինստիտուցիոնալ լուծումներ տալու նպատակին։ </w:t>
      </w:r>
    </w:p>
    <w:p w14:paraId="1B6CAD1C" w14:textId="77777777" w:rsidR="00752BF7" w:rsidRPr="00C921DE" w:rsidRDefault="00752BF7" w:rsidP="00997998">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Բարեփոխումների շրջանակում իրականացվել է</w:t>
      </w:r>
      <w:r w:rsidR="00997998" w:rsidRPr="00C921DE">
        <w:rPr>
          <w:rFonts w:ascii="GHEA Grapalat" w:hAnsi="GHEA Grapalat"/>
          <w:sz w:val="22"/>
          <w:szCs w:val="22"/>
        </w:rPr>
        <w:t xml:space="preserve"> </w:t>
      </w:r>
      <w:r w:rsidRPr="00C921DE">
        <w:rPr>
          <w:rFonts w:ascii="GHEA Grapalat" w:hAnsi="GHEA Grapalat"/>
          <w:sz w:val="22"/>
          <w:szCs w:val="22"/>
        </w:rPr>
        <w:t>նաև</w:t>
      </w:r>
      <w:r w:rsidR="00997998" w:rsidRPr="00C921DE">
        <w:rPr>
          <w:rFonts w:ascii="GHEA Grapalat" w:hAnsi="GHEA Grapalat"/>
          <w:sz w:val="22"/>
          <w:szCs w:val="22"/>
        </w:rPr>
        <w:t xml:space="preserve"> </w:t>
      </w:r>
      <w:r w:rsidRPr="00C921DE">
        <w:rPr>
          <w:rFonts w:ascii="GHEA Grapalat" w:hAnsi="GHEA Grapalat"/>
          <w:sz w:val="22"/>
          <w:szCs w:val="22"/>
        </w:rPr>
        <w:t>սոցիալական գործառույթների փոխանցում Աշխատանքի</w:t>
      </w:r>
      <w:r w:rsidR="00997998" w:rsidRPr="00C921DE">
        <w:rPr>
          <w:rFonts w:ascii="GHEA Grapalat" w:hAnsi="GHEA Grapalat"/>
          <w:sz w:val="22"/>
          <w:szCs w:val="22"/>
        </w:rPr>
        <w:t xml:space="preserve"> </w:t>
      </w:r>
      <w:r w:rsidRPr="00C921DE">
        <w:rPr>
          <w:rFonts w:ascii="GHEA Grapalat" w:hAnsi="GHEA Grapalat"/>
          <w:sz w:val="22"/>
          <w:szCs w:val="22"/>
        </w:rPr>
        <w:t>և</w:t>
      </w:r>
      <w:r w:rsidR="00997998" w:rsidRPr="00C921DE">
        <w:rPr>
          <w:rFonts w:ascii="GHEA Grapalat" w:hAnsi="GHEA Grapalat"/>
          <w:sz w:val="22"/>
          <w:szCs w:val="22"/>
        </w:rPr>
        <w:t xml:space="preserve"> </w:t>
      </w:r>
      <w:r w:rsidRPr="00C921DE">
        <w:rPr>
          <w:rFonts w:ascii="GHEA Grapalat" w:hAnsi="GHEA Grapalat"/>
          <w:sz w:val="22"/>
          <w:szCs w:val="22"/>
        </w:rPr>
        <w:t>սոցիալական հարցերի</w:t>
      </w:r>
      <w:r w:rsidR="00997998" w:rsidRPr="00C921DE">
        <w:rPr>
          <w:rFonts w:ascii="GHEA Grapalat" w:hAnsi="GHEA Grapalat"/>
          <w:sz w:val="22"/>
          <w:szCs w:val="22"/>
        </w:rPr>
        <w:t xml:space="preserve"> </w:t>
      </w:r>
      <w:r w:rsidRPr="00C921DE">
        <w:rPr>
          <w:rFonts w:ascii="GHEA Grapalat" w:hAnsi="GHEA Grapalat"/>
          <w:sz w:val="22"/>
          <w:szCs w:val="22"/>
        </w:rPr>
        <w:t>նախարարությանը:</w:t>
      </w:r>
    </w:p>
    <w:p w14:paraId="3339C3E5" w14:textId="77777777" w:rsidR="00752BF7" w:rsidRPr="00C921DE" w:rsidRDefault="00752BF7" w:rsidP="00997998">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թվականին հաստատվել են Ծառայության և կառուցվածքային ստորաբաժանումների նոր կանոնադրություններն ու կառուցվածքը։ </w:t>
      </w:r>
    </w:p>
    <w:p w14:paraId="4A1CEEEC" w14:textId="77777777" w:rsidR="00752BF7" w:rsidRPr="00C921DE" w:rsidRDefault="00752BF7" w:rsidP="00997998">
      <w:pPr>
        <w:spacing w:line="360" w:lineRule="auto"/>
        <w:ind w:firstLine="567"/>
        <w:jc w:val="both"/>
        <w:rPr>
          <w:rFonts w:ascii="GHEA Grapalat" w:hAnsi="GHEA Grapalat"/>
          <w:sz w:val="22"/>
          <w:szCs w:val="22"/>
        </w:rPr>
      </w:pPr>
      <w:r w:rsidRPr="00C921DE">
        <w:rPr>
          <w:rFonts w:ascii="GHEA Grapalat" w:hAnsi="GHEA Grapalat"/>
          <w:sz w:val="22"/>
          <w:szCs w:val="22"/>
        </w:rPr>
        <w:t>Ծառայության առաջին</w:t>
      </w:r>
      <w:r w:rsidR="00997998" w:rsidRPr="00C921DE">
        <w:rPr>
          <w:rFonts w:ascii="GHEA Grapalat" w:hAnsi="GHEA Grapalat"/>
          <w:sz w:val="22"/>
          <w:szCs w:val="22"/>
        </w:rPr>
        <w:t xml:space="preserve"> </w:t>
      </w:r>
      <w:r w:rsidRPr="00C921DE">
        <w:rPr>
          <w:rFonts w:ascii="GHEA Grapalat" w:hAnsi="GHEA Grapalat"/>
          <w:sz w:val="22"/>
          <w:szCs w:val="22"/>
        </w:rPr>
        <w:t>կազմը ձևավորելու նպատակով 2023</w:t>
      </w:r>
      <w:r w:rsidR="00997998" w:rsidRPr="00C921DE">
        <w:rPr>
          <w:rFonts w:ascii="GHEA Grapalat" w:hAnsi="GHEA Grapalat"/>
          <w:sz w:val="22"/>
          <w:szCs w:val="22"/>
        </w:rPr>
        <w:t xml:space="preserve"> </w:t>
      </w:r>
      <w:r w:rsidRPr="00C921DE">
        <w:rPr>
          <w:rFonts w:ascii="GHEA Grapalat" w:hAnsi="GHEA Grapalat"/>
          <w:sz w:val="22"/>
          <w:szCs w:val="22"/>
        </w:rPr>
        <w:t>թվականի մայիսի 22-ից մինչև նոյեմբերի 6-ը Միգրացիոն</w:t>
      </w:r>
      <w:r w:rsidR="00997998" w:rsidRPr="00C921DE">
        <w:rPr>
          <w:rFonts w:ascii="GHEA Grapalat" w:hAnsi="GHEA Grapalat"/>
          <w:sz w:val="22"/>
          <w:szCs w:val="22"/>
        </w:rPr>
        <w:t xml:space="preserve"> </w:t>
      </w:r>
      <w:r w:rsidRPr="00C921DE">
        <w:rPr>
          <w:rFonts w:ascii="GHEA Grapalat" w:hAnsi="GHEA Grapalat"/>
          <w:sz w:val="22"/>
          <w:szCs w:val="22"/>
        </w:rPr>
        <w:t>ծառայության և Անձնագրային և վիզաների վարչության 505 աշխատակիցներ վերապատրաստվել են քաղաքացիություն,</w:t>
      </w:r>
      <w:r w:rsidR="00997998" w:rsidRPr="00C921DE">
        <w:rPr>
          <w:rFonts w:ascii="GHEA Grapalat" w:hAnsi="GHEA Grapalat"/>
          <w:sz w:val="22"/>
          <w:szCs w:val="22"/>
        </w:rPr>
        <w:t xml:space="preserve"> </w:t>
      </w:r>
      <w:r w:rsidRPr="00C921DE">
        <w:rPr>
          <w:rFonts w:ascii="GHEA Grapalat" w:hAnsi="GHEA Grapalat"/>
          <w:sz w:val="22"/>
          <w:szCs w:val="22"/>
        </w:rPr>
        <w:t>ապաստանի, անձնագրերի և ԲՊՌ-ի, օտարերկրացիների, սահմանային հսկողության, սպասարկման և հաղորդակցության հմտություններ թեմաներով։ Պաշտոնի նշանակման համար 2023 թվականի</w:t>
      </w:r>
      <w:r w:rsidR="00997998" w:rsidRPr="00C921DE">
        <w:rPr>
          <w:rFonts w:ascii="GHEA Grapalat" w:hAnsi="GHEA Grapalat"/>
          <w:sz w:val="22"/>
          <w:szCs w:val="22"/>
        </w:rPr>
        <w:t xml:space="preserve"> </w:t>
      </w:r>
      <w:r w:rsidRPr="00C921DE">
        <w:rPr>
          <w:rFonts w:ascii="GHEA Grapalat" w:hAnsi="GHEA Grapalat"/>
          <w:sz w:val="22"/>
          <w:szCs w:val="22"/>
        </w:rPr>
        <w:t>նոյեմբերից անցկացվել են հարցազրույցներ</w:t>
      </w:r>
      <w:r w:rsidR="002615E9" w:rsidRPr="00C921DE">
        <w:rPr>
          <w:rFonts w:ascii="GHEA Grapalat" w:hAnsi="GHEA Grapalat"/>
          <w:sz w:val="22"/>
          <w:szCs w:val="22"/>
          <w:lang w:val="en-US"/>
        </w:rPr>
        <w:t>,</w:t>
      </w:r>
      <w:r w:rsidRPr="00C921DE">
        <w:rPr>
          <w:rFonts w:ascii="GHEA Grapalat" w:hAnsi="GHEA Grapalat"/>
          <w:sz w:val="22"/>
          <w:szCs w:val="22"/>
        </w:rPr>
        <w:t xml:space="preserve"> որոնք ավարտվել են 2024</w:t>
      </w:r>
      <w:r w:rsidR="002615E9" w:rsidRPr="00C921DE">
        <w:rPr>
          <w:rFonts w:ascii="GHEA Grapalat" w:hAnsi="GHEA Grapalat"/>
          <w:sz w:val="22"/>
          <w:szCs w:val="22"/>
          <w:lang w:val="en-US"/>
        </w:rPr>
        <w:t xml:space="preserve"> </w:t>
      </w:r>
      <w:r w:rsidRPr="00C921DE">
        <w:rPr>
          <w:rFonts w:ascii="GHEA Grapalat" w:hAnsi="GHEA Grapalat"/>
          <w:sz w:val="22"/>
          <w:szCs w:val="22"/>
        </w:rPr>
        <w:t>թ</w:t>
      </w:r>
      <w:r w:rsidR="0079439D" w:rsidRPr="00C921DE">
        <w:rPr>
          <w:rFonts w:ascii="GHEA Grapalat" w:hAnsi="GHEA Grapalat"/>
          <w:sz w:val="22"/>
          <w:szCs w:val="22"/>
          <w:lang w:val="en-US"/>
        </w:rPr>
        <w:t>վականի</w:t>
      </w:r>
      <w:r w:rsidRPr="00C921DE">
        <w:rPr>
          <w:rFonts w:ascii="GHEA Grapalat" w:hAnsi="GHEA Grapalat"/>
          <w:sz w:val="22"/>
          <w:szCs w:val="22"/>
        </w:rPr>
        <w:t xml:space="preserve"> հունվարի 7-ին: Բանավոր քննությանը մասնակցել է 470 աշխատակից, քննությունը չեն հաղթահարել 51-ը։ </w:t>
      </w:r>
    </w:p>
    <w:p w14:paraId="5306BF8E" w14:textId="77777777" w:rsidR="00752BF7" w:rsidRPr="00C921DE" w:rsidRDefault="00752BF7" w:rsidP="00997998">
      <w:pPr>
        <w:spacing w:line="360" w:lineRule="auto"/>
        <w:ind w:firstLine="567"/>
        <w:jc w:val="both"/>
        <w:rPr>
          <w:rFonts w:ascii="GHEA Grapalat" w:hAnsi="GHEA Grapalat"/>
          <w:sz w:val="22"/>
          <w:szCs w:val="22"/>
        </w:rPr>
      </w:pPr>
    </w:p>
    <w:p w14:paraId="44EF9309" w14:textId="77777777" w:rsidR="00752BF7" w:rsidRPr="00C921DE" w:rsidRDefault="00752BF7" w:rsidP="00997998">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Երևանի ավագանու ընտրություններ</w:t>
      </w:r>
    </w:p>
    <w:p w14:paraId="35E8A20D" w14:textId="77777777" w:rsidR="00752BF7" w:rsidRPr="00C921DE" w:rsidRDefault="00752BF7" w:rsidP="0079439D">
      <w:pPr>
        <w:spacing w:line="360" w:lineRule="auto"/>
        <w:ind w:firstLine="567"/>
        <w:jc w:val="both"/>
        <w:rPr>
          <w:rFonts w:ascii="GHEA Grapalat" w:hAnsi="GHEA Grapalat"/>
          <w:sz w:val="22"/>
          <w:szCs w:val="22"/>
        </w:rPr>
      </w:pPr>
      <w:r w:rsidRPr="00C921DE">
        <w:rPr>
          <w:rFonts w:ascii="GHEA Grapalat" w:hAnsi="GHEA Grapalat"/>
          <w:sz w:val="22"/>
          <w:szCs w:val="22"/>
        </w:rPr>
        <w:t>Աշխատանքներ են տարվել 2023</w:t>
      </w:r>
      <w:r w:rsidR="0079439D" w:rsidRPr="00C921DE">
        <w:rPr>
          <w:rFonts w:ascii="GHEA Grapalat" w:hAnsi="GHEA Grapalat"/>
          <w:sz w:val="22"/>
          <w:szCs w:val="22"/>
          <w:lang w:val="en-US"/>
        </w:rPr>
        <w:t xml:space="preserve"> </w:t>
      </w:r>
      <w:r w:rsidRPr="00C921DE">
        <w:rPr>
          <w:rFonts w:ascii="GHEA Grapalat" w:hAnsi="GHEA Grapalat"/>
          <w:sz w:val="22"/>
          <w:szCs w:val="22"/>
        </w:rPr>
        <w:t>թ</w:t>
      </w:r>
      <w:r w:rsidR="0079439D" w:rsidRPr="00C921DE">
        <w:rPr>
          <w:rFonts w:ascii="GHEA Grapalat" w:hAnsi="GHEA Grapalat"/>
          <w:sz w:val="22"/>
          <w:szCs w:val="22"/>
          <w:lang w:val="en-US"/>
        </w:rPr>
        <w:t>վականի</w:t>
      </w:r>
      <w:r w:rsidRPr="00C921DE">
        <w:rPr>
          <w:rFonts w:ascii="GHEA Grapalat" w:hAnsi="GHEA Grapalat"/>
          <w:sz w:val="22"/>
          <w:szCs w:val="22"/>
        </w:rPr>
        <w:t xml:space="preserve"> սեպտեմբերի 17-ին կայացած Երևանի ավագանու հերթական ընտրություններին ընտրողների ցուցակների կազմման և ճշգրտման ուղղությամ</w:t>
      </w:r>
      <w:r w:rsidR="0079439D" w:rsidRPr="00C921DE">
        <w:rPr>
          <w:rFonts w:ascii="GHEA Grapalat" w:hAnsi="GHEA Grapalat"/>
          <w:sz w:val="22"/>
          <w:szCs w:val="22"/>
        </w:rPr>
        <w:t>բ, ընտրողների թիվը կազմել է 824</w:t>
      </w:r>
      <w:r w:rsidRPr="00C921DE">
        <w:rPr>
          <w:rFonts w:ascii="GHEA Grapalat" w:hAnsi="GHEA Grapalat"/>
          <w:sz w:val="22"/>
          <w:szCs w:val="22"/>
        </w:rPr>
        <w:t>250, որից 14604-ը ՝ օտարերկրյա քաղաքացիներ։ Ցուցակներում անճշտություններ, քաղաքացիների իրավունքների խախտումներ չեն արձանագրվել: Ծառայությանն է</w:t>
      </w:r>
      <w:r w:rsidR="00997998" w:rsidRPr="00C921DE">
        <w:rPr>
          <w:rFonts w:ascii="GHEA Grapalat" w:hAnsi="GHEA Grapalat"/>
          <w:sz w:val="22"/>
          <w:szCs w:val="22"/>
        </w:rPr>
        <w:t xml:space="preserve"> </w:t>
      </w:r>
      <w:r w:rsidR="0079439D" w:rsidRPr="00C921DE">
        <w:rPr>
          <w:rFonts w:ascii="GHEA Grapalat" w:hAnsi="GHEA Grapalat"/>
          <w:sz w:val="22"/>
          <w:szCs w:val="22"/>
        </w:rPr>
        <w:t xml:space="preserve">վերահասցեագրվել </w:t>
      </w:r>
      <w:r w:rsidRPr="00C921DE">
        <w:rPr>
          <w:rFonts w:ascii="GHEA Grapalat" w:hAnsi="GHEA Grapalat"/>
          <w:sz w:val="22"/>
          <w:szCs w:val="22"/>
        </w:rPr>
        <w:t>մոտ 40 զանգ, որոնք տեխնիկական բնույթի են</w:t>
      </w:r>
      <w:r w:rsidR="0079439D" w:rsidRPr="00C921DE">
        <w:rPr>
          <w:rFonts w:ascii="GHEA Grapalat" w:hAnsi="GHEA Grapalat"/>
          <w:sz w:val="22"/>
          <w:szCs w:val="22"/>
        </w:rPr>
        <w:t xml:space="preserve"> եղել, 12 գրավոր բողոք, որից 11</w:t>
      </w:r>
      <w:r w:rsidR="0079439D" w:rsidRPr="00C921DE">
        <w:rPr>
          <w:rFonts w:ascii="GHEA Grapalat" w:hAnsi="GHEA Grapalat"/>
          <w:sz w:val="22"/>
          <w:szCs w:val="22"/>
        </w:rPr>
        <w:noBreakHyphen/>
      </w:r>
      <w:r w:rsidRPr="00C921DE">
        <w:rPr>
          <w:rFonts w:ascii="GHEA Grapalat" w:hAnsi="GHEA Grapalat"/>
          <w:sz w:val="22"/>
          <w:szCs w:val="22"/>
        </w:rPr>
        <w:t>ը չի հիմնավորվել, մեկը եղել է տեխնիկական անճշտության հետևանք:</w:t>
      </w:r>
    </w:p>
    <w:p w14:paraId="389DA823" w14:textId="77777777" w:rsidR="00752BF7" w:rsidRPr="00C921DE" w:rsidRDefault="00752BF7" w:rsidP="0079439D">
      <w:pPr>
        <w:spacing w:line="360" w:lineRule="auto"/>
        <w:ind w:firstLine="567"/>
        <w:jc w:val="both"/>
        <w:rPr>
          <w:rFonts w:ascii="GHEA Grapalat" w:hAnsi="GHEA Grapalat"/>
          <w:sz w:val="22"/>
          <w:szCs w:val="22"/>
        </w:rPr>
      </w:pPr>
      <w:r w:rsidRPr="00C921DE">
        <w:rPr>
          <w:rFonts w:ascii="GHEA Grapalat" w:hAnsi="GHEA Grapalat"/>
          <w:sz w:val="22"/>
          <w:szCs w:val="22"/>
        </w:rPr>
        <w:t xml:space="preserve">Նախապատրաստվել է «ՀՀ ընտրական օրենսգիրք» սահմանադրական օրենքում փոփոխություն </w:t>
      </w:r>
      <w:r w:rsidR="00D97FBD" w:rsidRPr="00C921DE">
        <w:rPr>
          <w:rFonts w:ascii="GHEA Grapalat" w:hAnsi="GHEA Grapalat"/>
          <w:sz w:val="22"/>
          <w:szCs w:val="22"/>
        </w:rPr>
        <w:t>կատարելու մասին» օրենքի նախագիծն</w:t>
      </w:r>
      <w:r w:rsidRPr="00C921DE">
        <w:rPr>
          <w:rFonts w:ascii="GHEA Grapalat" w:hAnsi="GHEA Grapalat"/>
          <w:sz w:val="22"/>
          <w:szCs w:val="22"/>
        </w:rPr>
        <w:t xml:space="preserve"> ընտրողների ծանուցումներն այսուհետ էլեկտրոնային եղանակով՝ ԿԸՀ կայք</w:t>
      </w:r>
      <w:r w:rsidR="0079439D" w:rsidRPr="00C921DE">
        <w:rPr>
          <w:rFonts w:ascii="GHEA Grapalat" w:hAnsi="GHEA Grapalat"/>
          <w:sz w:val="22"/>
          <w:szCs w:val="22"/>
          <w:lang w:val="en-US"/>
        </w:rPr>
        <w:t>-</w:t>
      </w:r>
      <w:r w:rsidRPr="00C921DE">
        <w:rPr>
          <w:rFonts w:ascii="GHEA Grapalat" w:hAnsi="GHEA Grapalat"/>
          <w:sz w:val="22"/>
          <w:szCs w:val="22"/>
        </w:rPr>
        <w:t>էջի միջոցով իրականացնելու նպատակով:</w:t>
      </w:r>
      <w:r w:rsidR="00997998" w:rsidRPr="00C921DE">
        <w:rPr>
          <w:rFonts w:ascii="GHEA Grapalat" w:hAnsi="GHEA Grapalat"/>
          <w:sz w:val="22"/>
          <w:szCs w:val="22"/>
        </w:rPr>
        <w:t xml:space="preserve"> </w:t>
      </w:r>
    </w:p>
    <w:p w14:paraId="13481146" w14:textId="77777777" w:rsidR="00752BF7" w:rsidRPr="00C921DE" w:rsidRDefault="00752BF7" w:rsidP="0079439D">
      <w:pPr>
        <w:spacing w:line="360" w:lineRule="auto"/>
        <w:ind w:firstLine="567"/>
        <w:jc w:val="both"/>
        <w:rPr>
          <w:rFonts w:ascii="GHEA Grapalat" w:hAnsi="GHEA Grapalat"/>
          <w:sz w:val="22"/>
          <w:szCs w:val="22"/>
        </w:rPr>
      </w:pPr>
    </w:p>
    <w:p w14:paraId="4ECB53A4" w14:textId="77777777" w:rsidR="00752BF7" w:rsidRPr="00C921DE" w:rsidRDefault="00752BF7" w:rsidP="00997998">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Բռնի տեղահանություն Լեռնային Ղարաբաղից</w:t>
      </w:r>
    </w:p>
    <w:p w14:paraId="695490AB" w14:textId="77777777" w:rsidR="00752BF7" w:rsidRPr="00C921DE" w:rsidRDefault="00752BF7" w:rsidP="0079439D">
      <w:pPr>
        <w:spacing w:line="360" w:lineRule="auto"/>
        <w:ind w:firstLine="567"/>
        <w:jc w:val="both"/>
        <w:rPr>
          <w:rFonts w:ascii="GHEA Grapalat" w:hAnsi="GHEA Grapalat"/>
          <w:sz w:val="22"/>
          <w:szCs w:val="22"/>
        </w:rPr>
      </w:pPr>
      <w:r w:rsidRPr="00C921DE">
        <w:rPr>
          <w:rFonts w:ascii="GHEA Grapalat" w:hAnsi="GHEA Grapalat"/>
          <w:sz w:val="22"/>
          <w:szCs w:val="22"/>
        </w:rPr>
        <w:t>Ծառայության կողմից կազմակերպ</w:t>
      </w:r>
      <w:r w:rsidR="00D91F7F" w:rsidRPr="00C921DE">
        <w:rPr>
          <w:rFonts w:ascii="GHEA Grapalat" w:hAnsi="GHEA Grapalat"/>
          <w:sz w:val="22"/>
          <w:szCs w:val="22"/>
          <w:lang w:val="en-US"/>
        </w:rPr>
        <w:t>վ</w:t>
      </w:r>
      <w:r w:rsidRPr="00C921DE">
        <w:rPr>
          <w:rFonts w:ascii="GHEA Grapalat" w:hAnsi="GHEA Grapalat"/>
          <w:sz w:val="22"/>
          <w:szCs w:val="22"/>
        </w:rPr>
        <w:t>ել և համակարգվել</w:t>
      </w:r>
      <w:r w:rsidR="00997998" w:rsidRPr="00C921DE">
        <w:rPr>
          <w:rFonts w:ascii="GHEA Grapalat" w:hAnsi="GHEA Grapalat"/>
          <w:sz w:val="22"/>
          <w:szCs w:val="22"/>
        </w:rPr>
        <w:t xml:space="preserve"> </w:t>
      </w:r>
      <w:r w:rsidRPr="00C921DE">
        <w:rPr>
          <w:rFonts w:ascii="GHEA Grapalat" w:hAnsi="GHEA Grapalat"/>
          <w:sz w:val="22"/>
          <w:szCs w:val="22"/>
        </w:rPr>
        <w:t>է 2023 թվականի սեպտեմբերի 19-ից Ադրբեջանի կողմից Լեռնային Ղարաբաղի դեմ սանձազերծված ռազմական</w:t>
      </w:r>
      <w:r w:rsidR="00997998" w:rsidRPr="00C921DE">
        <w:rPr>
          <w:rFonts w:ascii="GHEA Grapalat" w:hAnsi="GHEA Grapalat"/>
          <w:sz w:val="22"/>
          <w:szCs w:val="22"/>
        </w:rPr>
        <w:t xml:space="preserve"> </w:t>
      </w:r>
      <w:r w:rsidRPr="00C921DE">
        <w:rPr>
          <w:rFonts w:ascii="GHEA Grapalat" w:hAnsi="GHEA Grapalat"/>
          <w:sz w:val="22"/>
          <w:szCs w:val="22"/>
        </w:rPr>
        <w:t>գործողությունների հետևանքով բռնի տեղահանված անձանց հաշվառման գործընթացը: Ծառայության</w:t>
      </w:r>
      <w:r w:rsidR="00997998" w:rsidRPr="00C921DE">
        <w:rPr>
          <w:rFonts w:ascii="GHEA Grapalat" w:hAnsi="GHEA Grapalat"/>
          <w:sz w:val="22"/>
          <w:szCs w:val="22"/>
        </w:rPr>
        <w:t xml:space="preserve"> </w:t>
      </w:r>
      <w:r w:rsidRPr="00C921DE">
        <w:rPr>
          <w:rFonts w:ascii="GHEA Grapalat" w:hAnsi="GHEA Grapalat"/>
          <w:sz w:val="22"/>
          <w:szCs w:val="22"/>
        </w:rPr>
        <w:t>աշխատակիցներից</w:t>
      </w:r>
      <w:r w:rsidR="00997998" w:rsidRPr="00C921DE">
        <w:rPr>
          <w:rFonts w:ascii="GHEA Grapalat" w:hAnsi="GHEA Grapalat"/>
          <w:sz w:val="22"/>
          <w:szCs w:val="22"/>
        </w:rPr>
        <w:t xml:space="preserve"> </w:t>
      </w:r>
      <w:r w:rsidRPr="00C921DE">
        <w:rPr>
          <w:rFonts w:ascii="GHEA Grapalat" w:hAnsi="GHEA Grapalat"/>
          <w:sz w:val="22"/>
          <w:szCs w:val="22"/>
        </w:rPr>
        <w:t>կազմված</w:t>
      </w:r>
      <w:r w:rsidR="00997998" w:rsidRPr="00C921DE">
        <w:rPr>
          <w:rFonts w:ascii="GHEA Grapalat" w:hAnsi="GHEA Grapalat"/>
          <w:sz w:val="22"/>
          <w:szCs w:val="22"/>
        </w:rPr>
        <w:t xml:space="preserve"> </w:t>
      </w:r>
      <w:r w:rsidRPr="00C921DE">
        <w:rPr>
          <w:rFonts w:ascii="GHEA Grapalat" w:hAnsi="GHEA Grapalat"/>
          <w:sz w:val="22"/>
          <w:szCs w:val="22"/>
        </w:rPr>
        <w:t>խումբը Գորիս</w:t>
      </w:r>
      <w:r w:rsidR="00997998" w:rsidRPr="00C921DE">
        <w:rPr>
          <w:rFonts w:ascii="GHEA Grapalat" w:hAnsi="GHEA Grapalat"/>
          <w:sz w:val="22"/>
          <w:szCs w:val="22"/>
        </w:rPr>
        <w:t xml:space="preserve"> </w:t>
      </w:r>
      <w:r w:rsidRPr="00C921DE">
        <w:rPr>
          <w:rFonts w:ascii="GHEA Grapalat" w:hAnsi="GHEA Grapalat"/>
          <w:sz w:val="22"/>
          <w:szCs w:val="22"/>
        </w:rPr>
        <w:t>է</w:t>
      </w:r>
      <w:r w:rsidR="00997998" w:rsidRPr="00C921DE">
        <w:rPr>
          <w:rFonts w:ascii="GHEA Grapalat" w:hAnsi="GHEA Grapalat"/>
          <w:sz w:val="22"/>
          <w:szCs w:val="22"/>
        </w:rPr>
        <w:t xml:space="preserve"> </w:t>
      </w:r>
      <w:r w:rsidR="00D91F7F" w:rsidRPr="00C921DE">
        <w:rPr>
          <w:rFonts w:ascii="GHEA Grapalat" w:hAnsi="GHEA Grapalat"/>
          <w:sz w:val="22"/>
          <w:szCs w:val="22"/>
        </w:rPr>
        <w:t>ժամանել 2023 թվական</w:t>
      </w:r>
      <w:r w:rsidRPr="00C921DE">
        <w:rPr>
          <w:rFonts w:ascii="GHEA Grapalat" w:hAnsi="GHEA Grapalat"/>
          <w:sz w:val="22"/>
          <w:szCs w:val="22"/>
        </w:rPr>
        <w:t>ի սեպտեմբերի 19-ին,</w:t>
      </w:r>
      <w:r w:rsidR="00997998" w:rsidRPr="00C921DE">
        <w:rPr>
          <w:rFonts w:ascii="GHEA Grapalat" w:hAnsi="GHEA Grapalat"/>
          <w:sz w:val="22"/>
          <w:szCs w:val="22"/>
        </w:rPr>
        <w:t xml:space="preserve"> </w:t>
      </w:r>
      <w:r w:rsidRPr="00C921DE">
        <w:rPr>
          <w:rFonts w:ascii="GHEA Grapalat" w:hAnsi="GHEA Grapalat"/>
          <w:sz w:val="22"/>
          <w:szCs w:val="22"/>
        </w:rPr>
        <w:t>խմբի կողմից իրականացվել է տեղանքի ուսումնասիրություն</w:t>
      </w:r>
      <w:r w:rsidR="00D91F7F" w:rsidRPr="00C921DE">
        <w:rPr>
          <w:rFonts w:ascii="GHEA Grapalat" w:hAnsi="GHEA Grapalat"/>
          <w:sz w:val="22"/>
          <w:szCs w:val="22"/>
          <w:lang w:val="en-US"/>
        </w:rPr>
        <w:t>,</w:t>
      </w:r>
      <w:r w:rsidR="00997998" w:rsidRPr="00C921DE">
        <w:rPr>
          <w:rFonts w:ascii="GHEA Grapalat" w:hAnsi="GHEA Grapalat"/>
          <w:sz w:val="22"/>
          <w:szCs w:val="22"/>
        </w:rPr>
        <w:t xml:space="preserve"> </w:t>
      </w:r>
      <w:r w:rsidRPr="00C921DE">
        <w:rPr>
          <w:rFonts w:ascii="GHEA Grapalat" w:hAnsi="GHEA Grapalat"/>
          <w:sz w:val="22"/>
          <w:szCs w:val="22"/>
        </w:rPr>
        <w:t xml:space="preserve">Կոռնիձորում և Գորիսում հաշվառման կետերի կազմակերպում։ Հիմնվել են </w:t>
      </w:r>
      <w:r w:rsidR="006368D8" w:rsidRPr="00C921DE">
        <w:rPr>
          <w:rFonts w:ascii="GHEA Grapalat" w:hAnsi="GHEA Grapalat"/>
          <w:sz w:val="22"/>
          <w:szCs w:val="22"/>
          <w:lang w:val="en-US"/>
        </w:rPr>
        <w:t>բնակչության պետական ռեգիստրին</w:t>
      </w:r>
      <w:r w:rsidRPr="00C921DE">
        <w:rPr>
          <w:rFonts w:ascii="GHEA Grapalat" w:hAnsi="GHEA Grapalat"/>
          <w:sz w:val="22"/>
          <w:szCs w:val="22"/>
        </w:rPr>
        <w:t xml:space="preserve"> համակցված հաշվառման կայաններ փակ կապուղով։ Ապահովվել</w:t>
      </w:r>
      <w:r w:rsidR="00997998" w:rsidRPr="00C921DE">
        <w:rPr>
          <w:rFonts w:ascii="GHEA Grapalat" w:hAnsi="GHEA Grapalat"/>
          <w:sz w:val="22"/>
          <w:szCs w:val="22"/>
        </w:rPr>
        <w:t xml:space="preserve"> </w:t>
      </w:r>
      <w:r w:rsidRPr="00C921DE">
        <w:rPr>
          <w:rFonts w:ascii="GHEA Grapalat" w:hAnsi="GHEA Grapalat"/>
          <w:sz w:val="22"/>
          <w:szCs w:val="22"/>
        </w:rPr>
        <w:t>է հաշվառման ծրագրի հասանելիությունը հումանիտար կենտրոններում։ Հաշվառման աշխատանքները պատշաճ մակարդակով</w:t>
      </w:r>
      <w:r w:rsidR="00997998" w:rsidRPr="00C921DE">
        <w:rPr>
          <w:rFonts w:ascii="GHEA Grapalat" w:hAnsi="GHEA Grapalat"/>
          <w:sz w:val="22"/>
          <w:szCs w:val="22"/>
        </w:rPr>
        <w:t xml:space="preserve"> </w:t>
      </w:r>
      <w:r w:rsidRPr="00C921DE">
        <w:rPr>
          <w:rFonts w:ascii="GHEA Grapalat" w:hAnsi="GHEA Grapalat"/>
          <w:sz w:val="22"/>
          <w:szCs w:val="22"/>
        </w:rPr>
        <w:t xml:space="preserve">կազմակերպելու նպատակով </w:t>
      </w:r>
      <w:r w:rsidRPr="00C921DE">
        <w:rPr>
          <w:rFonts w:ascii="GHEA Grapalat" w:hAnsi="GHEA Grapalat"/>
          <w:sz w:val="22"/>
          <w:szCs w:val="22"/>
        </w:rPr>
        <w:lastRenderedPageBreak/>
        <w:t>հավաքագրվել են կամավորական ուժեր, աշխատակազմը վերապատրաստվել է, համագործակցություն</w:t>
      </w:r>
      <w:r w:rsidR="00997998" w:rsidRPr="00C921DE">
        <w:rPr>
          <w:rFonts w:ascii="GHEA Grapalat" w:hAnsi="GHEA Grapalat"/>
          <w:sz w:val="22"/>
          <w:szCs w:val="22"/>
        </w:rPr>
        <w:t xml:space="preserve"> </w:t>
      </w:r>
      <w:r w:rsidRPr="00C921DE">
        <w:rPr>
          <w:rFonts w:ascii="GHEA Grapalat" w:hAnsi="GHEA Grapalat"/>
          <w:sz w:val="22"/>
          <w:szCs w:val="22"/>
        </w:rPr>
        <w:t>է հաստատվել Կարմիր Խաչի և ԱԺ գ</w:t>
      </w:r>
      <w:r w:rsidR="00D97FBD" w:rsidRPr="00C921DE">
        <w:rPr>
          <w:rFonts w:ascii="GHEA Grapalat" w:hAnsi="GHEA Grapalat"/>
          <w:sz w:val="22"/>
          <w:szCs w:val="22"/>
          <w:lang w:val="en-US"/>
        </w:rPr>
        <w:t>ո</w:t>
      </w:r>
      <w:r w:rsidRPr="00C921DE">
        <w:rPr>
          <w:rFonts w:ascii="GHEA Grapalat" w:hAnsi="GHEA Grapalat"/>
          <w:sz w:val="22"/>
          <w:szCs w:val="22"/>
        </w:rPr>
        <w:t xml:space="preserve">րծընկերների հետ։ </w:t>
      </w:r>
    </w:p>
    <w:p w14:paraId="6C3EE502" w14:textId="5D31B9E2" w:rsidR="00752BF7" w:rsidRPr="00C921DE" w:rsidRDefault="006368D8" w:rsidP="0079439D">
      <w:pPr>
        <w:spacing w:line="360" w:lineRule="auto"/>
        <w:ind w:firstLine="567"/>
        <w:jc w:val="both"/>
        <w:rPr>
          <w:rFonts w:ascii="GHEA Grapalat" w:hAnsi="GHEA Grapalat"/>
          <w:sz w:val="22"/>
          <w:szCs w:val="22"/>
        </w:rPr>
      </w:pPr>
      <w:r w:rsidRPr="00C921DE">
        <w:rPr>
          <w:rFonts w:ascii="GHEA Grapalat" w:hAnsi="GHEA Grapalat"/>
          <w:sz w:val="22"/>
          <w:szCs w:val="22"/>
        </w:rPr>
        <w:t>2023 թվական</w:t>
      </w:r>
      <w:r w:rsidR="00752BF7" w:rsidRPr="00C921DE">
        <w:rPr>
          <w:rFonts w:ascii="GHEA Grapalat" w:hAnsi="GHEA Grapalat"/>
          <w:sz w:val="22"/>
          <w:szCs w:val="22"/>
        </w:rPr>
        <w:t>ի հոկտեմբերի 26-ին Կառավարության 1864-Ն որոշմամբ ԼՂ-ից</w:t>
      </w:r>
      <w:r w:rsidR="00CA2A65" w:rsidRPr="00C921DE">
        <w:rPr>
          <w:rFonts w:ascii="GHEA Grapalat" w:hAnsi="GHEA Grapalat"/>
          <w:sz w:val="22"/>
          <w:szCs w:val="22"/>
          <w:lang w:val="en-US"/>
        </w:rPr>
        <w:t xml:space="preserve"> բռնի</w:t>
      </w:r>
      <w:r w:rsidR="00752BF7" w:rsidRPr="00C921DE">
        <w:rPr>
          <w:rFonts w:ascii="GHEA Grapalat" w:hAnsi="GHEA Grapalat"/>
          <w:sz w:val="22"/>
          <w:szCs w:val="22"/>
        </w:rPr>
        <w:t xml:space="preserve"> տեղահանված անձինք վերցվել</w:t>
      </w:r>
      <w:r w:rsidRPr="00C921DE">
        <w:rPr>
          <w:rFonts w:ascii="GHEA Grapalat" w:hAnsi="GHEA Grapalat"/>
          <w:sz w:val="22"/>
          <w:szCs w:val="22"/>
          <w:lang w:val="en-US"/>
        </w:rPr>
        <w:t xml:space="preserve"> են</w:t>
      </w:r>
      <w:r w:rsidR="00752BF7" w:rsidRPr="00C921DE">
        <w:rPr>
          <w:rFonts w:ascii="GHEA Grapalat" w:hAnsi="GHEA Grapalat"/>
          <w:sz w:val="22"/>
          <w:szCs w:val="22"/>
        </w:rPr>
        <w:t xml:space="preserve"> ժամանակավոր պաշտպանության ներքո, նրանց տրամ</w:t>
      </w:r>
      <w:r w:rsidRPr="00C921DE">
        <w:rPr>
          <w:rFonts w:ascii="GHEA Grapalat" w:hAnsi="GHEA Grapalat"/>
          <w:sz w:val="22"/>
          <w:szCs w:val="22"/>
        </w:rPr>
        <w:t>ադրվել է փախստականի կարգավիճակ։</w:t>
      </w:r>
    </w:p>
    <w:p w14:paraId="43E4655A" w14:textId="77777777" w:rsidR="00752BF7" w:rsidRPr="00C921DE" w:rsidRDefault="00752BF7" w:rsidP="0079439D">
      <w:pPr>
        <w:spacing w:line="360" w:lineRule="auto"/>
        <w:ind w:firstLine="567"/>
        <w:jc w:val="both"/>
        <w:rPr>
          <w:rFonts w:ascii="GHEA Grapalat" w:hAnsi="GHEA Grapalat"/>
          <w:sz w:val="22"/>
          <w:szCs w:val="22"/>
        </w:rPr>
      </w:pPr>
      <w:r w:rsidRPr="00C921DE">
        <w:rPr>
          <w:rFonts w:ascii="GHEA Grapalat" w:hAnsi="GHEA Grapalat"/>
          <w:sz w:val="22"/>
          <w:szCs w:val="22"/>
        </w:rPr>
        <w:t>ՀՀ բոլոր անձնագրային ստորաբաժանումներում Լեռնային Ղարաբաղից բռնագաղթած անձինք սպասարկվել են արտահերթ, վեցօրյա աշխատանքային ռեժի</w:t>
      </w:r>
      <w:r w:rsidR="005444AB" w:rsidRPr="00C921DE">
        <w:rPr>
          <w:rFonts w:ascii="GHEA Grapalat" w:hAnsi="GHEA Grapalat"/>
          <w:sz w:val="22"/>
          <w:szCs w:val="22"/>
          <w:lang w:val="en-US"/>
        </w:rPr>
        <w:t>մ</w:t>
      </w:r>
      <w:r w:rsidRPr="00C921DE">
        <w:rPr>
          <w:rFonts w:ascii="GHEA Grapalat" w:hAnsi="GHEA Grapalat"/>
          <w:sz w:val="22"/>
          <w:szCs w:val="22"/>
        </w:rPr>
        <w:t xml:space="preserve">ով։ Ժամանակավոր պաշտպանության </w:t>
      </w:r>
      <w:r w:rsidR="005444AB" w:rsidRPr="00C921DE">
        <w:rPr>
          <w:rFonts w:ascii="GHEA Grapalat" w:hAnsi="GHEA Grapalat"/>
          <w:sz w:val="22"/>
          <w:szCs w:val="22"/>
        </w:rPr>
        <w:t>վկայակա</w:t>
      </w:r>
      <w:r w:rsidR="00D97FBD" w:rsidRPr="00C921DE">
        <w:rPr>
          <w:rFonts w:ascii="GHEA Grapalat" w:hAnsi="GHEA Grapalat"/>
          <w:sz w:val="22"/>
          <w:szCs w:val="22"/>
          <w:lang w:val="en-US"/>
        </w:rPr>
        <w:t>ն</w:t>
      </w:r>
      <w:r w:rsidR="005444AB" w:rsidRPr="00C921DE">
        <w:rPr>
          <w:rFonts w:ascii="GHEA Grapalat" w:hAnsi="GHEA Grapalat"/>
          <w:sz w:val="22"/>
          <w:szCs w:val="22"/>
        </w:rPr>
        <w:t>ներ է</w:t>
      </w:r>
      <w:r w:rsidRPr="00C921DE">
        <w:rPr>
          <w:rFonts w:ascii="GHEA Grapalat" w:hAnsi="GHEA Grapalat"/>
          <w:sz w:val="22"/>
          <w:szCs w:val="22"/>
        </w:rPr>
        <w:t xml:space="preserve"> ստացել 50,595 անձ, հաշվառվել է 55,665 անձ, քաղաքացիության համար դիմել է</w:t>
      </w:r>
      <w:r w:rsidR="00997998" w:rsidRPr="00C921DE">
        <w:rPr>
          <w:rFonts w:ascii="GHEA Grapalat" w:hAnsi="GHEA Grapalat"/>
          <w:sz w:val="22"/>
          <w:szCs w:val="22"/>
        </w:rPr>
        <w:t xml:space="preserve"> </w:t>
      </w:r>
      <w:r w:rsidRPr="00C921DE">
        <w:rPr>
          <w:rFonts w:ascii="GHEA Grapalat" w:hAnsi="GHEA Grapalat"/>
          <w:sz w:val="22"/>
          <w:szCs w:val="22"/>
        </w:rPr>
        <w:t>988 անձ։</w:t>
      </w:r>
    </w:p>
    <w:p w14:paraId="2C110FA1" w14:textId="77777777" w:rsidR="00752BF7" w:rsidRPr="00C921DE" w:rsidRDefault="00752BF7" w:rsidP="0079439D">
      <w:pPr>
        <w:spacing w:line="360" w:lineRule="auto"/>
        <w:ind w:firstLine="567"/>
        <w:jc w:val="both"/>
        <w:rPr>
          <w:rFonts w:ascii="GHEA Grapalat" w:hAnsi="GHEA Grapalat"/>
          <w:sz w:val="22"/>
          <w:szCs w:val="22"/>
        </w:rPr>
      </w:pPr>
    </w:p>
    <w:p w14:paraId="2591567A" w14:textId="77777777" w:rsidR="00752BF7" w:rsidRPr="00C921DE" w:rsidRDefault="00752BF7" w:rsidP="00997998">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Միգրացիոն ներհոսք. օտարերկրացիներ</w:t>
      </w:r>
    </w:p>
    <w:p w14:paraId="53AF48A2" w14:textId="77777777" w:rsidR="00752BF7" w:rsidRPr="00C921DE" w:rsidRDefault="005444AB" w:rsidP="00E23EAB">
      <w:pPr>
        <w:spacing w:line="360" w:lineRule="auto"/>
        <w:ind w:firstLine="567"/>
        <w:jc w:val="both"/>
        <w:rPr>
          <w:rFonts w:ascii="GHEA Grapalat" w:hAnsi="GHEA Grapalat"/>
          <w:sz w:val="22"/>
          <w:szCs w:val="22"/>
        </w:rPr>
      </w:pPr>
      <w:r w:rsidRPr="00C921DE">
        <w:rPr>
          <w:rFonts w:ascii="GHEA Grapalat" w:hAnsi="GHEA Grapalat"/>
          <w:sz w:val="22"/>
          <w:szCs w:val="22"/>
        </w:rPr>
        <w:t>Աճել է</w:t>
      </w:r>
      <w:r w:rsidR="00752BF7" w:rsidRPr="00C921DE">
        <w:rPr>
          <w:rFonts w:ascii="GHEA Grapalat" w:hAnsi="GHEA Grapalat"/>
          <w:sz w:val="22"/>
          <w:szCs w:val="22"/>
        </w:rPr>
        <w:t xml:space="preserve"> ուսման և աշխատանքի հիմքով կացության կարգավիճակների թ</w:t>
      </w:r>
      <w:r w:rsidR="00E23EAB" w:rsidRPr="00C921DE">
        <w:rPr>
          <w:rFonts w:ascii="GHEA Grapalat" w:hAnsi="GHEA Grapalat"/>
          <w:sz w:val="22"/>
          <w:szCs w:val="22"/>
          <w:lang w:val="en-US"/>
        </w:rPr>
        <w:t>իվ</w:t>
      </w:r>
      <w:r w:rsidR="00752BF7" w:rsidRPr="00C921DE">
        <w:rPr>
          <w:rFonts w:ascii="GHEA Grapalat" w:hAnsi="GHEA Grapalat"/>
          <w:sz w:val="22"/>
          <w:szCs w:val="22"/>
        </w:rPr>
        <w:t>ը։</w:t>
      </w:r>
      <w:r w:rsidR="00997998" w:rsidRPr="00C921DE">
        <w:rPr>
          <w:rFonts w:ascii="GHEA Grapalat" w:hAnsi="GHEA Grapalat"/>
          <w:sz w:val="22"/>
          <w:szCs w:val="22"/>
        </w:rPr>
        <w:t xml:space="preserve"> </w:t>
      </w:r>
      <w:r w:rsidR="00752BF7" w:rsidRPr="00C921DE">
        <w:rPr>
          <w:rFonts w:ascii="GHEA Grapalat" w:hAnsi="GHEA Grapalat"/>
          <w:sz w:val="22"/>
          <w:szCs w:val="22"/>
        </w:rPr>
        <w:t>Ուսման հիմքով կացության կարգավիճակ տրամադրվել է</w:t>
      </w:r>
      <w:r w:rsidR="00B03FBD" w:rsidRPr="00C921DE">
        <w:rPr>
          <w:rFonts w:ascii="GHEA Grapalat" w:hAnsi="GHEA Grapalat"/>
          <w:sz w:val="22"/>
          <w:szCs w:val="22"/>
          <w:lang w:val="en-US"/>
        </w:rPr>
        <w:t xml:space="preserve"> </w:t>
      </w:r>
      <w:r w:rsidR="00B03FBD" w:rsidRPr="00C921DE">
        <w:rPr>
          <w:rFonts w:ascii="GHEA Grapalat" w:hAnsi="GHEA Grapalat"/>
          <w:sz w:val="22"/>
          <w:szCs w:val="22"/>
        </w:rPr>
        <w:t>2023</w:t>
      </w:r>
      <w:r w:rsidR="00B03FBD" w:rsidRPr="00C921DE">
        <w:rPr>
          <w:rFonts w:ascii="GHEA Grapalat" w:hAnsi="GHEA Grapalat"/>
          <w:sz w:val="22"/>
          <w:szCs w:val="22"/>
          <w:lang w:val="en-US"/>
        </w:rPr>
        <w:t xml:space="preserve"> </w:t>
      </w:r>
      <w:r w:rsidR="00B03FBD" w:rsidRPr="00C921DE">
        <w:rPr>
          <w:rFonts w:ascii="GHEA Grapalat" w:hAnsi="GHEA Grapalat"/>
          <w:sz w:val="22"/>
          <w:szCs w:val="22"/>
        </w:rPr>
        <w:t>թ</w:t>
      </w:r>
      <w:r w:rsidR="00B03FBD" w:rsidRPr="00C921DE">
        <w:rPr>
          <w:rFonts w:ascii="GHEA Grapalat" w:hAnsi="GHEA Grapalat"/>
          <w:sz w:val="22"/>
          <w:szCs w:val="22"/>
          <w:lang w:val="en-US"/>
        </w:rPr>
        <w:t>վական</w:t>
      </w:r>
      <w:r w:rsidR="00B03FBD" w:rsidRPr="00C921DE">
        <w:rPr>
          <w:rFonts w:ascii="GHEA Grapalat" w:hAnsi="GHEA Grapalat"/>
          <w:sz w:val="22"/>
          <w:szCs w:val="22"/>
        </w:rPr>
        <w:t>ին</w:t>
      </w:r>
      <w:r w:rsidR="00B03FBD" w:rsidRPr="00C921DE">
        <w:rPr>
          <w:rFonts w:ascii="GHEA Grapalat" w:hAnsi="GHEA Grapalat"/>
          <w:sz w:val="22"/>
          <w:szCs w:val="22"/>
          <w:lang w:val="en-US"/>
        </w:rPr>
        <w:t>՝</w:t>
      </w:r>
      <w:r w:rsidR="00B03FBD" w:rsidRPr="00C921DE">
        <w:rPr>
          <w:rFonts w:ascii="GHEA Grapalat" w:hAnsi="GHEA Grapalat"/>
          <w:sz w:val="22"/>
          <w:szCs w:val="22"/>
        </w:rPr>
        <w:t xml:space="preserve"> 3119 անձի</w:t>
      </w:r>
      <w:r w:rsidR="00B03FBD" w:rsidRPr="00C921DE">
        <w:rPr>
          <w:rFonts w:ascii="GHEA Grapalat" w:hAnsi="GHEA Grapalat"/>
          <w:sz w:val="22"/>
          <w:szCs w:val="22"/>
          <w:lang w:val="en-US"/>
        </w:rPr>
        <w:t>, իսկ</w:t>
      </w:r>
      <w:r w:rsidR="00752BF7" w:rsidRPr="00C921DE">
        <w:rPr>
          <w:rFonts w:ascii="GHEA Grapalat" w:hAnsi="GHEA Grapalat"/>
          <w:sz w:val="22"/>
          <w:szCs w:val="22"/>
        </w:rPr>
        <w:t xml:space="preserve"> 2022</w:t>
      </w:r>
      <w:r w:rsidR="00E23EAB" w:rsidRPr="00C921DE">
        <w:rPr>
          <w:rFonts w:ascii="GHEA Grapalat" w:hAnsi="GHEA Grapalat"/>
          <w:sz w:val="22"/>
          <w:szCs w:val="22"/>
          <w:lang w:val="en-US"/>
        </w:rPr>
        <w:t xml:space="preserve"> </w:t>
      </w:r>
      <w:r w:rsidR="00752BF7" w:rsidRPr="00C921DE">
        <w:rPr>
          <w:rFonts w:ascii="GHEA Grapalat" w:hAnsi="GHEA Grapalat"/>
          <w:sz w:val="22"/>
          <w:szCs w:val="22"/>
        </w:rPr>
        <w:t>թ</w:t>
      </w:r>
      <w:r w:rsidR="00E23EAB" w:rsidRPr="00C921DE">
        <w:rPr>
          <w:rFonts w:ascii="GHEA Grapalat" w:hAnsi="GHEA Grapalat"/>
          <w:sz w:val="22"/>
          <w:szCs w:val="22"/>
          <w:lang w:val="en-US"/>
        </w:rPr>
        <w:t>վական</w:t>
      </w:r>
      <w:r w:rsidR="00752BF7" w:rsidRPr="00C921DE">
        <w:rPr>
          <w:rFonts w:ascii="GHEA Grapalat" w:hAnsi="GHEA Grapalat"/>
          <w:sz w:val="22"/>
          <w:szCs w:val="22"/>
        </w:rPr>
        <w:t>ին</w:t>
      </w:r>
      <w:r w:rsidR="00E23EAB" w:rsidRPr="00C921DE">
        <w:rPr>
          <w:rFonts w:ascii="GHEA Grapalat" w:hAnsi="GHEA Grapalat"/>
          <w:sz w:val="22"/>
          <w:szCs w:val="22"/>
          <w:lang w:val="en-US"/>
        </w:rPr>
        <w:t>՝</w:t>
      </w:r>
      <w:r w:rsidR="00B03FBD" w:rsidRPr="00C921DE">
        <w:rPr>
          <w:rFonts w:ascii="GHEA Grapalat" w:hAnsi="GHEA Grapalat"/>
          <w:sz w:val="22"/>
          <w:szCs w:val="22"/>
        </w:rPr>
        <w:t xml:space="preserve"> 2907 անձի</w:t>
      </w:r>
      <w:r w:rsidR="00752BF7" w:rsidRPr="00C921DE">
        <w:rPr>
          <w:rFonts w:ascii="GHEA Grapalat" w:hAnsi="GHEA Grapalat"/>
          <w:sz w:val="22"/>
          <w:szCs w:val="22"/>
        </w:rPr>
        <w:t>։ Աշխատանքի հիմքով կացության կարգավիճակ տրվել է</w:t>
      </w:r>
      <w:r w:rsidR="00B03FBD" w:rsidRPr="00C921DE">
        <w:rPr>
          <w:rFonts w:ascii="GHEA Grapalat" w:hAnsi="GHEA Grapalat"/>
          <w:sz w:val="22"/>
          <w:szCs w:val="22"/>
          <w:lang w:val="en-US"/>
        </w:rPr>
        <w:t xml:space="preserve"> </w:t>
      </w:r>
      <w:r w:rsidR="00B03FBD" w:rsidRPr="00C921DE">
        <w:rPr>
          <w:rFonts w:ascii="GHEA Grapalat" w:hAnsi="GHEA Grapalat"/>
          <w:sz w:val="22"/>
          <w:szCs w:val="22"/>
        </w:rPr>
        <w:t>2023</w:t>
      </w:r>
      <w:r w:rsidR="00B03FBD" w:rsidRPr="00C921DE">
        <w:rPr>
          <w:rFonts w:ascii="GHEA Grapalat" w:hAnsi="GHEA Grapalat"/>
          <w:sz w:val="22"/>
          <w:szCs w:val="22"/>
          <w:lang w:val="en-US"/>
        </w:rPr>
        <w:t xml:space="preserve"> </w:t>
      </w:r>
      <w:r w:rsidR="00B03FBD" w:rsidRPr="00C921DE">
        <w:rPr>
          <w:rFonts w:ascii="GHEA Grapalat" w:hAnsi="GHEA Grapalat"/>
          <w:sz w:val="22"/>
          <w:szCs w:val="22"/>
        </w:rPr>
        <w:t>թ</w:t>
      </w:r>
      <w:r w:rsidR="00B03FBD" w:rsidRPr="00C921DE">
        <w:rPr>
          <w:rFonts w:ascii="GHEA Grapalat" w:hAnsi="GHEA Grapalat"/>
          <w:sz w:val="22"/>
          <w:szCs w:val="22"/>
          <w:lang w:val="en-US"/>
        </w:rPr>
        <w:t>վական</w:t>
      </w:r>
      <w:r w:rsidR="00B03FBD" w:rsidRPr="00C921DE">
        <w:rPr>
          <w:rFonts w:ascii="GHEA Grapalat" w:hAnsi="GHEA Grapalat"/>
          <w:sz w:val="22"/>
          <w:szCs w:val="22"/>
        </w:rPr>
        <w:t>ին՝ 3343 անձի</w:t>
      </w:r>
      <w:r w:rsidR="00B03FBD" w:rsidRPr="00C921DE">
        <w:rPr>
          <w:rFonts w:ascii="GHEA Grapalat" w:hAnsi="GHEA Grapalat"/>
          <w:sz w:val="22"/>
          <w:szCs w:val="22"/>
          <w:lang w:val="en-US"/>
        </w:rPr>
        <w:t>,</w:t>
      </w:r>
      <w:r w:rsidR="00752BF7" w:rsidRPr="00C921DE">
        <w:rPr>
          <w:rFonts w:ascii="GHEA Grapalat" w:hAnsi="GHEA Grapalat"/>
          <w:sz w:val="22"/>
          <w:szCs w:val="22"/>
        </w:rPr>
        <w:t xml:space="preserve"> 2022</w:t>
      </w:r>
      <w:r w:rsidR="00B03FBD" w:rsidRPr="00C921DE">
        <w:rPr>
          <w:rFonts w:ascii="GHEA Grapalat" w:hAnsi="GHEA Grapalat"/>
          <w:sz w:val="22"/>
          <w:szCs w:val="22"/>
          <w:lang w:val="en-US"/>
        </w:rPr>
        <w:t xml:space="preserve"> </w:t>
      </w:r>
      <w:r w:rsidR="00752BF7" w:rsidRPr="00C921DE">
        <w:rPr>
          <w:rFonts w:ascii="GHEA Grapalat" w:hAnsi="GHEA Grapalat"/>
          <w:sz w:val="22"/>
          <w:szCs w:val="22"/>
        </w:rPr>
        <w:t>թ</w:t>
      </w:r>
      <w:r w:rsidR="00B03FBD" w:rsidRPr="00C921DE">
        <w:rPr>
          <w:rFonts w:ascii="GHEA Grapalat" w:hAnsi="GHEA Grapalat"/>
          <w:sz w:val="22"/>
          <w:szCs w:val="22"/>
          <w:lang w:val="en-US"/>
        </w:rPr>
        <w:t>վական</w:t>
      </w:r>
      <w:r w:rsidR="00752BF7" w:rsidRPr="00C921DE">
        <w:rPr>
          <w:rFonts w:ascii="GHEA Grapalat" w:hAnsi="GHEA Grapalat"/>
          <w:sz w:val="22"/>
          <w:szCs w:val="22"/>
        </w:rPr>
        <w:t>ին</w:t>
      </w:r>
      <w:r w:rsidR="00B03FBD" w:rsidRPr="00C921DE">
        <w:rPr>
          <w:rFonts w:ascii="GHEA Grapalat" w:hAnsi="GHEA Grapalat"/>
          <w:sz w:val="22"/>
          <w:szCs w:val="22"/>
          <w:lang w:val="en-US"/>
        </w:rPr>
        <w:t>՝</w:t>
      </w:r>
      <w:r w:rsidR="00752BF7" w:rsidRPr="00C921DE">
        <w:rPr>
          <w:rFonts w:ascii="GHEA Grapalat" w:hAnsi="GHEA Grapalat"/>
          <w:sz w:val="22"/>
          <w:szCs w:val="22"/>
        </w:rPr>
        <w:t xml:space="preserve"> 1651 անձի։ Բնակության օրինականությունը հավաստող տեղեկանք է տրվել ԵԱՏՄ</w:t>
      </w:r>
      <w:r w:rsidR="00997998" w:rsidRPr="00C921DE">
        <w:rPr>
          <w:rFonts w:ascii="GHEA Grapalat" w:hAnsi="GHEA Grapalat"/>
          <w:sz w:val="22"/>
          <w:szCs w:val="22"/>
        </w:rPr>
        <w:t xml:space="preserve"> </w:t>
      </w:r>
      <w:r w:rsidR="00752BF7" w:rsidRPr="00C921DE">
        <w:rPr>
          <w:rFonts w:ascii="GHEA Grapalat" w:hAnsi="GHEA Grapalat"/>
          <w:sz w:val="22"/>
          <w:szCs w:val="22"/>
        </w:rPr>
        <w:t>անդամ պետությունների աշխատող միգրանտներին և նրանց ընտանիքի անդամներին.</w:t>
      </w:r>
      <w:r w:rsidR="00E23EAB" w:rsidRPr="00C921DE">
        <w:rPr>
          <w:rFonts w:ascii="GHEA Grapalat" w:hAnsi="GHEA Grapalat"/>
          <w:sz w:val="22"/>
          <w:szCs w:val="22"/>
        </w:rPr>
        <w:t xml:space="preserve"> </w:t>
      </w:r>
      <w:r w:rsidR="00B03FBD" w:rsidRPr="00C921DE">
        <w:rPr>
          <w:rFonts w:ascii="GHEA Grapalat" w:hAnsi="GHEA Grapalat"/>
          <w:sz w:val="22"/>
          <w:szCs w:val="22"/>
        </w:rPr>
        <w:t>2023</w:t>
      </w:r>
      <w:r w:rsidR="00E23EAB" w:rsidRPr="00C921DE">
        <w:rPr>
          <w:rFonts w:ascii="GHEA Grapalat" w:hAnsi="GHEA Grapalat"/>
          <w:sz w:val="22"/>
          <w:szCs w:val="22"/>
          <w:lang w:val="en-US"/>
        </w:rPr>
        <w:t xml:space="preserve"> </w:t>
      </w:r>
      <w:r w:rsidR="00752BF7" w:rsidRPr="00C921DE">
        <w:rPr>
          <w:rFonts w:ascii="GHEA Grapalat" w:hAnsi="GHEA Grapalat"/>
          <w:sz w:val="22"/>
          <w:szCs w:val="22"/>
        </w:rPr>
        <w:t>թ</w:t>
      </w:r>
      <w:r w:rsidR="00E23EAB" w:rsidRPr="00C921DE">
        <w:rPr>
          <w:rFonts w:ascii="GHEA Grapalat" w:hAnsi="GHEA Grapalat"/>
          <w:sz w:val="22"/>
          <w:szCs w:val="22"/>
          <w:lang w:val="en-US"/>
        </w:rPr>
        <w:t>վականին տրամադրվել է</w:t>
      </w:r>
      <w:r w:rsidR="00B03FBD" w:rsidRPr="00C921DE">
        <w:rPr>
          <w:rFonts w:ascii="GHEA Grapalat" w:hAnsi="GHEA Grapalat"/>
          <w:sz w:val="22"/>
          <w:szCs w:val="22"/>
          <w:lang w:val="en-US"/>
        </w:rPr>
        <w:t xml:space="preserve"> </w:t>
      </w:r>
      <w:r w:rsidR="00B03FBD" w:rsidRPr="00C921DE">
        <w:rPr>
          <w:rFonts w:ascii="GHEA Grapalat" w:hAnsi="GHEA Grapalat"/>
          <w:sz w:val="22"/>
          <w:szCs w:val="22"/>
        </w:rPr>
        <w:t>7136</w:t>
      </w:r>
      <w:r w:rsidR="00752BF7" w:rsidRPr="00C921DE">
        <w:rPr>
          <w:rFonts w:ascii="GHEA Grapalat" w:hAnsi="GHEA Grapalat"/>
          <w:sz w:val="22"/>
          <w:szCs w:val="22"/>
        </w:rPr>
        <w:t xml:space="preserve"> տեղեկանք, 2023</w:t>
      </w:r>
      <w:r w:rsidR="00E23EAB" w:rsidRPr="00C921DE">
        <w:rPr>
          <w:rFonts w:ascii="GHEA Grapalat" w:hAnsi="GHEA Grapalat"/>
          <w:sz w:val="22"/>
          <w:szCs w:val="22"/>
          <w:lang w:val="en-US"/>
        </w:rPr>
        <w:t xml:space="preserve"> </w:t>
      </w:r>
      <w:r w:rsidR="00752BF7" w:rsidRPr="00C921DE">
        <w:rPr>
          <w:rFonts w:ascii="GHEA Grapalat" w:hAnsi="GHEA Grapalat"/>
          <w:sz w:val="22"/>
          <w:szCs w:val="22"/>
        </w:rPr>
        <w:t>թ</w:t>
      </w:r>
      <w:r w:rsidR="00E23EAB" w:rsidRPr="00C921DE">
        <w:rPr>
          <w:rFonts w:ascii="GHEA Grapalat" w:hAnsi="GHEA Grapalat"/>
          <w:sz w:val="22"/>
          <w:szCs w:val="22"/>
          <w:lang w:val="en-US"/>
        </w:rPr>
        <w:t>վականին</w:t>
      </w:r>
      <w:r w:rsidR="00752BF7" w:rsidRPr="00C921DE">
        <w:rPr>
          <w:rFonts w:ascii="GHEA Grapalat" w:hAnsi="GHEA Grapalat" w:cs="GHEA Grapalat"/>
          <w:sz w:val="22"/>
          <w:szCs w:val="22"/>
        </w:rPr>
        <w:t>՝</w:t>
      </w:r>
      <w:r w:rsidR="00752BF7" w:rsidRPr="00C921DE">
        <w:rPr>
          <w:rFonts w:ascii="GHEA Grapalat" w:hAnsi="GHEA Grapalat"/>
          <w:sz w:val="22"/>
          <w:szCs w:val="22"/>
        </w:rPr>
        <w:t xml:space="preserve"> </w:t>
      </w:r>
      <w:r w:rsidR="00061770" w:rsidRPr="00C921DE">
        <w:rPr>
          <w:rFonts w:ascii="GHEA Grapalat" w:hAnsi="GHEA Grapalat"/>
          <w:sz w:val="22"/>
          <w:szCs w:val="22"/>
        </w:rPr>
        <w:t xml:space="preserve">6136 </w:t>
      </w:r>
      <w:r w:rsidR="00E23EAB" w:rsidRPr="00C921DE">
        <w:rPr>
          <w:rFonts w:ascii="GHEA Grapalat" w:hAnsi="GHEA Grapalat"/>
          <w:sz w:val="22"/>
          <w:szCs w:val="22"/>
        </w:rPr>
        <w:t>տեղեկանք,</w:t>
      </w:r>
      <w:r w:rsidR="00E23EAB" w:rsidRPr="00C921DE">
        <w:rPr>
          <w:rFonts w:ascii="GHEA Grapalat" w:hAnsi="GHEA Grapalat"/>
          <w:sz w:val="22"/>
          <w:szCs w:val="22"/>
          <w:lang w:val="en-US"/>
        </w:rPr>
        <w:t xml:space="preserve"> </w:t>
      </w:r>
      <w:r w:rsidR="00752BF7" w:rsidRPr="00C921DE">
        <w:rPr>
          <w:rFonts w:ascii="GHEA Grapalat" w:hAnsi="GHEA Grapalat"/>
          <w:sz w:val="22"/>
          <w:szCs w:val="22"/>
        </w:rPr>
        <w:t>ընտանիքի անդամներին տրվել է</w:t>
      </w:r>
      <w:r w:rsidR="00997998" w:rsidRPr="00C921DE">
        <w:rPr>
          <w:rFonts w:ascii="GHEA Grapalat" w:hAnsi="GHEA Grapalat"/>
          <w:sz w:val="22"/>
          <w:szCs w:val="22"/>
        </w:rPr>
        <w:t xml:space="preserve"> </w:t>
      </w:r>
      <w:r w:rsidR="00061770" w:rsidRPr="00C921DE">
        <w:rPr>
          <w:rFonts w:ascii="GHEA Grapalat" w:hAnsi="GHEA Grapalat"/>
          <w:sz w:val="22"/>
          <w:szCs w:val="22"/>
        </w:rPr>
        <w:t>2023</w:t>
      </w:r>
      <w:r w:rsidR="00061770" w:rsidRPr="00C921DE">
        <w:rPr>
          <w:rFonts w:ascii="GHEA Grapalat" w:hAnsi="GHEA Grapalat"/>
          <w:sz w:val="22"/>
          <w:szCs w:val="22"/>
          <w:lang w:val="en-US"/>
        </w:rPr>
        <w:t xml:space="preserve"> </w:t>
      </w:r>
      <w:r w:rsidR="00061770" w:rsidRPr="00C921DE">
        <w:rPr>
          <w:rFonts w:ascii="GHEA Grapalat" w:hAnsi="GHEA Grapalat"/>
          <w:sz w:val="22"/>
          <w:szCs w:val="22"/>
        </w:rPr>
        <w:t>թ</w:t>
      </w:r>
      <w:r w:rsidR="00061770" w:rsidRPr="00C921DE">
        <w:rPr>
          <w:rFonts w:ascii="GHEA Grapalat" w:hAnsi="GHEA Grapalat"/>
          <w:sz w:val="22"/>
          <w:szCs w:val="22"/>
          <w:lang w:val="en-US"/>
        </w:rPr>
        <w:t>վականին</w:t>
      </w:r>
      <w:r w:rsidR="00061770" w:rsidRPr="00C921DE">
        <w:rPr>
          <w:rFonts w:ascii="GHEA Grapalat" w:hAnsi="GHEA Grapalat" w:cs="GHEA Grapalat"/>
          <w:sz w:val="22"/>
          <w:szCs w:val="22"/>
        </w:rPr>
        <w:t>՝</w:t>
      </w:r>
      <w:r w:rsidR="00061770" w:rsidRPr="00C921DE">
        <w:rPr>
          <w:rFonts w:ascii="GHEA Grapalat" w:hAnsi="GHEA Grapalat"/>
          <w:sz w:val="22"/>
          <w:szCs w:val="22"/>
        </w:rPr>
        <w:t xml:space="preserve"> 3298 տեղեկանք, </w:t>
      </w:r>
      <w:r w:rsidR="00752BF7" w:rsidRPr="00C921DE">
        <w:rPr>
          <w:rFonts w:ascii="GHEA Grapalat" w:hAnsi="GHEA Grapalat"/>
          <w:sz w:val="22"/>
          <w:szCs w:val="22"/>
        </w:rPr>
        <w:t>2022</w:t>
      </w:r>
      <w:r w:rsidR="00E23EAB" w:rsidRPr="00C921DE">
        <w:rPr>
          <w:rFonts w:ascii="GHEA Grapalat" w:hAnsi="GHEA Grapalat"/>
          <w:sz w:val="22"/>
          <w:szCs w:val="22"/>
          <w:lang w:val="en-US"/>
        </w:rPr>
        <w:t xml:space="preserve"> </w:t>
      </w:r>
      <w:r w:rsidR="00752BF7" w:rsidRPr="00C921DE">
        <w:rPr>
          <w:rFonts w:ascii="GHEA Grapalat" w:hAnsi="GHEA Grapalat"/>
          <w:sz w:val="22"/>
          <w:szCs w:val="22"/>
        </w:rPr>
        <w:t>թ</w:t>
      </w:r>
      <w:r w:rsidR="00E23EAB" w:rsidRPr="00C921DE">
        <w:rPr>
          <w:rFonts w:ascii="GHEA Grapalat" w:hAnsi="GHEA Grapalat"/>
          <w:sz w:val="22"/>
          <w:szCs w:val="22"/>
          <w:lang w:val="en-US"/>
        </w:rPr>
        <w:t>վականին՝</w:t>
      </w:r>
      <w:r w:rsidR="00752BF7" w:rsidRPr="00C921DE">
        <w:rPr>
          <w:rFonts w:ascii="GHEA Grapalat" w:hAnsi="GHEA Grapalat"/>
          <w:sz w:val="22"/>
          <w:szCs w:val="22"/>
        </w:rPr>
        <w:t xml:space="preserve"> 1375 տեղեկանք: </w:t>
      </w:r>
    </w:p>
    <w:p w14:paraId="06823F2E"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ՀՀ վիճակագրության պետական խորհրդի (ՎՊԽ) 2023թ. հուլիսի 7-ի թիվ 14-Ա որոշմամբ հաստատվել են օտարերկրացի աշխատողների ներգրավման միասնական էլեկտրոնային հարթակում առկա տեղեկատվության հիման վրա մշակվող վիճակագրական ամփոփ հաշվետվությունների հետևյալ ձևերը. Ձև 1-ԱԹ, Ձև 2-ԱԹԸ և Ձև 3-ԺԿԿ ՀՀ-ում աշխատող, այդ թվում՝ առանց աշխատանքի թույլտվության աշխատող օտարերկրյա քաղաքացիների վերաբերյալ ամբողջական վիճակագրական</w:t>
      </w:r>
      <w:r w:rsidR="00997998" w:rsidRPr="00C921DE">
        <w:rPr>
          <w:rFonts w:ascii="GHEA Grapalat" w:hAnsi="GHEA Grapalat"/>
          <w:sz w:val="22"/>
          <w:szCs w:val="22"/>
        </w:rPr>
        <w:t xml:space="preserve"> </w:t>
      </w:r>
      <w:r w:rsidRPr="00C921DE">
        <w:rPr>
          <w:rFonts w:ascii="GHEA Grapalat" w:hAnsi="GHEA Grapalat"/>
          <w:sz w:val="22"/>
          <w:szCs w:val="22"/>
        </w:rPr>
        <w:t>տվյալների հավաքագրման նպատակով։</w:t>
      </w:r>
    </w:p>
    <w:p w14:paraId="4DBE7066"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Ավելացել է ապաստանի հայցերի քանակը՝</w:t>
      </w:r>
      <w:r w:rsidR="00997998" w:rsidRPr="00C921DE">
        <w:rPr>
          <w:rFonts w:ascii="GHEA Grapalat" w:hAnsi="GHEA Grapalat"/>
          <w:sz w:val="22"/>
          <w:szCs w:val="22"/>
        </w:rPr>
        <w:t xml:space="preserve"> </w:t>
      </w:r>
      <w:r w:rsidRPr="00C921DE">
        <w:rPr>
          <w:rFonts w:ascii="GHEA Grapalat" w:hAnsi="GHEA Grapalat"/>
          <w:sz w:val="22"/>
          <w:szCs w:val="22"/>
        </w:rPr>
        <w:t xml:space="preserve">հատկապես Ուկրաինայի և Իրաքի քաղաքացիների կողմից։ </w:t>
      </w:r>
    </w:p>
    <w:p w14:paraId="1DEAC4BC"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ընթացքում ՀՀ-ում ապաստան է հայցել 817 օտարերկրացի, այդ թվում՝ Իրաքից</w:t>
      </w:r>
      <w:r w:rsidR="00207F5A" w:rsidRPr="00C921DE">
        <w:rPr>
          <w:rFonts w:ascii="GHEA Grapalat" w:hAnsi="GHEA Grapalat"/>
          <w:sz w:val="22"/>
          <w:szCs w:val="22"/>
          <w:lang w:val="en-US"/>
        </w:rPr>
        <w:t xml:space="preserve">՝ </w:t>
      </w:r>
      <w:r w:rsidRPr="00C921DE">
        <w:rPr>
          <w:rFonts w:ascii="GHEA Grapalat" w:hAnsi="GHEA Grapalat"/>
          <w:sz w:val="22"/>
          <w:szCs w:val="22"/>
        </w:rPr>
        <w:t>240, Ուկրաինայից՝ 206, Իրանից՝ 99</w:t>
      </w:r>
      <w:r w:rsidR="00207F5A" w:rsidRPr="00C921DE">
        <w:rPr>
          <w:rFonts w:ascii="GHEA Grapalat" w:hAnsi="GHEA Grapalat"/>
          <w:sz w:val="22"/>
          <w:szCs w:val="22"/>
          <w:lang w:val="en-US"/>
        </w:rPr>
        <w:t xml:space="preserve"> անձ</w:t>
      </w:r>
      <w:r w:rsidR="00207F5A" w:rsidRPr="00C921DE">
        <w:rPr>
          <w:rFonts w:ascii="GHEA Grapalat" w:hAnsi="GHEA Grapalat"/>
          <w:sz w:val="22"/>
          <w:szCs w:val="22"/>
        </w:rPr>
        <w:t>: Ապաստան են հայցել նաև</w:t>
      </w:r>
      <w:r w:rsidRPr="00C921DE">
        <w:rPr>
          <w:rFonts w:ascii="GHEA Grapalat" w:hAnsi="GHEA Grapalat"/>
          <w:sz w:val="22"/>
          <w:szCs w:val="22"/>
        </w:rPr>
        <w:t xml:space="preserve"> Եգիպտոսի, Հայիթիի, ՌԴ-ի, Թուրքիայի, Սիրիայի, Ալժիրի և</w:t>
      </w:r>
      <w:r w:rsidR="00997998" w:rsidRPr="00C921DE">
        <w:rPr>
          <w:rFonts w:ascii="GHEA Grapalat" w:hAnsi="GHEA Grapalat"/>
          <w:sz w:val="22"/>
          <w:szCs w:val="22"/>
        </w:rPr>
        <w:t xml:space="preserve"> </w:t>
      </w:r>
      <w:r w:rsidRPr="00C921DE">
        <w:rPr>
          <w:rFonts w:ascii="GHEA Grapalat" w:hAnsi="GHEA Grapalat"/>
          <w:sz w:val="22"/>
          <w:szCs w:val="22"/>
        </w:rPr>
        <w:t>այլ երկրների քաղաքացիներ։</w:t>
      </w:r>
    </w:p>
    <w:p w14:paraId="528A254E"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 xml:space="preserve"> Նույն ժամանակահատվածում</w:t>
      </w:r>
      <w:r w:rsidR="00997998" w:rsidRPr="00C921DE">
        <w:rPr>
          <w:rFonts w:ascii="GHEA Grapalat" w:hAnsi="GHEA Grapalat"/>
          <w:sz w:val="22"/>
          <w:szCs w:val="22"/>
        </w:rPr>
        <w:t xml:space="preserve"> </w:t>
      </w:r>
      <w:r w:rsidRPr="00C921DE">
        <w:rPr>
          <w:rFonts w:ascii="GHEA Grapalat" w:hAnsi="GHEA Grapalat"/>
          <w:sz w:val="22"/>
          <w:szCs w:val="22"/>
        </w:rPr>
        <w:t>ՀՀ-ում փախստական են ճանաչվել և ապաստան են ստացել</w:t>
      </w:r>
      <w:r w:rsidR="00997998" w:rsidRPr="00C921DE">
        <w:rPr>
          <w:rFonts w:ascii="GHEA Grapalat" w:hAnsi="GHEA Grapalat"/>
          <w:sz w:val="22"/>
          <w:szCs w:val="22"/>
        </w:rPr>
        <w:t xml:space="preserve"> </w:t>
      </w:r>
      <w:r w:rsidRPr="00C921DE">
        <w:rPr>
          <w:rFonts w:ascii="GHEA Grapalat" w:hAnsi="GHEA Grapalat"/>
          <w:sz w:val="22"/>
          <w:szCs w:val="22"/>
        </w:rPr>
        <w:t>372 օտարերկրացի, այդ թվում՝ Իրաքի՝ 40, Ուկրաինայի՝ 218 և Իրանի</w:t>
      </w:r>
      <w:r w:rsidR="00207F5A" w:rsidRPr="00C921DE">
        <w:rPr>
          <w:rFonts w:ascii="GHEA Grapalat" w:hAnsi="GHEA Grapalat"/>
          <w:sz w:val="22"/>
          <w:szCs w:val="22"/>
          <w:lang w:val="en-US"/>
        </w:rPr>
        <w:t>՝</w:t>
      </w:r>
      <w:r w:rsidRPr="00C921DE">
        <w:rPr>
          <w:rFonts w:ascii="GHEA Grapalat" w:hAnsi="GHEA Grapalat"/>
          <w:sz w:val="22"/>
          <w:szCs w:val="22"/>
        </w:rPr>
        <w:t xml:space="preserve"> 15 քաղաքացի։</w:t>
      </w:r>
    </w:p>
    <w:p w14:paraId="18C60658"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Փախստականի կարգավիճակ չի տրամադրվել</w:t>
      </w:r>
      <w:r w:rsidR="00207F5A" w:rsidRPr="00C921DE">
        <w:rPr>
          <w:rFonts w:ascii="GHEA Grapalat" w:hAnsi="GHEA Grapalat"/>
          <w:sz w:val="22"/>
          <w:szCs w:val="22"/>
          <w:lang w:val="en-US"/>
        </w:rPr>
        <w:t>,</w:t>
      </w:r>
      <w:r w:rsidRPr="00C921DE">
        <w:rPr>
          <w:rFonts w:ascii="GHEA Grapalat" w:hAnsi="GHEA Grapalat"/>
          <w:sz w:val="22"/>
          <w:szCs w:val="22"/>
        </w:rPr>
        <w:t xml:space="preserve"> և ապաստանի տրամադրումը մերժվել է 156 օտարերկրյա քաղաքացու, այդ թվում՝ Իրաքի՝ 78, Ուկրաինայի՝ 7 և Իրանի՝ 26 քաղաքացու։</w:t>
      </w:r>
    </w:p>
    <w:p w14:paraId="7FEE0BBF"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ՀՀ-ում</w:t>
      </w:r>
      <w:r w:rsidR="00997998" w:rsidRPr="00C921DE">
        <w:rPr>
          <w:rFonts w:ascii="GHEA Grapalat" w:hAnsi="GHEA Grapalat"/>
          <w:sz w:val="22"/>
          <w:szCs w:val="22"/>
        </w:rPr>
        <w:t xml:space="preserve"> </w:t>
      </w:r>
      <w:r w:rsidRPr="00C921DE">
        <w:rPr>
          <w:rFonts w:ascii="GHEA Grapalat" w:hAnsi="GHEA Grapalat"/>
          <w:sz w:val="22"/>
          <w:szCs w:val="22"/>
        </w:rPr>
        <w:t>ապաստան հայցողին փախստական չճանաչելու և ապաստանի տրամադրումը մերժելու մասին Միգրացիայի և քաղաքացիության ծառայության մի շարք</w:t>
      </w:r>
      <w:r w:rsidR="00997998" w:rsidRPr="00C921DE">
        <w:rPr>
          <w:rFonts w:ascii="GHEA Grapalat" w:hAnsi="GHEA Grapalat"/>
          <w:sz w:val="22"/>
          <w:szCs w:val="22"/>
        </w:rPr>
        <w:t xml:space="preserve"> </w:t>
      </w:r>
      <w:r w:rsidRPr="00C921DE">
        <w:rPr>
          <w:rFonts w:ascii="GHEA Grapalat" w:hAnsi="GHEA Grapalat"/>
          <w:sz w:val="22"/>
          <w:szCs w:val="22"/>
        </w:rPr>
        <w:t>որոշումներ բողոքարկվել են ՀՀ վարչական դատարան: Բոլոր հայցադիմումների վերաբերյալ ծառայության կողմից ներկայացվել են առարկություններ:</w:t>
      </w:r>
    </w:p>
    <w:p w14:paraId="6A459DEA"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Հաշվետու</w:t>
      </w:r>
      <w:r w:rsidR="00997998" w:rsidRPr="00C921DE">
        <w:rPr>
          <w:rFonts w:ascii="GHEA Grapalat" w:hAnsi="GHEA Grapalat"/>
          <w:sz w:val="22"/>
          <w:szCs w:val="22"/>
        </w:rPr>
        <w:t xml:space="preserve"> </w:t>
      </w:r>
      <w:r w:rsidRPr="00C921DE">
        <w:rPr>
          <w:rFonts w:ascii="GHEA Grapalat" w:hAnsi="GHEA Grapalat"/>
          <w:sz w:val="22"/>
          <w:szCs w:val="22"/>
        </w:rPr>
        <w:t>ժամանակաշրջանում Հատուկ կացարան ՊՈԱԿ-ում տեղավորվել է</w:t>
      </w:r>
      <w:r w:rsidR="00997998" w:rsidRPr="00C921DE">
        <w:rPr>
          <w:rFonts w:ascii="GHEA Grapalat" w:hAnsi="GHEA Grapalat"/>
          <w:sz w:val="22"/>
          <w:szCs w:val="22"/>
        </w:rPr>
        <w:t xml:space="preserve"> </w:t>
      </w:r>
      <w:r w:rsidR="00061770" w:rsidRPr="00C921DE">
        <w:rPr>
          <w:rFonts w:ascii="GHEA Grapalat" w:hAnsi="GHEA Grapalat"/>
          <w:sz w:val="22"/>
          <w:szCs w:val="22"/>
        </w:rPr>
        <w:t>51</w:t>
      </w:r>
      <w:r w:rsidRPr="00C921DE">
        <w:rPr>
          <w:rFonts w:ascii="GHEA Grapalat" w:hAnsi="GHEA Grapalat"/>
          <w:sz w:val="22"/>
          <w:szCs w:val="22"/>
        </w:rPr>
        <w:t xml:space="preserve"> (27 ընտանիք) ապաստան հայցող օտարերկրացի:</w:t>
      </w:r>
    </w:p>
    <w:p w14:paraId="0BC7F9D8"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Կազմակերպվել է ՀՀ-ում ապաստան հայցող` «Հատուկ կացարան» ՊՈԱԿ-ում չտեղավորված 129 (55 ընտանիքի) օտարերկրացիներին ՀՀ օրենսդրությամբ սահմանված կարգով դրամական օգնության տրամադրում` կենսաապահովման հիմնական կարիքները հոգալու</w:t>
      </w:r>
      <w:r w:rsidR="00997998" w:rsidRPr="00C921DE">
        <w:rPr>
          <w:rFonts w:ascii="GHEA Grapalat" w:hAnsi="GHEA Grapalat"/>
          <w:sz w:val="22"/>
          <w:szCs w:val="22"/>
        </w:rPr>
        <w:t xml:space="preserve"> </w:t>
      </w:r>
      <w:r w:rsidRPr="00C921DE">
        <w:rPr>
          <w:rFonts w:ascii="GHEA Grapalat" w:hAnsi="GHEA Grapalat"/>
          <w:sz w:val="22"/>
          <w:szCs w:val="22"/>
        </w:rPr>
        <w:t>նպատակով:</w:t>
      </w:r>
    </w:p>
    <w:p w14:paraId="11C89329"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Ապաստան հայցողների համար ապահովվել է անհրաժեշտ՝ գրավոր և բանավոր թարգմանչական ծառայությունների մատուցում:</w:t>
      </w:r>
    </w:p>
    <w:p w14:paraId="56C24E81" w14:textId="77777777" w:rsidR="00752BF7" w:rsidRPr="00C921DE" w:rsidRDefault="00752BF7" w:rsidP="00E23EAB">
      <w:pPr>
        <w:spacing w:line="360" w:lineRule="auto"/>
        <w:ind w:firstLine="567"/>
        <w:jc w:val="both"/>
        <w:rPr>
          <w:rFonts w:ascii="GHEA Grapalat" w:hAnsi="GHEA Grapalat"/>
          <w:sz w:val="22"/>
          <w:szCs w:val="22"/>
        </w:rPr>
      </w:pPr>
      <w:r w:rsidRPr="00C921DE">
        <w:rPr>
          <w:rFonts w:ascii="GHEA Grapalat" w:hAnsi="GHEA Grapalat"/>
          <w:sz w:val="22"/>
          <w:szCs w:val="22"/>
        </w:rPr>
        <w:t>Նույն ժամանակահատվածում Միգրացիոն ծառայության Հանրակացարաններ</w:t>
      </w:r>
      <w:r w:rsidR="00997998" w:rsidRPr="00C921DE">
        <w:rPr>
          <w:rFonts w:ascii="GHEA Grapalat" w:hAnsi="GHEA Grapalat"/>
          <w:sz w:val="22"/>
          <w:szCs w:val="22"/>
        </w:rPr>
        <w:t xml:space="preserve"> </w:t>
      </w:r>
      <w:r w:rsidRPr="00C921DE">
        <w:rPr>
          <w:rFonts w:ascii="GHEA Grapalat" w:hAnsi="GHEA Grapalat"/>
          <w:sz w:val="22"/>
          <w:szCs w:val="22"/>
        </w:rPr>
        <w:t>ՊՈԱԿ-ի սպասարկման ենթակա Երևան քաղաքի Մոլդովական 29/1 հասցեի Ինտեգրման կենտրոն-ում սենյակներ են հատկացվել ՀՀ-ում նոր փախստական ճանաչված 10</w:t>
      </w:r>
      <w:r w:rsidR="00997998" w:rsidRPr="00C921DE">
        <w:rPr>
          <w:rFonts w:ascii="GHEA Grapalat" w:hAnsi="GHEA Grapalat"/>
          <w:sz w:val="22"/>
          <w:szCs w:val="22"/>
        </w:rPr>
        <w:t xml:space="preserve"> </w:t>
      </w:r>
      <w:r w:rsidRPr="00C921DE">
        <w:rPr>
          <w:rFonts w:ascii="GHEA Grapalat" w:hAnsi="GHEA Grapalat"/>
          <w:sz w:val="22"/>
          <w:szCs w:val="22"/>
        </w:rPr>
        <w:t>ընտանիքների, իսկ ՀՀ Արարատի մարզի</w:t>
      </w:r>
      <w:r w:rsidR="00997998" w:rsidRPr="00C921DE">
        <w:rPr>
          <w:rFonts w:ascii="GHEA Grapalat" w:hAnsi="GHEA Grapalat"/>
          <w:sz w:val="22"/>
          <w:szCs w:val="22"/>
        </w:rPr>
        <w:t xml:space="preserve"> </w:t>
      </w:r>
      <w:r w:rsidRPr="00C921DE">
        <w:rPr>
          <w:rFonts w:ascii="GHEA Grapalat" w:hAnsi="GHEA Grapalat"/>
          <w:sz w:val="22"/>
          <w:szCs w:val="22"/>
        </w:rPr>
        <w:t>Դարբնիկ համայնքի Անդրանիկի 4 հասցեում գտնվող սոցիալական</w:t>
      </w:r>
      <w:r w:rsidR="00997998" w:rsidRPr="00C921DE">
        <w:rPr>
          <w:rFonts w:ascii="GHEA Grapalat" w:hAnsi="GHEA Grapalat"/>
          <w:sz w:val="22"/>
          <w:szCs w:val="22"/>
        </w:rPr>
        <w:t xml:space="preserve"> </w:t>
      </w:r>
      <w:r w:rsidRPr="00C921DE">
        <w:rPr>
          <w:rFonts w:ascii="GHEA Grapalat" w:hAnsi="GHEA Grapalat"/>
          <w:sz w:val="22"/>
          <w:szCs w:val="22"/>
        </w:rPr>
        <w:t>տանը</w:t>
      </w:r>
      <w:r w:rsidR="00997998" w:rsidRPr="00C921DE">
        <w:rPr>
          <w:rFonts w:ascii="GHEA Grapalat" w:hAnsi="GHEA Grapalat"/>
          <w:sz w:val="22"/>
          <w:szCs w:val="22"/>
        </w:rPr>
        <w:t xml:space="preserve"> </w:t>
      </w:r>
      <w:r w:rsidRPr="00C921DE">
        <w:rPr>
          <w:rFonts w:ascii="GHEA Grapalat" w:hAnsi="GHEA Grapalat"/>
          <w:sz w:val="22"/>
          <w:szCs w:val="22"/>
        </w:rPr>
        <w:t>բնակարան է հատկացվել 2 ընտանիքի։</w:t>
      </w:r>
    </w:p>
    <w:p w14:paraId="774A970F" w14:textId="77777777" w:rsidR="00752BF7" w:rsidRPr="00C921DE" w:rsidRDefault="00752BF7" w:rsidP="00E23EAB">
      <w:pPr>
        <w:spacing w:line="360" w:lineRule="auto"/>
        <w:ind w:firstLine="567"/>
        <w:jc w:val="both"/>
        <w:rPr>
          <w:rFonts w:ascii="GHEA Grapalat" w:hAnsi="GHEA Grapalat"/>
          <w:sz w:val="22"/>
          <w:szCs w:val="22"/>
        </w:rPr>
      </w:pPr>
    </w:p>
    <w:p w14:paraId="0391FF62" w14:textId="77777777" w:rsidR="00752BF7" w:rsidRPr="00C921DE" w:rsidRDefault="00752BF7" w:rsidP="00997998">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ՀՀ քաղաքացիություն</w:t>
      </w:r>
    </w:p>
    <w:p w14:paraId="12FEF97E" w14:textId="77777777" w:rsidR="00752BF7" w:rsidRPr="00C921DE" w:rsidRDefault="00752BF7" w:rsidP="0062611C">
      <w:pPr>
        <w:spacing w:line="360" w:lineRule="auto"/>
        <w:ind w:firstLine="567"/>
        <w:jc w:val="both"/>
        <w:rPr>
          <w:rFonts w:ascii="GHEA Grapalat" w:hAnsi="GHEA Grapalat"/>
          <w:sz w:val="22"/>
          <w:szCs w:val="22"/>
        </w:rPr>
      </w:pPr>
      <w:r w:rsidRPr="00C921DE">
        <w:rPr>
          <w:rFonts w:ascii="GHEA Grapalat" w:hAnsi="GHEA Grapalat"/>
          <w:sz w:val="22"/>
          <w:szCs w:val="22"/>
        </w:rPr>
        <w:t>Մշակվել է «Քաղաքացիություն չունեցող անձանց մասին» օրենքի նախագիծ, որով կկանոնակարգվի Քաղաքացիություն չունեցող անձանց կարգավիճակի որոշման ընթացակարգը, ինչը բխում է 2019 թվականի փախստականների գլոբալ ֆորումում Հայաստանի հանձնառություններից:</w:t>
      </w:r>
    </w:p>
    <w:p w14:paraId="5AB614AA" w14:textId="77777777" w:rsidR="00752BF7" w:rsidRPr="00C921DE" w:rsidRDefault="00752BF7" w:rsidP="0062611C">
      <w:pPr>
        <w:spacing w:line="360" w:lineRule="auto"/>
        <w:ind w:firstLine="567"/>
        <w:jc w:val="both"/>
        <w:rPr>
          <w:rFonts w:ascii="GHEA Grapalat" w:hAnsi="GHEA Grapalat"/>
          <w:sz w:val="22"/>
          <w:szCs w:val="22"/>
        </w:rPr>
      </w:pPr>
      <w:r w:rsidRPr="00C921DE">
        <w:rPr>
          <w:rFonts w:ascii="GHEA Grapalat" w:hAnsi="GHEA Grapalat"/>
          <w:sz w:val="22"/>
          <w:szCs w:val="22"/>
        </w:rPr>
        <w:t>ՀՀ քաղաքացիության ստանալու հա</w:t>
      </w:r>
      <w:r w:rsidR="00136157" w:rsidRPr="00C921DE">
        <w:rPr>
          <w:rFonts w:ascii="GHEA Grapalat" w:hAnsi="GHEA Grapalat"/>
          <w:sz w:val="22"/>
          <w:szCs w:val="22"/>
        </w:rPr>
        <w:t>մար 2023</w:t>
      </w:r>
      <w:r w:rsidR="0062611C" w:rsidRPr="00C921DE">
        <w:rPr>
          <w:rFonts w:ascii="GHEA Grapalat" w:hAnsi="GHEA Grapalat"/>
          <w:sz w:val="22"/>
          <w:szCs w:val="22"/>
          <w:lang w:val="en-US"/>
        </w:rPr>
        <w:t xml:space="preserve"> </w:t>
      </w:r>
      <w:r w:rsidRPr="00C921DE">
        <w:rPr>
          <w:rFonts w:ascii="GHEA Grapalat" w:hAnsi="GHEA Grapalat"/>
          <w:sz w:val="22"/>
          <w:szCs w:val="22"/>
        </w:rPr>
        <w:t>թ</w:t>
      </w:r>
      <w:r w:rsidR="0062611C" w:rsidRPr="00C921DE">
        <w:rPr>
          <w:rFonts w:ascii="GHEA Grapalat" w:hAnsi="GHEA Grapalat"/>
          <w:sz w:val="22"/>
          <w:szCs w:val="22"/>
          <w:lang w:val="en-US"/>
        </w:rPr>
        <w:t>վական</w:t>
      </w:r>
      <w:r w:rsidRPr="00C921DE">
        <w:rPr>
          <w:rFonts w:ascii="GHEA Grapalat" w:hAnsi="GHEA Grapalat"/>
          <w:sz w:val="22"/>
          <w:szCs w:val="22"/>
        </w:rPr>
        <w:t xml:space="preserve">ին ստացվել է </w:t>
      </w:r>
      <w:r w:rsidR="00136157" w:rsidRPr="00C921DE">
        <w:rPr>
          <w:rFonts w:ascii="GHEA Grapalat" w:hAnsi="GHEA Grapalat"/>
          <w:sz w:val="22"/>
          <w:szCs w:val="22"/>
        </w:rPr>
        <w:t>19185</w:t>
      </w:r>
      <w:r w:rsidR="00136157" w:rsidRPr="00C921DE">
        <w:rPr>
          <w:rFonts w:ascii="GHEA Grapalat" w:hAnsi="GHEA Grapalat"/>
          <w:sz w:val="22"/>
          <w:szCs w:val="22"/>
          <w:lang w:val="en-US"/>
        </w:rPr>
        <w:t xml:space="preserve"> դիմում</w:t>
      </w:r>
      <w:r w:rsidRPr="00C921DE">
        <w:rPr>
          <w:rFonts w:ascii="GHEA Grapalat" w:hAnsi="GHEA Grapalat"/>
          <w:sz w:val="22"/>
          <w:szCs w:val="22"/>
        </w:rPr>
        <w:t>, 2023</w:t>
      </w:r>
      <w:r w:rsidR="00BD78A2" w:rsidRPr="00C921DE">
        <w:rPr>
          <w:rFonts w:ascii="GHEA Grapalat" w:hAnsi="GHEA Grapalat"/>
          <w:sz w:val="22"/>
          <w:szCs w:val="22"/>
          <w:lang w:val="en-US"/>
        </w:rPr>
        <w:t xml:space="preserve"> </w:t>
      </w:r>
      <w:r w:rsidRPr="00C921DE">
        <w:rPr>
          <w:rFonts w:ascii="GHEA Grapalat" w:hAnsi="GHEA Grapalat"/>
          <w:sz w:val="22"/>
          <w:szCs w:val="22"/>
        </w:rPr>
        <w:t>թ</w:t>
      </w:r>
      <w:r w:rsidR="00BD78A2" w:rsidRPr="00C921DE">
        <w:rPr>
          <w:rFonts w:ascii="GHEA Grapalat" w:hAnsi="GHEA Grapalat"/>
          <w:sz w:val="22"/>
          <w:szCs w:val="22"/>
          <w:lang w:val="en-US"/>
        </w:rPr>
        <w:t>վական</w:t>
      </w:r>
      <w:r w:rsidRPr="00C921DE">
        <w:rPr>
          <w:rFonts w:ascii="GHEA Grapalat" w:hAnsi="GHEA Grapalat"/>
          <w:sz w:val="22"/>
          <w:szCs w:val="22"/>
        </w:rPr>
        <w:t>ին</w:t>
      </w:r>
      <w:r w:rsidR="00BD78A2" w:rsidRPr="00C921DE">
        <w:rPr>
          <w:rFonts w:ascii="GHEA Grapalat" w:hAnsi="GHEA Grapalat"/>
          <w:sz w:val="22"/>
          <w:szCs w:val="22"/>
          <w:lang w:val="en-US"/>
        </w:rPr>
        <w:t>՝</w:t>
      </w:r>
      <w:r w:rsidR="00136157" w:rsidRPr="00C921DE">
        <w:rPr>
          <w:rFonts w:ascii="GHEA Grapalat" w:hAnsi="GHEA Grapalat"/>
          <w:sz w:val="22"/>
          <w:szCs w:val="22"/>
          <w:lang w:val="en-US"/>
        </w:rPr>
        <w:t xml:space="preserve"> </w:t>
      </w:r>
      <w:r w:rsidR="00136157" w:rsidRPr="00C921DE">
        <w:rPr>
          <w:rFonts w:ascii="GHEA Grapalat" w:hAnsi="GHEA Grapalat"/>
          <w:sz w:val="22"/>
          <w:szCs w:val="22"/>
        </w:rPr>
        <w:t>25515</w:t>
      </w:r>
      <w:r w:rsidR="00136157" w:rsidRPr="00C921DE">
        <w:rPr>
          <w:rFonts w:ascii="GHEA Grapalat" w:hAnsi="GHEA Grapalat"/>
          <w:sz w:val="22"/>
          <w:szCs w:val="22"/>
          <w:lang w:val="en-US"/>
        </w:rPr>
        <w:t xml:space="preserve"> դիմում</w:t>
      </w:r>
      <w:r w:rsidRPr="00C921DE">
        <w:rPr>
          <w:rFonts w:ascii="GHEA Grapalat" w:hAnsi="GHEA Grapalat"/>
          <w:sz w:val="22"/>
          <w:szCs w:val="22"/>
        </w:rPr>
        <w:t>,</w:t>
      </w:r>
      <w:r w:rsidR="00997998" w:rsidRPr="00C921DE">
        <w:rPr>
          <w:rFonts w:ascii="GHEA Grapalat" w:hAnsi="GHEA Grapalat"/>
          <w:sz w:val="22"/>
          <w:szCs w:val="22"/>
        </w:rPr>
        <w:t xml:space="preserve"> </w:t>
      </w:r>
      <w:r w:rsidRPr="00C921DE">
        <w:rPr>
          <w:rFonts w:ascii="GHEA Grapalat" w:hAnsi="GHEA Grapalat"/>
          <w:sz w:val="22"/>
          <w:szCs w:val="22"/>
        </w:rPr>
        <w:t>ՀՀ քաղաքացիությ</w:t>
      </w:r>
      <w:r w:rsidR="00BD78A2" w:rsidRPr="00C921DE">
        <w:rPr>
          <w:rFonts w:ascii="GHEA Grapalat" w:hAnsi="GHEA Grapalat"/>
          <w:sz w:val="22"/>
          <w:szCs w:val="22"/>
          <w:lang w:val="en-US"/>
        </w:rPr>
        <w:t>ա</w:t>
      </w:r>
      <w:r w:rsidRPr="00C921DE">
        <w:rPr>
          <w:rFonts w:ascii="GHEA Grapalat" w:hAnsi="GHEA Grapalat"/>
          <w:sz w:val="22"/>
          <w:szCs w:val="22"/>
        </w:rPr>
        <w:t xml:space="preserve">ն շնորհման թիվը կազմել է </w:t>
      </w:r>
      <w:r w:rsidR="00136157" w:rsidRPr="00C921DE">
        <w:rPr>
          <w:rFonts w:ascii="GHEA Grapalat" w:hAnsi="GHEA Grapalat"/>
          <w:sz w:val="22"/>
          <w:szCs w:val="22"/>
        </w:rPr>
        <w:t>2023</w:t>
      </w:r>
      <w:r w:rsidR="00136157" w:rsidRPr="00C921DE">
        <w:rPr>
          <w:rFonts w:ascii="GHEA Grapalat" w:hAnsi="GHEA Grapalat"/>
          <w:sz w:val="22"/>
          <w:szCs w:val="22"/>
          <w:lang w:val="en-US"/>
        </w:rPr>
        <w:t xml:space="preserve"> </w:t>
      </w:r>
      <w:r w:rsidR="00136157" w:rsidRPr="00C921DE">
        <w:rPr>
          <w:rFonts w:ascii="GHEA Grapalat" w:hAnsi="GHEA Grapalat"/>
          <w:sz w:val="22"/>
          <w:szCs w:val="22"/>
        </w:rPr>
        <w:t>թ</w:t>
      </w:r>
      <w:r w:rsidR="00136157" w:rsidRPr="00C921DE">
        <w:rPr>
          <w:rFonts w:ascii="GHEA Grapalat" w:hAnsi="GHEA Grapalat"/>
          <w:sz w:val="22"/>
          <w:szCs w:val="22"/>
          <w:lang w:val="en-US"/>
        </w:rPr>
        <w:t>վական</w:t>
      </w:r>
      <w:r w:rsidR="00136157" w:rsidRPr="00C921DE">
        <w:rPr>
          <w:rFonts w:ascii="GHEA Grapalat" w:hAnsi="GHEA Grapalat"/>
          <w:sz w:val="22"/>
          <w:szCs w:val="22"/>
        </w:rPr>
        <w:t>ին</w:t>
      </w:r>
      <w:r w:rsidR="00136157" w:rsidRPr="00C921DE">
        <w:rPr>
          <w:rFonts w:ascii="GHEA Grapalat" w:hAnsi="GHEA Grapalat"/>
          <w:sz w:val="22"/>
          <w:szCs w:val="22"/>
          <w:lang w:val="en-US"/>
        </w:rPr>
        <w:t>՝</w:t>
      </w:r>
      <w:r w:rsidR="00136157" w:rsidRPr="00C921DE">
        <w:rPr>
          <w:rFonts w:ascii="GHEA Grapalat" w:hAnsi="GHEA Grapalat"/>
          <w:sz w:val="22"/>
          <w:szCs w:val="22"/>
        </w:rPr>
        <w:t xml:space="preserve"> 20884</w:t>
      </w:r>
      <w:r w:rsidR="00136157" w:rsidRPr="00C921DE">
        <w:rPr>
          <w:rFonts w:ascii="GHEA Grapalat" w:hAnsi="GHEA Grapalat"/>
          <w:sz w:val="22"/>
          <w:szCs w:val="22"/>
          <w:lang w:val="en-US"/>
        </w:rPr>
        <w:t xml:space="preserve">, </w:t>
      </w:r>
      <w:r w:rsidRPr="00C921DE">
        <w:rPr>
          <w:rFonts w:ascii="GHEA Grapalat" w:hAnsi="GHEA Grapalat"/>
          <w:sz w:val="22"/>
          <w:szCs w:val="22"/>
        </w:rPr>
        <w:t>2022</w:t>
      </w:r>
      <w:r w:rsidR="00BD78A2" w:rsidRPr="00C921DE">
        <w:rPr>
          <w:rFonts w:ascii="GHEA Grapalat" w:hAnsi="GHEA Grapalat"/>
          <w:sz w:val="22"/>
          <w:szCs w:val="22"/>
          <w:lang w:val="en-US"/>
        </w:rPr>
        <w:t xml:space="preserve"> </w:t>
      </w:r>
      <w:r w:rsidRPr="00C921DE">
        <w:rPr>
          <w:rFonts w:ascii="GHEA Grapalat" w:hAnsi="GHEA Grapalat"/>
          <w:sz w:val="22"/>
          <w:szCs w:val="22"/>
        </w:rPr>
        <w:t>թ</w:t>
      </w:r>
      <w:r w:rsidR="00BD78A2" w:rsidRPr="00C921DE">
        <w:rPr>
          <w:rFonts w:ascii="GHEA Grapalat" w:hAnsi="GHEA Grapalat"/>
          <w:sz w:val="22"/>
          <w:szCs w:val="22"/>
          <w:lang w:val="en-US"/>
        </w:rPr>
        <w:t>վական</w:t>
      </w:r>
      <w:r w:rsidRPr="00C921DE">
        <w:rPr>
          <w:rFonts w:ascii="GHEA Grapalat" w:hAnsi="GHEA Grapalat"/>
          <w:sz w:val="22"/>
          <w:szCs w:val="22"/>
        </w:rPr>
        <w:t>ին</w:t>
      </w:r>
      <w:r w:rsidR="00BD78A2" w:rsidRPr="00C921DE">
        <w:rPr>
          <w:rFonts w:ascii="GHEA Grapalat" w:hAnsi="GHEA Grapalat"/>
          <w:sz w:val="22"/>
          <w:szCs w:val="22"/>
          <w:lang w:val="en-US"/>
        </w:rPr>
        <w:t>՝</w:t>
      </w:r>
      <w:r w:rsidRPr="00C921DE">
        <w:rPr>
          <w:rFonts w:ascii="GHEA Grapalat" w:hAnsi="GHEA Grapalat"/>
          <w:sz w:val="22"/>
          <w:szCs w:val="22"/>
        </w:rPr>
        <w:t xml:space="preserve"> 19675:</w:t>
      </w:r>
    </w:p>
    <w:p w14:paraId="164398F3" w14:textId="77777777" w:rsidR="00752BF7" w:rsidRPr="00C921DE" w:rsidRDefault="00752BF7" w:rsidP="0062611C">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ՀՀ քաղաքացիության դադարեցման համար ստացվել է </w:t>
      </w:r>
      <w:r w:rsidR="00DD1F9D" w:rsidRPr="00C921DE">
        <w:rPr>
          <w:rFonts w:ascii="GHEA Grapalat" w:hAnsi="GHEA Grapalat"/>
          <w:sz w:val="22"/>
          <w:szCs w:val="22"/>
        </w:rPr>
        <w:t>2023</w:t>
      </w:r>
      <w:r w:rsidR="00DD1F9D" w:rsidRPr="00C921DE">
        <w:rPr>
          <w:rFonts w:ascii="GHEA Grapalat" w:hAnsi="GHEA Grapalat"/>
          <w:sz w:val="22"/>
          <w:szCs w:val="22"/>
          <w:lang w:val="en-US"/>
        </w:rPr>
        <w:t xml:space="preserve"> </w:t>
      </w:r>
      <w:r w:rsidR="00DD1F9D" w:rsidRPr="00C921DE">
        <w:rPr>
          <w:rFonts w:ascii="GHEA Grapalat" w:hAnsi="GHEA Grapalat"/>
          <w:sz w:val="22"/>
          <w:szCs w:val="22"/>
        </w:rPr>
        <w:t>թ</w:t>
      </w:r>
      <w:r w:rsidR="00DD1F9D" w:rsidRPr="00C921DE">
        <w:rPr>
          <w:rFonts w:ascii="GHEA Grapalat" w:hAnsi="GHEA Grapalat"/>
          <w:sz w:val="22"/>
          <w:szCs w:val="22"/>
          <w:lang w:val="en-US"/>
        </w:rPr>
        <w:t>վական</w:t>
      </w:r>
      <w:r w:rsidR="00DD1F9D" w:rsidRPr="00C921DE">
        <w:rPr>
          <w:rFonts w:ascii="GHEA Grapalat" w:hAnsi="GHEA Grapalat"/>
          <w:sz w:val="22"/>
          <w:szCs w:val="22"/>
        </w:rPr>
        <w:t>ին</w:t>
      </w:r>
      <w:r w:rsidR="00DD1F9D" w:rsidRPr="00C921DE">
        <w:rPr>
          <w:rFonts w:ascii="GHEA Grapalat" w:hAnsi="GHEA Grapalat"/>
          <w:sz w:val="22"/>
          <w:szCs w:val="22"/>
          <w:lang w:val="en-US"/>
        </w:rPr>
        <w:t>՝</w:t>
      </w:r>
      <w:r w:rsidR="00DD1F9D" w:rsidRPr="00C921DE">
        <w:rPr>
          <w:rFonts w:ascii="GHEA Grapalat" w:hAnsi="GHEA Grapalat"/>
          <w:sz w:val="22"/>
          <w:szCs w:val="22"/>
        </w:rPr>
        <w:t xml:space="preserve"> 3687 դիմում</w:t>
      </w:r>
      <w:r w:rsidR="00DD1F9D" w:rsidRPr="00C921DE">
        <w:rPr>
          <w:rFonts w:ascii="GHEA Grapalat" w:hAnsi="GHEA Grapalat"/>
          <w:sz w:val="22"/>
          <w:szCs w:val="22"/>
          <w:lang w:val="en-US"/>
        </w:rPr>
        <w:t>,</w:t>
      </w:r>
      <w:r w:rsidR="00DD1F9D" w:rsidRPr="00C921DE">
        <w:rPr>
          <w:rFonts w:ascii="GHEA Grapalat" w:hAnsi="GHEA Grapalat"/>
          <w:sz w:val="22"/>
          <w:szCs w:val="22"/>
        </w:rPr>
        <w:t xml:space="preserve"> </w:t>
      </w:r>
      <w:r w:rsidRPr="00C921DE">
        <w:rPr>
          <w:rFonts w:ascii="GHEA Grapalat" w:hAnsi="GHEA Grapalat"/>
          <w:sz w:val="22"/>
          <w:szCs w:val="22"/>
        </w:rPr>
        <w:t>2022</w:t>
      </w:r>
      <w:r w:rsidR="00BD78A2" w:rsidRPr="00C921DE">
        <w:rPr>
          <w:rFonts w:ascii="GHEA Grapalat" w:hAnsi="GHEA Grapalat"/>
          <w:sz w:val="22"/>
          <w:szCs w:val="22"/>
          <w:lang w:val="en-US"/>
        </w:rPr>
        <w:t xml:space="preserve"> </w:t>
      </w:r>
      <w:r w:rsidRPr="00C921DE">
        <w:rPr>
          <w:rFonts w:ascii="GHEA Grapalat" w:hAnsi="GHEA Grapalat"/>
          <w:sz w:val="22"/>
          <w:szCs w:val="22"/>
        </w:rPr>
        <w:t>թ</w:t>
      </w:r>
      <w:r w:rsidR="00BD78A2" w:rsidRPr="00C921DE">
        <w:rPr>
          <w:rFonts w:ascii="GHEA Grapalat" w:hAnsi="GHEA Grapalat"/>
          <w:sz w:val="22"/>
          <w:szCs w:val="22"/>
          <w:lang w:val="en-US"/>
        </w:rPr>
        <w:t>վական</w:t>
      </w:r>
      <w:r w:rsidRPr="00C921DE">
        <w:rPr>
          <w:rFonts w:ascii="GHEA Grapalat" w:hAnsi="GHEA Grapalat"/>
          <w:sz w:val="22"/>
          <w:szCs w:val="22"/>
        </w:rPr>
        <w:t>ին</w:t>
      </w:r>
      <w:r w:rsidR="00BD78A2" w:rsidRPr="00C921DE">
        <w:rPr>
          <w:rFonts w:ascii="GHEA Grapalat" w:hAnsi="GHEA Grapalat"/>
          <w:sz w:val="22"/>
          <w:szCs w:val="22"/>
          <w:lang w:val="en-US"/>
        </w:rPr>
        <w:t>՝</w:t>
      </w:r>
      <w:r w:rsidRPr="00C921DE">
        <w:rPr>
          <w:rFonts w:ascii="GHEA Grapalat" w:hAnsi="GHEA Grapalat"/>
          <w:sz w:val="22"/>
          <w:szCs w:val="22"/>
        </w:rPr>
        <w:t xml:space="preserve"> 4510</w:t>
      </w:r>
      <w:r w:rsidR="00DD1F9D" w:rsidRPr="00C921DE">
        <w:rPr>
          <w:rFonts w:ascii="GHEA Grapalat" w:hAnsi="GHEA Grapalat"/>
          <w:sz w:val="22"/>
          <w:szCs w:val="22"/>
          <w:lang w:val="en-US"/>
        </w:rPr>
        <w:t xml:space="preserve"> դիմում</w:t>
      </w:r>
      <w:r w:rsidR="00DD1F9D" w:rsidRPr="00C921DE">
        <w:rPr>
          <w:rFonts w:ascii="GHEA Grapalat" w:hAnsi="GHEA Grapalat"/>
          <w:sz w:val="22"/>
          <w:szCs w:val="22"/>
        </w:rPr>
        <w:t>, 2023</w:t>
      </w:r>
      <w:r w:rsidR="00BD78A2" w:rsidRPr="00C921DE">
        <w:rPr>
          <w:rFonts w:ascii="GHEA Grapalat" w:hAnsi="GHEA Grapalat"/>
          <w:sz w:val="22"/>
          <w:szCs w:val="22"/>
          <w:lang w:val="en-US"/>
        </w:rPr>
        <w:t xml:space="preserve"> </w:t>
      </w:r>
      <w:r w:rsidRPr="00C921DE">
        <w:rPr>
          <w:rFonts w:ascii="GHEA Grapalat" w:hAnsi="GHEA Grapalat"/>
          <w:sz w:val="22"/>
          <w:szCs w:val="22"/>
        </w:rPr>
        <w:t>թ</w:t>
      </w:r>
      <w:r w:rsidR="00BD78A2" w:rsidRPr="00C921DE">
        <w:rPr>
          <w:rFonts w:ascii="GHEA Grapalat" w:hAnsi="GHEA Grapalat"/>
          <w:sz w:val="22"/>
          <w:szCs w:val="22"/>
          <w:lang w:val="en-US"/>
        </w:rPr>
        <w:t>վական</w:t>
      </w:r>
      <w:r w:rsidRPr="00C921DE">
        <w:rPr>
          <w:rFonts w:ascii="GHEA Grapalat" w:hAnsi="GHEA Grapalat"/>
          <w:sz w:val="22"/>
          <w:szCs w:val="22"/>
        </w:rPr>
        <w:t>ին</w:t>
      </w:r>
      <w:r w:rsidR="00BD78A2" w:rsidRPr="00C921DE">
        <w:rPr>
          <w:rFonts w:ascii="GHEA Grapalat" w:hAnsi="GHEA Grapalat"/>
          <w:sz w:val="22"/>
          <w:szCs w:val="22"/>
          <w:lang w:val="en-US"/>
        </w:rPr>
        <w:t xml:space="preserve"> դադարեցվել է</w:t>
      </w:r>
      <w:r w:rsidRPr="00C921DE">
        <w:rPr>
          <w:rFonts w:ascii="GHEA Grapalat" w:hAnsi="GHEA Grapalat"/>
          <w:sz w:val="22"/>
          <w:szCs w:val="22"/>
        </w:rPr>
        <w:t xml:space="preserve"> </w:t>
      </w:r>
      <w:r w:rsidR="00DD1F9D" w:rsidRPr="00C921DE">
        <w:rPr>
          <w:rFonts w:ascii="GHEA Grapalat" w:hAnsi="GHEA Grapalat"/>
          <w:sz w:val="22"/>
          <w:szCs w:val="22"/>
          <w:lang w:val="en-US"/>
        </w:rPr>
        <w:t xml:space="preserve">3321 </w:t>
      </w:r>
      <w:r w:rsidR="00BD78A2" w:rsidRPr="00C921DE">
        <w:rPr>
          <w:rFonts w:ascii="GHEA Grapalat" w:hAnsi="GHEA Grapalat"/>
          <w:sz w:val="22"/>
          <w:szCs w:val="22"/>
          <w:lang w:val="en-US"/>
        </w:rPr>
        <w:t xml:space="preserve">անձի </w:t>
      </w:r>
      <w:r w:rsidR="00BD78A2" w:rsidRPr="00C921DE">
        <w:rPr>
          <w:rFonts w:ascii="GHEA Grapalat" w:hAnsi="GHEA Grapalat"/>
          <w:sz w:val="22"/>
          <w:szCs w:val="22"/>
        </w:rPr>
        <w:t>ՀՀ քաղաքացիությունը</w:t>
      </w:r>
      <w:r w:rsidR="00DD1F9D" w:rsidRPr="00C921DE">
        <w:rPr>
          <w:rFonts w:ascii="GHEA Grapalat" w:hAnsi="GHEA Grapalat"/>
          <w:sz w:val="22"/>
          <w:szCs w:val="22"/>
        </w:rPr>
        <w:t>, 2022</w:t>
      </w:r>
      <w:r w:rsidR="009138C4" w:rsidRPr="00C921DE">
        <w:rPr>
          <w:rFonts w:ascii="GHEA Grapalat" w:hAnsi="GHEA Grapalat"/>
          <w:sz w:val="22"/>
          <w:szCs w:val="22"/>
          <w:lang w:val="en-US"/>
        </w:rPr>
        <w:t xml:space="preserve"> </w:t>
      </w:r>
      <w:r w:rsidRPr="00C921DE">
        <w:rPr>
          <w:rFonts w:ascii="GHEA Grapalat" w:hAnsi="GHEA Grapalat"/>
          <w:sz w:val="22"/>
          <w:szCs w:val="22"/>
        </w:rPr>
        <w:t>թ</w:t>
      </w:r>
      <w:r w:rsidR="009138C4" w:rsidRPr="00C921DE">
        <w:rPr>
          <w:rFonts w:ascii="GHEA Grapalat" w:hAnsi="GHEA Grapalat"/>
          <w:sz w:val="22"/>
          <w:szCs w:val="22"/>
          <w:lang w:val="en-US"/>
        </w:rPr>
        <w:t>վական</w:t>
      </w:r>
      <w:r w:rsidRPr="00C921DE">
        <w:rPr>
          <w:rFonts w:ascii="GHEA Grapalat" w:hAnsi="GHEA Grapalat"/>
          <w:sz w:val="22"/>
          <w:szCs w:val="22"/>
        </w:rPr>
        <w:t>ին</w:t>
      </w:r>
      <w:r w:rsidR="009138C4" w:rsidRPr="00C921DE">
        <w:rPr>
          <w:rFonts w:ascii="GHEA Grapalat" w:hAnsi="GHEA Grapalat"/>
          <w:sz w:val="22"/>
          <w:szCs w:val="22"/>
          <w:lang w:val="en-US"/>
        </w:rPr>
        <w:t>՝</w:t>
      </w:r>
      <w:r w:rsidR="00DD1F9D" w:rsidRPr="00C921DE">
        <w:rPr>
          <w:rFonts w:ascii="GHEA Grapalat" w:hAnsi="GHEA Grapalat"/>
          <w:sz w:val="22"/>
          <w:szCs w:val="22"/>
        </w:rPr>
        <w:t xml:space="preserve"> 4417</w:t>
      </w:r>
      <w:r w:rsidR="00DD1F9D" w:rsidRPr="00C921DE">
        <w:rPr>
          <w:rFonts w:ascii="GHEA Grapalat" w:hAnsi="GHEA Grapalat"/>
          <w:sz w:val="22"/>
          <w:szCs w:val="22"/>
          <w:lang w:val="en-US"/>
        </w:rPr>
        <w:t xml:space="preserve"> </w:t>
      </w:r>
      <w:r w:rsidR="009138C4" w:rsidRPr="00C921DE">
        <w:rPr>
          <w:rFonts w:ascii="GHEA Grapalat" w:hAnsi="GHEA Grapalat"/>
          <w:sz w:val="22"/>
          <w:szCs w:val="22"/>
          <w:lang w:val="en-US"/>
        </w:rPr>
        <w:t>անձի</w:t>
      </w:r>
      <w:r w:rsidRPr="00C921DE">
        <w:rPr>
          <w:rFonts w:ascii="GHEA Grapalat" w:hAnsi="GHEA Grapalat"/>
          <w:sz w:val="22"/>
          <w:szCs w:val="22"/>
        </w:rPr>
        <w:t>:</w:t>
      </w:r>
    </w:p>
    <w:p w14:paraId="3A4F57ED" w14:textId="46E75F54" w:rsidR="00752BF7" w:rsidRPr="00C921DE" w:rsidRDefault="00752BF7" w:rsidP="0062611C">
      <w:pPr>
        <w:spacing w:line="360" w:lineRule="auto"/>
        <w:ind w:firstLine="567"/>
        <w:jc w:val="both"/>
        <w:rPr>
          <w:rFonts w:ascii="GHEA Grapalat" w:hAnsi="GHEA Grapalat"/>
          <w:sz w:val="22"/>
          <w:szCs w:val="22"/>
        </w:rPr>
      </w:pPr>
    </w:p>
    <w:p w14:paraId="354100B1" w14:textId="77777777" w:rsidR="002B21DE" w:rsidRPr="00C921DE" w:rsidRDefault="002B21DE" w:rsidP="0062611C">
      <w:pPr>
        <w:spacing w:line="360" w:lineRule="auto"/>
        <w:ind w:firstLine="567"/>
        <w:jc w:val="both"/>
        <w:rPr>
          <w:rFonts w:ascii="GHEA Grapalat" w:hAnsi="GHEA Grapalat"/>
          <w:sz w:val="22"/>
          <w:szCs w:val="22"/>
        </w:rPr>
      </w:pPr>
    </w:p>
    <w:p w14:paraId="10ECFB0A" w14:textId="77777777" w:rsidR="00752BF7" w:rsidRPr="00C921DE" w:rsidRDefault="00752BF7" w:rsidP="00997998">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lastRenderedPageBreak/>
        <w:t xml:space="preserve">Անձնագրային համակարգ </w:t>
      </w:r>
    </w:p>
    <w:p w14:paraId="6E675D3C" w14:textId="77777777" w:rsidR="00752BF7" w:rsidRPr="00C921DE" w:rsidRDefault="00752BF7" w:rsidP="009138C4">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w:t>
      </w:r>
      <w:r w:rsidR="009138C4" w:rsidRPr="00C921DE">
        <w:rPr>
          <w:rFonts w:ascii="GHEA Grapalat" w:hAnsi="GHEA Grapalat"/>
          <w:sz w:val="22"/>
          <w:szCs w:val="22"/>
          <w:lang w:val="en-US"/>
        </w:rPr>
        <w:t>ն</w:t>
      </w:r>
      <w:r w:rsidR="00997998" w:rsidRPr="00C921DE">
        <w:rPr>
          <w:rFonts w:ascii="GHEA Grapalat" w:hAnsi="GHEA Grapalat"/>
          <w:sz w:val="22"/>
          <w:szCs w:val="22"/>
        </w:rPr>
        <w:t xml:space="preserve"> </w:t>
      </w:r>
      <w:r w:rsidRPr="00C921DE">
        <w:rPr>
          <w:rFonts w:ascii="GHEA Grapalat" w:hAnsi="GHEA Grapalat"/>
          <w:sz w:val="22"/>
          <w:szCs w:val="22"/>
        </w:rPr>
        <w:t>տպագրվել է 483835 հին նմուշի անձնագիր, 64483 նույնականա</w:t>
      </w:r>
      <w:r w:rsidR="009138C4" w:rsidRPr="00C921DE">
        <w:rPr>
          <w:rFonts w:ascii="GHEA Grapalat" w:hAnsi="GHEA Grapalat"/>
          <w:sz w:val="22"/>
          <w:szCs w:val="22"/>
          <w:lang w:val="en-US"/>
        </w:rPr>
        <w:t>ց</w:t>
      </w:r>
      <w:r w:rsidRPr="00C921DE">
        <w:rPr>
          <w:rFonts w:ascii="GHEA Grapalat" w:hAnsi="GHEA Grapalat"/>
          <w:sz w:val="22"/>
          <w:szCs w:val="22"/>
        </w:rPr>
        <w:t>ման քարտ առանց կրիչի, տրվել է 694966 հանրային ծառայության համարանիշի տեղեկանք: Կատարվել է</w:t>
      </w:r>
      <w:r w:rsidR="00997998" w:rsidRPr="00C921DE">
        <w:rPr>
          <w:rFonts w:ascii="GHEA Grapalat" w:hAnsi="GHEA Grapalat"/>
          <w:sz w:val="22"/>
          <w:szCs w:val="22"/>
        </w:rPr>
        <w:t xml:space="preserve"> </w:t>
      </w:r>
      <w:r w:rsidRPr="00C921DE">
        <w:rPr>
          <w:rFonts w:ascii="GHEA Grapalat" w:hAnsi="GHEA Grapalat"/>
          <w:sz w:val="22"/>
          <w:szCs w:val="22"/>
        </w:rPr>
        <w:t>օտարերկրյա պետություններում անձնագրի վավերականության մ</w:t>
      </w:r>
      <w:r w:rsidR="009138C4" w:rsidRPr="00C921DE">
        <w:rPr>
          <w:rFonts w:ascii="GHEA Grapalat" w:hAnsi="GHEA Grapalat"/>
          <w:sz w:val="22"/>
          <w:szCs w:val="22"/>
        </w:rPr>
        <w:t>ասին 643018 նշում, 2024 թվականի</w:t>
      </w:r>
      <w:r w:rsidRPr="00C921DE">
        <w:rPr>
          <w:rFonts w:ascii="GHEA Grapalat" w:hAnsi="GHEA Grapalat"/>
          <w:sz w:val="22"/>
          <w:szCs w:val="22"/>
        </w:rPr>
        <w:t xml:space="preserve"> հունվարի 1-ից իրավական կարգավորումը ճանաչվել է ուժը կորցրած:</w:t>
      </w:r>
    </w:p>
    <w:p w14:paraId="0E70C641" w14:textId="77777777" w:rsidR="00752BF7" w:rsidRPr="00C921DE" w:rsidRDefault="00752BF7" w:rsidP="009138C4">
      <w:pPr>
        <w:spacing w:line="360" w:lineRule="auto"/>
        <w:ind w:firstLine="567"/>
        <w:jc w:val="both"/>
        <w:rPr>
          <w:rFonts w:ascii="GHEA Grapalat" w:hAnsi="GHEA Grapalat"/>
          <w:sz w:val="22"/>
          <w:szCs w:val="22"/>
        </w:rPr>
      </w:pPr>
      <w:r w:rsidRPr="00C921DE">
        <w:rPr>
          <w:rFonts w:ascii="GHEA Grapalat" w:hAnsi="GHEA Grapalat"/>
          <w:sz w:val="22"/>
          <w:szCs w:val="22"/>
        </w:rPr>
        <w:t xml:space="preserve">Ներդրվել է Երևանում էլեկտրոնային հերթագրման կարգը, տեղեկանքների օնլայն ստացումը: 2023 թվականի դեկտեմբերից մեկնարկել են կենսաչափական անձնագրերի և նույնականացման քարտերի նոր համակարգի ներդրման գործընթացին ուղղված աշխատանքները: </w:t>
      </w:r>
    </w:p>
    <w:p w14:paraId="17725E0B" w14:textId="77777777" w:rsidR="00752BF7" w:rsidRPr="00C921DE" w:rsidRDefault="00752BF7" w:rsidP="009138C4">
      <w:pPr>
        <w:spacing w:line="360" w:lineRule="auto"/>
        <w:ind w:firstLine="567"/>
        <w:jc w:val="both"/>
        <w:rPr>
          <w:rFonts w:ascii="GHEA Grapalat" w:hAnsi="GHEA Grapalat"/>
          <w:sz w:val="22"/>
          <w:szCs w:val="22"/>
        </w:rPr>
      </w:pPr>
      <w:r w:rsidRPr="00C921DE">
        <w:rPr>
          <w:rFonts w:ascii="GHEA Grapalat" w:hAnsi="GHEA Grapalat"/>
          <w:sz w:val="22"/>
          <w:szCs w:val="22"/>
        </w:rPr>
        <w:t>Անձնագրային և վիզաների վարչության Երևան քաղաքում, այնուհետ՝ մարզերում գործող գրեթե բոլոր անձնագրային ծառայություննե</w:t>
      </w:r>
      <w:r w:rsidR="009138C4" w:rsidRPr="00C921DE">
        <w:rPr>
          <w:rFonts w:ascii="GHEA Grapalat" w:hAnsi="GHEA Grapalat"/>
          <w:sz w:val="22"/>
          <w:szCs w:val="22"/>
          <w:lang w:val="en-US"/>
        </w:rPr>
        <w:t>ր</w:t>
      </w:r>
      <w:r w:rsidRPr="00C921DE">
        <w:rPr>
          <w:rFonts w:ascii="GHEA Grapalat" w:hAnsi="GHEA Grapalat"/>
          <w:sz w:val="22"/>
          <w:szCs w:val="22"/>
        </w:rPr>
        <w:t>ում տեղադրվել են հերթերը կանոնակարգող սարքավորումներ։</w:t>
      </w:r>
    </w:p>
    <w:p w14:paraId="198E88D7" w14:textId="77777777" w:rsidR="00752BF7" w:rsidRPr="00C921DE" w:rsidRDefault="00752BF7" w:rsidP="009138C4">
      <w:pPr>
        <w:spacing w:line="360" w:lineRule="auto"/>
        <w:ind w:firstLine="567"/>
        <w:jc w:val="both"/>
        <w:rPr>
          <w:rFonts w:ascii="GHEA Grapalat" w:hAnsi="GHEA Grapalat"/>
          <w:sz w:val="22"/>
          <w:szCs w:val="22"/>
        </w:rPr>
      </w:pPr>
    </w:p>
    <w:p w14:paraId="0C246677" w14:textId="77777777" w:rsidR="00752BF7" w:rsidRPr="00C921DE" w:rsidRDefault="00752BF7" w:rsidP="009138C4">
      <w:pPr>
        <w:spacing w:line="360" w:lineRule="auto"/>
        <w:ind w:firstLine="567"/>
        <w:jc w:val="both"/>
        <w:rPr>
          <w:rFonts w:ascii="GHEA Grapalat" w:hAnsi="GHEA Grapalat"/>
          <w:sz w:val="22"/>
          <w:szCs w:val="22"/>
          <w:u w:val="single"/>
        </w:rPr>
      </w:pPr>
      <w:r w:rsidRPr="00C921DE">
        <w:rPr>
          <w:rFonts w:ascii="GHEA Grapalat" w:hAnsi="GHEA Grapalat"/>
          <w:sz w:val="22"/>
          <w:szCs w:val="22"/>
        </w:rPr>
        <w:t xml:space="preserve"> </w:t>
      </w:r>
      <w:r w:rsidRPr="00C921DE">
        <w:rPr>
          <w:rFonts w:ascii="GHEA Grapalat" w:hAnsi="GHEA Grapalat"/>
          <w:sz w:val="22"/>
          <w:szCs w:val="22"/>
          <w:u w:val="single"/>
        </w:rPr>
        <w:t>Կատարված այլ աշխատանքներ</w:t>
      </w:r>
    </w:p>
    <w:p w14:paraId="6B7BAC35" w14:textId="77777777" w:rsidR="00752BF7" w:rsidRPr="00C921DE" w:rsidRDefault="00752BF7" w:rsidP="00547F60">
      <w:pPr>
        <w:pStyle w:val="ListParagraph"/>
        <w:numPr>
          <w:ilvl w:val="0"/>
          <w:numId w:val="27"/>
        </w:numPr>
        <w:tabs>
          <w:tab w:val="left" w:pos="851"/>
        </w:tabs>
        <w:spacing w:line="360" w:lineRule="auto"/>
        <w:ind w:left="0" w:firstLine="567"/>
        <w:jc w:val="both"/>
        <w:rPr>
          <w:rFonts w:ascii="GHEA Grapalat" w:hAnsi="GHEA Grapalat"/>
        </w:rPr>
      </w:pPr>
      <w:r w:rsidRPr="00C921DE">
        <w:rPr>
          <w:rFonts w:ascii="GHEA Grapalat" w:hAnsi="GHEA Grapalat"/>
        </w:rPr>
        <w:t>workpermit.am հարթակի թարմացում, կատարելագործում</w:t>
      </w:r>
      <w:r w:rsidR="009138C4" w:rsidRPr="00C921DE">
        <w:rPr>
          <w:rFonts w:ascii="GHEA Grapalat" w:hAnsi="GHEA Grapalat"/>
          <w:lang w:val="en-US"/>
        </w:rPr>
        <w:t>,</w:t>
      </w:r>
    </w:p>
    <w:p w14:paraId="028A6A50" w14:textId="77777777" w:rsidR="00752BF7" w:rsidRPr="00C921DE" w:rsidRDefault="00752BF7" w:rsidP="00547F60">
      <w:pPr>
        <w:pStyle w:val="ListParagraph"/>
        <w:numPr>
          <w:ilvl w:val="0"/>
          <w:numId w:val="27"/>
        </w:numPr>
        <w:tabs>
          <w:tab w:val="left" w:pos="851"/>
        </w:tabs>
        <w:spacing w:line="360" w:lineRule="auto"/>
        <w:ind w:left="0" w:firstLine="567"/>
        <w:jc w:val="both"/>
        <w:rPr>
          <w:rFonts w:ascii="GHEA Grapalat" w:hAnsi="GHEA Grapalat"/>
        </w:rPr>
      </w:pPr>
      <w:r w:rsidRPr="00C921DE">
        <w:rPr>
          <w:rFonts w:ascii="GHEA Grapalat" w:hAnsi="GHEA Grapalat"/>
        </w:rPr>
        <w:t>Կացության կարգավիճակների տրամադրման գործընթացի վերլուծություն, միջազգային փորձագետների հետ աշխատանք, թվայնացման նախագիծ</w:t>
      </w:r>
      <w:r w:rsidR="009138C4" w:rsidRPr="00C921DE">
        <w:rPr>
          <w:rFonts w:ascii="GHEA Grapalat" w:hAnsi="GHEA Grapalat"/>
          <w:lang w:val="en-US"/>
        </w:rPr>
        <w:t>,</w:t>
      </w:r>
    </w:p>
    <w:p w14:paraId="131D38AF" w14:textId="77777777" w:rsidR="00752BF7" w:rsidRPr="00C921DE" w:rsidRDefault="009B0CA0" w:rsidP="00547F60">
      <w:pPr>
        <w:pStyle w:val="ListParagraph"/>
        <w:numPr>
          <w:ilvl w:val="0"/>
          <w:numId w:val="27"/>
        </w:numPr>
        <w:tabs>
          <w:tab w:val="left" w:pos="851"/>
        </w:tabs>
        <w:spacing w:line="360" w:lineRule="auto"/>
        <w:ind w:left="0" w:firstLine="567"/>
        <w:jc w:val="both"/>
        <w:rPr>
          <w:rFonts w:ascii="GHEA Grapalat" w:hAnsi="GHEA Grapalat"/>
        </w:rPr>
      </w:pPr>
      <w:r w:rsidRPr="00C921DE">
        <w:rPr>
          <w:rFonts w:ascii="GHEA Grapalat" w:hAnsi="GHEA Grapalat"/>
          <w:lang w:val="en-US"/>
        </w:rPr>
        <w:t>«</w:t>
      </w:r>
      <w:r w:rsidR="00752BF7" w:rsidRPr="00C921DE">
        <w:rPr>
          <w:rFonts w:ascii="GHEA Grapalat" w:hAnsi="GHEA Grapalat"/>
        </w:rPr>
        <w:t>Փախստականների և ապաստանի մասին</w:t>
      </w:r>
      <w:r w:rsidRPr="00C921DE">
        <w:rPr>
          <w:rFonts w:ascii="GHEA Grapalat" w:hAnsi="GHEA Grapalat"/>
          <w:lang w:val="en-US"/>
        </w:rPr>
        <w:t>»</w:t>
      </w:r>
      <w:r w:rsidR="00752BF7" w:rsidRPr="00C921DE">
        <w:rPr>
          <w:rFonts w:ascii="GHEA Grapalat" w:hAnsi="GHEA Grapalat"/>
        </w:rPr>
        <w:t xml:space="preserve"> ՀՀ օրենքի համալիր վերանայում, օրենսդրական փոփոխությունների փաթեթ</w:t>
      </w:r>
      <w:r w:rsidRPr="00C921DE">
        <w:rPr>
          <w:rFonts w:ascii="GHEA Grapalat" w:hAnsi="GHEA Grapalat"/>
          <w:lang w:val="en-US"/>
        </w:rPr>
        <w:t>,</w:t>
      </w:r>
    </w:p>
    <w:p w14:paraId="63145F33" w14:textId="77777777" w:rsidR="00752BF7" w:rsidRPr="00C921DE" w:rsidRDefault="00752BF7" w:rsidP="00547F60">
      <w:pPr>
        <w:pStyle w:val="ListParagraph"/>
        <w:numPr>
          <w:ilvl w:val="0"/>
          <w:numId w:val="27"/>
        </w:numPr>
        <w:tabs>
          <w:tab w:val="left" w:pos="851"/>
        </w:tabs>
        <w:spacing w:line="360" w:lineRule="auto"/>
        <w:ind w:left="0" w:firstLine="567"/>
        <w:jc w:val="both"/>
        <w:rPr>
          <w:rFonts w:ascii="GHEA Grapalat" w:hAnsi="GHEA Grapalat"/>
        </w:rPr>
      </w:pPr>
      <w:r w:rsidRPr="00C921DE">
        <w:rPr>
          <w:rFonts w:ascii="GHEA Grapalat" w:hAnsi="GHEA Grapalat"/>
        </w:rPr>
        <w:t>Ապաստան հայցո</w:t>
      </w:r>
      <w:r w:rsidR="00DD1F9D" w:rsidRPr="00C921DE">
        <w:rPr>
          <w:rFonts w:ascii="GHEA Grapalat" w:hAnsi="GHEA Grapalat"/>
          <w:lang w:val="en-US"/>
        </w:rPr>
        <w:t>ղ</w:t>
      </w:r>
      <w:r w:rsidRPr="00C921DE">
        <w:rPr>
          <w:rFonts w:ascii="GHEA Grapalat" w:hAnsi="GHEA Grapalat"/>
        </w:rPr>
        <w:t>ների</w:t>
      </w:r>
      <w:r w:rsidR="00997998" w:rsidRPr="00C921DE">
        <w:rPr>
          <w:rFonts w:ascii="GHEA Grapalat" w:hAnsi="GHEA Grapalat"/>
        </w:rPr>
        <w:t xml:space="preserve"> </w:t>
      </w:r>
      <w:r w:rsidRPr="00C921DE">
        <w:rPr>
          <w:rFonts w:ascii="GHEA Grapalat" w:hAnsi="GHEA Grapalat"/>
        </w:rPr>
        <w:t>համար նախատեսված նոր կացարանի շինարարական աշխատանքների շարունակում</w:t>
      </w:r>
      <w:r w:rsidR="009B0CA0" w:rsidRPr="00C921DE">
        <w:rPr>
          <w:rFonts w:ascii="GHEA Grapalat" w:hAnsi="GHEA Grapalat"/>
          <w:lang w:val="en-US"/>
        </w:rPr>
        <w:t>,</w:t>
      </w:r>
    </w:p>
    <w:p w14:paraId="1F951F44" w14:textId="77777777" w:rsidR="00752BF7" w:rsidRPr="00C921DE" w:rsidRDefault="009B0CA0" w:rsidP="00547F60">
      <w:pPr>
        <w:pStyle w:val="ListParagraph"/>
        <w:numPr>
          <w:ilvl w:val="0"/>
          <w:numId w:val="27"/>
        </w:numPr>
        <w:tabs>
          <w:tab w:val="left" w:pos="851"/>
        </w:tabs>
        <w:spacing w:line="360" w:lineRule="auto"/>
        <w:ind w:left="0" w:firstLine="567"/>
        <w:jc w:val="both"/>
        <w:rPr>
          <w:rFonts w:ascii="GHEA Grapalat" w:hAnsi="GHEA Grapalat"/>
        </w:rPr>
      </w:pPr>
      <w:r w:rsidRPr="00C921DE">
        <w:rPr>
          <w:rFonts w:ascii="GHEA Grapalat" w:hAnsi="GHEA Grapalat"/>
        </w:rPr>
        <w:t xml:space="preserve">Ապաստանի էլեկտրոնային </w:t>
      </w:r>
      <w:r w:rsidR="00752BF7" w:rsidRPr="00C921DE">
        <w:rPr>
          <w:rFonts w:ascii="GHEA Grapalat" w:hAnsi="GHEA Grapalat"/>
        </w:rPr>
        <w:t>համակարգի վերլուծություն, կատարելագործման նախագիծ</w:t>
      </w:r>
      <w:r w:rsidRPr="00C921DE">
        <w:rPr>
          <w:rFonts w:ascii="GHEA Grapalat" w:hAnsi="GHEA Grapalat"/>
          <w:lang w:val="en-US"/>
        </w:rPr>
        <w:t>:</w:t>
      </w:r>
    </w:p>
    <w:p w14:paraId="36DD3138" w14:textId="77777777" w:rsidR="001C411D" w:rsidRPr="00C921DE" w:rsidRDefault="001C411D" w:rsidP="00AC199C">
      <w:pPr>
        <w:spacing w:line="360" w:lineRule="auto"/>
        <w:ind w:firstLine="567"/>
        <w:jc w:val="both"/>
        <w:rPr>
          <w:rFonts w:ascii="GHEA Grapalat" w:hAnsi="GHEA Grapalat"/>
          <w:sz w:val="22"/>
          <w:szCs w:val="22"/>
        </w:rPr>
      </w:pPr>
    </w:p>
    <w:p w14:paraId="5EB6100D" w14:textId="77777777" w:rsidR="001C411D" w:rsidRPr="00C921DE" w:rsidRDefault="001C411D" w:rsidP="00AC199C">
      <w:pPr>
        <w:pStyle w:val="Heading2"/>
        <w:spacing w:before="0"/>
      </w:pPr>
      <w:bookmarkStart w:id="36" w:name="_Toc163745426"/>
      <w:r w:rsidRPr="00C921DE">
        <w:t>Բարձր տեխնոլոգիական արդյունաբերություն</w:t>
      </w:r>
      <w:bookmarkEnd w:id="36"/>
    </w:p>
    <w:p w14:paraId="0992B358" w14:textId="77777777" w:rsidR="00A27F5D" w:rsidRPr="00C921DE" w:rsidRDefault="00A27F5D" w:rsidP="003E61A3">
      <w:pPr>
        <w:spacing w:line="360" w:lineRule="auto"/>
        <w:ind w:firstLine="567"/>
        <w:jc w:val="both"/>
        <w:rPr>
          <w:rFonts w:ascii="GHEA Grapalat" w:hAnsi="GHEA Grapalat"/>
          <w:sz w:val="22"/>
          <w:szCs w:val="22"/>
        </w:rPr>
      </w:pPr>
      <w:r w:rsidRPr="00C921DE">
        <w:rPr>
          <w:rFonts w:ascii="GHEA Grapalat" w:hAnsi="GHEA Grapalat"/>
          <w:sz w:val="22"/>
          <w:szCs w:val="22"/>
        </w:rPr>
        <w:t>Հայաստանը բարձր տեխնոլոգիական, արդյունաբերական երկիր դարձնելու նպատակն իրագործելու ուղիներից է բարձր տեխնոլոգիաների, կապի, թվայնացման և ռազմարդյունաբերական համալիրի զարգացումը` զինված ուժերի մարտունակության ու պաշտպանունակության բարձրացումը, տնտեսական աճը, գիտական և տեխնոլոգիական առաջընթացը։</w:t>
      </w:r>
    </w:p>
    <w:p w14:paraId="5BF6EAAB" w14:textId="77777777" w:rsidR="00A27F5D" w:rsidRPr="00C921DE" w:rsidRDefault="00A27F5D" w:rsidP="00FE0959">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թվականին իրականացվել են հետևյալ ծրագրերը. </w:t>
      </w:r>
    </w:p>
    <w:p w14:paraId="2A9588B3" w14:textId="77777777" w:rsidR="00A27F5D" w:rsidRPr="00C921DE" w:rsidRDefault="00A27F5D" w:rsidP="00FE0959">
      <w:pPr>
        <w:spacing w:line="360" w:lineRule="auto"/>
        <w:ind w:firstLine="567"/>
        <w:jc w:val="both"/>
        <w:rPr>
          <w:rFonts w:ascii="GHEA Grapalat" w:hAnsi="GHEA Grapalat"/>
          <w:sz w:val="22"/>
          <w:szCs w:val="22"/>
        </w:rPr>
      </w:pPr>
      <w:r w:rsidRPr="00C921DE">
        <w:rPr>
          <w:rFonts w:ascii="GHEA Grapalat" w:hAnsi="GHEA Grapalat"/>
          <w:i/>
          <w:sz w:val="22"/>
          <w:szCs w:val="22"/>
        </w:rPr>
        <w:t>Բարձր տեխնոլոգիական արդյունաբերության էկոհամակարգի, թվայնացման և շուկայի զարգացման ծրագիր</w:t>
      </w:r>
      <w:r w:rsidRPr="00C921DE">
        <w:rPr>
          <w:rFonts w:ascii="GHEA Grapalat" w:hAnsi="GHEA Grapalat"/>
          <w:sz w:val="22"/>
          <w:szCs w:val="22"/>
        </w:rPr>
        <w:t>, որի նպատակն է բարձր տեխնոլոգիաների ենթակառուցվածքների բարելավումը, մասնավորապես.</w:t>
      </w:r>
    </w:p>
    <w:p w14:paraId="45AA080E" w14:textId="77777777" w:rsidR="00A27F5D" w:rsidRPr="00C921DE" w:rsidRDefault="00791DF2"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ի</w:t>
      </w:r>
      <w:r w:rsidR="008F53DE" w:rsidRPr="00C921DE">
        <w:rPr>
          <w:rFonts w:ascii="GHEA Grapalat" w:hAnsi="GHEA Grapalat" w:cs="GHEA Grapalat"/>
          <w:bCs/>
          <w:lang w:val="af-ZA"/>
        </w:rPr>
        <w:t>րականացվել են</w:t>
      </w:r>
      <w:r w:rsidR="00A27F5D" w:rsidRPr="00C921DE">
        <w:rPr>
          <w:rFonts w:ascii="GHEA Grapalat" w:hAnsi="GHEA Grapalat" w:cs="GHEA Grapalat"/>
          <w:bCs/>
          <w:lang w:val="af-ZA"/>
        </w:rPr>
        <w:t xml:space="preserve"> կադրերի թիրախավորված պատրաստում և վե</w:t>
      </w:r>
      <w:r w:rsidR="008F53DE" w:rsidRPr="00C921DE">
        <w:rPr>
          <w:rFonts w:ascii="GHEA Grapalat" w:hAnsi="GHEA Grapalat" w:cs="GHEA Grapalat"/>
          <w:bCs/>
          <w:lang w:val="af-ZA"/>
        </w:rPr>
        <w:t>րապատրաստում՝</w:t>
      </w:r>
      <w:r w:rsidR="00A27F5D" w:rsidRPr="00C921DE">
        <w:rPr>
          <w:rFonts w:ascii="GHEA Grapalat" w:hAnsi="GHEA Grapalat" w:cs="GHEA Grapalat"/>
          <w:bCs/>
          <w:lang w:val="af-ZA"/>
        </w:rPr>
        <w:t xml:space="preserve"> հաշվի առնելով շուկայի կտրուկ զարգացումն ու կադրերի նկատմամբ շուկայի պահանջարկի կտրուկ աճը,</w:t>
      </w:r>
    </w:p>
    <w:p w14:paraId="2703D070" w14:textId="77777777" w:rsidR="00A27F5D" w:rsidRPr="00C921DE" w:rsidRDefault="008F53DE"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զ</w:t>
      </w:r>
      <w:r w:rsidR="00A27F5D" w:rsidRPr="00C921DE">
        <w:rPr>
          <w:rFonts w:ascii="GHEA Grapalat" w:hAnsi="GHEA Grapalat" w:cs="GHEA Grapalat"/>
          <w:bCs/>
          <w:lang w:val="af-ZA"/>
        </w:rPr>
        <w:t>արգացել է բարձր տեխնոլոգիական ոլորտի համար անհրաժեշտ էկոհամակարգը` ներառյալ թիրախավորված գիտահետազոտական աշխատանքների, ստեղծագործական խմբերի, նորաստեղծ ընկերությունների ֆինանսավորումը,</w:t>
      </w:r>
    </w:p>
    <w:p w14:paraId="586019E0" w14:textId="77777777" w:rsidR="00A27F5D" w:rsidRPr="00C921DE" w:rsidRDefault="008F53DE"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w:t>
      </w:r>
      <w:r w:rsidR="00A27F5D" w:rsidRPr="00C921DE">
        <w:rPr>
          <w:rFonts w:ascii="GHEA Grapalat" w:hAnsi="GHEA Grapalat" w:cs="GHEA Grapalat"/>
          <w:bCs/>
          <w:lang w:val="af-ZA"/>
        </w:rPr>
        <w:t>այկական Սփյուռքի ներգրավվածությունն ապահովելու համար հայկական ընկերությունների, կազմակերպությունների և անհատների հետ ստեղծվել է շարունակական համագործակցության հարթակ,</w:t>
      </w:r>
    </w:p>
    <w:p w14:paraId="79CD8143" w14:textId="77777777" w:rsidR="00A27F5D" w:rsidRPr="00C921DE" w:rsidRDefault="008F53DE" w:rsidP="003B31A7">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ա</w:t>
      </w:r>
      <w:r w:rsidR="00A27F5D" w:rsidRPr="00C921DE">
        <w:rPr>
          <w:rFonts w:ascii="GHEA Grapalat" w:hAnsi="GHEA Grapalat" w:cs="GHEA Grapalat"/>
          <w:bCs/>
          <w:lang w:val="af-ZA"/>
        </w:rPr>
        <w:t>ջակցություն է տրամադրվել ՏՏ ոլորտում գործունեություն իրականացնող առևտրային կազմակերպությո</w:t>
      </w:r>
      <w:r w:rsidRPr="00C921DE">
        <w:rPr>
          <w:rFonts w:ascii="GHEA Grapalat" w:hAnsi="GHEA Grapalat" w:cs="GHEA Grapalat"/>
          <w:bCs/>
          <w:lang w:val="af-ZA"/>
        </w:rPr>
        <w:t>ւններին և անհատ ձեռնարկատերերին.</w:t>
      </w:r>
    </w:p>
    <w:p w14:paraId="5BE4CDD7" w14:textId="77777777" w:rsidR="00A27F5D" w:rsidRPr="00C921DE" w:rsidRDefault="00A27F5D" w:rsidP="00FE0959">
      <w:pPr>
        <w:spacing w:line="360" w:lineRule="auto"/>
        <w:ind w:firstLine="567"/>
        <w:jc w:val="both"/>
        <w:rPr>
          <w:rFonts w:ascii="GHEA Grapalat" w:hAnsi="GHEA Grapalat"/>
          <w:sz w:val="22"/>
          <w:szCs w:val="22"/>
        </w:rPr>
      </w:pPr>
      <w:r w:rsidRPr="00C921DE">
        <w:rPr>
          <w:rFonts w:ascii="GHEA Grapalat" w:hAnsi="GHEA Grapalat"/>
          <w:i/>
          <w:sz w:val="22"/>
          <w:szCs w:val="22"/>
        </w:rPr>
        <w:t>Պաշտպանության բնագավառում գիտական և գիտատեխնիկական նպատակային հետազոտություններ</w:t>
      </w:r>
      <w:r w:rsidR="008F53DE" w:rsidRPr="00C921DE">
        <w:rPr>
          <w:rFonts w:ascii="GHEA Grapalat" w:hAnsi="GHEA Grapalat"/>
          <w:i/>
          <w:sz w:val="22"/>
          <w:szCs w:val="22"/>
          <w:lang w:val="en-US"/>
        </w:rPr>
        <w:t>ի</w:t>
      </w:r>
      <w:r w:rsidRPr="00C921DE">
        <w:rPr>
          <w:rFonts w:ascii="GHEA Grapalat" w:hAnsi="GHEA Grapalat"/>
          <w:i/>
          <w:sz w:val="22"/>
          <w:szCs w:val="22"/>
        </w:rPr>
        <w:t xml:space="preserve"> ծրագիր</w:t>
      </w:r>
      <w:r w:rsidRPr="00C921DE">
        <w:rPr>
          <w:rFonts w:ascii="GHEA Grapalat" w:hAnsi="GHEA Grapalat"/>
          <w:sz w:val="22"/>
          <w:szCs w:val="22"/>
        </w:rPr>
        <w:t>, որի նպատակն է նպաստել ՀՀ պաշտպանության և անվտանգության համակարգերի զարգացմանը, մասնավորապես</w:t>
      </w:r>
      <w:r w:rsidR="008F53DE" w:rsidRPr="00C921DE">
        <w:rPr>
          <w:rFonts w:ascii="GHEA Grapalat" w:hAnsi="GHEA Grapalat"/>
          <w:sz w:val="22"/>
          <w:szCs w:val="22"/>
          <w:lang w:val="en-US"/>
        </w:rPr>
        <w:t>՝</w:t>
      </w:r>
      <w:r w:rsidRPr="00C921DE">
        <w:rPr>
          <w:rFonts w:ascii="GHEA Grapalat" w:hAnsi="GHEA Grapalat"/>
          <w:sz w:val="22"/>
          <w:szCs w:val="22"/>
        </w:rPr>
        <w:t xml:space="preserve"> իրականացվել են գիտահետազոտական և փորձակոնստրուկտորական աշխատանքներ՝ պաշտպանու</w:t>
      </w:r>
      <w:r w:rsidR="003F5C63" w:rsidRPr="00C921DE">
        <w:rPr>
          <w:rFonts w:ascii="GHEA Grapalat" w:hAnsi="GHEA Grapalat"/>
          <w:sz w:val="22"/>
          <w:szCs w:val="22"/>
        </w:rPr>
        <w:t>թյան համակարգի ապահովման համար.</w:t>
      </w:r>
    </w:p>
    <w:p w14:paraId="73B99D86" w14:textId="77777777" w:rsidR="00A27F5D" w:rsidRPr="00C921DE" w:rsidRDefault="003F5C63" w:rsidP="00FE0959">
      <w:pPr>
        <w:spacing w:line="360" w:lineRule="auto"/>
        <w:ind w:firstLine="567"/>
        <w:jc w:val="both"/>
        <w:rPr>
          <w:rFonts w:ascii="GHEA Grapalat" w:hAnsi="GHEA Grapalat"/>
          <w:sz w:val="22"/>
          <w:szCs w:val="22"/>
        </w:rPr>
      </w:pPr>
      <w:r w:rsidRPr="00C921DE">
        <w:rPr>
          <w:rFonts w:ascii="GHEA Grapalat" w:hAnsi="GHEA Grapalat"/>
          <w:i/>
          <w:sz w:val="22"/>
          <w:szCs w:val="22"/>
        </w:rPr>
        <w:t>Հեռահաղորդակցության ապահովման</w:t>
      </w:r>
      <w:r w:rsidR="00A27F5D" w:rsidRPr="00C921DE">
        <w:rPr>
          <w:rFonts w:ascii="GHEA Grapalat" w:hAnsi="GHEA Grapalat"/>
          <w:i/>
          <w:sz w:val="22"/>
          <w:szCs w:val="22"/>
        </w:rPr>
        <w:t xml:space="preserve"> ծրագիր</w:t>
      </w:r>
      <w:r w:rsidR="00A27F5D" w:rsidRPr="00C921DE">
        <w:rPr>
          <w:rFonts w:ascii="GHEA Grapalat" w:hAnsi="GHEA Grapalat"/>
          <w:sz w:val="22"/>
          <w:szCs w:val="22"/>
        </w:rPr>
        <w:t xml:space="preserve">, որի նպատակն էր ապահովել </w:t>
      </w:r>
      <w:r w:rsidR="00F024EE" w:rsidRPr="00C921DE">
        <w:rPr>
          <w:rFonts w:ascii="GHEA Grapalat" w:hAnsi="GHEA Grapalat"/>
          <w:sz w:val="22"/>
          <w:szCs w:val="22"/>
          <w:lang w:val="en-US"/>
        </w:rPr>
        <w:t>ՀՀ-</w:t>
      </w:r>
      <w:r w:rsidR="00A27F5D" w:rsidRPr="00C921DE">
        <w:rPr>
          <w:rFonts w:ascii="GHEA Grapalat" w:hAnsi="GHEA Grapalat"/>
          <w:sz w:val="22"/>
          <w:szCs w:val="22"/>
        </w:rPr>
        <w:t>ում հեռահաղորդակցության և կապի ծառայությունների որակի կանոնակարգումն ու բարելավումը:</w:t>
      </w:r>
      <w:r w:rsidRPr="00C921DE">
        <w:rPr>
          <w:rFonts w:ascii="GHEA Grapalat" w:hAnsi="GHEA Grapalat"/>
          <w:sz w:val="22"/>
          <w:szCs w:val="22"/>
          <w:lang w:val="en-US"/>
        </w:rPr>
        <w:t xml:space="preserve"> </w:t>
      </w:r>
      <w:r w:rsidR="00A27F5D" w:rsidRPr="00C921DE">
        <w:rPr>
          <w:rFonts w:ascii="GHEA Grapalat" w:hAnsi="GHEA Grapalat"/>
          <w:sz w:val="22"/>
          <w:szCs w:val="22"/>
        </w:rPr>
        <w:t>Ծր</w:t>
      </w:r>
      <w:r w:rsidRPr="00C921DE">
        <w:rPr>
          <w:rFonts w:ascii="GHEA Grapalat" w:hAnsi="GHEA Grapalat"/>
          <w:sz w:val="22"/>
          <w:szCs w:val="22"/>
        </w:rPr>
        <w:t>ագրի շրջանակներում իրականացվել են</w:t>
      </w:r>
      <w:r w:rsidR="00A27F5D" w:rsidRPr="00C921DE">
        <w:rPr>
          <w:rFonts w:ascii="GHEA Grapalat" w:hAnsi="GHEA Grapalat"/>
          <w:sz w:val="22"/>
          <w:szCs w:val="22"/>
        </w:rPr>
        <w:t xml:space="preserve"> ռադիոհաճախականային տիրույթի 92.1 տոկոս մաքրության ապահովում, հեռահաղորդակ</w:t>
      </w:r>
      <w:r w:rsidR="00A27F5D" w:rsidRPr="00C921DE">
        <w:rPr>
          <w:rFonts w:ascii="GHEA Grapalat" w:hAnsi="GHEA Grapalat"/>
          <w:sz w:val="22"/>
          <w:szCs w:val="22"/>
        </w:rPr>
        <w:softHyphen/>
        <w:t>ցության և կապի ծառայությունների որակի կանոնակարգում ու բարելավում, ռադի</w:t>
      </w:r>
      <w:r w:rsidRPr="00C921DE">
        <w:rPr>
          <w:rFonts w:ascii="GHEA Grapalat" w:hAnsi="GHEA Grapalat"/>
          <w:sz w:val="22"/>
          <w:szCs w:val="22"/>
        </w:rPr>
        <w:t>ոեթերի մոնիտ</w:t>
      </w:r>
      <w:r w:rsidR="00A27F5D" w:rsidRPr="00C921DE">
        <w:rPr>
          <w:rFonts w:ascii="GHEA Grapalat" w:hAnsi="GHEA Grapalat"/>
          <w:sz w:val="22"/>
          <w:szCs w:val="22"/>
        </w:rPr>
        <w:t xml:space="preserve">որինգի և ազդանշանների տեխնիկական պարամետրերի չափումների անցկացում, </w:t>
      </w:r>
      <w:r w:rsidRPr="00C921DE">
        <w:rPr>
          <w:rFonts w:ascii="GHEA Grapalat" w:hAnsi="GHEA Grapalat"/>
          <w:sz w:val="22"/>
          <w:szCs w:val="22"/>
          <w:lang w:val="en-US"/>
        </w:rPr>
        <w:t>հ</w:t>
      </w:r>
      <w:r w:rsidR="00A27F5D" w:rsidRPr="00C921DE">
        <w:rPr>
          <w:rFonts w:ascii="GHEA Grapalat" w:hAnsi="GHEA Grapalat"/>
          <w:sz w:val="22"/>
          <w:szCs w:val="22"/>
        </w:rPr>
        <w:t>անրապետական սփռման մուլտիպլեքսի արբանյակային տարածման համար արբանյակային ունակության վարձակալում, ՀՀ-ում պետական մարմինների և ուսումնական հաստատությունների տվյալների փոխանակման կապի ապահովում և սպասարկում, ՀՀ տարածքում բազային և շարժական ռադիո</w:t>
      </w:r>
      <w:r w:rsidRPr="00C921DE">
        <w:rPr>
          <w:rFonts w:ascii="GHEA Grapalat" w:hAnsi="GHEA Grapalat"/>
          <w:sz w:val="22"/>
          <w:szCs w:val="22"/>
        </w:rPr>
        <w:t>մոնիտորինգի համակարգի ներդրում.</w:t>
      </w:r>
    </w:p>
    <w:p w14:paraId="32DD1784" w14:textId="77777777" w:rsidR="00A27F5D" w:rsidRPr="00C921DE" w:rsidRDefault="00A27F5D" w:rsidP="00FE0959">
      <w:pPr>
        <w:spacing w:line="360" w:lineRule="auto"/>
        <w:ind w:firstLine="567"/>
        <w:jc w:val="both"/>
        <w:rPr>
          <w:rFonts w:ascii="GHEA Grapalat" w:hAnsi="GHEA Grapalat"/>
          <w:sz w:val="22"/>
          <w:szCs w:val="22"/>
        </w:rPr>
      </w:pPr>
      <w:r w:rsidRPr="00C921DE">
        <w:rPr>
          <w:rFonts w:ascii="GHEA Grapalat" w:hAnsi="GHEA Grapalat"/>
          <w:i/>
          <w:sz w:val="22"/>
          <w:szCs w:val="22"/>
        </w:rPr>
        <w:t>Ռազմարդյունաբերության համալիրի զարգաց</w:t>
      </w:r>
      <w:r w:rsidR="003F5C63" w:rsidRPr="00C921DE">
        <w:rPr>
          <w:rFonts w:ascii="GHEA Grapalat" w:hAnsi="GHEA Grapalat"/>
          <w:i/>
          <w:sz w:val="22"/>
          <w:szCs w:val="22"/>
          <w:lang w:val="en-US"/>
        </w:rPr>
        <w:t>ման</w:t>
      </w:r>
      <w:r w:rsidRPr="00C921DE">
        <w:rPr>
          <w:rFonts w:ascii="GHEA Grapalat" w:hAnsi="GHEA Grapalat"/>
          <w:i/>
          <w:sz w:val="22"/>
          <w:szCs w:val="22"/>
        </w:rPr>
        <w:t xml:space="preserve"> ծրագիր,</w:t>
      </w:r>
      <w:r w:rsidRPr="00C921DE">
        <w:rPr>
          <w:rFonts w:ascii="GHEA Grapalat" w:hAnsi="GHEA Grapalat"/>
          <w:sz w:val="22"/>
          <w:szCs w:val="22"/>
        </w:rPr>
        <w:t xml:space="preserve"> </w:t>
      </w:r>
      <w:r w:rsidR="003255D0" w:rsidRPr="00C921DE">
        <w:rPr>
          <w:rFonts w:ascii="GHEA Grapalat" w:hAnsi="GHEA Grapalat"/>
          <w:sz w:val="22"/>
          <w:szCs w:val="22"/>
        </w:rPr>
        <w:t>որի գծով 2023 թվականին հատկացված գումարն ուղղվել է «Գեոկոսմոս» ՓԲ ընկերության կանոնադրական կապիտալի ավելացմանը՝ բաժնետոմսերի անվանական արժեքը մեծացնելու ճանապարհով:</w:t>
      </w:r>
    </w:p>
    <w:p w14:paraId="66DBE3EA" w14:textId="77777777" w:rsidR="001C411D" w:rsidRPr="00C921DE" w:rsidRDefault="001C411D" w:rsidP="001B72F7">
      <w:pPr>
        <w:spacing w:line="360" w:lineRule="auto"/>
        <w:ind w:firstLine="567"/>
        <w:jc w:val="both"/>
        <w:rPr>
          <w:rFonts w:ascii="GHEA Grapalat" w:hAnsi="GHEA Grapalat"/>
          <w:sz w:val="22"/>
          <w:szCs w:val="22"/>
        </w:rPr>
      </w:pPr>
    </w:p>
    <w:p w14:paraId="1CC3745B" w14:textId="77777777" w:rsidR="001C411D" w:rsidRPr="00C921DE" w:rsidRDefault="001C411D" w:rsidP="00AC199C">
      <w:pPr>
        <w:pStyle w:val="Heading2"/>
        <w:spacing w:before="0"/>
      </w:pPr>
      <w:bookmarkStart w:id="37" w:name="_Toc163745427"/>
      <w:r w:rsidRPr="00C921DE">
        <w:t>Քաղաքաշինություն</w:t>
      </w:r>
      <w:bookmarkEnd w:id="37"/>
    </w:p>
    <w:p w14:paraId="11539390" w14:textId="77777777" w:rsidR="001C411D" w:rsidRPr="00C921DE" w:rsidRDefault="008C6484" w:rsidP="00E00BBD">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ՀՀ կ</w:t>
      </w:r>
      <w:r w:rsidR="001C411D" w:rsidRPr="00C921DE">
        <w:rPr>
          <w:rFonts w:ascii="GHEA Grapalat" w:hAnsi="GHEA Grapalat"/>
          <w:sz w:val="22"/>
          <w:szCs w:val="22"/>
        </w:rPr>
        <w:t>առավարության ծրագրի առաջնահերթու</w:t>
      </w:r>
      <w:r w:rsidRPr="00C921DE">
        <w:rPr>
          <w:rFonts w:ascii="GHEA Grapalat" w:hAnsi="GHEA Grapalat"/>
          <w:sz w:val="22"/>
          <w:szCs w:val="22"/>
        </w:rPr>
        <w:t>թյունների շուրջ կառուցված 2023</w:t>
      </w:r>
      <w:r w:rsidR="001C411D" w:rsidRPr="00C921DE">
        <w:rPr>
          <w:rFonts w:ascii="GHEA Grapalat" w:hAnsi="GHEA Grapalat"/>
          <w:sz w:val="22"/>
          <w:szCs w:val="22"/>
        </w:rPr>
        <w:t xml:space="preserve"> թվականի տնտեսական զարգացման քաղաքականության շրջանակներում քաղաքաշինության </w:t>
      </w:r>
      <w:r w:rsidR="001C411D" w:rsidRPr="00C921DE">
        <w:rPr>
          <w:rFonts w:ascii="GHEA Grapalat" w:hAnsi="GHEA Grapalat"/>
          <w:sz w:val="22"/>
          <w:szCs w:val="22"/>
          <w:lang w:val="en-US"/>
        </w:rPr>
        <w:t>ոլորտի</w:t>
      </w:r>
      <w:r w:rsidR="001C411D" w:rsidRPr="00C921DE">
        <w:rPr>
          <w:rFonts w:ascii="GHEA Grapalat" w:hAnsi="GHEA Grapalat"/>
          <w:sz w:val="22"/>
          <w:szCs w:val="22"/>
        </w:rPr>
        <w:t xml:space="preserve"> հիմնական խնդիրներից են համարվել</w:t>
      </w:r>
      <w:r w:rsidR="001C411D" w:rsidRPr="00C921DE">
        <w:rPr>
          <w:rFonts w:ascii="GHEA Grapalat" w:hAnsi="GHEA Grapalat"/>
          <w:sz w:val="22"/>
          <w:szCs w:val="22"/>
          <w:lang w:val="en-US"/>
        </w:rPr>
        <w:t>.</w:t>
      </w:r>
    </w:p>
    <w:p w14:paraId="4E50C03F" w14:textId="77777777" w:rsidR="008C6484" w:rsidRPr="00C921DE" w:rsidRDefault="008C6484" w:rsidP="003B31A7">
      <w:pPr>
        <w:numPr>
          <w:ilvl w:val="0"/>
          <w:numId w:val="11"/>
        </w:numPr>
        <w:tabs>
          <w:tab w:val="left" w:pos="993"/>
        </w:tabs>
        <w:spacing w:line="360" w:lineRule="auto"/>
        <w:ind w:left="0" w:firstLine="567"/>
        <w:jc w:val="both"/>
        <w:rPr>
          <w:rFonts w:ascii="GHEA Grapalat" w:hAnsi="GHEA Grapalat"/>
          <w:sz w:val="22"/>
          <w:szCs w:val="22"/>
        </w:rPr>
      </w:pPr>
      <w:r w:rsidRPr="00C921DE">
        <w:rPr>
          <w:rFonts w:ascii="GHEA Grapalat" w:hAnsi="GHEA Grapalat"/>
          <w:sz w:val="22"/>
          <w:szCs w:val="22"/>
        </w:rPr>
        <w:lastRenderedPageBreak/>
        <w:t>հանրապետության բոլոր համայնքները 2017-2024թթ. ընթացքում տեղական մակարդակի ծրագրային փաստաթղթերով (գլխավոր հատակագծեր և գոտևորման նախագծեր) ապահով</w:t>
      </w:r>
      <w:r w:rsidRPr="00C921DE">
        <w:rPr>
          <w:rFonts w:ascii="GHEA Grapalat" w:hAnsi="GHEA Grapalat"/>
          <w:sz w:val="22"/>
          <w:szCs w:val="22"/>
          <w:lang w:val="en-US"/>
        </w:rPr>
        <w:t xml:space="preserve">ելու </w:t>
      </w:r>
      <w:r w:rsidRPr="00C921DE">
        <w:rPr>
          <w:rFonts w:ascii="GHEA Grapalat" w:hAnsi="GHEA Grapalat"/>
          <w:sz w:val="22"/>
          <w:szCs w:val="22"/>
        </w:rPr>
        <w:t>նպատակով Միկրոռեգիոնալ մակարդակի համակցված տարածական պլանավորման փաստաթղթերի նախագծերի մշակում ծրագրի իրականացումը, որի միջոցով ՀՀ ողջ տարածքում համայնքներն ապահովվում են քաղաքաշինական տարածական պլանավորման փաստաթղթերով,</w:t>
      </w:r>
    </w:p>
    <w:p w14:paraId="0AEC0EED" w14:textId="77777777" w:rsidR="008C6484" w:rsidRPr="00C921DE" w:rsidRDefault="008C6484" w:rsidP="003B31A7">
      <w:pPr>
        <w:numPr>
          <w:ilvl w:val="0"/>
          <w:numId w:val="11"/>
        </w:numPr>
        <w:tabs>
          <w:tab w:val="left" w:pos="993"/>
        </w:tabs>
        <w:spacing w:line="360" w:lineRule="auto"/>
        <w:ind w:left="0" w:firstLine="567"/>
        <w:jc w:val="both"/>
        <w:rPr>
          <w:rFonts w:ascii="GHEA Grapalat" w:hAnsi="GHEA Grapalat"/>
          <w:sz w:val="22"/>
          <w:szCs w:val="22"/>
        </w:rPr>
      </w:pPr>
      <w:r w:rsidRPr="00C921DE">
        <w:rPr>
          <w:rFonts w:ascii="GHEA Grapalat" w:hAnsi="GHEA Grapalat"/>
          <w:sz w:val="22"/>
          <w:szCs w:val="22"/>
        </w:rPr>
        <w:t>ՀՀ կառավարության 23.02.2017թ. նիստի N8 արձանագրային որոշմամբ հավանության արժանացած «Նորմատիվատեխնիկական փաստաթղթերի մշակման (տեղայ</w:t>
      </w:r>
      <w:r w:rsidRPr="00C921DE">
        <w:rPr>
          <w:rFonts w:ascii="GHEA Grapalat" w:hAnsi="GHEA Grapalat"/>
          <w:sz w:val="22"/>
          <w:szCs w:val="22"/>
        </w:rPr>
        <w:softHyphen/>
        <w:t>նացման)» ծրագրի շրջանակներում միջազգայնորեն ընդունված սկզբունքներին համահունչ քաղաքաշինական նորմատիվատեխնիկական փաստաթղթերի համակարգի բարեփոխման և արդիականացման շարունակական աշխատանքների իրականացումը` անհրաժեշտ փաստաթղթերի բազայի ստեղծմամբ, ինչը հնարավորություն կտա ապահովել նախագծային և շինարարական աշխատանքների որակական երաշխիքներ, միասնական շուկայում հանրապետության շինարարական արտադրանքի և ծառայությունների համատեղելիություն ու տեխնոլոգիաների արդիականացում,</w:t>
      </w:r>
    </w:p>
    <w:p w14:paraId="1D054C01" w14:textId="3103EC77" w:rsidR="008C6484" w:rsidRPr="00C921DE" w:rsidRDefault="008C6484" w:rsidP="003B31A7">
      <w:pPr>
        <w:numPr>
          <w:ilvl w:val="0"/>
          <w:numId w:val="11"/>
        </w:numPr>
        <w:tabs>
          <w:tab w:val="left" w:pos="993"/>
        </w:tabs>
        <w:spacing w:line="360" w:lineRule="auto"/>
        <w:ind w:left="0" w:firstLine="567"/>
        <w:jc w:val="both"/>
        <w:rPr>
          <w:rFonts w:ascii="GHEA Grapalat" w:hAnsi="GHEA Grapalat"/>
          <w:sz w:val="22"/>
          <w:szCs w:val="22"/>
        </w:rPr>
      </w:pPr>
      <w:r w:rsidRPr="00C921DE">
        <w:rPr>
          <w:rFonts w:ascii="GHEA Grapalat" w:hAnsi="GHEA Grapalat"/>
          <w:sz w:val="22"/>
          <w:szCs w:val="22"/>
        </w:rPr>
        <w:t xml:space="preserve">քաղաքաշինության բնագավառում պետական ծրագրերի իրականացման ապահովումը, որի շրջանակներում մի շարք քայլեր </w:t>
      </w:r>
      <w:r w:rsidR="00F21908" w:rsidRPr="00C921DE">
        <w:rPr>
          <w:rFonts w:ascii="GHEA Grapalat" w:hAnsi="GHEA Grapalat"/>
          <w:sz w:val="22"/>
          <w:szCs w:val="22"/>
          <w:lang w:val="en-US"/>
        </w:rPr>
        <w:t>են</w:t>
      </w:r>
      <w:r w:rsidRPr="00C921DE">
        <w:rPr>
          <w:rFonts w:ascii="GHEA Grapalat" w:hAnsi="GHEA Grapalat"/>
          <w:sz w:val="22"/>
          <w:szCs w:val="22"/>
        </w:rPr>
        <w:t xml:space="preserve"> ձեռնարկ</w:t>
      </w:r>
      <w:r w:rsidR="00F21908" w:rsidRPr="00C921DE">
        <w:rPr>
          <w:rFonts w:ascii="GHEA Grapalat" w:hAnsi="GHEA Grapalat"/>
          <w:sz w:val="22"/>
          <w:szCs w:val="22"/>
          <w:lang w:val="en-US"/>
        </w:rPr>
        <w:t>վ</w:t>
      </w:r>
      <w:r w:rsidRPr="00C921DE">
        <w:rPr>
          <w:rFonts w:ascii="GHEA Grapalat" w:hAnsi="GHEA Grapalat"/>
          <w:sz w:val="22"/>
          <w:szCs w:val="22"/>
        </w:rPr>
        <w:t>ել անբավարար տեխնիկական վիճակում գտնվող բնակֆոնդի հիմնախնդրի լուծման ուղղությամբ, ինչպես նաև դեռևս 2021</w:t>
      </w:r>
      <w:r w:rsidR="00C739D7" w:rsidRPr="00C921DE">
        <w:rPr>
          <w:rFonts w:ascii="GHEA Grapalat" w:hAnsi="GHEA Grapalat"/>
          <w:sz w:val="22"/>
          <w:szCs w:val="22"/>
          <w:lang w:val="en-US"/>
        </w:rPr>
        <w:t xml:space="preserve"> </w:t>
      </w:r>
      <w:r w:rsidRPr="00C921DE">
        <w:rPr>
          <w:rFonts w:ascii="GHEA Grapalat" w:hAnsi="GHEA Grapalat"/>
          <w:sz w:val="22"/>
          <w:szCs w:val="22"/>
        </w:rPr>
        <w:t>թ</w:t>
      </w:r>
      <w:r w:rsidR="00C739D7" w:rsidRPr="00C921DE">
        <w:rPr>
          <w:rFonts w:ascii="GHEA Grapalat" w:hAnsi="GHEA Grapalat"/>
          <w:sz w:val="22"/>
          <w:szCs w:val="22"/>
          <w:lang w:val="en-US"/>
        </w:rPr>
        <w:t>վական</w:t>
      </w:r>
      <w:r w:rsidRPr="00C921DE">
        <w:rPr>
          <w:rFonts w:ascii="GHEA Grapalat" w:hAnsi="GHEA Grapalat"/>
          <w:sz w:val="22"/>
          <w:szCs w:val="22"/>
        </w:rPr>
        <w:t>ից մեկնարկել և 2023</w:t>
      </w:r>
      <w:r w:rsidR="00C739D7" w:rsidRPr="00C921DE">
        <w:rPr>
          <w:rFonts w:ascii="GHEA Grapalat" w:hAnsi="GHEA Grapalat"/>
          <w:sz w:val="22"/>
          <w:szCs w:val="22"/>
          <w:lang w:val="en-US"/>
        </w:rPr>
        <w:t xml:space="preserve"> </w:t>
      </w:r>
      <w:r w:rsidRPr="00C921DE">
        <w:rPr>
          <w:rFonts w:ascii="GHEA Grapalat" w:hAnsi="GHEA Grapalat"/>
          <w:sz w:val="22"/>
          <w:szCs w:val="22"/>
        </w:rPr>
        <w:t>թ</w:t>
      </w:r>
      <w:r w:rsidR="00C739D7" w:rsidRPr="00C921DE">
        <w:rPr>
          <w:rFonts w:ascii="GHEA Grapalat" w:hAnsi="GHEA Grapalat"/>
          <w:sz w:val="22"/>
          <w:szCs w:val="22"/>
          <w:lang w:val="en-US"/>
        </w:rPr>
        <w:t>վականին</w:t>
      </w:r>
      <w:r w:rsidR="00C739D7" w:rsidRPr="00C921DE">
        <w:rPr>
          <w:rFonts w:ascii="GHEA Grapalat" w:hAnsi="GHEA Grapalat"/>
          <w:sz w:val="22"/>
          <w:szCs w:val="22"/>
        </w:rPr>
        <w:t xml:space="preserve"> ավարտման փուլին </w:t>
      </w:r>
      <w:r w:rsidR="00C739D7" w:rsidRPr="00C921DE">
        <w:rPr>
          <w:rFonts w:ascii="GHEA Grapalat" w:hAnsi="GHEA Grapalat"/>
          <w:sz w:val="22"/>
          <w:szCs w:val="22"/>
          <w:lang w:val="en-US"/>
        </w:rPr>
        <w:t>են</w:t>
      </w:r>
      <w:r w:rsidR="00C739D7" w:rsidRPr="00C921DE">
        <w:rPr>
          <w:rFonts w:ascii="GHEA Grapalat" w:hAnsi="GHEA Grapalat"/>
          <w:sz w:val="22"/>
          <w:szCs w:val="22"/>
        </w:rPr>
        <w:t xml:space="preserve"> հասցվ</w:t>
      </w:r>
      <w:r w:rsidRPr="00C921DE">
        <w:rPr>
          <w:rFonts w:ascii="GHEA Grapalat" w:hAnsi="GHEA Grapalat"/>
          <w:sz w:val="22"/>
          <w:szCs w:val="22"/>
        </w:rPr>
        <w:t xml:space="preserve">ել Ադրբեջանի սանձազերծած պատերազմական գործողությունների պատճառով Գորիս համայնքի Շուռնուխ բնակավայրում սահմանազատման հետևանքով իրենց բնակելի նշանակության գույքերի տնօրինման հնարավորությունից զրկված ընտանիքների համար նոր բնակելի թաղամասի կառուցման աշխատանքները, </w:t>
      </w:r>
    </w:p>
    <w:p w14:paraId="6F4174CA" w14:textId="77777777" w:rsidR="008C6484" w:rsidRPr="00C921DE" w:rsidRDefault="008C6484" w:rsidP="003B31A7">
      <w:pPr>
        <w:numPr>
          <w:ilvl w:val="0"/>
          <w:numId w:val="11"/>
        </w:numPr>
        <w:tabs>
          <w:tab w:val="left" w:pos="993"/>
        </w:tabs>
        <w:spacing w:line="360" w:lineRule="auto"/>
        <w:ind w:left="0" w:firstLine="567"/>
        <w:jc w:val="both"/>
        <w:rPr>
          <w:rFonts w:ascii="GHEA Grapalat" w:hAnsi="GHEA Grapalat"/>
          <w:sz w:val="22"/>
          <w:szCs w:val="22"/>
        </w:rPr>
      </w:pPr>
      <w:r w:rsidRPr="00C921DE">
        <w:rPr>
          <w:rFonts w:ascii="GHEA Grapalat" w:hAnsi="GHEA Grapalat"/>
          <w:sz w:val="22"/>
          <w:szCs w:val="22"/>
        </w:rPr>
        <w:t>շենքերի և շինությունների մատչելիության ապահովման և անձնագրավորման ծրագրի շարունակական իրագործումը, որի կապակցությամբ «Նախագծային հատուկ լուծումներով համալրման ենթակա մի շարք կարևորագույն նշանակության օբյեկտների ցանկը և դրանց շահագործման մատչելիությունն ապահովող միջոցառումների ծրագիրը հաստատելու մասին» ՀՀ կառավարության 03.03.2022թ. N250-Լ որոշման համաձայն՝ մեկնարկել է ծրագրի նախագծային աշխատանքների նախապատրաստման փուլը և տարվա ընթացքում հետազննվել և անձնագրավորվել են մի շարք օբյեկտների շենքեր ու շինություններ:</w:t>
      </w:r>
    </w:p>
    <w:p w14:paraId="3D2A4C97" w14:textId="77777777" w:rsidR="008C6484" w:rsidRPr="00C921DE" w:rsidRDefault="008C6484" w:rsidP="00E00BBD">
      <w:pPr>
        <w:spacing w:line="360" w:lineRule="auto"/>
        <w:ind w:firstLine="567"/>
        <w:jc w:val="both"/>
        <w:rPr>
          <w:rFonts w:ascii="GHEA Grapalat" w:hAnsi="GHEA Grapalat"/>
          <w:sz w:val="22"/>
          <w:szCs w:val="22"/>
          <w:lang w:val="en-US"/>
        </w:rPr>
      </w:pPr>
    </w:p>
    <w:p w14:paraId="1AC90337" w14:textId="77777777" w:rsidR="001C411D" w:rsidRPr="00C921DE" w:rsidRDefault="00912E86" w:rsidP="00AC199C">
      <w:pPr>
        <w:pStyle w:val="Heading2"/>
        <w:spacing w:before="0"/>
      </w:pPr>
      <w:bookmarkStart w:id="38" w:name="_Toc163745428"/>
      <w:r w:rsidRPr="00C921DE">
        <w:lastRenderedPageBreak/>
        <w:t>Արտակարգ իրավիճակների բնագավառ</w:t>
      </w:r>
      <w:bookmarkEnd w:id="38"/>
    </w:p>
    <w:p w14:paraId="2C8D1DF6" w14:textId="77777777" w:rsidR="004D5A02" w:rsidRPr="00C921DE" w:rsidRDefault="004D5A02" w:rsidP="004D5A02">
      <w:pPr>
        <w:spacing w:line="360" w:lineRule="auto"/>
        <w:ind w:firstLine="567"/>
        <w:jc w:val="both"/>
        <w:rPr>
          <w:rFonts w:ascii="GHEA Grapalat" w:hAnsi="GHEA Grapalat"/>
          <w:sz w:val="22"/>
          <w:szCs w:val="22"/>
        </w:rPr>
      </w:pPr>
      <w:r w:rsidRPr="00C921DE">
        <w:rPr>
          <w:rFonts w:ascii="GHEA Grapalat" w:hAnsi="GHEA Grapalat"/>
          <w:sz w:val="22"/>
          <w:szCs w:val="22"/>
        </w:rPr>
        <w:t xml:space="preserve">Ոլորտի հիմնական թիրախներն են՝ </w:t>
      </w:r>
      <w:r w:rsidR="00B75197" w:rsidRPr="00C921DE">
        <w:rPr>
          <w:rFonts w:ascii="GHEA Grapalat" w:hAnsi="GHEA Grapalat"/>
          <w:sz w:val="22"/>
          <w:szCs w:val="22"/>
        </w:rPr>
        <w:t>պետական քաղաքականության մշակում,</w:t>
      </w:r>
      <w:r w:rsidRPr="00C921DE">
        <w:rPr>
          <w:rFonts w:ascii="GHEA Grapalat" w:hAnsi="GHEA Grapalat"/>
          <w:sz w:val="22"/>
          <w:szCs w:val="22"/>
        </w:rPr>
        <w:t xml:space="preserve"> ծրագրերի համակարգում, արտակարգ իրավիճակների</w:t>
      </w:r>
      <w:r w:rsidR="00352EDB" w:rsidRPr="00C921DE">
        <w:rPr>
          <w:rFonts w:ascii="GHEA Grapalat" w:hAnsi="GHEA Grapalat"/>
          <w:sz w:val="22"/>
          <w:szCs w:val="22"/>
          <w:lang w:val="en-US"/>
        </w:rPr>
        <w:t>ն</w:t>
      </w:r>
      <w:r w:rsidRPr="00C921DE">
        <w:rPr>
          <w:rFonts w:ascii="GHEA Grapalat" w:hAnsi="GHEA Grapalat"/>
          <w:sz w:val="22"/>
          <w:szCs w:val="22"/>
        </w:rPr>
        <w:t xml:space="preserve"> արդյունավետ արձագանքում, արտակարգ իրավիճակների կանխում, հնարավոր հետևանքների նվազեցում և վերացում, քաղաքացիական պաշտպանություն, բնակչության և տնտեսության օբյեկտների (տարածքների) պաշտպանություն, փրկարարական, վթարային փրկարարական, անհետաձգելի վթարավերականգնողական, հրդեհաշիջման և այլ աշխատանքների իրականացում:</w:t>
      </w:r>
    </w:p>
    <w:p w14:paraId="3CC33D0F" w14:textId="77777777" w:rsidR="004D5A02" w:rsidRPr="00C921DE" w:rsidRDefault="004D5A02" w:rsidP="004D5A02">
      <w:pPr>
        <w:spacing w:line="360" w:lineRule="auto"/>
        <w:ind w:firstLine="567"/>
        <w:jc w:val="both"/>
        <w:rPr>
          <w:rFonts w:ascii="GHEA Grapalat" w:hAnsi="GHEA Grapalat"/>
          <w:sz w:val="22"/>
          <w:szCs w:val="22"/>
        </w:rPr>
      </w:pPr>
      <w:r w:rsidRPr="00C921DE">
        <w:rPr>
          <w:rFonts w:ascii="GHEA Grapalat" w:hAnsi="GHEA Grapalat"/>
          <w:sz w:val="22"/>
          <w:szCs w:val="22"/>
          <w:u w:val="single"/>
        </w:rPr>
        <w:t>Փրկարարական ծառայություններ</w:t>
      </w:r>
      <w:r w:rsidRPr="00C921DE">
        <w:rPr>
          <w:rFonts w:ascii="GHEA Grapalat" w:hAnsi="GHEA Grapalat"/>
          <w:sz w:val="22"/>
          <w:szCs w:val="22"/>
        </w:rPr>
        <w:t xml:space="preserve"> ծրագրի նպատակն</w:t>
      </w:r>
      <w:r w:rsidR="00352EDB" w:rsidRPr="00C921DE">
        <w:rPr>
          <w:rFonts w:ascii="GHEA Grapalat" w:hAnsi="GHEA Grapalat"/>
          <w:sz w:val="22"/>
          <w:szCs w:val="22"/>
          <w:lang w:val="en-US"/>
        </w:rPr>
        <w:t>երն</w:t>
      </w:r>
      <w:r w:rsidRPr="00C921DE">
        <w:rPr>
          <w:rFonts w:ascii="GHEA Grapalat" w:hAnsi="GHEA Grapalat"/>
          <w:sz w:val="22"/>
          <w:szCs w:val="22"/>
        </w:rPr>
        <w:t xml:space="preserve"> </w:t>
      </w:r>
      <w:r w:rsidR="00352EDB" w:rsidRPr="00C921DE">
        <w:rPr>
          <w:rFonts w:ascii="GHEA Grapalat" w:hAnsi="GHEA Grapalat"/>
          <w:sz w:val="22"/>
          <w:szCs w:val="22"/>
          <w:lang w:val="en-US"/>
        </w:rPr>
        <w:t>են</w:t>
      </w:r>
      <w:r w:rsidRPr="00C921DE">
        <w:rPr>
          <w:rFonts w:ascii="GHEA Grapalat" w:hAnsi="GHEA Grapalat"/>
          <w:sz w:val="22"/>
          <w:szCs w:val="22"/>
        </w:rPr>
        <w:t xml:space="preserve"> արտակարգ իրավիճակների հնարավոր դեպքերի կանխումը, դրանց ժամանակին արձագանքումը, հետևանքների նվազեցումը և բնակչության պաշտպանությունը, Փրկարար ծառայությունում փրկարարական համակարգի կատարելագործումը և զարգացումը՝</w:t>
      </w:r>
      <w:r w:rsidR="00586CC2" w:rsidRPr="00C921DE">
        <w:rPr>
          <w:rFonts w:ascii="GHEA Grapalat" w:hAnsi="GHEA Grapalat"/>
          <w:sz w:val="22"/>
          <w:szCs w:val="22"/>
          <w:lang w:val="en-US"/>
        </w:rPr>
        <w:t xml:space="preserve"> այն</w:t>
      </w:r>
      <w:r w:rsidRPr="00C921DE">
        <w:rPr>
          <w:rFonts w:ascii="GHEA Grapalat" w:hAnsi="GHEA Grapalat"/>
          <w:sz w:val="22"/>
          <w:szCs w:val="22"/>
        </w:rPr>
        <w:t xml:space="preserve"> աստիճանաբար համապատասխանեցնելով ժամանակակից ընդունված պահանջներին, զուգահեռաբար պետական փրկարարական կառույցի շուրջ ձևավորելով կամավորական փրկարարական ուժեր, փրկարար ծառայողների մասնագիտական, արագ արձագանքման փրկարար ուժերի պատրաստականության բարձրացումը, քաղաքացիական պաշտպանության ուժերի հավաքական կենտրոնի քաղաքացիական պաշտպանության ուժերի ու ստորաբաժանումների խնդիրների առավել արդյունավետ դերաբաշխման և կառավարելիության բարձրացումը, սահմանամերձ բնակավայրերում փրկարարական և արագ արձագանքման այլ ուժերի ստեղծումը և զարգացումը, ՀՀ-ում և տարածաշրջանում հնարավոր աղետների դեպքում մարդասիրական օգնության</w:t>
      </w:r>
      <w:r w:rsidR="00202FF2" w:rsidRPr="00C921DE">
        <w:rPr>
          <w:rFonts w:ascii="GHEA Grapalat" w:hAnsi="GHEA Grapalat"/>
          <w:sz w:val="22"/>
          <w:szCs w:val="22"/>
        </w:rPr>
        <w:t xml:space="preserve"> </w:t>
      </w:r>
      <w:r w:rsidRPr="00C921DE">
        <w:rPr>
          <w:rFonts w:ascii="GHEA Grapalat" w:hAnsi="GHEA Grapalat"/>
          <w:sz w:val="22"/>
          <w:szCs w:val="22"/>
        </w:rPr>
        <w:t xml:space="preserve">ցուցաբերումը, ճգնաժամային կառավարման ազգային կենտրոնում մարդուն հրատապ օգնության համապետական համակարգի 911 դիսպետչերական ծառայության զարգացումը` ծառայության մատուցումը հնարավորինս մոտեցնելով միջազգային չափանիշներին: </w:t>
      </w:r>
    </w:p>
    <w:p w14:paraId="290A485C" w14:textId="749CDB75" w:rsidR="004D5A02" w:rsidRPr="00C921DE" w:rsidRDefault="004D5A02" w:rsidP="00C24187">
      <w:pPr>
        <w:spacing w:line="360" w:lineRule="auto"/>
        <w:ind w:firstLine="567"/>
        <w:jc w:val="both"/>
        <w:rPr>
          <w:rFonts w:ascii="GHEA Grapalat" w:hAnsi="GHEA Grapalat"/>
          <w:sz w:val="22"/>
          <w:szCs w:val="22"/>
          <w:lang w:val="en-US"/>
        </w:rPr>
      </w:pPr>
      <w:r w:rsidRPr="00C921DE">
        <w:rPr>
          <w:rFonts w:ascii="GHEA Grapalat" w:hAnsi="GHEA Grapalat"/>
          <w:sz w:val="22"/>
          <w:szCs w:val="22"/>
        </w:rPr>
        <w:t xml:space="preserve">ԱՄՆ պաշտպանության դեպարտամենտի վտանգների նվազեցման գործակալության (ՊՎՆԳ) կողմից իրականացվող Քիմիական, կենսաբանական, ճառագայթային և միջուկային անվտանգության ոլորտում համագործակցության ծրագրի (ՔԿՃՄ-ԱՀԾ) շրջանակներում ՓԾ–ին տրամադրվել է ՔԿՃՄ հետախուզության գույք, ինչպես նաև մարդկանց և տարածքների վարակազերծման գույք, որը մինչ </w:t>
      </w:r>
      <w:r w:rsidR="00C24187" w:rsidRPr="00C921DE">
        <w:rPr>
          <w:rFonts w:ascii="GHEA Grapalat" w:hAnsi="GHEA Grapalat"/>
          <w:sz w:val="22"/>
          <w:szCs w:val="22"/>
        </w:rPr>
        <w:t xml:space="preserve">օրս բացակայում էր ՀՀ-ում: Ծրագրի շրջանակներում </w:t>
      </w:r>
      <w:r w:rsidRPr="00C921DE">
        <w:rPr>
          <w:rFonts w:ascii="GHEA Grapalat" w:hAnsi="GHEA Grapalat"/>
          <w:sz w:val="22"/>
          <w:szCs w:val="22"/>
        </w:rPr>
        <w:t xml:space="preserve">մարտի 2-ից 10-ը Լուսակերտի ուսումնական կենտրոնում </w:t>
      </w:r>
      <w:bookmarkStart w:id="39" w:name="_Hlk138250712"/>
      <w:r w:rsidRPr="00C921DE">
        <w:rPr>
          <w:rFonts w:ascii="GHEA Grapalat" w:hAnsi="GHEA Grapalat"/>
          <w:sz w:val="22"/>
          <w:szCs w:val="22"/>
        </w:rPr>
        <w:t xml:space="preserve">24 փրկարար ծառայող մասնակցել է </w:t>
      </w:r>
      <w:bookmarkEnd w:id="39"/>
      <w:r w:rsidRPr="00C921DE">
        <w:rPr>
          <w:rFonts w:ascii="GHEA Grapalat" w:hAnsi="GHEA Grapalat"/>
          <w:sz w:val="22"/>
          <w:szCs w:val="22"/>
        </w:rPr>
        <w:t xml:space="preserve">«Քիմիական, կենսաբանական, ճառագայթային և միջուկային ազդեցության հետևանքով խոցվածների բժշկական օգնության </w:t>
      </w:r>
      <w:r w:rsidR="00C24187" w:rsidRPr="00C921DE">
        <w:rPr>
          <w:rFonts w:ascii="GHEA Grapalat" w:hAnsi="GHEA Grapalat"/>
          <w:sz w:val="22"/>
          <w:szCs w:val="22"/>
        </w:rPr>
        <w:t>կառավարում» թեմայով դասընթացին</w:t>
      </w:r>
      <w:r w:rsidR="00C24187" w:rsidRPr="00C921DE">
        <w:rPr>
          <w:rFonts w:ascii="GHEA Grapalat" w:hAnsi="GHEA Grapalat"/>
          <w:sz w:val="22"/>
          <w:szCs w:val="22"/>
          <w:lang w:val="en-US"/>
        </w:rPr>
        <w:t>:</w:t>
      </w:r>
    </w:p>
    <w:p w14:paraId="0A86B815" w14:textId="77777777" w:rsidR="004D5A02" w:rsidRPr="00C921DE" w:rsidRDefault="004D5A02" w:rsidP="00C24187">
      <w:pPr>
        <w:spacing w:line="360" w:lineRule="auto"/>
        <w:ind w:firstLine="567"/>
        <w:jc w:val="both"/>
        <w:rPr>
          <w:rFonts w:ascii="GHEA Grapalat" w:hAnsi="GHEA Grapalat"/>
          <w:sz w:val="22"/>
          <w:szCs w:val="22"/>
        </w:rPr>
      </w:pPr>
      <w:r w:rsidRPr="00C921DE">
        <w:rPr>
          <w:rFonts w:ascii="GHEA Grapalat" w:hAnsi="GHEA Grapalat"/>
          <w:sz w:val="22"/>
          <w:szCs w:val="22"/>
        </w:rPr>
        <w:t>ՀՀ ներքին գործերի նախարարությունը</w:t>
      </w:r>
      <w:r w:rsidR="00EC646E" w:rsidRPr="00C921DE">
        <w:rPr>
          <w:rFonts w:ascii="GHEA Grapalat" w:hAnsi="GHEA Grapalat"/>
          <w:sz w:val="22"/>
          <w:szCs w:val="22"/>
          <w:lang w:val="en-US"/>
        </w:rPr>
        <w:t>,</w:t>
      </w:r>
      <w:r w:rsidRPr="00C921DE">
        <w:rPr>
          <w:rFonts w:ascii="GHEA Grapalat" w:hAnsi="GHEA Grapalat"/>
          <w:sz w:val="22"/>
          <w:szCs w:val="22"/>
        </w:rPr>
        <w:t xml:space="preserve"> ԵՄ բնակչության պաշտպանության մեխանիզմի շրջանակներում համագործակցելով Եվրոմիության հետ «Երկրաշարժի համակողմանի կառավարումը </w:t>
      </w:r>
      <w:r w:rsidRPr="00C921DE">
        <w:rPr>
          <w:rFonts w:ascii="GHEA Grapalat" w:hAnsi="GHEA Grapalat"/>
          <w:sz w:val="22"/>
          <w:szCs w:val="22"/>
        </w:rPr>
        <w:lastRenderedPageBreak/>
        <w:t>Հարավային Կովկասի խոցելի տարածքներում` արդյունավետ պլանավորման, արձագանքման և համատեղ գործողությունների միջոցով» ծրագրի պլանավորման ընթացքում</w:t>
      </w:r>
      <w:r w:rsidR="00EC646E" w:rsidRPr="00C921DE">
        <w:rPr>
          <w:rFonts w:ascii="GHEA Grapalat" w:hAnsi="GHEA Grapalat"/>
          <w:sz w:val="22"/>
          <w:szCs w:val="22"/>
          <w:lang w:val="en-US"/>
        </w:rPr>
        <w:t>,</w:t>
      </w:r>
      <w:r w:rsidRPr="00C921DE">
        <w:rPr>
          <w:rFonts w:ascii="GHEA Grapalat" w:hAnsi="GHEA Grapalat"/>
          <w:sz w:val="22"/>
          <w:szCs w:val="22"/>
        </w:rPr>
        <w:t xml:space="preserve"> 2023 թվականի հոկտեմբերի 9-ից 13-ը </w:t>
      </w:r>
      <w:r w:rsidR="00EC646E" w:rsidRPr="00C921DE">
        <w:rPr>
          <w:rFonts w:ascii="GHEA Grapalat" w:hAnsi="GHEA Grapalat"/>
          <w:sz w:val="22"/>
          <w:szCs w:val="22"/>
          <w:lang w:val="en-US"/>
        </w:rPr>
        <w:t>ՀՀ</w:t>
      </w:r>
      <w:r w:rsidRPr="00C921DE">
        <w:rPr>
          <w:rFonts w:ascii="GHEA Grapalat" w:hAnsi="GHEA Grapalat"/>
          <w:sz w:val="22"/>
          <w:szCs w:val="22"/>
        </w:rPr>
        <w:t xml:space="preserve"> տարածքում անցկացրել է միջազգային հրամանատարաշտաբային վարժանք (ներառյալ</w:t>
      </w:r>
      <w:r w:rsidR="00EC646E" w:rsidRPr="00C921DE">
        <w:rPr>
          <w:rFonts w:ascii="GHEA Grapalat" w:hAnsi="GHEA Grapalat"/>
          <w:sz w:val="22"/>
          <w:szCs w:val="22"/>
          <w:lang w:val="en-US"/>
        </w:rPr>
        <w:t>՝</w:t>
      </w:r>
      <w:r w:rsidRPr="00C921DE">
        <w:rPr>
          <w:rFonts w:ascii="GHEA Grapalat" w:hAnsi="GHEA Grapalat"/>
          <w:sz w:val="22"/>
          <w:szCs w:val="22"/>
        </w:rPr>
        <w:t xml:space="preserve"> դաշտային): Վարժանքին մասնակցել են Միջազգային որոնողափրկարարական խորհրդատ</w:t>
      </w:r>
      <w:r w:rsidR="00EC646E" w:rsidRPr="00C921DE">
        <w:rPr>
          <w:rFonts w:ascii="GHEA Grapalat" w:hAnsi="GHEA Grapalat"/>
          <w:sz w:val="22"/>
          <w:szCs w:val="22"/>
        </w:rPr>
        <w:t>վական խմբի քարտուղարության, Եվրա</w:t>
      </w:r>
      <w:r w:rsidRPr="00C921DE">
        <w:rPr>
          <w:rFonts w:ascii="GHEA Grapalat" w:hAnsi="GHEA Grapalat"/>
          <w:sz w:val="22"/>
          <w:szCs w:val="22"/>
        </w:rPr>
        <w:t xml:space="preserve">միության անդամ և գործընկեր երկրների ներկայացուցիչներ ու տարբեր երկրների քաղաքային որոնողափրկարարական թիմեր: </w:t>
      </w:r>
    </w:p>
    <w:p w14:paraId="6D50BC1E" w14:textId="77777777" w:rsidR="004D5A02" w:rsidRPr="00C921DE" w:rsidRDefault="004D5A02" w:rsidP="006B4119">
      <w:pPr>
        <w:spacing w:line="360" w:lineRule="auto"/>
        <w:ind w:firstLine="567"/>
        <w:jc w:val="both"/>
        <w:rPr>
          <w:rFonts w:ascii="GHEA Grapalat" w:hAnsi="GHEA Grapalat"/>
          <w:sz w:val="22"/>
          <w:szCs w:val="22"/>
        </w:rPr>
      </w:pPr>
      <w:r w:rsidRPr="00C921DE">
        <w:rPr>
          <w:rFonts w:ascii="GHEA Grapalat" w:hAnsi="GHEA Grapalat"/>
          <w:sz w:val="22"/>
          <w:szCs w:val="22"/>
        </w:rPr>
        <w:t>ԱՄՆ պաշտպանության դեպարտամենտի վտանգների նվազեցման գործակալության (ՊՎՆԳ) Կենսաբանական վտանգների նվազեցման ծրագրի շրջանակներում 2023 թվականին Փրկարար ծառայությանը տրամադրվել</w:t>
      </w:r>
      <w:r w:rsidR="00202FF2" w:rsidRPr="00C921DE">
        <w:rPr>
          <w:rFonts w:ascii="GHEA Grapalat" w:hAnsi="GHEA Grapalat"/>
          <w:sz w:val="22"/>
          <w:szCs w:val="22"/>
        </w:rPr>
        <w:t xml:space="preserve"> </w:t>
      </w:r>
      <w:r w:rsidRPr="00C921DE">
        <w:rPr>
          <w:rFonts w:ascii="GHEA Grapalat" w:hAnsi="GHEA Grapalat"/>
          <w:sz w:val="22"/>
          <w:szCs w:val="22"/>
        </w:rPr>
        <w:t>է կենսաբանական դեպքերին արագ արձագանքման հատուկ մեքենա:</w:t>
      </w:r>
    </w:p>
    <w:p w14:paraId="4D4DB778" w14:textId="77777777" w:rsidR="004D5A02" w:rsidRPr="00C921DE" w:rsidRDefault="004D5A02" w:rsidP="009A04E3">
      <w:pPr>
        <w:spacing w:line="360" w:lineRule="auto"/>
        <w:ind w:firstLine="567"/>
        <w:jc w:val="both"/>
        <w:rPr>
          <w:rFonts w:ascii="GHEA Grapalat" w:hAnsi="GHEA Grapalat"/>
          <w:sz w:val="22"/>
          <w:szCs w:val="22"/>
        </w:rPr>
      </w:pPr>
      <w:r w:rsidRPr="00C921DE">
        <w:rPr>
          <w:rFonts w:ascii="GHEA Grapalat" w:hAnsi="GHEA Grapalat"/>
          <w:sz w:val="22"/>
          <w:szCs w:val="22"/>
        </w:rPr>
        <w:t>Կամավորական փրկարարական շարժման զարգացման նպատակով Ավստրիական զարգացման գործակալության և Ավստրիական կարմիր խաչի ընկերության ֆինանսավորմամբ Հայկական կարմիր խաչի ընկերության հետ իրականացվում է «Հայաստանի Հանրապետությունում առաջին արձագանքման կամավորական ծառայության ինստիտուցիոնալիզացում» VOLFIRE ծրագիրը: Ծրագիրը մեկնարկել է 2022 թվականի դեկտեմբերին և կավարտվի 2025 թվականի օգոստոսին: Ծրագրի հիմնական նպատակն է</w:t>
      </w:r>
      <w:r w:rsidR="00902C43" w:rsidRPr="00C921DE">
        <w:rPr>
          <w:rFonts w:ascii="GHEA Grapalat" w:hAnsi="GHEA Grapalat"/>
          <w:sz w:val="22"/>
          <w:szCs w:val="22"/>
          <w:lang w:val="en-US"/>
        </w:rPr>
        <w:t>՝</w:t>
      </w:r>
      <w:r w:rsidRPr="00C921DE">
        <w:rPr>
          <w:rFonts w:ascii="GHEA Grapalat" w:hAnsi="GHEA Grapalat"/>
          <w:sz w:val="22"/>
          <w:szCs w:val="22"/>
        </w:rPr>
        <w:t xml:space="preserve"> կամավոր կարողությունների միջոցով նպաստել </w:t>
      </w:r>
      <w:r w:rsidR="00902C43" w:rsidRPr="00C921DE">
        <w:rPr>
          <w:rFonts w:ascii="GHEA Grapalat" w:hAnsi="GHEA Grapalat"/>
          <w:sz w:val="22"/>
          <w:szCs w:val="22"/>
          <w:lang w:val="en-US"/>
        </w:rPr>
        <w:t>ՀՀ</w:t>
      </w:r>
      <w:r w:rsidRPr="00C921DE">
        <w:rPr>
          <w:rFonts w:ascii="GHEA Grapalat" w:hAnsi="GHEA Grapalat"/>
          <w:sz w:val="22"/>
          <w:szCs w:val="22"/>
        </w:rPr>
        <w:t xml:space="preserve"> մարզերում բնակչության պաշտպանության համակարգերի ամրապնդմանը:</w:t>
      </w:r>
      <w:r w:rsidR="00902C43" w:rsidRPr="00C921DE">
        <w:rPr>
          <w:rFonts w:ascii="GHEA Grapalat" w:hAnsi="GHEA Grapalat"/>
          <w:sz w:val="22"/>
          <w:szCs w:val="22"/>
          <w:lang w:val="en-US"/>
        </w:rPr>
        <w:t xml:space="preserve"> </w:t>
      </w:r>
      <w:r w:rsidRPr="00C921DE">
        <w:rPr>
          <w:rFonts w:ascii="GHEA Grapalat" w:hAnsi="GHEA Grapalat"/>
          <w:sz w:val="22"/>
          <w:szCs w:val="22"/>
        </w:rPr>
        <w:t xml:space="preserve">Ծրագրի հիմքում ընկած </w:t>
      </w:r>
      <w:r w:rsidR="00902C43" w:rsidRPr="00C921DE">
        <w:rPr>
          <w:rFonts w:ascii="GHEA Grapalat" w:hAnsi="GHEA Grapalat"/>
          <w:sz w:val="22"/>
          <w:szCs w:val="22"/>
          <w:lang w:val="en-US"/>
        </w:rPr>
        <w:t>են</w:t>
      </w:r>
      <w:r w:rsidRPr="00C921DE">
        <w:rPr>
          <w:rFonts w:ascii="GHEA Grapalat" w:hAnsi="GHEA Grapalat"/>
          <w:sz w:val="22"/>
          <w:szCs w:val="22"/>
        </w:rPr>
        <w:t xml:space="preserve"> 8 գործող կամավորական հրշեջ-փրկարարական հենակետերի կարողությունների զարգացումը, ինչպես նաև 4 նոր կամավորական հրշեջ-փրկարարական հենակետերի ստեղծումը, անգարների ու հնամաշ ավտոբաքերի վերանորոգումը, վերազինումն անհրաժեշտ հրշեջ-փրկարարական գույքով:</w:t>
      </w:r>
    </w:p>
    <w:p w14:paraId="39845814" w14:textId="77777777" w:rsidR="004D5A02" w:rsidRPr="00C921DE" w:rsidRDefault="004D5A02" w:rsidP="009A04E3">
      <w:pPr>
        <w:spacing w:line="360" w:lineRule="auto"/>
        <w:ind w:firstLine="567"/>
        <w:jc w:val="both"/>
        <w:rPr>
          <w:rFonts w:ascii="GHEA Grapalat" w:hAnsi="GHEA Grapalat"/>
          <w:sz w:val="22"/>
          <w:szCs w:val="22"/>
          <w:lang w:val="en-US"/>
        </w:rPr>
      </w:pPr>
      <w:r w:rsidRPr="00C921DE">
        <w:rPr>
          <w:rFonts w:ascii="GHEA Grapalat" w:hAnsi="GHEA Grapalat"/>
          <w:sz w:val="22"/>
          <w:szCs w:val="22"/>
          <w:u w:val="single"/>
        </w:rPr>
        <w:t>Սեյսմիկ պաշտպանություն</w:t>
      </w:r>
      <w:r w:rsidRPr="00C921DE">
        <w:rPr>
          <w:rFonts w:ascii="GHEA Grapalat" w:hAnsi="GHEA Grapalat"/>
          <w:sz w:val="22"/>
          <w:szCs w:val="22"/>
        </w:rPr>
        <w:t xml:space="preserve"> ծրագրի նպատակն</w:t>
      </w:r>
      <w:r w:rsidR="00902C43" w:rsidRPr="00C921DE">
        <w:rPr>
          <w:rFonts w:ascii="GHEA Grapalat" w:hAnsi="GHEA Grapalat"/>
          <w:sz w:val="22"/>
          <w:szCs w:val="22"/>
          <w:lang w:val="en-US"/>
        </w:rPr>
        <w:t>երն են</w:t>
      </w:r>
      <w:r w:rsidRPr="00C921DE">
        <w:rPr>
          <w:rFonts w:ascii="GHEA Grapalat" w:hAnsi="GHEA Grapalat"/>
          <w:sz w:val="22"/>
          <w:szCs w:val="22"/>
        </w:rPr>
        <w:t xml:space="preserve"> </w:t>
      </w:r>
      <w:r w:rsidR="00902C43" w:rsidRPr="00C921DE">
        <w:rPr>
          <w:rFonts w:ascii="GHEA Grapalat" w:hAnsi="GHEA Grapalat"/>
          <w:sz w:val="22"/>
          <w:szCs w:val="22"/>
          <w:lang w:val="en-US"/>
        </w:rPr>
        <w:t>ս</w:t>
      </w:r>
      <w:r w:rsidRPr="00C921DE">
        <w:rPr>
          <w:rFonts w:ascii="GHEA Grapalat" w:hAnsi="GHEA Grapalat"/>
          <w:sz w:val="22"/>
          <w:szCs w:val="22"/>
        </w:rPr>
        <w:t>եյսմիկ ռիսկերի գնահատումը և նվազեցումը: Ոլորտի զարգացման միտումներն ակնհայտ են, քանի որ կա առաջընթաց բոլոր ուղղություններով: Հատկապես կարևոր</w:t>
      </w:r>
      <w:r w:rsidR="00902C43" w:rsidRPr="00C921DE">
        <w:rPr>
          <w:rFonts w:ascii="GHEA Grapalat" w:hAnsi="GHEA Grapalat"/>
          <w:sz w:val="22"/>
          <w:szCs w:val="22"/>
          <w:lang w:val="en-US"/>
        </w:rPr>
        <w:t>վ</w:t>
      </w:r>
      <w:r w:rsidRPr="00C921DE">
        <w:rPr>
          <w:rFonts w:ascii="GHEA Grapalat" w:hAnsi="GHEA Grapalat"/>
          <w:sz w:val="22"/>
          <w:szCs w:val="22"/>
        </w:rPr>
        <w:t>ում են աշխատանքները դիտարկումների ցանցի արդիականացման ուղղությամբ, սեյսմիկ ռիսկի նվազեցման` սեյսմիկ պաշտպանության բնագավառում բնակչության ուսուցումը, Հայաստանի Հանրապետության խոշոր քաղաքների՝ Երևան</w:t>
      </w:r>
      <w:r w:rsidR="00902C43" w:rsidRPr="00C921DE">
        <w:rPr>
          <w:rFonts w:ascii="GHEA Grapalat" w:hAnsi="GHEA Grapalat"/>
          <w:sz w:val="22"/>
          <w:szCs w:val="22"/>
          <w:lang w:val="en-US"/>
        </w:rPr>
        <w:t>ի</w:t>
      </w:r>
      <w:r w:rsidR="00902C43" w:rsidRPr="00C921DE">
        <w:rPr>
          <w:rFonts w:ascii="GHEA Grapalat" w:hAnsi="GHEA Grapalat"/>
          <w:sz w:val="22"/>
          <w:szCs w:val="22"/>
        </w:rPr>
        <w:t>, Գյումրու</w:t>
      </w:r>
      <w:r w:rsidRPr="00C921DE">
        <w:rPr>
          <w:rFonts w:ascii="GHEA Grapalat" w:hAnsi="GHEA Grapalat"/>
          <w:sz w:val="22"/>
          <w:szCs w:val="22"/>
        </w:rPr>
        <w:t>, Վանաձոր</w:t>
      </w:r>
      <w:r w:rsidR="00902C43" w:rsidRPr="00C921DE">
        <w:rPr>
          <w:rFonts w:ascii="GHEA Grapalat" w:hAnsi="GHEA Grapalat"/>
          <w:sz w:val="22"/>
          <w:szCs w:val="22"/>
          <w:lang w:val="en-US"/>
        </w:rPr>
        <w:t>ի</w:t>
      </w:r>
      <w:r w:rsidRPr="00C921DE">
        <w:rPr>
          <w:rFonts w:ascii="GHEA Grapalat" w:hAnsi="GHEA Grapalat"/>
          <w:sz w:val="22"/>
          <w:szCs w:val="22"/>
        </w:rPr>
        <w:t xml:space="preserve"> և այլ քաղաքների տարածքների սեյսմիկ ռիսկի հիմնական բաղադրիչների գնահատումը և սեյսմիկ վտանգի քարտեզագրման աշխատանքները: Լայնածավալ աշխատանքներ են իրականացվել Գառնիի երկրաֆիզիկական դիտարանի (ԳԵԴ) աշխատանքները կատարելագործելու ուղղությամբ, արդիականացվել են ԳԵԴ-ի թունելում տեղադրված սարքավորումները</w:t>
      </w:r>
      <w:r w:rsidR="00EC71BB" w:rsidRPr="00C921DE">
        <w:rPr>
          <w:rFonts w:ascii="GHEA Grapalat" w:hAnsi="GHEA Grapalat"/>
          <w:sz w:val="22"/>
          <w:szCs w:val="22"/>
          <w:lang w:val="en-US"/>
        </w:rPr>
        <w:t>:</w:t>
      </w:r>
    </w:p>
    <w:p w14:paraId="2533B6CF" w14:textId="77777777" w:rsidR="004D5A02" w:rsidRPr="00C921DE" w:rsidRDefault="004D5A02" w:rsidP="009A04E3">
      <w:pPr>
        <w:spacing w:line="360" w:lineRule="auto"/>
        <w:ind w:firstLine="567"/>
        <w:jc w:val="both"/>
        <w:rPr>
          <w:rFonts w:ascii="GHEA Grapalat" w:hAnsi="GHEA Grapalat"/>
          <w:sz w:val="22"/>
          <w:szCs w:val="22"/>
        </w:rPr>
      </w:pPr>
      <w:r w:rsidRPr="00C921DE">
        <w:rPr>
          <w:rFonts w:ascii="GHEA Grapalat" w:hAnsi="GHEA Grapalat"/>
          <w:sz w:val="22"/>
          <w:szCs w:val="22"/>
        </w:rPr>
        <w:t>Չե</w:t>
      </w:r>
      <w:r w:rsidRPr="00C921DE">
        <w:rPr>
          <w:rFonts w:ascii="GHEA Grapalat" w:hAnsi="GHEA Grapalat"/>
          <w:sz w:val="22"/>
          <w:szCs w:val="22"/>
        </w:rPr>
        <w:softHyphen/>
        <w:t>խիայի ԳԱ Լեռնային և կա</w:t>
      </w:r>
      <w:r w:rsidRPr="00C921DE">
        <w:rPr>
          <w:rFonts w:ascii="GHEA Grapalat" w:hAnsi="GHEA Grapalat"/>
          <w:sz w:val="22"/>
          <w:szCs w:val="22"/>
        </w:rPr>
        <w:softHyphen/>
        <w:t>ռուց</w:t>
      </w:r>
      <w:r w:rsidRPr="00C921DE">
        <w:rPr>
          <w:rFonts w:ascii="GHEA Grapalat" w:hAnsi="GHEA Grapalat"/>
          <w:sz w:val="22"/>
          <w:szCs w:val="22"/>
        </w:rPr>
        <w:softHyphen/>
        <w:t>վածքային մեխանի</w:t>
      </w:r>
      <w:r w:rsidRPr="00C921DE">
        <w:rPr>
          <w:rFonts w:ascii="GHEA Grapalat" w:hAnsi="GHEA Grapalat"/>
          <w:sz w:val="22"/>
          <w:szCs w:val="22"/>
        </w:rPr>
        <w:softHyphen/>
        <w:t>կայի ինստիտուտի (ԼԿՄԻ) մասնագետների հետ համատեղ տեղադրվ</w:t>
      </w:r>
      <w:r w:rsidR="00EC71BB" w:rsidRPr="00C921DE">
        <w:rPr>
          <w:rFonts w:ascii="GHEA Grapalat" w:hAnsi="GHEA Grapalat"/>
          <w:sz w:val="22"/>
          <w:szCs w:val="22"/>
          <w:lang w:val="en-US"/>
        </w:rPr>
        <w:t>ել է</w:t>
      </w:r>
      <w:r w:rsidRPr="00C921DE">
        <w:rPr>
          <w:rFonts w:ascii="GHEA Grapalat" w:hAnsi="GHEA Grapalat"/>
          <w:sz w:val="22"/>
          <w:szCs w:val="22"/>
        </w:rPr>
        <w:t xml:space="preserve"> թվային թեքաչափ, որի միջոցով չափվում են երկրակեղևի </w:t>
      </w:r>
      <w:r w:rsidRPr="00C921DE">
        <w:rPr>
          <w:rFonts w:ascii="GHEA Grapalat" w:hAnsi="GHEA Grapalat"/>
          <w:sz w:val="22"/>
          <w:szCs w:val="22"/>
        </w:rPr>
        <w:lastRenderedPageBreak/>
        <w:t xml:space="preserve">թեքվածության փոփոխությունները՝ որպես հնարավոր ուժեղ երկրաշարժի նախապատրաստման ուղղակի նախանշան: Կայանը գրանցում է աշխարհում տեղի ունեցող ուժեղ երկրաշարժերը: </w:t>
      </w:r>
    </w:p>
    <w:p w14:paraId="4BF8D7E0" w14:textId="77777777" w:rsidR="004D5A02" w:rsidRPr="00C921DE" w:rsidRDefault="004D5A02" w:rsidP="009A04E3">
      <w:pPr>
        <w:spacing w:line="360" w:lineRule="auto"/>
        <w:ind w:firstLine="567"/>
        <w:jc w:val="both"/>
        <w:rPr>
          <w:sz w:val="22"/>
          <w:szCs w:val="22"/>
        </w:rPr>
      </w:pPr>
      <w:r w:rsidRPr="00C921DE">
        <w:rPr>
          <w:rFonts w:ascii="GHEA Grapalat" w:hAnsi="GHEA Grapalat"/>
          <w:sz w:val="22"/>
          <w:szCs w:val="22"/>
        </w:rPr>
        <w:t>Ֆրանսիայի ատոմային և այլընտրանքային էներգիայի կոմիսարիատի Շրջակա միջավայրի վերահսկողության և վերլուծության դեպարտամենտի մասնագետների հետ համատեղ «Վայք» սեյսմիկ կայանի փնջի` ԳԵԴ-ո</w:t>
      </w:r>
      <w:r w:rsidR="00EC71BB" w:rsidRPr="00C921DE">
        <w:rPr>
          <w:rFonts w:ascii="GHEA Grapalat" w:hAnsi="GHEA Grapalat"/>
          <w:sz w:val="22"/>
          <w:szCs w:val="22"/>
        </w:rPr>
        <w:t>ւմ տեղակայված ընդունող հանգույցն</w:t>
      </w:r>
      <w:r w:rsidRPr="00C921DE">
        <w:rPr>
          <w:rFonts w:ascii="GHEA Grapalat" w:hAnsi="GHEA Grapalat"/>
          <w:sz w:val="22"/>
          <w:szCs w:val="22"/>
        </w:rPr>
        <w:t xml:space="preserve"> արդիականացվել է, ինչը կարգավորում է «Վայք» սեյսմիկ կայանի փնջի աշխատանքը</w:t>
      </w:r>
      <w:r w:rsidR="00EC71BB" w:rsidRPr="00C921DE">
        <w:rPr>
          <w:rFonts w:ascii="GHEA Grapalat" w:hAnsi="GHEA Grapalat"/>
          <w:sz w:val="22"/>
          <w:szCs w:val="22"/>
          <w:lang w:val="en-US"/>
        </w:rPr>
        <w:t>,</w:t>
      </w:r>
      <w:r w:rsidRPr="00C921DE">
        <w:rPr>
          <w:rFonts w:ascii="GHEA Grapalat" w:hAnsi="GHEA Grapalat"/>
          <w:sz w:val="22"/>
          <w:szCs w:val="22"/>
        </w:rPr>
        <w:t xml:space="preserve"> և սեյսմիկ ալիքային պատկերներն իրական ժամանակում ստացվում են ԳԵԴ-ում: </w:t>
      </w:r>
    </w:p>
    <w:p w14:paraId="247E7A74" w14:textId="77777777" w:rsidR="004D5A02" w:rsidRPr="00C921DE" w:rsidRDefault="004D5A02" w:rsidP="00EC71BB">
      <w:pPr>
        <w:spacing w:line="360" w:lineRule="auto"/>
        <w:ind w:firstLine="567"/>
        <w:jc w:val="both"/>
        <w:rPr>
          <w:rFonts w:ascii="GHEA Grapalat" w:hAnsi="GHEA Grapalat"/>
          <w:sz w:val="22"/>
          <w:szCs w:val="22"/>
        </w:rPr>
      </w:pPr>
      <w:r w:rsidRPr="00C921DE">
        <w:rPr>
          <w:rFonts w:ascii="GHEA Grapalat" w:hAnsi="GHEA Grapalat"/>
          <w:sz w:val="22"/>
          <w:szCs w:val="22"/>
        </w:rPr>
        <w:t>Ճգնաժամային կառավարման ակադեմիայում իրականացվել են աշխատանքներ հետևյալ ուղղություններով`</w:t>
      </w:r>
    </w:p>
    <w:p w14:paraId="232C71F5" w14:textId="77777777" w:rsidR="004D5A02" w:rsidRPr="00C921DE" w:rsidRDefault="00EB60D1" w:rsidP="00547F60">
      <w:pPr>
        <w:pStyle w:val="ListParagraph"/>
        <w:numPr>
          <w:ilvl w:val="0"/>
          <w:numId w:val="28"/>
        </w:numPr>
        <w:spacing w:line="360" w:lineRule="auto"/>
        <w:ind w:left="851" w:hanging="284"/>
        <w:jc w:val="both"/>
        <w:rPr>
          <w:rFonts w:ascii="GHEA Grapalat" w:hAnsi="GHEA Grapalat"/>
          <w:lang w:val="hy-AM"/>
        </w:rPr>
      </w:pPr>
      <w:r w:rsidRPr="00C921DE">
        <w:rPr>
          <w:rFonts w:ascii="GHEA Grapalat" w:hAnsi="GHEA Grapalat"/>
          <w:lang w:val="en-US"/>
        </w:rPr>
        <w:t>կ</w:t>
      </w:r>
      <w:r w:rsidR="004D5A02" w:rsidRPr="00C921DE">
        <w:rPr>
          <w:rFonts w:ascii="GHEA Grapalat" w:hAnsi="GHEA Grapalat"/>
        </w:rPr>
        <w:t>ադրերի</w:t>
      </w:r>
      <w:r w:rsidR="004D5A02" w:rsidRPr="00C921DE">
        <w:rPr>
          <w:rFonts w:ascii="GHEA Grapalat" w:hAnsi="GHEA Grapalat"/>
          <w:lang w:val="hy-AM"/>
        </w:rPr>
        <w:t xml:space="preserve"> </w:t>
      </w:r>
      <w:r w:rsidR="004D5A02" w:rsidRPr="00C921DE">
        <w:rPr>
          <w:rFonts w:ascii="GHEA Grapalat" w:hAnsi="GHEA Grapalat"/>
        </w:rPr>
        <w:t>պատրաստման</w:t>
      </w:r>
      <w:r w:rsidR="004D5A02" w:rsidRPr="00C921DE">
        <w:rPr>
          <w:rFonts w:ascii="GHEA Grapalat" w:hAnsi="GHEA Grapalat"/>
          <w:lang w:val="hy-AM"/>
        </w:rPr>
        <w:t xml:space="preserve"> </w:t>
      </w:r>
      <w:r w:rsidR="004D5A02" w:rsidRPr="00C921DE">
        <w:rPr>
          <w:rFonts w:ascii="GHEA Grapalat" w:hAnsi="GHEA Grapalat"/>
        </w:rPr>
        <w:t>և</w:t>
      </w:r>
      <w:r w:rsidR="004D5A02" w:rsidRPr="00C921DE">
        <w:rPr>
          <w:rFonts w:ascii="GHEA Grapalat" w:hAnsi="GHEA Grapalat"/>
          <w:lang w:val="hy-AM"/>
        </w:rPr>
        <w:t xml:space="preserve"> </w:t>
      </w:r>
      <w:r w:rsidR="004D5A02" w:rsidRPr="00C921DE">
        <w:rPr>
          <w:rFonts w:ascii="GHEA Grapalat" w:hAnsi="GHEA Grapalat"/>
        </w:rPr>
        <w:t>վերապատրաստման</w:t>
      </w:r>
      <w:r w:rsidR="004D5A02" w:rsidRPr="00C921DE">
        <w:rPr>
          <w:rFonts w:ascii="GHEA Grapalat" w:hAnsi="GHEA Grapalat"/>
          <w:lang w:val="hy-AM"/>
        </w:rPr>
        <w:t xml:space="preserve"> </w:t>
      </w:r>
      <w:r w:rsidRPr="00C921DE">
        <w:rPr>
          <w:rFonts w:ascii="GHEA Grapalat" w:hAnsi="GHEA Grapalat"/>
        </w:rPr>
        <w:t>ծառայություններ</w:t>
      </w:r>
      <w:r w:rsidR="004D5A02" w:rsidRPr="00C921DE">
        <w:rPr>
          <w:rFonts w:ascii="GHEA Grapalat" w:hAnsi="GHEA Grapalat" w:cs="Times New Roman"/>
          <w:lang w:val="hy-AM"/>
        </w:rPr>
        <w:t>,</w:t>
      </w:r>
    </w:p>
    <w:p w14:paraId="7B1C9838"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lang w:val="hy-AM"/>
        </w:rPr>
      </w:pPr>
      <w:r w:rsidRPr="00C921DE">
        <w:rPr>
          <w:rFonts w:ascii="GHEA Grapalat" w:hAnsi="GHEA Grapalat"/>
        </w:rPr>
        <w:t>հրշեջ</w:t>
      </w:r>
      <w:r w:rsidRPr="00C921DE">
        <w:rPr>
          <w:rFonts w:ascii="GHEA Grapalat" w:hAnsi="GHEA Grapalat"/>
          <w:lang w:val="hy-AM"/>
        </w:rPr>
        <w:t>-</w:t>
      </w:r>
      <w:r w:rsidRPr="00C921DE">
        <w:rPr>
          <w:rFonts w:ascii="GHEA Grapalat" w:hAnsi="GHEA Grapalat"/>
        </w:rPr>
        <w:t>փրկարարների</w:t>
      </w:r>
      <w:r w:rsidRPr="00C921DE">
        <w:rPr>
          <w:rFonts w:ascii="GHEA Grapalat" w:hAnsi="GHEA Grapalat"/>
          <w:lang w:val="hy-AM"/>
        </w:rPr>
        <w:t xml:space="preserve"> </w:t>
      </w:r>
      <w:r w:rsidRPr="00C921DE">
        <w:rPr>
          <w:rFonts w:ascii="GHEA Grapalat" w:hAnsi="GHEA Grapalat"/>
        </w:rPr>
        <w:t>վերապատրաստ</w:t>
      </w:r>
      <w:r w:rsidR="00EB60D1" w:rsidRPr="00C921DE">
        <w:rPr>
          <w:rFonts w:ascii="GHEA Grapalat" w:hAnsi="GHEA Grapalat"/>
          <w:lang w:val="en-US"/>
        </w:rPr>
        <w:t>ում</w:t>
      </w:r>
      <w:r w:rsidRPr="00C921DE">
        <w:rPr>
          <w:rFonts w:ascii="GHEA Grapalat" w:hAnsi="GHEA Grapalat"/>
          <w:lang w:val="hy-AM"/>
        </w:rPr>
        <w:t xml:space="preserve">, </w:t>
      </w:r>
      <w:r w:rsidRPr="00C921DE">
        <w:rPr>
          <w:rFonts w:ascii="GHEA Grapalat" w:hAnsi="GHEA Grapalat"/>
        </w:rPr>
        <w:t>որակավորման</w:t>
      </w:r>
      <w:r w:rsidRPr="00C921DE">
        <w:rPr>
          <w:rFonts w:ascii="GHEA Grapalat" w:hAnsi="GHEA Grapalat"/>
          <w:lang w:val="hy-AM"/>
        </w:rPr>
        <w:t xml:space="preserve"> </w:t>
      </w:r>
      <w:r w:rsidR="00EB60D1" w:rsidRPr="00C921DE">
        <w:rPr>
          <w:rFonts w:ascii="GHEA Grapalat" w:hAnsi="GHEA Grapalat"/>
        </w:rPr>
        <w:t>բարձրացում</w:t>
      </w:r>
      <w:r w:rsidRPr="00C921DE">
        <w:rPr>
          <w:rFonts w:ascii="GHEA Grapalat" w:hAnsi="GHEA Grapalat"/>
          <w:lang w:val="hy-AM"/>
        </w:rPr>
        <w:t>,</w:t>
      </w:r>
    </w:p>
    <w:p w14:paraId="1308A2D8"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lang w:val="hy-AM"/>
        </w:rPr>
      </w:pPr>
      <w:r w:rsidRPr="00C921DE">
        <w:rPr>
          <w:rFonts w:ascii="GHEA Grapalat" w:hAnsi="GHEA Grapalat"/>
        </w:rPr>
        <w:t>բարձրա</w:t>
      </w:r>
      <w:r w:rsidRPr="00C921DE">
        <w:rPr>
          <w:rFonts w:ascii="GHEA Grapalat" w:hAnsi="GHEA Grapalat"/>
          <w:lang w:val="hy-AM"/>
        </w:rPr>
        <w:t>գ</w:t>
      </w:r>
      <w:r w:rsidRPr="00C921DE">
        <w:rPr>
          <w:rFonts w:ascii="GHEA Grapalat" w:hAnsi="GHEA Grapalat"/>
        </w:rPr>
        <w:t>ույն</w:t>
      </w:r>
      <w:r w:rsidRPr="00C921DE">
        <w:rPr>
          <w:rFonts w:ascii="GHEA Grapalat" w:hAnsi="GHEA Grapalat"/>
          <w:lang w:val="hy-AM"/>
        </w:rPr>
        <w:t>, հետբուհական և մ</w:t>
      </w:r>
      <w:r w:rsidRPr="00C921DE">
        <w:rPr>
          <w:rFonts w:ascii="GHEA Grapalat" w:hAnsi="GHEA Grapalat"/>
        </w:rPr>
        <w:t>իջին</w:t>
      </w:r>
      <w:r w:rsidRPr="00C921DE">
        <w:rPr>
          <w:rFonts w:ascii="GHEA Grapalat" w:hAnsi="GHEA Grapalat"/>
          <w:lang w:val="hy-AM"/>
        </w:rPr>
        <w:t xml:space="preserve"> </w:t>
      </w:r>
      <w:r w:rsidRPr="00C921DE">
        <w:rPr>
          <w:rFonts w:ascii="GHEA Grapalat" w:hAnsi="GHEA Grapalat"/>
        </w:rPr>
        <w:t>մասնա</w:t>
      </w:r>
      <w:r w:rsidRPr="00C921DE">
        <w:rPr>
          <w:rFonts w:ascii="GHEA Grapalat" w:hAnsi="GHEA Grapalat"/>
          <w:lang w:val="hy-AM"/>
        </w:rPr>
        <w:t>գ</w:t>
      </w:r>
      <w:r w:rsidRPr="00C921DE">
        <w:rPr>
          <w:rFonts w:ascii="GHEA Grapalat" w:hAnsi="GHEA Grapalat"/>
        </w:rPr>
        <w:t>իտական</w:t>
      </w:r>
      <w:r w:rsidRPr="00C921DE">
        <w:rPr>
          <w:rFonts w:ascii="GHEA Grapalat" w:hAnsi="GHEA Grapalat"/>
          <w:lang w:val="hy-AM"/>
        </w:rPr>
        <w:t xml:space="preserve"> </w:t>
      </w:r>
      <w:r w:rsidRPr="00C921DE">
        <w:rPr>
          <w:rFonts w:ascii="GHEA Grapalat" w:hAnsi="GHEA Grapalat"/>
        </w:rPr>
        <w:t>կրթական</w:t>
      </w:r>
      <w:r w:rsidRPr="00C921DE">
        <w:rPr>
          <w:rFonts w:ascii="GHEA Grapalat" w:hAnsi="GHEA Grapalat"/>
          <w:lang w:val="hy-AM"/>
        </w:rPr>
        <w:t xml:space="preserve"> </w:t>
      </w:r>
      <w:r w:rsidRPr="00C921DE">
        <w:rPr>
          <w:rFonts w:ascii="GHEA Grapalat" w:hAnsi="GHEA Grapalat"/>
        </w:rPr>
        <w:t>ծրա</w:t>
      </w:r>
      <w:r w:rsidRPr="00C921DE">
        <w:rPr>
          <w:rFonts w:ascii="GHEA Grapalat" w:hAnsi="GHEA Grapalat"/>
          <w:lang w:val="hy-AM"/>
        </w:rPr>
        <w:t>գ</w:t>
      </w:r>
      <w:r w:rsidRPr="00C921DE">
        <w:rPr>
          <w:rFonts w:ascii="GHEA Grapalat" w:hAnsi="GHEA Grapalat"/>
        </w:rPr>
        <w:t>րերով</w:t>
      </w:r>
      <w:r w:rsidRPr="00C921DE">
        <w:rPr>
          <w:rFonts w:ascii="GHEA Grapalat" w:hAnsi="GHEA Grapalat"/>
          <w:lang w:val="hy-AM"/>
        </w:rPr>
        <w:t xml:space="preserve"> </w:t>
      </w:r>
      <w:r w:rsidRPr="00C921DE">
        <w:rPr>
          <w:rFonts w:ascii="GHEA Grapalat" w:hAnsi="GHEA Grapalat"/>
        </w:rPr>
        <w:t>մասնա</w:t>
      </w:r>
      <w:r w:rsidRPr="00C921DE">
        <w:rPr>
          <w:rFonts w:ascii="GHEA Grapalat" w:hAnsi="GHEA Grapalat"/>
          <w:lang w:val="hy-AM"/>
        </w:rPr>
        <w:t>գ</w:t>
      </w:r>
      <w:r w:rsidRPr="00C921DE">
        <w:rPr>
          <w:rFonts w:ascii="GHEA Grapalat" w:hAnsi="GHEA Grapalat"/>
        </w:rPr>
        <w:t>ետների</w:t>
      </w:r>
      <w:r w:rsidRPr="00C921DE">
        <w:rPr>
          <w:rFonts w:ascii="GHEA Grapalat" w:hAnsi="GHEA Grapalat"/>
          <w:lang w:val="hy-AM"/>
        </w:rPr>
        <w:t xml:space="preserve"> </w:t>
      </w:r>
      <w:r w:rsidRPr="00C921DE">
        <w:rPr>
          <w:rFonts w:ascii="GHEA Grapalat" w:hAnsi="GHEA Grapalat"/>
        </w:rPr>
        <w:t>պատրաստ</w:t>
      </w:r>
      <w:r w:rsidR="00EB60D1" w:rsidRPr="00C921DE">
        <w:rPr>
          <w:rFonts w:ascii="GHEA Grapalat" w:hAnsi="GHEA Grapalat"/>
          <w:lang w:val="en-US"/>
        </w:rPr>
        <w:t>ում</w:t>
      </w:r>
      <w:r w:rsidRPr="00C921DE">
        <w:rPr>
          <w:rFonts w:ascii="GHEA Grapalat" w:hAnsi="GHEA Grapalat"/>
          <w:lang w:val="hy-AM"/>
        </w:rPr>
        <w:t>,</w:t>
      </w:r>
    </w:p>
    <w:p w14:paraId="4D5BEDBE"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rPr>
      </w:pPr>
      <w:r w:rsidRPr="00C921DE">
        <w:rPr>
          <w:rFonts w:ascii="GHEA Grapalat" w:hAnsi="GHEA Grapalat"/>
        </w:rPr>
        <w:t>բնակչության ուսուց</w:t>
      </w:r>
      <w:r w:rsidR="00EB60D1" w:rsidRPr="00C921DE">
        <w:rPr>
          <w:rFonts w:ascii="GHEA Grapalat" w:hAnsi="GHEA Grapalat"/>
          <w:lang w:val="en-US"/>
        </w:rPr>
        <w:t>ու</w:t>
      </w:r>
      <w:r w:rsidRPr="00C921DE">
        <w:rPr>
          <w:rFonts w:ascii="GHEA Grapalat" w:hAnsi="GHEA Grapalat"/>
        </w:rPr>
        <w:t>մ</w:t>
      </w:r>
      <w:r w:rsidRPr="00C921DE">
        <w:rPr>
          <w:rFonts w:ascii="GHEA Grapalat" w:hAnsi="GHEA Grapalat"/>
          <w:lang w:val="hy-AM"/>
        </w:rPr>
        <w:t>,</w:t>
      </w:r>
    </w:p>
    <w:p w14:paraId="5ABC717B"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rPr>
      </w:pPr>
      <w:r w:rsidRPr="00C921DE">
        <w:rPr>
          <w:rFonts w:ascii="GHEA Grapalat" w:hAnsi="GHEA Grapalat"/>
        </w:rPr>
        <w:t>գիտահետազոտական,</w:t>
      </w:r>
    </w:p>
    <w:p w14:paraId="0A5A6543"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rPr>
      </w:pPr>
      <w:r w:rsidRPr="00C921DE">
        <w:rPr>
          <w:rFonts w:ascii="GHEA Grapalat" w:hAnsi="GHEA Grapalat"/>
        </w:rPr>
        <w:t>ուսումնամեթոդական,</w:t>
      </w:r>
    </w:p>
    <w:p w14:paraId="48EB6C31"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rPr>
      </w:pPr>
      <w:r w:rsidRPr="00C921DE">
        <w:rPr>
          <w:rFonts w:ascii="GHEA Grapalat" w:hAnsi="GHEA Grapalat"/>
        </w:rPr>
        <w:t>մշակութային դաստիարակությ</w:t>
      </w:r>
      <w:r w:rsidR="00EB60D1" w:rsidRPr="00C921DE">
        <w:rPr>
          <w:rFonts w:ascii="GHEA Grapalat" w:hAnsi="GHEA Grapalat"/>
          <w:lang w:val="en-US"/>
        </w:rPr>
        <w:t>ու</w:t>
      </w:r>
      <w:r w:rsidRPr="00C921DE">
        <w:rPr>
          <w:rFonts w:ascii="GHEA Grapalat" w:hAnsi="GHEA Grapalat"/>
        </w:rPr>
        <w:t>ն,</w:t>
      </w:r>
    </w:p>
    <w:p w14:paraId="0AA27E21" w14:textId="77777777" w:rsidR="004D5A02" w:rsidRPr="00C921DE" w:rsidRDefault="004D5A02" w:rsidP="00547F60">
      <w:pPr>
        <w:pStyle w:val="ListParagraph"/>
        <w:numPr>
          <w:ilvl w:val="0"/>
          <w:numId w:val="28"/>
        </w:numPr>
        <w:spacing w:line="360" w:lineRule="auto"/>
        <w:ind w:left="851" w:hanging="284"/>
        <w:jc w:val="both"/>
        <w:rPr>
          <w:rFonts w:ascii="GHEA Grapalat" w:hAnsi="GHEA Grapalat"/>
          <w:lang w:val="hy-AM"/>
        </w:rPr>
      </w:pPr>
      <w:r w:rsidRPr="00C921DE">
        <w:rPr>
          <w:rFonts w:ascii="GHEA Grapalat" w:hAnsi="GHEA Grapalat"/>
        </w:rPr>
        <w:t>միջազ</w:t>
      </w:r>
      <w:r w:rsidRPr="00C921DE">
        <w:rPr>
          <w:rFonts w:ascii="GHEA Grapalat" w:hAnsi="GHEA Grapalat"/>
          <w:lang w:val="hy-AM"/>
        </w:rPr>
        <w:t>գ</w:t>
      </w:r>
      <w:r w:rsidRPr="00C921DE">
        <w:rPr>
          <w:rFonts w:ascii="GHEA Grapalat" w:hAnsi="GHEA Grapalat"/>
        </w:rPr>
        <w:t>ային համա</w:t>
      </w:r>
      <w:r w:rsidRPr="00C921DE">
        <w:rPr>
          <w:rFonts w:ascii="GHEA Grapalat" w:hAnsi="GHEA Grapalat"/>
          <w:lang w:val="hy-AM"/>
        </w:rPr>
        <w:t>գ</w:t>
      </w:r>
      <w:r w:rsidRPr="00C921DE">
        <w:rPr>
          <w:rFonts w:ascii="GHEA Grapalat" w:hAnsi="GHEA Grapalat"/>
        </w:rPr>
        <w:t>ործակցությ</w:t>
      </w:r>
      <w:r w:rsidR="006504A4" w:rsidRPr="00C921DE">
        <w:rPr>
          <w:rFonts w:ascii="GHEA Grapalat" w:hAnsi="GHEA Grapalat"/>
          <w:lang w:val="en-US"/>
        </w:rPr>
        <w:t>ու</w:t>
      </w:r>
      <w:r w:rsidRPr="00C921DE">
        <w:rPr>
          <w:rFonts w:ascii="GHEA Grapalat" w:hAnsi="GHEA Grapalat"/>
        </w:rPr>
        <w:t>ն</w:t>
      </w:r>
      <w:r w:rsidRPr="00C921DE">
        <w:rPr>
          <w:rFonts w:ascii="GHEA Grapalat" w:hAnsi="GHEA Grapalat"/>
          <w:lang w:val="hy-AM"/>
        </w:rPr>
        <w:t>,</w:t>
      </w:r>
    </w:p>
    <w:p w14:paraId="16CD61CD" w14:textId="77777777" w:rsidR="004D5A02" w:rsidRPr="00C921DE" w:rsidRDefault="006504A4" w:rsidP="00547F60">
      <w:pPr>
        <w:pStyle w:val="ListParagraph"/>
        <w:numPr>
          <w:ilvl w:val="0"/>
          <w:numId w:val="28"/>
        </w:numPr>
        <w:spacing w:line="360" w:lineRule="auto"/>
        <w:ind w:left="851" w:hanging="284"/>
        <w:jc w:val="both"/>
        <w:rPr>
          <w:rFonts w:ascii="GHEA Grapalat" w:hAnsi="GHEA Grapalat"/>
        </w:rPr>
      </w:pPr>
      <w:r w:rsidRPr="00C921DE">
        <w:rPr>
          <w:rFonts w:ascii="GHEA Grapalat" w:hAnsi="GHEA Grapalat"/>
        </w:rPr>
        <w:t>լրացուցիչ գործունեությու</w:t>
      </w:r>
      <w:r w:rsidR="004D5A02" w:rsidRPr="00C921DE">
        <w:rPr>
          <w:rFonts w:ascii="GHEA Grapalat" w:hAnsi="GHEA Grapalat"/>
        </w:rPr>
        <w:t>ն:</w:t>
      </w:r>
    </w:p>
    <w:p w14:paraId="602DB695" w14:textId="7DC06386" w:rsidR="004D5A02" w:rsidRPr="00C921DE" w:rsidRDefault="004D5A02" w:rsidP="006504A4">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ընթացքում </w:t>
      </w:r>
      <w:r w:rsidRPr="00C921DE">
        <w:rPr>
          <w:rFonts w:ascii="GHEA Grapalat" w:hAnsi="GHEA Grapalat"/>
          <w:sz w:val="22"/>
          <w:szCs w:val="22"/>
          <w:u w:val="single"/>
        </w:rPr>
        <w:t>տեխնիկական անվտանգության ոլորտում</w:t>
      </w:r>
      <w:r w:rsidRPr="00C921DE">
        <w:rPr>
          <w:rFonts w:ascii="GHEA Grapalat" w:hAnsi="GHEA Grapalat"/>
          <w:sz w:val="22"/>
          <w:szCs w:val="22"/>
        </w:rPr>
        <w:t xml:space="preserve"> իրականացվել է 14,717 արտադրական վտանգավոր օբյեկտներում տեխնիկական անվտանգության, այդ թվում</w:t>
      </w:r>
      <w:r w:rsidR="006504A4" w:rsidRPr="00C921DE">
        <w:rPr>
          <w:rFonts w:ascii="GHEA Grapalat" w:hAnsi="GHEA Grapalat"/>
          <w:sz w:val="22"/>
          <w:szCs w:val="22"/>
          <w:lang w:val="en-US"/>
        </w:rPr>
        <w:t>՝</w:t>
      </w:r>
      <w:r w:rsidRPr="00C921DE">
        <w:rPr>
          <w:rFonts w:ascii="GHEA Grapalat" w:hAnsi="GHEA Grapalat"/>
          <w:sz w:val="22"/>
          <w:szCs w:val="22"/>
        </w:rPr>
        <w:t xml:space="preserve"> հր</w:t>
      </w:r>
      <w:r w:rsidR="00B00B36" w:rsidRPr="00C921DE">
        <w:rPr>
          <w:rFonts w:ascii="GHEA Grapalat" w:hAnsi="GHEA Grapalat"/>
          <w:sz w:val="22"/>
          <w:szCs w:val="22"/>
          <w:lang w:val="en-US"/>
        </w:rPr>
        <w:t>դ</w:t>
      </w:r>
      <w:r w:rsidRPr="00C921DE">
        <w:rPr>
          <w:rFonts w:ascii="GHEA Grapalat" w:hAnsi="GHEA Grapalat"/>
          <w:sz w:val="22"/>
          <w:szCs w:val="22"/>
        </w:rPr>
        <w:t>ե</w:t>
      </w:r>
      <w:r w:rsidR="00B00B36" w:rsidRPr="00C921DE">
        <w:rPr>
          <w:rFonts w:ascii="GHEA Grapalat" w:hAnsi="GHEA Grapalat"/>
          <w:sz w:val="22"/>
          <w:szCs w:val="22"/>
          <w:lang w:val="en-US"/>
        </w:rPr>
        <w:t>հ</w:t>
      </w:r>
      <w:r w:rsidRPr="00C921DE">
        <w:rPr>
          <w:rFonts w:ascii="GHEA Grapalat" w:hAnsi="GHEA Grapalat"/>
          <w:sz w:val="22"/>
          <w:szCs w:val="22"/>
        </w:rPr>
        <w:t>ային և հրդեհապայթյունավտանգավորության փորձաքննություն, որը նպատակաուղ</w:t>
      </w:r>
      <w:r w:rsidR="00DD7935" w:rsidRPr="00C921DE">
        <w:rPr>
          <w:rFonts w:ascii="GHEA Grapalat" w:hAnsi="GHEA Grapalat"/>
          <w:sz w:val="22"/>
          <w:szCs w:val="22"/>
          <w:lang w:val="en-US"/>
        </w:rPr>
        <w:t>ղ</w:t>
      </w:r>
      <w:r w:rsidRPr="00C921DE">
        <w:rPr>
          <w:rFonts w:ascii="GHEA Grapalat" w:hAnsi="GHEA Grapalat"/>
          <w:sz w:val="22"/>
          <w:szCs w:val="22"/>
        </w:rPr>
        <w:t xml:space="preserve">ված է տեխնածին վթարների և արտադրական պատահարների հնարավոր առաջացմանը: </w:t>
      </w:r>
    </w:p>
    <w:p w14:paraId="54C26C69" w14:textId="3A853990" w:rsidR="004D5A02" w:rsidRPr="00C921DE" w:rsidRDefault="004D5A02" w:rsidP="006504A4">
      <w:pPr>
        <w:spacing w:line="360" w:lineRule="auto"/>
        <w:ind w:firstLine="567"/>
        <w:jc w:val="both"/>
        <w:rPr>
          <w:rFonts w:ascii="GHEA Grapalat" w:hAnsi="GHEA Grapalat"/>
          <w:sz w:val="22"/>
          <w:szCs w:val="22"/>
        </w:rPr>
      </w:pPr>
      <w:r w:rsidRPr="00C921DE">
        <w:rPr>
          <w:rFonts w:ascii="GHEA Grapalat" w:hAnsi="GHEA Grapalat"/>
          <w:sz w:val="22"/>
          <w:szCs w:val="22"/>
        </w:rPr>
        <w:t>Իրականաց</w:t>
      </w:r>
      <w:r w:rsidR="00937FEE" w:rsidRPr="00C921DE">
        <w:rPr>
          <w:rFonts w:ascii="GHEA Grapalat" w:hAnsi="GHEA Grapalat"/>
          <w:sz w:val="22"/>
          <w:szCs w:val="22"/>
          <w:lang w:val="en-US"/>
        </w:rPr>
        <w:t>վ</w:t>
      </w:r>
      <w:r w:rsidRPr="00C921DE">
        <w:rPr>
          <w:rFonts w:ascii="GHEA Grapalat" w:hAnsi="GHEA Grapalat"/>
          <w:sz w:val="22"/>
          <w:szCs w:val="22"/>
        </w:rPr>
        <w:t>ել է արտադրական վտանգավոր օբյեկտ շահագործող անձանց (պատասխանատու և սպասարկող) ոլորտի ուսուցում</w:t>
      </w:r>
      <w:r w:rsidR="00937FEE" w:rsidRPr="00C921DE">
        <w:rPr>
          <w:rFonts w:ascii="GHEA Grapalat" w:hAnsi="GHEA Grapalat"/>
          <w:sz w:val="22"/>
          <w:szCs w:val="22"/>
          <w:lang w:val="en-US"/>
        </w:rPr>
        <w:t>,</w:t>
      </w:r>
      <w:r w:rsidRPr="00C921DE">
        <w:rPr>
          <w:rFonts w:ascii="GHEA Grapalat" w:hAnsi="GHEA Grapalat"/>
          <w:sz w:val="22"/>
          <w:szCs w:val="22"/>
        </w:rPr>
        <w:t xml:space="preserve"> և տրվել</w:t>
      </w:r>
      <w:r w:rsidR="006504A4" w:rsidRPr="00C921DE">
        <w:rPr>
          <w:rFonts w:ascii="GHEA Grapalat" w:hAnsi="GHEA Grapalat"/>
          <w:sz w:val="22"/>
          <w:szCs w:val="22"/>
          <w:lang w:val="en-US"/>
        </w:rPr>
        <w:t xml:space="preserve"> են</w:t>
      </w:r>
      <w:r w:rsidRPr="00C921DE">
        <w:rPr>
          <w:rFonts w:ascii="GHEA Grapalat" w:hAnsi="GHEA Grapalat"/>
          <w:sz w:val="22"/>
          <w:szCs w:val="22"/>
        </w:rPr>
        <w:t xml:space="preserve"> 2874 ուսուցման վկայականներ, ինչը նպաստում է արտադրական վտանգավոր օբյեկտի անվտանգ շահագործմանը, </w:t>
      </w:r>
      <w:r w:rsidR="006504A4" w:rsidRPr="00C921DE">
        <w:rPr>
          <w:rFonts w:ascii="GHEA Grapalat" w:hAnsi="GHEA Grapalat"/>
          <w:sz w:val="22"/>
          <w:szCs w:val="22"/>
          <w:lang w:val="en-US"/>
        </w:rPr>
        <w:t>որ</w:t>
      </w:r>
      <w:r w:rsidRPr="00C921DE">
        <w:rPr>
          <w:rFonts w:ascii="GHEA Grapalat" w:hAnsi="GHEA Grapalat"/>
          <w:sz w:val="22"/>
          <w:szCs w:val="22"/>
        </w:rPr>
        <w:t>ի բացակայությունը նպաստում է տեխնածին վթարների կամ արտադրական պատահարների առաջացմանը:</w:t>
      </w:r>
      <w:r w:rsidR="00937FEE" w:rsidRPr="00C921DE">
        <w:rPr>
          <w:rFonts w:ascii="GHEA Grapalat" w:hAnsi="GHEA Grapalat"/>
          <w:sz w:val="22"/>
          <w:szCs w:val="22"/>
          <w:lang w:val="en-US"/>
        </w:rPr>
        <w:t xml:space="preserve"> </w:t>
      </w:r>
      <w:r w:rsidR="00937FEE" w:rsidRPr="00C921DE">
        <w:rPr>
          <w:rFonts w:ascii="GHEA Grapalat" w:hAnsi="GHEA Grapalat"/>
          <w:sz w:val="22"/>
          <w:szCs w:val="22"/>
        </w:rPr>
        <w:t>Իրականացվ</w:t>
      </w:r>
      <w:r w:rsidRPr="00C921DE">
        <w:rPr>
          <w:rFonts w:ascii="GHEA Grapalat" w:hAnsi="GHEA Grapalat"/>
          <w:sz w:val="22"/>
          <w:szCs w:val="22"/>
        </w:rPr>
        <w:t>ել է 18 արտադրական վտանգավոր օբյեկտներում</w:t>
      </w:r>
      <w:r w:rsidR="00202FF2" w:rsidRPr="00C921DE">
        <w:rPr>
          <w:rFonts w:ascii="GHEA Grapalat" w:hAnsi="GHEA Grapalat"/>
          <w:sz w:val="22"/>
          <w:szCs w:val="22"/>
        </w:rPr>
        <w:t xml:space="preserve"> </w:t>
      </w:r>
      <w:r w:rsidRPr="00C921DE">
        <w:rPr>
          <w:rFonts w:ascii="GHEA Grapalat" w:hAnsi="GHEA Grapalat"/>
          <w:sz w:val="22"/>
          <w:szCs w:val="22"/>
        </w:rPr>
        <w:t>տեղի ունեցած դժբախտ դեպքերի տեխնիկական քննություն՝ դեպքի պատճառներն ու հանգամանքները բացահայտելու և իրավապահ մարմիններին դրանք փոխանցելու նպատակով:</w:t>
      </w:r>
      <w:r w:rsidR="00937FEE" w:rsidRPr="00C921DE">
        <w:rPr>
          <w:rFonts w:ascii="GHEA Grapalat" w:hAnsi="GHEA Grapalat"/>
          <w:sz w:val="22"/>
          <w:szCs w:val="22"/>
          <w:lang w:val="en-US"/>
        </w:rPr>
        <w:t xml:space="preserve"> Ի</w:t>
      </w:r>
      <w:r w:rsidRPr="00C921DE">
        <w:rPr>
          <w:rFonts w:ascii="GHEA Grapalat" w:hAnsi="GHEA Grapalat"/>
          <w:sz w:val="22"/>
          <w:szCs w:val="22"/>
        </w:rPr>
        <w:t>րականաց</w:t>
      </w:r>
      <w:r w:rsidR="00937FEE" w:rsidRPr="00C921DE">
        <w:rPr>
          <w:rFonts w:ascii="GHEA Grapalat" w:hAnsi="GHEA Grapalat"/>
          <w:sz w:val="22"/>
          <w:szCs w:val="22"/>
          <w:lang w:val="en-US"/>
        </w:rPr>
        <w:t>վել են</w:t>
      </w:r>
      <w:r w:rsidRPr="00C921DE">
        <w:rPr>
          <w:rFonts w:ascii="GHEA Grapalat" w:hAnsi="GHEA Grapalat"/>
          <w:sz w:val="22"/>
          <w:szCs w:val="22"/>
        </w:rPr>
        <w:t xml:space="preserve"> Հայաստանի մարզերում տեղակայված 502 </w:t>
      </w:r>
      <w:r w:rsidRPr="00C921DE">
        <w:rPr>
          <w:rFonts w:ascii="GHEA Grapalat" w:hAnsi="GHEA Grapalat"/>
          <w:sz w:val="22"/>
          <w:szCs w:val="22"/>
        </w:rPr>
        <w:lastRenderedPageBreak/>
        <w:t>հակակարկտային կայանների տեխնիկական անվտանգության փորձաքննություն</w:t>
      </w:r>
      <w:r w:rsidR="00937FEE" w:rsidRPr="00C921DE">
        <w:rPr>
          <w:rFonts w:ascii="GHEA Grapalat" w:hAnsi="GHEA Grapalat"/>
          <w:sz w:val="22"/>
          <w:szCs w:val="22"/>
          <w:lang w:val="en-US"/>
        </w:rPr>
        <w:t>,</w:t>
      </w:r>
      <w:r w:rsidRPr="00C921DE">
        <w:rPr>
          <w:rFonts w:ascii="GHEA Grapalat" w:hAnsi="GHEA Grapalat"/>
          <w:sz w:val="22"/>
          <w:szCs w:val="22"/>
        </w:rPr>
        <w:t xml:space="preserve"> Երևանում փոխարինված 510 վերելակների տեխնիկական անվտանգության փորձաքննություն:</w:t>
      </w:r>
    </w:p>
    <w:p w14:paraId="41C5E2C5" w14:textId="4EF1CDA9" w:rsidR="004D5A02" w:rsidRPr="00C921DE" w:rsidRDefault="00E64745" w:rsidP="00184E3E">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w:t>
      </w:r>
      <w:r w:rsidR="004D5A02" w:rsidRPr="00C921DE">
        <w:rPr>
          <w:rFonts w:ascii="GHEA Grapalat" w:hAnsi="GHEA Grapalat"/>
          <w:sz w:val="22"/>
          <w:szCs w:val="22"/>
        </w:rPr>
        <w:t xml:space="preserve"> է համագործակց</w:t>
      </w:r>
      <w:r w:rsidRPr="00C921DE">
        <w:rPr>
          <w:rFonts w:ascii="GHEA Grapalat" w:hAnsi="GHEA Grapalat"/>
          <w:sz w:val="22"/>
          <w:szCs w:val="22"/>
        </w:rPr>
        <w:t>ությունը</w:t>
      </w:r>
      <w:r w:rsidR="004D5A02" w:rsidRPr="00C921DE">
        <w:rPr>
          <w:rFonts w:ascii="GHEA Grapalat" w:hAnsi="GHEA Grapalat"/>
          <w:sz w:val="22"/>
          <w:szCs w:val="22"/>
        </w:rPr>
        <w:t xml:space="preserve"> միջազգային կազմակերպությունների, ԱՊՀ անդամ երկրների և Հայաստանի Հանրապետությանը սահմանակից պետությունների հետ, որը հնարավորություն է տալիս առաջնահերթության խնդիրների լուծման համար համատ</w:t>
      </w:r>
      <w:r w:rsidRPr="00C921DE">
        <w:rPr>
          <w:rFonts w:ascii="GHEA Grapalat" w:hAnsi="GHEA Grapalat"/>
          <w:sz w:val="22"/>
          <w:szCs w:val="22"/>
        </w:rPr>
        <w:t>եղ մշակ</w:t>
      </w:r>
      <w:r w:rsidRPr="00C921DE">
        <w:rPr>
          <w:rFonts w:ascii="GHEA Grapalat" w:hAnsi="GHEA Grapalat"/>
          <w:sz w:val="22"/>
          <w:szCs w:val="22"/>
          <w:lang w:val="en-US"/>
        </w:rPr>
        <w:t>ել</w:t>
      </w:r>
      <w:r w:rsidR="004D5A02" w:rsidRPr="00C921DE">
        <w:rPr>
          <w:rFonts w:ascii="GHEA Grapalat" w:hAnsi="GHEA Grapalat"/>
          <w:sz w:val="22"/>
          <w:szCs w:val="22"/>
        </w:rPr>
        <w:t xml:space="preserve"> ծրագրեր հիդրոտեխնիկական կառույցների և պոչամբարների անվտանգության, ինչպես նաև բնակչության պաշտպանության և շրջակա միջավայրի պահպանության տեխնածին վթարներից, որոնք կարող են ուղեկցվել անդրսահմանային ազ</w:t>
      </w:r>
      <w:r w:rsidR="00DD7935" w:rsidRPr="00C921DE">
        <w:rPr>
          <w:rFonts w:ascii="GHEA Grapalat" w:hAnsi="GHEA Grapalat"/>
          <w:sz w:val="22"/>
          <w:szCs w:val="22"/>
          <w:lang w:val="en-US"/>
        </w:rPr>
        <w:t>դ</w:t>
      </w:r>
      <w:r w:rsidR="004D5A02" w:rsidRPr="00C921DE">
        <w:rPr>
          <w:rFonts w:ascii="GHEA Grapalat" w:hAnsi="GHEA Grapalat"/>
          <w:sz w:val="22"/>
          <w:szCs w:val="22"/>
        </w:rPr>
        <w:t>եցությամբ:</w:t>
      </w:r>
    </w:p>
    <w:p w14:paraId="5F996540" w14:textId="77777777" w:rsidR="004D5A02" w:rsidRPr="00C921DE" w:rsidRDefault="00E64745" w:rsidP="00184E3E">
      <w:pPr>
        <w:spacing w:line="360" w:lineRule="auto"/>
        <w:ind w:firstLine="567"/>
        <w:jc w:val="both"/>
        <w:rPr>
          <w:rFonts w:ascii="GHEA Grapalat" w:hAnsi="GHEA Grapalat"/>
          <w:sz w:val="22"/>
          <w:szCs w:val="22"/>
        </w:rPr>
      </w:pPr>
      <w:r w:rsidRPr="00C921DE">
        <w:rPr>
          <w:rFonts w:ascii="GHEA Grapalat" w:hAnsi="GHEA Grapalat"/>
          <w:sz w:val="22"/>
          <w:szCs w:val="22"/>
          <w:lang w:val="en-US"/>
        </w:rPr>
        <w:t>Շ</w:t>
      </w:r>
      <w:r w:rsidR="004D5A02" w:rsidRPr="00C921DE">
        <w:rPr>
          <w:rFonts w:ascii="GHEA Grapalat" w:hAnsi="GHEA Grapalat"/>
          <w:sz w:val="22"/>
          <w:szCs w:val="22"/>
        </w:rPr>
        <w:t>արունակ</w:t>
      </w:r>
      <w:r w:rsidRPr="00C921DE">
        <w:rPr>
          <w:rFonts w:ascii="GHEA Grapalat" w:hAnsi="GHEA Grapalat"/>
          <w:sz w:val="22"/>
          <w:szCs w:val="22"/>
          <w:lang w:val="en-US"/>
        </w:rPr>
        <w:t>վ</w:t>
      </w:r>
      <w:r w:rsidR="004D5A02" w:rsidRPr="00C921DE">
        <w:rPr>
          <w:rFonts w:ascii="GHEA Grapalat" w:hAnsi="GHEA Grapalat"/>
          <w:sz w:val="22"/>
          <w:szCs w:val="22"/>
        </w:rPr>
        <w:t xml:space="preserve">ելու է Արևելյան Եվրոպայի, Կովկասի և Կենտրոնական Ասիայի երկրներում արդյունաբերական անվտանգության ամրապնդման ծրագրերի իրականացումը և միջոցներ </w:t>
      </w:r>
      <w:r w:rsidR="00D111AD" w:rsidRPr="00C921DE">
        <w:rPr>
          <w:rFonts w:ascii="GHEA Grapalat" w:hAnsi="GHEA Grapalat"/>
          <w:sz w:val="22"/>
          <w:szCs w:val="22"/>
          <w:lang w:val="en-US"/>
        </w:rPr>
        <w:t xml:space="preserve">են </w:t>
      </w:r>
      <w:r w:rsidR="004D5A02" w:rsidRPr="00C921DE">
        <w:rPr>
          <w:rFonts w:ascii="GHEA Grapalat" w:hAnsi="GHEA Grapalat"/>
          <w:sz w:val="22"/>
          <w:szCs w:val="22"/>
        </w:rPr>
        <w:t>ձեռնարկ</w:t>
      </w:r>
      <w:r w:rsidR="00D111AD" w:rsidRPr="00C921DE">
        <w:rPr>
          <w:rFonts w:ascii="GHEA Grapalat" w:hAnsi="GHEA Grapalat"/>
          <w:sz w:val="22"/>
          <w:szCs w:val="22"/>
          <w:lang w:val="en-US"/>
        </w:rPr>
        <w:t>վ</w:t>
      </w:r>
      <w:r w:rsidR="004D5A02" w:rsidRPr="00C921DE">
        <w:rPr>
          <w:rFonts w:ascii="GHEA Grapalat" w:hAnsi="GHEA Grapalat"/>
          <w:sz w:val="22"/>
          <w:szCs w:val="22"/>
        </w:rPr>
        <w:t>ելու արդյունաբերական վթարների անդրսահմանային ազդեցության վերաբերյալ ՄԱԿ-ի կոնվենցիային միանալու ուղղությամբ:</w:t>
      </w:r>
    </w:p>
    <w:p w14:paraId="1ACE1F3F" w14:textId="77777777" w:rsidR="001C411D" w:rsidRPr="00C921DE" w:rsidRDefault="001C411D" w:rsidP="00AC199C">
      <w:pPr>
        <w:spacing w:line="360" w:lineRule="auto"/>
        <w:ind w:firstLine="567"/>
        <w:jc w:val="both"/>
        <w:rPr>
          <w:rFonts w:ascii="GHEA Grapalat" w:hAnsi="GHEA Grapalat"/>
          <w:sz w:val="22"/>
          <w:szCs w:val="22"/>
        </w:rPr>
      </w:pPr>
    </w:p>
    <w:p w14:paraId="709162F0" w14:textId="77777777" w:rsidR="001C411D" w:rsidRPr="00C921DE" w:rsidRDefault="001C411D" w:rsidP="00AC199C">
      <w:pPr>
        <w:pStyle w:val="Heading2"/>
        <w:spacing w:before="0"/>
      </w:pPr>
      <w:bookmarkStart w:id="40" w:name="_Toc163745429"/>
      <w:r w:rsidRPr="00C921DE">
        <w:t>Արտաքին քաղաքականություն</w:t>
      </w:r>
      <w:bookmarkEnd w:id="40"/>
    </w:p>
    <w:p w14:paraId="075C94F7" w14:textId="66830BB6"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D54265" w:rsidRPr="00C921DE">
        <w:rPr>
          <w:rFonts w:ascii="GHEA Grapalat" w:hAnsi="GHEA Grapalat"/>
          <w:sz w:val="22"/>
          <w:szCs w:val="22"/>
          <w:lang w:val="en-US"/>
        </w:rPr>
        <w:t xml:space="preserve"> </w:t>
      </w:r>
      <w:r w:rsidRPr="00C921DE">
        <w:rPr>
          <w:rFonts w:ascii="GHEA Grapalat" w:hAnsi="GHEA Grapalat"/>
          <w:sz w:val="22"/>
          <w:szCs w:val="22"/>
        </w:rPr>
        <w:t>թ</w:t>
      </w:r>
      <w:r w:rsidR="00D54265" w:rsidRPr="00C921DE">
        <w:rPr>
          <w:rFonts w:ascii="GHEA Grapalat" w:hAnsi="GHEA Grapalat"/>
          <w:sz w:val="22"/>
          <w:szCs w:val="22"/>
          <w:lang w:val="en-US"/>
        </w:rPr>
        <w:t>վական</w:t>
      </w:r>
      <w:r w:rsidRPr="00C921DE">
        <w:rPr>
          <w:rFonts w:ascii="GHEA Grapalat" w:hAnsi="GHEA Grapalat"/>
          <w:sz w:val="22"/>
          <w:szCs w:val="22"/>
        </w:rPr>
        <w:t>ին ՀՀ  արտաքին քաղաքականության առանցքային նպատակը շարունակել է մնալ ՀՀ անկախության, ինքնիշխանության, անվտանգության, տարածքային ամբողջականության պաշտպանումն ու ամրապնդումը:</w:t>
      </w:r>
    </w:p>
    <w:p w14:paraId="05CB76CA"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Տարվա սկզբից ՀՀ կառուցողական ջանքեր է ներդրել տարածաշրջանում խաղաղության և կայունության հաստատման և Ադրբեջանի հետ հարաբերությունների կարգավորման նպատակով։ Այս գործընթացում Հայաստանի համար շարունակել են առանցքային մնալ հետևյալ սկզբունքները՝</w:t>
      </w:r>
    </w:p>
    <w:p w14:paraId="6998D98E" w14:textId="3AE71DC9" w:rsidR="00DE5761" w:rsidRPr="00C921DE" w:rsidRDefault="00DE5761" w:rsidP="007E2E13">
      <w:pPr>
        <w:pStyle w:val="ListParagraph"/>
        <w:numPr>
          <w:ilvl w:val="1"/>
          <w:numId w:val="25"/>
        </w:numPr>
        <w:tabs>
          <w:tab w:val="left" w:pos="851"/>
        </w:tabs>
        <w:spacing w:after="0" w:line="360" w:lineRule="auto"/>
        <w:ind w:left="0" w:firstLine="567"/>
        <w:jc w:val="both"/>
        <w:rPr>
          <w:rFonts w:ascii="GHEA Grapalat" w:hAnsi="GHEA Grapalat"/>
        </w:rPr>
      </w:pPr>
      <w:r w:rsidRPr="00C921DE">
        <w:rPr>
          <w:rFonts w:ascii="GHEA Grapalat" w:hAnsi="GHEA Grapalat"/>
        </w:rPr>
        <w:t>Հայաստանը և Ադրբեջանը 1991 թվականի դեկտեմբերի 21-ի Ալմա-Աթայի հռչակագրի հիման վրա պետք է ճանաչեն միմյանց տարածքային ամբողջականությունն առանց որևէ երկիմաստությունների և կամայական մեկնաբանությունների,</w:t>
      </w:r>
    </w:p>
    <w:p w14:paraId="27DF02F1" w14:textId="45376144" w:rsidR="00DE5761" w:rsidRPr="00C921DE" w:rsidRDefault="00DE5761" w:rsidP="007E2E13">
      <w:pPr>
        <w:pStyle w:val="ListParagraph"/>
        <w:numPr>
          <w:ilvl w:val="1"/>
          <w:numId w:val="25"/>
        </w:numPr>
        <w:tabs>
          <w:tab w:val="left" w:pos="851"/>
        </w:tabs>
        <w:spacing w:after="0" w:line="360" w:lineRule="auto"/>
        <w:ind w:left="0" w:firstLine="567"/>
        <w:jc w:val="both"/>
        <w:rPr>
          <w:rFonts w:ascii="GHEA Grapalat" w:hAnsi="GHEA Grapalat"/>
        </w:rPr>
      </w:pPr>
      <w:r w:rsidRPr="00C921DE">
        <w:rPr>
          <w:rFonts w:ascii="GHEA Grapalat" w:hAnsi="GHEA Grapalat"/>
        </w:rPr>
        <w:t>երկու երկրների միջև միջպետական սահմանը պետք է սահմանազատվի իրավական հիմքով և իրավասու մարմինների կողմից իրենց լիազորությունների շրջանակներում կազմված ԽՍՀՄ ժամանակաշրջանի վերջին՝ պատշաճ իրավական հիմքով ձևավորված քարտեզների հիման վրա. Ալմա-Աթայի հռչակագիրը սահմանազատման գործընթացի քաղաքական հենքն է,</w:t>
      </w:r>
    </w:p>
    <w:p w14:paraId="31808FAC" w14:textId="5B088413" w:rsidR="00DE5761" w:rsidRPr="00C921DE" w:rsidRDefault="00DE5761" w:rsidP="007E2E13">
      <w:pPr>
        <w:pStyle w:val="ListParagraph"/>
        <w:numPr>
          <w:ilvl w:val="1"/>
          <w:numId w:val="25"/>
        </w:numPr>
        <w:tabs>
          <w:tab w:val="left" w:pos="851"/>
        </w:tabs>
        <w:spacing w:after="0" w:line="360" w:lineRule="auto"/>
        <w:ind w:left="0" w:firstLine="567"/>
        <w:jc w:val="both"/>
        <w:rPr>
          <w:rFonts w:ascii="GHEA Grapalat" w:hAnsi="GHEA Grapalat"/>
        </w:rPr>
      </w:pPr>
      <w:r w:rsidRPr="00C921DE">
        <w:rPr>
          <w:rFonts w:ascii="GHEA Grapalat" w:hAnsi="GHEA Grapalat"/>
        </w:rPr>
        <w:t>տարածաշրջանային տնտեսական և տրանսպորտային ենթակառուցվածքները պետք է ապաշրջափակվեն՝ համաձայն երկու երկրների ինքնիշխանության և իրավազորության հարգման, փոխադարձության և հավասարության սկզբունքների։</w:t>
      </w:r>
    </w:p>
    <w:p w14:paraId="2C149533" w14:textId="71976534"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Այս սկզբունքները համաձայնեցվել են 2022 թվականի հոկտեմբերի 6-ի Պրահայի քառակողմ, 2022 թվականի հոկտեմբերի 31-ի Սոչիի եռակողմ, ինչպես նաև 2023 թվականի մայիսի 14-ի և հուլիսի 15-ի Բրյուսելի եռակողմ հանդիպումների ընթացքում և ամրագրվել են համապատասխան հայտարարութ</w:t>
      </w:r>
      <w:r w:rsidR="003032C4" w:rsidRPr="00C921DE">
        <w:rPr>
          <w:rFonts w:ascii="GHEA Grapalat" w:hAnsi="GHEA Grapalat"/>
          <w:sz w:val="22"/>
          <w:szCs w:val="22"/>
        </w:rPr>
        <w:t>յուններով:</w:t>
      </w:r>
    </w:p>
    <w:p w14:paraId="2CAC8598"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Հայաստանի և Ադրբեջանի միջև սահմանազատման վերաբերյալ դրույթը տեղ է գտել նաև հոկտեմբերի 5-ին Գրանադայում կայացած քառակողմ հանդիպման արդյունքում ընդունված հայտարարության մեջ, որում, մասնավորապես, ընդգծվում է սահմանների սահմանազատման ուղղությամբ աշխատելու հրատապ անհրաժեշտությունը՝ հիմնվելով կողմերին տրամադրված ԽՍՀՄ գլխավոր շտաբի ամենավերջին քարտեզների վրա, որոնք պետք է նաև հիմք հանդիսանան ուժերի հետքաշման, խաղաղության պայմանագիրը վերջնական տեսքի բերելու և հումանիտար բոլոր խնդիրները լուծելու համար։</w:t>
      </w:r>
    </w:p>
    <w:p w14:paraId="718DD74E"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Բացի Եվրոպայի խորհրդի նախագահի միջնորդությամբ՝ մայիսի 14-ին և հուլիսի 15-ին Բրյուսելում տեղի ունեցած հանդիպումներից, 2023 թվականին ՀՀ վարչապետի և Ադրբեջանի նախագահի մասնակցությամբ տեղի է ունեցել ևս երեք հանդիպում, այդ թվում՝ մեկ եռակողմ հանդիպում ԱՄՆ պետքարտուղարի միջնորդությամբ (փետրվարի 18-ին Մյունխենում), մեկ եռակողմ հանդիպում ՌԴ նախագահի միջնորդությամբ (մայիսի 25-ին Մոսկվայում) և մեկ հնգակողմ հանդիպում Ֆրանսիայի նախագահի, Գերմանիայի կանցլերի և Եվրոպական խորհրդի նախագահի միջնորդությամբ (հունիսի 1-ին Քիշնևում):</w:t>
      </w:r>
    </w:p>
    <w:p w14:paraId="6989C94A"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Հայաստանի և Ադրբեջանի արտաքին գործերի նախարարները երկու անգամ բանակցություններ են ունեցել ԱՄՆ միջնորդությամբ (մայիսի 1-4 և hունիսի 27-29), երկու անգամ հանդիպել են նաև ՌԴ արտաքին գործերի նախարարի միջնորդությամբ (մայիսի 19 և հուլիսի 25)։ Նախարարները և նրանց թիմերը «Խաղաղության և միջպետական հարաբերությունների հաստատման մասին» երկկողմ համաձայնագրի նախագծի որոշ հոդվածների շուրջ կարողացել են գրանցել առաջընթաց, սակայն մի շարք սկզբունքային հարցերում չի հաջողվել հասնել փոխըմբռնման:</w:t>
      </w:r>
    </w:p>
    <w:p w14:paraId="65FC02C2"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հուլիսի 12-ին և նոյեմբերի 30-ին տեղի են ունեցել Հայաստանի Հանրապետության և Ադրբեջանի Հանրապետության միջև պետական սահմանի սահմանազատման ու սահմանային անվտանգության հարցերով հանձնաժողովի և Ադրբեջանի Հանրապետության և Հայաստանի Հանրապետության միջև պետական սահմանի սահմանազատման պետական հանձնաժողովի չորրորդ և հինգերորդ հանդիպումները: Նոյեմբերի 30-ին տեղի ունեցած հանդիպման ընթացքում ձեռք բերված պայմանավորվածության համաձայն դեկտեմբերի 14-ին երկու երկրների կառավարությունների կողմից հաստատվել է ՀՀ և ԱՀ միջև պետական սահմանի սահմանազատման </w:t>
      </w:r>
      <w:r w:rsidRPr="00C921DE">
        <w:rPr>
          <w:rFonts w:ascii="GHEA Grapalat" w:hAnsi="GHEA Grapalat"/>
          <w:sz w:val="22"/>
          <w:szCs w:val="22"/>
        </w:rPr>
        <w:lastRenderedPageBreak/>
        <w:t xml:space="preserve">պետական հանձնաժողովների միջև նիստերի և համատեղ աշխատանքային հանդիպումների կազմակերպման և անցկացման աշխատակարգը: </w:t>
      </w:r>
    </w:p>
    <w:p w14:paraId="1002B561"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Ապաշրջափակման համատեքստում 2023 թվականի հոկտեմբերին ՀՀ վարչապետի կողմից հրապարակվել է Հայաստանի կողմից մշակած և խաղաղության օրակարգի կարևոր բաղադրիչ հանդիսացող «Խաղաղության խաչմերուկ» նախագիծը, որով հստակ նկարագրվում են տարածաշրջանում տրանսպորտային և այլ ենթակառուցվածքային կապերի ապաշրջափակման հեռանկարը, կառուցվածքը, տրամաբանությունը և հիմնական սկզբունքները:</w:t>
      </w:r>
    </w:p>
    <w:p w14:paraId="52F5091A"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դեկտեմբերի 7-ին ՀՀ վարչապետի և ԱՀ նախագահի աշխատակազմերը համատեղ հայտարարություն են ընդունել, որով վերահաստատել են ինքնիշխանության և տարածքային ամբողջականության սկզբունքների հարգման հիման վրա Հայաստանի և Ադրբեջանի հարաբերությունները կարգավորելու և խաղաղության պայմանագրի կնքմանը հասնելու իրենց մտադրությունը: Ադրբեջանն ազատ է արձակել 32 հայ զինծառայողի: Հայաստանն իր հերթին ազատ է արձակել ադրբեջանցի 2 զինծառայողի:</w:t>
      </w:r>
    </w:p>
    <w:p w14:paraId="1D6B137F"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Այդուհանդերձ, Ադրբեջանը շարունակում է պատանդառության մեջ պահել 23 անձի, որոնցից 16-ը գերության մեջ են հայտնվել սեպտեմբերի 19-ի ռազմական գործողությունների հետևանքով։ Շարունակում է բաց մնալ 2020 թվականի 44-օրյա պատերազմում և դրանից հետո անհետ կորած համարվող 215 և 1990-ականներին անհետ կորած 777 ՀՀ քաղաքացիների և ԼՂ-ի հայերի ճակատագիրը։</w:t>
      </w:r>
    </w:p>
    <w:p w14:paraId="2FD7BBF1"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առաջին օրերից ՀՀ կառավարությունը բարձրաձայնել է Ադրբեջանի կողմից Լաչինի միջանցքի արգելափակման և դրա հետևանքով Լեռնային Ղարաբաղում ստեղծված հումանիտար ճգնաժամի մասին: </w:t>
      </w:r>
    </w:p>
    <w:p w14:paraId="0251C700"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Լեռնային Ղարաբաղի խաղաղ բնակչությանը հարկադրված լիակատար շրջափակման հետևանքով հումանիտար իրավիճակի վատթարացման առնչությամբ` ՀՀ պահանջով 2023 թվականի օգոստոսի 16-ին կայացել է ՄԱԿ Անվտանգության խորհրդի արտահերթ նիստ։ Հայաստանի և Ֆրանսիայի պահանջով 2023 թվականի սեպտեմբերի 21-ին գումարվել է ՄԱԿ ԱԽ հրատապ նիստ, որին, բացի ՄԱԿ ԱԽ անդամներից, հասցեական ելույթներ են ունեցել նաև ԵՄ Բարձր հանձնակատարը և Գերմանիայի ԱԳ նախարարը։ ԼՂ-ում էթնիկ զտում իրականացնելուց հետո ՄԱԿ Մարդու իրավունքների խորհրդում Ֆրանսիան 40 երկրների անունից հանդես է եկել Լեռնային Ղարաբաղի իրավիճակի վերաբերյալ համատեղ հայտարարությամբ։</w:t>
      </w:r>
    </w:p>
    <w:p w14:paraId="164BF231"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ՄԱԿ հատուկ ընթացակարգերի մանդատակիրները հրապարակել են հաղորդագրություններ և նամակներ՝ անդրադառնալով Լաչինի միջանցքի շարունակվող շրջափակմանը և դրա հետևանքներին և ազդեցությանը Լեռնային Ղարաբաղում ապրող բնակչության վրա։ Ադրբեջանին </w:t>
      </w:r>
      <w:r w:rsidRPr="00C921DE">
        <w:rPr>
          <w:rFonts w:ascii="GHEA Grapalat" w:hAnsi="GHEA Grapalat"/>
          <w:sz w:val="22"/>
          <w:szCs w:val="22"/>
        </w:rPr>
        <w:lastRenderedPageBreak/>
        <w:t>կոչ է արվել վերացնել Լաչինի միջանցքի շրջափակումը և կանգնեցնել հումանիտար ճգնաժամը Լեռնային Ղարաբաղում։</w:t>
      </w:r>
    </w:p>
    <w:p w14:paraId="7A96F533"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Ցեղասպանության կանխարգելման հարցերով ՄԱԿ Գլխավոր քարտուղարի հատուկ խորհրդական Ալիս Վաիրիմու Նդերիտուն հրապարակել է երկու հայտարարություն՝ հիշատակելով տեղահանված 100 հազարից ավել փախստականներին։</w:t>
      </w:r>
    </w:p>
    <w:p w14:paraId="0C49AD9A"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փետրվարի 22-ին ՄԱԿ-ի Արդարադատության միջազգային դատարանն իրավաբանորեն պարտադիր որոշում է կայացրել Ադրբեջանի դեմ Հայաստանի կողմից ներկայացված վարույթի շրջանակներում՝ միաժամանակ մերժելով Հայաստանի դեմ ներկայացված զուգահեռ վարույթում Ադրբեջանի պահանջները։ Դատարանը փաստել է, որ առկա է Ռասայական խտրականության բոլոր ձևերի վերացման մասին կոնվենցիայի շրջանակներում հայերի իրավունքներին անդառնալի վնաս հասցնելու անմիջական վտանգ և Ադրբեջանին պարտադրել է ձեռնարկել անհրաժեշտ բոլոր միջոցները՝ ապահովելու Լաչինի միջանցքով երկու ուղղություններով անխափան տեղաշարժը: 2023 թվականի հուլիսի 6-ի իր մեկ այլ որոշմամբ դատարանը վերահաստատել է իր 2023 թվականի փետրվարի 22-ի որոշումը։</w:t>
      </w:r>
    </w:p>
    <w:p w14:paraId="01959B08"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նոյեմբերի 17-ին Արդարադատության միջազգային դատարանն իր ընդունած որոշմամբ պարտավորեցրել է Ադրբեջանին պայմաններ ստեղծել Լեռնային Ղարաբաղի հայերի վերադարձի իրավունքի իրացման համար:</w:t>
      </w:r>
    </w:p>
    <w:p w14:paraId="63692A37"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ընթացքում տեղի է ունեցել ԵԱՀԿ մշտական խորհրդի չորս հատուկ նիստ ԼՂ շուրջ տեղի ունեցող իրադարձությունների վերաբերյալ, որոնցից երկուսին մասնակցել և ելույթով հանդես է եկել ՀՀ ԱԳ նախարար Արարատ Միրզոյանը:</w:t>
      </w:r>
    </w:p>
    <w:p w14:paraId="5485758B"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Տարվա ընթացքում Եվրոպայի Խորհրդի մի շարք պաշտոնյաներ, այդ թվում՝ Նախարարների կոմիտեում Իսլանդիայի նախագահությունը, Գլխավոր քարտուղարը (2 հայտարարություն), Մարդու իրավունքների հանձնակատարը (2 հայտարարություն) հանդես են եկել հայտարարություններով: Ադրբեջանի նկատմամբ միջանկյալ միջոցներ կիրառելու վերաբերյալ ՄԻԵԴ-ի կողմից ընդունվել են համապատասխան որոշումներ։</w:t>
      </w:r>
    </w:p>
    <w:p w14:paraId="1EFB3A94"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հունիսի 22-ին ԵԽԽՎ-ի կողմից ձայների բացարձակ մեծամասնությամբ ընդունվել է «Լաչինի միջանցքով ազատ և անվտանգ մուտքի ապահովումը» բանաձևը։ ԵԽԽՎ կողմից ևս մեկ բանաձև ընդունվել է 2023 թվականի հոկտեմբերի 12-ին՝ «Հումանիտար իրավիճակը Լեռնային Ղարաբաղում» խորագրով, որը դատապարտել է 2023 թվականի սեպտեմբերի 19-ին ԼՂ-ի դեմ Ադրբեջանի ռազմական գործողությունները, ֆիքսել է, որ Լեռնային Ղարաբաղի գրեթե ամբողջ բնակչությունը լքել է իր հայրենիքը՝ ֆիզիկական ոչնչացման վտանգի և Ադրբեջանի կառավարության </w:t>
      </w:r>
      <w:r w:rsidRPr="00C921DE">
        <w:rPr>
          <w:rFonts w:ascii="GHEA Grapalat" w:hAnsi="GHEA Grapalat"/>
          <w:sz w:val="22"/>
          <w:szCs w:val="22"/>
        </w:rPr>
        <w:lastRenderedPageBreak/>
        <w:t>երկարամյա հայատյաց քաղաքականության հետևանքով, և հիմնավոր կասկածներ է հայտնել էթնիկ զտումների իրականացման վերաբերյալ։</w:t>
      </w:r>
    </w:p>
    <w:p w14:paraId="2702F484"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hոկտեմբերի 5-ին Եվրոպական խորհրդարանն ընդունել է բանաձև, որով դատապարտել է Լեռնային Ղարաբաղի նկատմամբ Ադրբեջանի սանձազերծած ռազմական ագրեսիան և կոչ է արել ԵՄ-ին և ԵՄ անդամ պետություններին՝ թիրախային պատժամիջոցներ կիրառել Ադրբեջանի կառավարության այն անհատների նկատմամբ, որոնք պատասխանատու են ԼՂ</w:t>
      </w:r>
      <w:r w:rsidRPr="00C921DE">
        <w:rPr>
          <w:rFonts w:ascii="Cambria Math" w:hAnsi="Cambria Math" w:cs="Cambria Math"/>
          <w:sz w:val="22"/>
          <w:szCs w:val="22"/>
        </w:rPr>
        <w:t>‑</w:t>
      </w:r>
      <w:r w:rsidRPr="00C921DE">
        <w:rPr>
          <w:rFonts w:ascii="GHEA Grapalat" w:hAnsi="GHEA Grapalat"/>
          <w:sz w:val="22"/>
          <w:szCs w:val="22"/>
        </w:rPr>
        <w:t>ում հրադադարի ռեժիմի և մարդու իրավունքների բազմաթիվ խախտումների համար, ինչպես նաև հետաքննել պատերազմական հանցագործությունների հավանականությունը:</w:t>
      </w:r>
    </w:p>
    <w:p w14:paraId="376B40FF"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Ադրբեջանի ռազմական գործողությունները դատապարտող հայտարարություններով են հանդես եկել ԵՄ-ն, ԱՄՆ-ն, Ֆրանսիան, Գերմանիան և մի շարք այլ երկրներ։ Կիպրոսի, Նիդերլանդների, Իսպանիայի և Ավստրիայի օրենսդիր մարմիններն ընդունել են դատապարտող բանաձևեր։</w:t>
      </w:r>
    </w:p>
    <w:p w14:paraId="28A956B2"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հոկտեմբերի 7-ին ՄԱԿ-ի Փախստականների հարցերով Բարձր հանձնակատարի և Գործընկերների կողմից հայտարարվել է ԼՂ փախստականների կարիքներին համահունչ Հայաստանի կառավարությանն աջակցելու համատեղ կոչը, և մեկնարկել է ՄԱԿ Միջգործակալական արձագանքման ծրագիրը:</w:t>
      </w:r>
    </w:p>
    <w:p w14:paraId="036FBF43" w14:textId="3DCA305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Աջակցության ծրագրեր են իրականացրել Առողջապահության համաշխարհային կազմակերպությունը, Պարենի համաշխարհային կազմակերպությունը, ՄԱԿ զարգացման ծրագրի հայաստանյան գրասենյակը, Արտակարգ իրավիճակների արձագանքման կենտրոնական հիմնադրամը։ «UNHCR»-ի և/կամ «ICRC»-ի միջոցով, ինչպես նաև ուղիղ ֆինանսական աջակցության կամ հումանիտար բեռի տեսքով օգ</w:t>
      </w:r>
      <w:r w:rsidR="00DD7935" w:rsidRPr="00C921DE">
        <w:rPr>
          <w:rFonts w:ascii="GHEA Grapalat" w:hAnsi="GHEA Grapalat"/>
          <w:sz w:val="22"/>
          <w:szCs w:val="22"/>
          <w:lang w:val="en-US"/>
        </w:rPr>
        <w:t>ն</w:t>
      </w:r>
      <w:r w:rsidRPr="00C921DE">
        <w:rPr>
          <w:rFonts w:ascii="GHEA Grapalat" w:hAnsi="GHEA Grapalat"/>
          <w:sz w:val="22"/>
          <w:szCs w:val="22"/>
        </w:rPr>
        <w:t>ություն են փոխանցել շուրջ երեք տասնյակ պետություններ։</w:t>
      </w:r>
    </w:p>
    <w:p w14:paraId="71092396"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թվականին շարունակվել են աշխատանքները գործընկեր և բարեկամ երկրների հետ հարաբերությունների ամրապնդման և խորացման ուղղությամբ: </w:t>
      </w:r>
    </w:p>
    <w:p w14:paraId="06A71ED1"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Ակտիվ ջանքեր են գործադրվել Վրաստանի հետ հարաբերությունները զարգացնելու և առավել ամրապնդելու ուղղությամբ: Արդյունքում, 2024 թվականի հունվարի 26-ին ՀՀ վարչապետ Նիկոլ Փաշինյանը և Վրաստանի վարչապետ Իրակլի Ղարիբաշվիլին ստորագրել են «Հայաստանի Հանրապետության և Վրաստանի միջև ռազմավարական գործընկերության հաստատման մասին» հռչակագիր: </w:t>
      </w:r>
    </w:p>
    <w:p w14:paraId="5455EC00"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տեղի է ունեցել Հայաստանի և Վրաստան վարչապետերի հանդիպում, որից չորսը՝ միջազգային հարթակներում (Մյունխենում, Քիշնևում, Թբիլիսիում և Փարիզում) և երկու հեռախոսազրույց։</w:t>
      </w:r>
    </w:p>
    <w:p w14:paraId="7F4B9F0D"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ՀՀ վարչապետ Նիկոլ Փաշինյանի և Վրաստանի վարչապետ Իրակլի Ղարիբաշվիլիի գլխավորությամբ 2023թ. հունվարի 12-ին Երևանում կայացել է Հայաստանի և Վրաստանի միջև տնտեսական համագործակցության միջկառավարական հանձնաժողովի հերթական նիստը, որի ընթացքում ստորագրվել է նաև «Հայաստանի Հանրապետության և Վրաստանի միջև երկու պետությունների քաղաքացիների համար փոխադարձ առանց մուտքի արտոնագրի ճամփորդելու մասին» համաձայնագիրը, որն ուժի մեջ է մտել 2023թ. հուլիսի 1-ից: Այն հնարավորություն է ընձեռում քաղաքացիներին սահմանը հատել նույնականացման քարտերով:</w:t>
      </w:r>
    </w:p>
    <w:p w14:paraId="1321BAE0"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է բարձր մակարդակի ինտենսիվ երկխոսությունը Իրանի հետ: ՀՀ վարչապետը հեռախոսազրույցներ է ունեցել Իրանի Իսլամական Հանրապետության նախագահի հետ։ Կայացել է ՀՀ ԱԳ նախարարի երկու այց Թեհրան ,Հայաստան է այցելել ԻԻՀ ԱԳ նախարարը: ՀՀ արտաքին գործերի նախարարը և ԻԻՀ արտաքին գործերի նախարարը հանդիպումներ են ունեցել նաև տարբեր միջազգային հարթակներում։</w:t>
      </w:r>
    </w:p>
    <w:p w14:paraId="100ACE50"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Հարաբերություններում գրանցված շոշափելի արդյունքների թվում է «Գազ-էլեկտրաէներգիայի դիմաց» ծրագիրը մինչև 2030 թվականը երկարաձգելու պայմանագրի ստորագրումը: Բացի այդ, ստորագրվել է Ագարակ-Քաջարան 32 կմ ճանապարհահատվածի շինարարության մրցույթում իրանական համատեղ ձեռնարկությանը հաղթող ճանաչելու մասին փաստաթուղթը:</w:t>
      </w:r>
    </w:p>
    <w:p w14:paraId="0999899D"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Հայաստան-Թուրքիա հարաբերությունների կարգավորման առումով 2023 թվականն առանձնացել է բարձր մակարդակի մի շարք հանդիպումներով, որոնք դրական հիմք են ստեղծել հետագա գործընթացների համար։</w:t>
      </w:r>
    </w:p>
    <w:p w14:paraId="62410880"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հունվարի 6-ին թուրքական կողմը տեղեկացրել է, որ վերացվել են երկու երկրների միջև ուղիղ օդային բեռնափոխադրումներ կատարելու համար նախկինում առկա արգելքները:</w:t>
      </w:r>
    </w:p>
    <w:p w14:paraId="73F006BD"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Թուրքիայում տեղի ունեցած ավերիչ երկրաշարժից հետո 2023 թվականի փետրվարին հայկական որոնողափրկարարական թիմը մասնակցել երկրաշարժի հետևանքների վերացման աշխատանքներին, Մարգարայի կամրջով 112 տոննա հումանիտար բեռով 7 հայկական բեռնատար հատել է հայ-թուրքական սահմանը և ուղևորվել աղետի գոտի։ Նույն ժամանակահատվածում ՀՀ արտաքին գործերի նախարարի գլխավորած պատվիրակությունն այցելել է Թուրքիա: Անկարայում տեղի է ունեցել ՀՀ-ի և Թուրքիայի արտաքին գործերի նախարարների հանդիպումը: Պայմանավորվածություն է ձեռք բերվել համատեղ ջանքերով վերանորոգել Անիի պատմական կամուրջը:</w:t>
      </w:r>
    </w:p>
    <w:p w14:paraId="5A3F849C"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հունիսի 3-ին ՀՀ վարչապետ Նիկոլ Փաշինյանն Անկարայում մասնակցել է Թուրքիայի վերընտրված նախագահ Ռեջեփ Թայիփ Էրդողանի պաշտոնամուտի արարողությանը: </w:t>
      </w:r>
      <w:r w:rsidRPr="00C921DE">
        <w:rPr>
          <w:rFonts w:ascii="GHEA Grapalat" w:hAnsi="GHEA Grapalat"/>
          <w:sz w:val="22"/>
          <w:szCs w:val="22"/>
        </w:rPr>
        <w:lastRenderedPageBreak/>
        <w:t>2023 թվականի փետրվարի 7-ին, հունիսի 28-ին և սեպտեմբերի 11-ին ՀՀ վարչապետ Նիկոլ Փաշինյանի և ԹՀ նախագահ Ռեջեփ Թայիփ Էրդողանի միջև տեղի են ունեցել հեռախոսազրույցներ, որոնց ընթացքում երկուստեք ընդգծվել է տարածաշրջանում երկարատև խաղաղություն և կայունություն հաստատելու, ինչպես նաև երկկողմ հարաբերությունների կարգավորման անհրաժեշտությունը:</w:t>
      </w:r>
    </w:p>
    <w:p w14:paraId="51CF2991"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հոկտեմբերի 23-ին Թեհրանում «3+3» տարածաշրջանային խորհրդակցական հարթակի հանդիպման շրջանակներում տեղի է ունեցել ՀՀ արտաքին գործերի նախարարի և ԹՀ արտաքին գործերի նախարարի հանդիպումը, որի ընթացքում կողմերը վերահաստատել են նախկինում ձեռք բերված պայմանավորվածություններն ի կատար ածելու պատրաստակամությունը: Հայաստանի և Թուրքիայի արտաքին գործերի նախարարներն ունեցել են երկու հեռախոսազրույց:</w:t>
      </w:r>
    </w:p>
    <w:p w14:paraId="137A71CD"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2023թ. ընթացքում շարունակվել է բարձրագույն և բարձր մակարդակներով երկխոսությունը Ռուսաստանի Դաշնության հետ: ՀՀ վարչապետ Ն. Փաշինյանի և ՌԴ նախագահ Վ. Պուտինի միջև տեղի է ունեցել 2 հանդիպում և 9 հեռախոսազրույց։ </w:t>
      </w:r>
    </w:p>
    <w:p w14:paraId="5B6C7BF2"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օգոստոսի 24-ին Եվրասիական միջկառավարական խորհրդի նիստի շրջանակում Ծաղկաձորում տեղի է ունեցել ՀՀ վարչապետ Նիկոլ Փաշինյանի և ՌԴ կառավարության նախագահ Միխայիլ Միշուստինի հանդիպումը:</w:t>
      </w:r>
    </w:p>
    <w:p w14:paraId="6BDBCEC6"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Տարվա ընթացքում շփումներ են եղել ՀՀ և ՌԴ ԱԳ նախարարների մակարդակով, մասնավորապես կայացել է 6 հանդիպում և 2 հեռախոսազրույց: ՀՀ և ՌԴ արտաքին քաղաքական գերատեսչությունների միջև կայացել են նաև մի շարք թեմատիկ խորհրդակցություններ:</w:t>
      </w:r>
    </w:p>
    <w:p w14:paraId="6A98764B"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ընթացքում շարունակվել է ԱՄՆ-ի հետ ռազմավարական երկխոսության ու գործընկերության ամրապնդումը, խորացումը և ընդլայնումը՝ ժողովրդավարության, օրենքի գերակայության, մարդու իրավունքների պաշտպանության, կոռուպցիայի դեմ պայքարի, արդարադատության ու դատաիրավական համակարգի բարեփոխումների, անվտանգության և այլ ուղղություններով:</w:t>
      </w:r>
    </w:p>
    <w:p w14:paraId="75FEF887"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ընթացքում կայացել է ՀՀ վարչապետ Նիկոլ Փաշինյանի և ԱՄՆ պետքարտուղար Էնթոնի Բլինքենի 8 հեռախոսազրույց: Մարտի 29-ին ՀՀ վարչապետ Նիկոլ Փաշինյանը մասնակցել և ելույթով է հանդես եկել ԱՄՆ նախագահ Ջո Բայդենի նախաձեռնած «Հանուն ժողովրդավարության» երկրորդ գագաթնաժողովին:</w:t>
      </w:r>
    </w:p>
    <w:p w14:paraId="519158B7"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Կայացել են ակտիվ շփումներ ՀՀ ԱԳ նախարարի և ԱՄՆ պետդեպարտամենտի բարձրաստիճան պաշտոնյաների միջև. 3 հանդիպում ԱՄՆ պետքարտուղար Էնթոնի Բլինքենի հետ, 7 հեռախոսազանգ ԱՄՆ պետքարտուղարի եվրոպական և եվրասիական հարցերով տեղակալների </w:t>
      </w:r>
      <w:r w:rsidRPr="00C921DE">
        <w:rPr>
          <w:rFonts w:ascii="GHEA Grapalat" w:hAnsi="GHEA Grapalat"/>
          <w:sz w:val="22"/>
          <w:szCs w:val="22"/>
        </w:rPr>
        <w:lastRenderedPageBreak/>
        <w:t xml:space="preserve">հետ,  հեռախոսազանգ ԱՄՆ Միջազգային զարգացման գործակալության կառավարիչ Սամանթա Փաուերի հետ: </w:t>
      </w:r>
    </w:p>
    <w:p w14:paraId="5005401E"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ՀՀ-ԵՄ գործընկերությունը զգալիորեն խորացել է՝ էապես բարձրացնելով քաղաքական երկխոսության մակարդակը և ընդգրկելով նոր բաղադրիչներ, այդ թվում՝ անվտանգության ոլորտում:</w:t>
      </w:r>
    </w:p>
    <w:p w14:paraId="74799E5B" w14:textId="240C5BE9"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հունվարի 23-ին ԵՄ խորհուրդը որոշում է ընդունել Հայաստանում երկարաժամկետ քաղաքացիական առաքելության տեղակայման վերաբերյալ: Իսկ դեկտեմբերի 12-ին ԵՄ Արտաքին գործերի խորհուրդը որոշել է քաղաքացիական առաքելության թվաքանակը ավելացնել՝ 138-ից հասցնելով 209-ի։</w:t>
      </w:r>
    </w:p>
    <w:p w14:paraId="78BCF2A1" w14:textId="77CA88A5"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վականին</w:t>
      </w:r>
      <w:r w:rsidRPr="00C921DE">
        <w:rPr>
          <w:rFonts w:ascii="GHEA Grapalat" w:hAnsi="GHEA Grapalat"/>
          <w:sz w:val="22"/>
          <w:szCs w:val="22"/>
        </w:rPr>
        <w:t xml:space="preserve"> ՀՀ և ԵՄ միջև մեկնարկել է քաղաքական և անվտանգային հարցերով երկխոսությունը, որի անդրանիկ նիստը տեղի է ունեցել Երևանում հունվարի 26-ին, իսկ երկրորդ նիստը՝ նոյեմբերի 15-ին Բրյուսելում: </w:t>
      </w:r>
    </w:p>
    <w:p w14:paraId="03B50826"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Տարվա ընթացքում շարունակվել են շփումները ՀՀ վարչապետ Նիկոլ Փաշինյանի և Եվրոպական խորհրդի նախագահ Շառլ Միշելի միջև: Կայացել է երեք հեռախոսազրույց և հինգ հանդիպում: </w:t>
      </w:r>
    </w:p>
    <w:p w14:paraId="53063E72" w14:textId="23FE1CA3"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ՀՀ վարչապետը հանդիպումներ և հեռախոսազանգեր է ունեցել նաև Եվրոպական հանձնաժողովի նախագահ Ուրսուլա ֆոն դեր Լայենի հետ։ Գրանադայում հոկտեմբերի 5-ին կայացած հանդիպման ա</w:t>
      </w:r>
      <w:r w:rsidR="00DD7935" w:rsidRPr="00C921DE">
        <w:rPr>
          <w:rFonts w:ascii="GHEA Grapalat" w:hAnsi="GHEA Grapalat"/>
          <w:sz w:val="22"/>
          <w:szCs w:val="22"/>
          <w:lang w:val="en-US"/>
        </w:rPr>
        <w:t>ր</w:t>
      </w:r>
      <w:r w:rsidRPr="00C921DE">
        <w:rPr>
          <w:rFonts w:ascii="GHEA Grapalat" w:hAnsi="GHEA Grapalat"/>
          <w:sz w:val="22"/>
          <w:szCs w:val="22"/>
        </w:rPr>
        <w:t xml:space="preserve">դյունքում ընդունվել է համատեղ հայտարարություն, որում անդրադարձ է կատարվել Հայաստանի և Ադրբեջանի միջև հարաբերությունների կարգավորմանը, ԼՂ-ից բռնի տեղահանված հայերի կարիքների հասցեգրմանը, ինչպես նաև ՀՀ-ԵՄ տնտեսական կապերի ակտիվացմանը։ </w:t>
      </w:r>
    </w:p>
    <w:p w14:paraId="31966E70" w14:textId="64D4584E"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հունիսի 1-ին և հոկտեմբերի 5-ին ՀՀ վարչապետ Նիկոլ Փաշինյանը Քիշնևում և Գրանադայում մասնակցել է «Եվրոպական քաղաքական համայնքի» երկրորդ գագաթնաժողովին: </w:t>
      </w:r>
    </w:p>
    <w:p w14:paraId="73177C0D" w14:textId="3AAE77E3"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Հայաստան-ԵՄ հարաբերությունների համար առանցքային էր 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հոկտեմբերի 16-17-ը ՀՀ վարչապետ Նիկոլ Փաշինյանի այցը Եվրոպական խորհրդարան, որի շրջանակներում ՀՀ վարչապետը պատմական ելույթով հանդես եկավ Եվրոպական խորհրդարանի լիագումար նիստի ընթացքում:</w:t>
      </w:r>
    </w:p>
    <w:p w14:paraId="66FEF5DB" w14:textId="578211FA"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հունվարի 24-ին, նոյեմբերի 15-ին և դեկտեմբերի 11-ին ՀՀ ԱԳ նախարարն աշխատանքային այցերով եղել է Բրյուսելում, որոնց շրջանակներում ելույթով հանդես է եկել Եվրոպական խորհրդարանի արտաքին հարաբերությունների հանձնաժողովում կայացած քննարկման ընթացքում:</w:t>
      </w:r>
    </w:p>
    <w:p w14:paraId="5E2ACB91" w14:textId="6BF249C5"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վականին</w:t>
      </w:r>
      <w:r w:rsidRPr="00C921DE">
        <w:rPr>
          <w:rFonts w:ascii="GHEA Grapalat" w:hAnsi="GHEA Grapalat"/>
          <w:sz w:val="22"/>
          <w:szCs w:val="22"/>
        </w:rPr>
        <w:t xml:space="preserve"> ՀՀ ԱԳ նախարարը 5 հանդիպում և հեռախոսազրույց է ունեցել ԵՄ արտաքին գործերի ու անվտանգության քաղաքականության հարցերով բարձր ներկայացուցիչ Ժոզեպ Բոռելի հետ։ </w:t>
      </w:r>
    </w:p>
    <w:p w14:paraId="2AD060EE" w14:textId="17C7FFB9"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Հայաստան-ԵՄ հարաբերությունների հետագա խորացման համար առանցքային էր 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նոյեմբերի 27-29-ը Արտաքին գործողությունների եվրոպական ծառայության և Եվրոպական հանձնաժողովի հարևանության և ընդլայնման բանակցությունների հարցերով, միգրացիայի և ներքին գործերի, հետազոտությունների և նորարարության, միջազգային գործընկերության գլխավոր տնօրինությունների համատեղ պատվիրակության այցը Հայաստան: </w:t>
      </w:r>
    </w:p>
    <w:p w14:paraId="1723497A"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Ֆրանսիայի հետ ընդլայնվել են առանձնաշնորհյալ հարաբերությունները քաղաքական, տնտեսական,  անվտանգային և այլ ոլորտներում:</w:t>
      </w:r>
    </w:p>
    <w:p w14:paraId="3FC69DF2"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Կայացել է ՀՀ վարչապետի և Ֆրանսիայի նախագահի 5 հանդիպում՝ միջազգային հարթակներում նրանց մասնակցության (փետրվար 17` Մյունխենի անվտանգության համաժողով, մայիս 17՝ Ռեյկյավիկում ԵԽ 4-րդ գագաթաժողով, հունիս 1 և հոկտեմբեր 5՝ Քիշնևում և Գրանադայում ԵՔՀ 2-րդ և 3-րդ գագաթաժողովներ), ինչպես նաև նոյեմբերի 9-ին Փարիզում Խաղաղության ֆորումի շրջանակում: Ֆրանսիայից Հայաստան բարձրաստիճան փոխայցերի աննախադեպ մեծ քանակը գերազանցել է քաղաքական երկխոսության ավանդական բարձր դինամիկան: 2023 թվականին կայացել է Ֆրանսիայի Ազգային ժողովի նախագահի՝ պատմության մեջ առաջին այցը Հայաստան:</w:t>
      </w:r>
    </w:p>
    <w:p w14:paraId="41A61179"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Սյունիքի մարզի աշխարհաքաղաքական խոցելիության համատեքստում Ֆրանսիան հաշվետու տարվա օգոստոսին որոշում է կայացրել հյուպատոսական գրասենյակ բացել Գորիսում:</w:t>
      </w:r>
    </w:p>
    <w:p w14:paraId="1AF93084"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2023-ն աչքի է ընկել պաշտպանական ոլորտում հայ-ֆրանսիական համագործակցության խորացմամբ, որն առարկայացել է Երևանում Ֆրանսիայի պաշտպանական առաքելության բացմամբ և հոկտեմբերի ՀՀ պաշտպանության նախարարի Փարիզ այցի ընթացքում պաշտպանական զինտեխնիկայի մատակարարման մասին համաձայնագրերի ստորագրմամբ:</w:t>
      </w:r>
    </w:p>
    <w:p w14:paraId="64C6FE75" w14:textId="37FDE9FB"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Հնդկաստանի հետ հարաբերությունների էլ ավելի են ընդլայնվել և խորացել: 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մարտի 2-5-ը տեղի է ունեցել ՀՀ ԱԳ նախարար Արարատ Միրզոյանի աշխատանքային այցը Հնդկաստան՝ «Ռաիսինա երկխոսություն» միջազգային համաժողովին մասնակցելու նպատակով: ՀՀ արտաքին գործերի նախարարը հանդիպում է ունեցել Հնդկաստանի արտաքին գործերի նախարարի հետ: Երկու երկրների արտաքին գործերի նախարարները հանդիպել են նաև սեպտեմբերի 24-ին Նյու Յորքում:</w:t>
      </w:r>
    </w:p>
    <w:p w14:paraId="411CCBC9" w14:textId="4ED7A1B8"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287B56" w:rsidRPr="00C921DE">
        <w:rPr>
          <w:rFonts w:ascii="GHEA Grapalat" w:hAnsi="GHEA Grapalat"/>
          <w:sz w:val="22"/>
          <w:szCs w:val="22"/>
          <w:lang w:val="en-US"/>
        </w:rPr>
        <w:t xml:space="preserve"> </w:t>
      </w:r>
      <w:r w:rsidRPr="00C921DE">
        <w:rPr>
          <w:rFonts w:ascii="GHEA Grapalat" w:hAnsi="GHEA Grapalat"/>
          <w:sz w:val="22"/>
          <w:szCs w:val="22"/>
        </w:rPr>
        <w:t>թ</w:t>
      </w:r>
      <w:r w:rsidR="00287B56" w:rsidRPr="00C921DE">
        <w:rPr>
          <w:rFonts w:ascii="GHEA Grapalat" w:hAnsi="GHEA Grapalat"/>
          <w:sz w:val="22"/>
          <w:szCs w:val="22"/>
          <w:lang w:val="en-US"/>
        </w:rPr>
        <w:t>վականի</w:t>
      </w:r>
      <w:r w:rsidRPr="00C921DE">
        <w:rPr>
          <w:rFonts w:ascii="GHEA Grapalat" w:hAnsi="GHEA Grapalat"/>
          <w:sz w:val="22"/>
          <w:szCs w:val="22"/>
        </w:rPr>
        <w:t xml:space="preserve"> ապրիլի 20-ին Երևանում կայացել են Հայաստանի, Իրանի և Հնդկաստանի արտաքին գործերի նախար</w:t>
      </w:r>
      <w:r w:rsidR="00DD7935" w:rsidRPr="00C921DE">
        <w:rPr>
          <w:rFonts w:ascii="GHEA Grapalat" w:hAnsi="GHEA Grapalat"/>
          <w:sz w:val="22"/>
          <w:szCs w:val="22"/>
          <w:lang w:val="en-US"/>
        </w:rPr>
        <w:t>ար</w:t>
      </w:r>
      <w:r w:rsidRPr="00C921DE">
        <w:rPr>
          <w:rFonts w:ascii="GHEA Grapalat" w:hAnsi="GHEA Grapalat"/>
          <w:sz w:val="22"/>
          <w:szCs w:val="22"/>
        </w:rPr>
        <w:t xml:space="preserve">ությունների միջև եռակողմ ձևաչափով առաջին քաղաքական խորհրդակցությունները։ </w:t>
      </w:r>
    </w:p>
    <w:p w14:paraId="08C2AC79"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Շարունակվել է փոխգործակցության զարգացումը տարբեր աշխարհագրություններով, այդ թվում՝ Եվրոպական, Եվրասիական տարածաշրջանի, Արևելյան Ասիայի, Մերձավոր և Միջին Արևելքի </w:t>
      </w:r>
      <w:r w:rsidRPr="00C921DE">
        <w:rPr>
          <w:rFonts w:ascii="GHEA Grapalat" w:hAnsi="GHEA Grapalat"/>
          <w:sz w:val="22"/>
          <w:szCs w:val="22"/>
        </w:rPr>
        <w:lastRenderedPageBreak/>
        <w:t xml:space="preserve">երկրների հետ։ Հայաստանը շարունակել է աշխատանքները Հյուսիսային և Հարավային Ամերիկայի երկրների հետ հարաբերությունների զարգացման ուղղությամբ: </w:t>
      </w:r>
    </w:p>
    <w:p w14:paraId="2F5F5841"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Հայաստանի Հանրապետությունը խորացրել է իր ներգրավվածությունը ՄԱԿ-ի կառույցներում, ՖՄԿ-ում, ԵԱՏՄ-ում, ԱՊՀ-ում, ԵԽ-ում, ԵԱՀԿ-ում, ՆԱՏՕ-ում: Երևանում կազմակերպվել է Դեպի ծով ելք չունեցող զարգացող պետությունների նախարարական հանդիպումը, որի ավարտին ընդունվել է «Երևանի հայտարարությունը»:</w:t>
      </w:r>
    </w:p>
    <w:p w14:paraId="77C97539" w14:textId="77777777" w:rsidR="00DE5761" w:rsidRPr="00C921DE" w:rsidRDefault="00DE5761" w:rsidP="00DE5761">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է համագործակցությունը գործընկեր այլ պետությունների և միջազգային կազմակերպությունների հետ` ՀՀ կառավարության 2021-2026թթ. ծրագրով նախանշված ուղենիշներն իրագործելու նպատակով։</w:t>
      </w:r>
    </w:p>
    <w:p w14:paraId="384AE944" w14:textId="77777777" w:rsidR="001C411D" w:rsidRPr="00C921DE" w:rsidRDefault="001C411D" w:rsidP="00652E18">
      <w:pPr>
        <w:spacing w:line="360" w:lineRule="auto"/>
        <w:ind w:firstLine="567"/>
        <w:jc w:val="both"/>
        <w:rPr>
          <w:rFonts w:ascii="GHEA Grapalat" w:hAnsi="GHEA Grapalat"/>
          <w:sz w:val="22"/>
          <w:szCs w:val="22"/>
        </w:rPr>
      </w:pPr>
    </w:p>
    <w:p w14:paraId="2CE3B0E4" w14:textId="77777777" w:rsidR="00912E86" w:rsidRPr="00C921DE" w:rsidRDefault="00912E86" w:rsidP="00912E86">
      <w:pPr>
        <w:pStyle w:val="Heading2"/>
        <w:spacing w:before="0"/>
      </w:pPr>
      <w:bookmarkStart w:id="41" w:name="_Toc163745430"/>
      <w:r w:rsidRPr="00C921DE">
        <w:t>Սփյուռք</w:t>
      </w:r>
      <w:bookmarkEnd w:id="41"/>
    </w:p>
    <w:p w14:paraId="3605F6D7" w14:textId="77777777" w:rsidR="0090762C" w:rsidRPr="00C921DE" w:rsidRDefault="0090762C" w:rsidP="00CC789D">
      <w:pPr>
        <w:spacing w:line="360" w:lineRule="auto"/>
        <w:ind w:firstLine="567"/>
        <w:jc w:val="both"/>
        <w:rPr>
          <w:rFonts w:ascii="GHEA Grapalat" w:hAnsi="GHEA Grapalat"/>
          <w:sz w:val="22"/>
          <w:szCs w:val="22"/>
        </w:rPr>
      </w:pPr>
      <w:r w:rsidRPr="00C921DE">
        <w:rPr>
          <w:rFonts w:ascii="GHEA Grapalat" w:hAnsi="GHEA Grapalat"/>
          <w:sz w:val="22"/>
          <w:szCs w:val="22"/>
        </w:rPr>
        <w:t>Հայաստան-Սփյուռք գործակցության ծրագրի նպատակն է</w:t>
      </w:r>
      <w:r w:rsidR="00CC789D" w:rsidRPr="00C921DE">
        <w:rPr>
          <w:rFonts w:ascii="GHEA Grapalat" w:hAnsi="GHEA Grapalat"/>
          <w:sz w:val="22"/>
          <w:szCs w:val="22"/>
          <w:lang w:val="en-US"/>
        </w:rPr>
        <w:t>՝</w:t>
      </w:r>
      <w:r w:rsidRPr="00C921DE">
        <w:rPr>
          <w:rFonts w:ascii="GHEA Grapalat" w:hAnsi="GHEA Grapalat"/>
          <w:sz w:val="22"/>
          <w:szCs w:val="22"/>
        </w:rPr>
        <w:t xml:space="preserve"> նպաստել Հայաստան-Սփյուռք գործակցության զարգացմանը, հայապահպանությանն ու ազգային ինքնության պահպանմանը:</w:t>
      </w:r>
    </w:p>
    <w:p w14:paraId="1DDB720B" w14:textId="77777777" w:rsidR="0090762C" w:rsidRPr="00C921DE" w:rsidRDefault="0090762C" w:rsidP="00407448">
      <w:pPr>
        <w:pStyle w:val="ListParagraph"/>
        <w:numPr>
          <w:ilvl w:val="0"/>
          <w:numId w:val="6"/>
        </w:numPr>
        <w:tabs>
          <w:tab w:val="left" w:pos="851"/>
        </w:tabs>
        <w:spacing w:after="0" w:line="360" w:lineRule="auto"/>
        <w:ind w:left="0" w:firstLine="567"/>
        <w:jc w:val="both"/>
        <w:rPr>
          <w:rFonts w:ascii="GHEA Grapalat" w:hAnsi="GHEA Grapalat"/>
          <w:lang w:val="hy-AM"/>
        </w:rPr>
      </w:pPr>
      <w:r w:rsidRPr="00C921DE">
        <w:rPr>
          <w:rFonts w:ascii="GHEA Grapalat" w:hAnsi="GHEA Grapalat"/>
          <w:lang w:val="hy-AM"/>
        </w:rPr>
        <w:t xml:space="preserve">Հայաստան – Սփյուռք </w:t>
      </w:r>
      <w:r w:rsidR="00CC789D" w:rsidRPr="00C921DE">
        <w:rPr>
          <w:rFonts w:ascii="GHEA Grapalat" w:hAnsi="GHEA Grapalat"/>
        </w:rPr>
        <w:t>գործակցության կապերի զարգացմանը</w:t>
      </w:r>
      <w:r w:rsidRPr="00C921DE">
        <w:rPr>
          <w:rFonts w:ascii="GHEA Grapalat" w:hAnsi="GHEA Grapalat"/>
          <w:lang w:val="hy-AM"/>
        </w:rPr>
        <w:t xml:space="preserve"> և ամրապնդմանն ուղղված</w:t>
      </w:r>
      <w:r w:rsidR="00CC789D" w:rsidRPr="00C921DE">
        <w:rPr>
          <w:rFonts w:ascii="GHEA Grapalat" w:hAnsi="GHEA Grapalat"/>
        </w:rPr>
        <w:t xml:space="preserve"> </w:t>
      </w:r>
      <w:r w:rsidRPr="00C921DE">
        <w:rPr>
          <w:rFonts w:ascii="GHEA Grapalat" w:hAnsi="GHEA Grapalat"/>
          <w:lang w:val="hy-AM"/>
        </w:rPr>
        <w:t xml:space="preserve">միջոցառումների շրջանակներում ՀՀ վարչապետի աշխատակազմի սփյուռքի գործերի գլխավոր հանձնակատարի գրասենյակի կողմից իրականացվել է «Քայլ դեպի տուն» միջոցառումը, որի շրջանակում </w:t>
      </w:r>
      <w:r w:rsidRPr="00C921DE">
        <w:rPr>
          <w:rFonts w:ascii="GHEA Grapalat" w:hAnsi="GHEA Grapalat" w:cs="GHEA Grapalat"/>
          <w:bCs/>
          <w:lang w:val="af-ZA"/>
        </w:rPr>
        <w:t>սփյուռքում</w:t>
      </w:r>
      <w:r w:rsidRPr="00C921DE">
        <w:rPr>
          <w:rFonts w:ascii="GHEA Grapalat" w:hAnsi="GHEA Grapalat"/>
          <w:lang w:val="hy-AM"/>
        </w:rPr>
        <w:t xml:space="preserve"> բնակվող 13-18 տարեկան 600 հայ պատանիների և երիտասարդների համար կազմակերպել և իրականացնել երկշաբաթյա ճանաչողական շրջայցեր հայրենիքում, որոնք բնակվել են Երևանամերձ ճամբարում, մասնակցել են հայոց լեզվի, հայկական երգ ու պարի դասընթացների, ինչպես նաև ճանաչողական այցելություններ են ունեցել Հայաստանի պատմամշակութային վայրեր, ուսումնական և նորարարական կենտրոններ: Միջոցառման նպատակն է</w:t>
      </w:r>
      <w:r w:rsidR="006C2D60" w:rsidRPr="00C921DE">
        <w:rPr>
          <w:rFonts w:ascii="GHEA Grapalat" w:hAnsi="GHEA Grapalat"/>
          <w:lang w:val="en-US"/>
        </w:rPr>
        <w:t>՝</w:t>
      </w:r>
      <w:r w:rsidRPr="00C921DE">
        <w:rPr>
          <w:rFonts w:ascii="GHEA Grapalat" w:hAnsi="GHEA Grapalat"/>
          <w:lang w:val="hy-AM"/>
        </w:rPr>
        <w:t xml:space="preserve"> նպաստել սփյուռքում բնակվող հայ պատանիների և երիտասարդների ազգային ինքնության գիտակցության բարձրացմանը, հայրենիքի հետ կապերի ամրապնդմանը, հայրենադարձության խթանմանը:</w:t>
      </w:r>
    </w:p>
    <w:p w14:paraId="06B2E4F8" w14:textId="77777777" w:rsidR="0090762C" w:rsidRPr="00C921DE" w:rsidRDefault="0090762C" w:rsidP="00407448">
      <w:pPr>
        <w:pStyle w:val="ListParagraph"/>
        <w:numPr>
          <w:ilvl w:val="0"/>
          <w:numId w:val="6"/>
        </w:numPr>
        <w:tabs>
          <w:tab w:val="left" w:pos="851"/>
        </w:tabs>
        <w:spacing w:after="0" w:line="360" w:lineRule="auto"/>
        <w:ind w:left="0" w:firstLine="567"/>
        <w:jc w:val="both"/>
        <w:rPr>
          <w:rFonts w:ascii="GHEA Grapalat" w:hAnsi="GHEA Grapalat"/>
          <w:lang w:val="hy-AM"/>
        </w:rPr>
      </w:pPr>
      <w:r w:rsidRPr="00C921DE">
        <w:rPr>
          <w:rFonts w:ascii="GHEA Grapalat" w:hAnsi="GHEA Grapalat"/>
          <w:lang w:val="hy-AM"/>
        </w:rPr>
        <w:t>«Սփյուռքի երիտասարդ առաջնորդների վերապատրաստում» միջոցառման նպատակն է</w:t>
      </w:r>
      <w:r w:rsidR="006C2D60" w:rsidRPr="00C921DE">
        <w:rPr>
          <w:rFonts w:ascii="GHEA Grapalat" w:hAnsi="GHEA Grapalat"/>
          <w:lang w:val="en-US"/>
        </w:rPr>
        <w:t>՝</w:t>
      </w:r>
      <w:r w:rsidRPr="00C921DE">
        <w:rPr>
          <w:rFonts w:ascii="GHEA Grapalat" w:hAnsi="GHEA Grapalat"/>
          <w:lang w:val="hy-AM"/>
        </w:rPr>
        <w:t xml:space="preserve"> նպաստել և աջակցել Սփյուռքի այն երիտասարդներին, ովքեր ներգրավված են Հայաստան-Սփյուռք հարաբերությունների ամրապնդման գործընթացներում և աշխատանքներ են տանում համայնքային կյանքի ակտիվացման, հայկական շահերի պաշտպանության ուղղությամբ, ինչպես նաև ձևավորել հայ </w:t>
      </w:r>
      <w:r w:rsidRPr="00C921DE">
        <w:rPr>
          <w:rFonts w:ascii="GHEA Grapalat" w:hAnsi="GHEA Grapalat" w:cs="GHEA Grapalat"/>
          <w:bCs/>
          <w:lang w:val="af-ZA"/>
        </w:rPr>
        <w:t>երիտասարդների</w:t>
      </w:r>
      <w:r w:rsidRPr="00C921DE">
        <w:rPr>
          <w:rFonts w:ascii="GHEA Grapalat" w:hAnsi="GHEA Grapalat"/>
          <w:lang w:val="hy-AM"/>
        </w:rPr>
        <w:t xml:space="preserve"> դինամիկ ցանց, որը կունենա աշխարհի տարբեր համայնքներից սփյուռքահայ երիտասարդների ընդլայնված ներկայացվածություն։</w:t>
      </w:r>
    </w:p>
    <w:p w14:paraId="1806B0D3" w14:textId="77777777" w:rsidR="0090762C" w:rsidRPr="00C921DE" w:rsidRDefault="0090762C" w:rsidP="00CC789D">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Վերապատրաստման դասընթացների տևողությունը</w:t>
      </w:r>
      <w:r w:rsidR="00CC789D" w:rsidRPr="00C921DE">
        <w:rPr>
          <w:rFonts w:ascii="GHEA Grapalat" w:hAnsi="GHEA Grapalat"/>
          <w:sz w:val="22"/>
          <w:szCs w:val="22"/>
        </w:rPr>
        <w:t xml:space="preserve"> </w:t>
      </w:r>
      <w:r w:rsidRPr="00C921DE">
        <w:rPr>
          <w:rFonts w:ascii="GHEA Grapalat" w:hAnsi="GHEA Grapalat"/>
          <w:sz w:val="22"/>
          <w:szCs w:val="22"/>
        </w:rPr>
        <w:t xml:space="preserve">14 օր է, որին մասնակցել 18 սփյուռքահայ երիտասարդ, որոնց համար կազմակերպվել են այցելություններ պատմամշակութային և ժամանցային վայրեր, հանդիպումներ պետական, քաղաքական գործիչների հետ, մշակութային միջոցառումներ։ </w:t>
      </w:r>
    </w:p>
    <w:p w14:paraId="53BA4101" w14:textId="77777777" w:rsidR="0090762C" w:rsidRPr="00C921DE" w:rsidRDefault="0090762C" w:rsidP="00407448">
      <w:pPr>
        <w:pStyle w:val="ListParagraph"/>
        <w:numPr>
          <w:ilvl w:val="0"/>
          <w:numId w:val="6"/>
        </w:numPr>
        <w:tabs>
          <w:tab w:val="left" w:pos="851"/>
        </w:tabs>
        <w:spacing w:after="0" w:line="360" w:lineRule="auto"/>
        <w:ind w:left="0" w:firstLine="567"/>
        <w:jc w:val="both"/>
        <w:rPr>
          <w:rFonts w:ascii="GHEA Grapalat" w:hAnsi="GHEA Grapalat"/>
          <w:lang w:val="hy-AM"/>
        </w:rPr>
      </w:pPr>
      <w:r w:rsidRPr="00C921DE">
        <w:rPr>
          <w:rFonts w:ascii="GHEA Grapalat" w:hAnsi="GHEA Grapalat"/>
          <w:lang w:val="hy-AM"/>
        </w:rPr>
        <w:t>«Հայաստան-Սփյուռք գործակցության վերաբերյալ իրազեկման ապահովում» միջոցառման նպատակն է</w:t>
      </w:r>
      <w:r w:rsidR="006C2D60" w:rsidRPr="00C921DE">
        <w:rPr>
          <w:rFonts w:ascii="GHEA Grapalat" w:hAnsi="GHEA Grapalat"/>
          <w:lang w:val="en-US"/>
        </w:rPr>
        <w:t>՝</w:t>
      </w:r>
      <w:r w:rsidRPr="00C921DE">
        <w:rPr>
          <w:rFonts w:ascii="GHEA Grapalat" w:hAnsi="GHEA Grapalat"/>
          <w:lang w:val="hy-AM"/>
        </w:rPr>
        <w:t xml:space="preserve"> </w:t>
      </w:r>
      <w:r w:rsidRPr="00C921DE">
        <w:rPr>
          <w:rFonts w:ascii="GHEA Grapalat" w:hAnsi="GHEA Grapalat" w:cs="GHEA Grapalat"/>
          <w:bCs/>
          <w:lang w:val="af-ZA"/>
        </w:rPr>
        <w:t>հայ</w:t>
      </w:r>
      <w:r w:rsidRPr="00C921DE">
        <w:rPr>
          <w:rFonts w:ascii="GHEA Grapalat" w:hAnsi="GHEA Grapalat"/>
          <w:lang w:val="hy-AM"/>
        </w:rPr>
        <w:t xml:space="preserve"> ժողովրդի ազգային ինքնության պահպանմանն ու զարգացմանը, </w:t>
      </w:r>
      <w:r w:rsidR="00F024EE" w:rsidRPr="00C921DE">
        <w:rPr>
          <w:rFonts w:ascii="GHEA Grapalat" w:hAnsi="GHEA Grapalat"/>
          <w:lang w:val="en-US"/>
        </w:rPr>
        <w:t>ՀՀ</w:t>
      </w:r>
      <w:r w:rsidRPr="00C921DE">
        <w:rPr>
          <w:rFonts w:ascii="GHEA Grapalat" w:hAnsi="GHEA Grapalat"/>
          <w:lang w:val="hy-AM"/>
        </w:rPr>
        <w:t xml:space="preserve"> և սփյուռքի համար կենսական նշանակություն ունեցող հայապահպանության հիմնախնդիրների լուծմանը նպաստելու նպատակով աշխարհի բոլոր հայ համայնքներին հասանելի դարձնել հայկական մշակույթը, արվեստը, պատմությունը, ազգային արժեքներն ու ֆիլմերը, ինչպես նաև Սփյուռքում ներկայացնել հայրենադարձների պատմությունները, Հայաստանում սփյուռքահայ գործարարների ներդրումները, բարեգործական ծրագրերը և Հայաստան-Սփյուռք գործակցությանը նպատակաուղղված ՀՀ կառավարության ծրագրերը: </w:t>
      </w:r>
      <w:r w:rsidRPr="00C921DE">
        <w:rPr>
          <w:rFonts w:ascii="GHEA Grapalat" w:hAnsi="GHEA Grapalat" w:cs="Times New Roman"/>
          <w:lang w:val="hy-AM"/>
        </w:rPr>
        <w:t xml:space="preserve">Միջոցառման շրջանակներում պատրաստվել են </w:t>
      </w:r>
      <w:r w:rsidRPr="00C921DE">
        <w:rPr>
          <w:rFonts w:ascii="GHEA Grapalat" w:hAnsi="GHEA Grapalat"/>
          <w:lang w:val="hy-AM"/>
        </w:rPr>
        <w:t>70 օրագրերի շարք և 4 վավերագրական ֆիլմ:</w:t>
      </w:r>
    </w:p>
    <w:p w14:paraId="2B5C9F9A" w14:textId="669D4C17" w:rsidR="0090762C" w:rsidRPr="00C921DE" w:rsidRDefault="0090762C" w:rsidP="00407448">
      <w:pPr>
        <w:pStyle w:val="ListParagraph"/>
        <w:numPr>
          <w:ilvl w:val="0"/>
          <w:numId w:val="6"/>
        </w:numPr>
        <w:tabs>
          <w:tab w:val="left" w:pos="851"/>
        </w:tabs>
        <w:spacing w:after="0" w:line="360" w:lineRule="auto"/>
        <w:ind w:left="0" w:firstLine="567"/>
        <w:jc w:val="both"/>
        <w:rPr>
          <w:rFonts w:ascii="GHEA Grapalat" w:hAnsi="GHEA Grapalat"/>
          <w:lang w:val="hy-AM"/>
        </w:rPr>
      </w:pPr>
      <w:r w:rsidRPr="00C921DE">
        <w:rPr>
          <w:rFonts w:ascii="GHEA Grapalat" w:hAnsi="GHEA Grapalat"/>
          <w:lang w:val="hy-AM"/>
        </w:rPr>
        <w:t>«Աշխատանաք սփյուռքի համայնքներում» միջոցառման նպատակն է</w:t>
      </w:r>
      <w:r w:rsidR="007B5B92" w:rsidRPr="00C921DE">
        <w:rPr>
          <w:rFonts w:ascii="GHEA Grapalat" w:hAnsi="GHEA Grapalat"/>
          <w:lang w:val="en-US"/>
        </w:rPr>
        <w:t>՝</w:t>
      </w:r>
      <w:r w:rsidRPr="00C921DE">
        <w:rPr>
          <w:rFonts w:ascii="GHEA Grapalat" w:hAnsi="GHEA Grapalat"/>
          <w:lang w:val="hy-AM"/>
        </w:rPr>
        <w:t xml:space="preserve"> ուսումնասիրել Սփյուռքի համայնքների խնդիրները, </w:t>
      </w:r>
      <w:r w:rsidRPr="00C921DE">
        <w:rPr>
          <w:rFonts w:ascii="GHEA Grapalat" w:hAnsi="GHEA Grapalat" w:cs="GHEA Grapalat"/>
          <w:bCs/>
          <w:lang w:val="af-ZA"/>
        </w:rPr>
        <w:t>միջոցներ</w:t>
      </w:r>
      <w:r w:rsidRPr="00C921DE">
        <w:rPr>
          <w:rFonts w:ascii="GHEA Grapalat" w:hAnsi="GHEA Grapalat"/>
          <w:lang w:val="hy-AM"/>
        </w:rPr>
        <w:t xml:space="preserve"> ձեռնարկել դրանց լուծման ուղղությամբ, օժանդակել սփյուռքի հայերի ինքնակազմակերպմ</w:t>
      </w:r>
      <w:r w:rsidR="007B5B92" w:rsidRPr="00C921DE">
        <w:rPr>
          <w:rFonts w:ascii="GHEA Grapalat" w:hAnsi="GHEA Grapalat"/>
        </w:rPr>
        <w:t>անը որպես համայնքային միավորներ,</w:t>
      </w:r>
      <w:r w:rsidRPr="00C921DE">
        <w:rPr>
          <w:rFonts w:ascii="GHEA Grapalat" w:hAnsi="GHEA Grapalat"/>
          <w:lang w:val="hy-AM"/>
        </w:rPr>
        <w:t xml:space="preserve"> </w:t>
      </w:r>
      <w:r w:rsidR="007B5B92" w:rsidRPr="00C921DE">
        <w:rPr>
          <w:rFonts w:ascii="GHEA Grapalat" w:hAnsi="GHEA Grapalat"/>
          <w:lang w:val="en-US"/>
        </w:rPr>
        <w:t>ի</w:t>
      </w:r>
      <w:r w:rsidRPr="00C921DE">
        <w:rPr>
          <w:rFonts w:ascii="GHEA Grapalat" w:hAnsi="GHEA Grapalat"/>
          <w:lang w:val="hy-AM"/>
        </w:rPr>
        <w:t>նչպես նաև</w:t>
      </w:r>
      <w:r w:rsidR="002A0DBA" w:rsidRPr="00C921DE">
        <w:rPr>
          <w:rFonts w:ascii="GHEA Grapalat" w:hAnsi="GHEA Grapalat"/>
        </w:rPr>
        <w:t xml:space="preserve"> նպաստել</w:t>
      </w:r>
      <w:r w:rsidRPr="00C921DE">
        <w:rPr>
          <w:rFonts w:ascii="GHEA Grapalat" w:hAnsi="GHEA Grapalat"/>
          <w:lang w:val="hy-AM"/>
        </w:rPr>
        <w:t xml:space="preserve"> ըստ մասնագիտական ոլորտների պարբերաբար հավաք-հանդիպումների անցկացմանը համայնքներում և անպայման մասնակցել դրանց՝ համագործակցության հեռանկարները նախանշելու և համատեղ իրականացվելիք միջոցառումների պլան-ժամանակացույց կազմելու համար:</w:t>
      </w:r>
    </w:p>
    <w:p w14:paraId="1B63A16D" w14:textId="77777777" w:rsidR="0090762C" w:rsidRPr="00C921DE" w:rsidRDefault="0090762C" w:rsidP="00CC789D">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իրականացվել է 13 աշխատանքային գործուղում՝ Լեհաստանի, ՌԴ-ի, Ֆրանսիայի, Լիբանանի, Սիրիայի, ԱՄՆ-ի, Իսպանիայի, Գերմանիայի, Բելգիայի, Նիդեռլանդների, Կիպրոսի, Ուկրաինայի, Մեծ Բրիտանիայի և Իռլանդիայի</w:t>
      </w:r>
      <w:r w:rsidR="00CC789D" w:rsidRPr="00C921DE">
        <w:rPr>
          <w:rFonts w:ascii="GHEA Grapalat" w:hAnsi="GHEA Grapalat"/>
          <w:sz w:val="22"/>
          <w:szCs w:val="22"/>
        </w:rPr>
        <w:t xml:space="preserve"> </w:t>
      </w:r>
      <w:r w:rsidRPr="00C921DE">
        <w:rPr>
          <w:rFonts w:ascii="GHEA Grapalat" w:hAnsi="GHEA Grapalat"/>
          <w:sz w:val="22"/>
          <w:szCs w:val="22"/>
        </w:rPr>
        <w:t>հայաշատ համայնքներ:</w:t>
      </w:r>
    </w:p>
    <w:p w14:paraId="58349B34" w14:textId="77777777" w:rsidR="0090762C" w:rsidRPr="00C921DE" w:rsidRDefault="0090762C" w:rsidP="008F63D0">
      <w:pPr>
        <w:pStyle w:val="ListParagraph"/>
        <w:numPr>
          <w:ilvl w:val="0"/>
          <w:numId w:val="6"/>
        </w:numPr>
        <w:tabs>
          <w:tab w:val="left" w:pos="851"/>
        </w:tabs>
        <w:spacing w:after="0" w:line="360" w:lineRule="auto"/>
        <w:ind w:left="0" w:firstLine="567"/>
        <w:jc w:val="both"/>
        <w:rPr>
          <w:rFonts w:ascii="GHEA Grapalat" w:hAnsi="GHEA Grapalat"/>
          <w:lang w:val="hy-AM"/>
        </w:rPr>
      </w:pPr>
      <w:r w:rsidRPr="00C921DE">
        <w:rPr>
          <w:rFonts w:ascii="GHEA Grapalat" w:hAnsi="GHEA Grapalat"/>
          <w:lang w:val="hy-AM"/>
        </w:rPr>
        <w:t xml:space="preserve">«ի Գործ սփյուռքահայ մասնագետների ներգրավում ՀՀ և Արցախի պետական կառավարման համակարգում» միջոցառման </w:t>
      </w:r>
      <w:r w:rsidRPr="00C921DE">
        <w:rPr>
          <w:rFonts w:ascii="GHEA Grapalat" w:hAnsi="GHEA Grapalat" w:cs="GHEA Grapalat"/>
          <w:bCs/>
          <w:lang w:val="af-ZA"/>
        </w:rPr>
        <w:t>նպատակն</w:t>
      </w:r>
      <w:r w:rsidRPr="00C921DE">
        <w:rPr>
          <w:rFonts w:ascii="GHEA Grapalat" w:hAnsi="GHEA Grapalat"/>
          <w:lang w:val="hy-AM"/>
        </w:rPr>
        <w:t xml:space="preserve"> է</w:t>
      </w:r>
      <w:r w:rsidR="002A0DBA" w:rsidRPr="00C921DE">
        <w:rPr>
          <w:rFonts w:ascii="GHEA Grapalat" w:hAnsi="GHEA Grapalat"/>
          <w:lang w:val="en-US"/>
        </w:rPr>
        <w:t>՝</w:t>
      </w:r>
      <w:r w:rsidRPr="00C921DE">
        <w:rPr>
          <w:rFonts w:ascii="GHEA Grapalat" w:hAnsi="GHEA Grapalat"/>
          <w:lang w:val="hy-AM"/>
        </w:rPr>
        <w:t xml:space="preserve"> սփյուռքի բարձր որակավորում ունեցող մասնագետներին ներգրավել ՀՀ և Արցախի պետական կառավարման համակարգի մարմինների աշխատանքներում: Միջոցառմանն ընդգրկված մասնագետների համար մեկ տարի շարունակ գրասենյակը հոգում է կեցության, առողջության ապահովագրության, դեպի Հայաստան և հակառակ ուղղությամբ ավիատոմսերի ծախսերը և այլ ծախսեր: 2023 թվականի ընթացքում միջոցառմանը ներգրավվել են 98 մասնագետներ, որոնք մշակել և ներկայացրել են ՀՀ զարգացմանն ուղղված առկա խնդիրների լուծման 10 նոր նախագիծ:</w:t>
      </w:r>
      <w:r w:rsidR="00CC789D" w:rsidRPr="00C921DE">
        <w:rPr>
          <w:rFonts w:ascii="GHEA Grapalat" w:hAnsi="GHEA Grapalat"/>
        </w:rPr>
        <w:t xml:space="preserve"> </w:t>
      </w:r>
      <w:r w:rsidRPr="00C921DE">
        <w:rPr>
          <w:rFonts w:ascii="GHEA Grapalat" w:hAnsi="GHEA Grapalat"/>
          <w:lang w:val="hy-AM"/>
        </w:rPr>
        <w:t>Միջոցառման որոշ մասնագետներ հայրենադարձվել և ՀՀ-ում անցել են այլ աշխատանքի:</w:t>
      </w:r>
    </w:p>
    <w:p w14:paraId="7532F41A" w14:textId="77777777" w:rsidR="0090762C" w:rsidRPr="00C921DE" w:rsidRDefault="0090762C" w:rsidP="008F63D0">
      <w:pPr>
        <w:pStyle w:val="ListParagraph"/>
        <w:numPr>
          <w:ilvl w:val="0"/>
          <w:numId w:val="6"/>
        </w:numPr>
        <w:tabs>
          <w:tab w:val="left" w:pos="851"/>
        </w:tabs>
        <w:spacing w:after="0" w:line="360" w:lineRule="auto"/>
        <w:ind w:left="0" w:firstLine="567"/>
        <w:jc w:val="both"/>
        <w:rPr>
          <w:rFonts w:ascii="GHEA Grapalat" w:hAnsi="GHEA Grapalat"/>
          <w:lang w:val="hy-AM"/>
        </w:rPr>
      </w:pPr>
      <w:r w:rsidRPr="00C921DE">
        <w:rPr>
          <w:rFonts w:ascii="GHEA Grapalat" w:hAnsi="GHEA Grapalat"/>
          <w:lang w:val="hy-AM"/>
        </w:rPr>
        <w:t xml:space="preserve">«Հայրենադարձության ինտեգրման </w:t>
      </w:r>
      <w:r w:rsidRPr="00C921DE">
        <w:rPr>
          <w:rFonts w:ascii="GHEA Grapalat" w:hAnsi="GHEA Grapalat" w:cs="GHEA Grapalat"/>
          <w:bCs/>
          <w:lang w:val="af-ZA"/>
        </w:rPr>
        <w:t>կենտրոն</w:t>
      </w:r>
      <w:r w:rsidRPr="00C921DE">
        <w:rPr>
          <w:rFonts w:ascii="GHEA Grapalat" w:hAnsi="GHEA Grapalat"/>
          <w:lang w:val="hy-AM"/>
        </w:rPr>
        <w:t>» միջոցառման նպատակն է</w:t>
      </w:r>
      <w:r w:rsidR="002A0DBA" w:rsidRPr="00C921DE">
        <w:rPr>
          <w:rFonts w:ascii="GHEA Grapalat" w:hAnsi="GHEA Grapalat"/>
          <w:lang w:val="en-US"/>
        </w:rPr>
        <w:t>՝</w:t>
      </w:r>
      <w:r w:rsidRPr="00C921DE">
        <w:rPr>
          <w:rFonts w:ascii="GHEA Grapalat" w:hAnsi="GHEA Grapalat"/>
          <w:lang w:val="hy-AM"/>
        </w:rPr>
        <w:t xml:space="preserve"> խթանել հայրենադարձությունը և ՀՀ քաղաքացիների վերադարձը այլ երկրներից:</w:t>
      </w:r>
      <w:r w:rsidR="00CB7853" w:rsidRPr="00C921DE">
        <w:rPr>
          <w:rFonts w:ascii="GHEA Grapalat" w:hAnsi="GHEA Grapalat"/>
          <w:lang w:val="en-US"/>
        </w:rPr>
        <w:t xml:space="preserve"> </w:t>
      </w:r>
      <w:r w:rsidRPr="00C921DE">
        <w:rPr>
          <w:rFonts w:ascii="GHEA Grapalat" w:hAnsi="GHEA Grapalat"/>
          <w:lang w:val="hy-AM"/>
        </w:rPr>
        <w:t xml:space="preserve">«Հայրենադարձության </w:t>
      </w:r>
      <w:r w:rsidRPr="00C921DE">
        <w:rPr>
          <w:rFonts w:ascii="GHEA Grapalat" w:hAnsi="GHEA Grapalat"/>
          <w:lang w:val="hy-AM"/>
        </w:rPr>
        <w:lastRenderedPageBreak/>
        <w:t>ինտեգրման կենտրոն» միջոցառման շրջանակներում ողջ գործընթացի հասանելիության ու արդյունավետության բարե</w:t>
      </w:r>
      <w:r w:rsidR="002A0DBA" w:rsidRPr="00C921DE">
        <w:rPr>
          <w:rFonts w:ascii="GHEA Grapalat" w:hAnsi="GHEA Grapalat"/>
        </w:rPr>
        <w:t>լավումը հնարավորություն է ընձեռ</w:t>
      </w:r>
      <w:r w:rsidRPr="00C921DE">
        <w:rPr>
          <w:rFonts w:ascii="GHEA Grapalat" w:hAnsi="GHEA Grapalat"/>
          <w:lang w:val="hy-AM"/>
        </w:rPr>
        <w:t>ում կարգավորել հայրենադարձության հետ կապված տարատեսակ հարցեր, ինչպես նաև աջակցություն ցուցաբերել հայրենադարձներին և այլ երկրներից վերադարձած ՀՀ քաղաքացիներին</w:t>
      </w:r>
      <w:r w:rsidR="002A0DBA" w:rsidRPr="00C921DE">
        <w:rPr>
          <w:rFonts w:ascii="GHEA Grapalat" w:hAnsi="GHEA Grapalat"/>
          <w:lang w:val="en-US"/>
        </w:rPr>
        <w:t>՝</w:t>
      </w:r>
      <w:r w:rsidRPr="00C921DE">
        <w:rPr>
          <w:rFonts w:ascii="GHEA Grapalat" w:hAnsi="GHEA Grapalat"/>
          <w:lang w:val="hy-AM"/>
        </w:rPr>
        <w:t xml:space="preserve"> արագ և արդյունավետ ինտեգրվել ՀՀ հասարակական-քաղաքական, մշակութային ու սոցիալ-տնտեսական կյանքին:</w:t>
      </w:r>
      <w:r w:rsidR="00CB7853" w:rsidRPr="00C921DE">
        <w:rPr>
          <w:rFonts w:ascii="GHEA Grapalat" w:hAnsi="GHEA Grapalat"/>
          <w:lang w:val="en-US"/>
        </w:rPr>
        <w:t xml:space="preserve"> </w:t>
      </w:r>
      <w:r w:rsidRPr="00C921DE">
        <w:rPr>
          <w:rFonts w:ascii="GHEA Grapalat" w:hAnsi="GHEA Grapalat"/>
          <w:lang w:val="hy-AM"/>
        </w:rPr>
        <w:t>2023 թվականին միջոցառման շրջանակներում 250 հայրենադարձ մասնակցել է հայոց լեզվի դասընթացների:</w:t>
      </w:r>
    </w:p>
    <w:p w14:paraId="3ECB7DF6" w14:textId="77777777" w:rsidR="0090762C" w:rsidRPr="00C921DE" w:rsidRDefault="0090762C" w:rsidP="00CC789D">
      <w:pPr>
        <w:spacing w:line="360" w:lineRule="auto"/>
        <w:ind w:firstLine="567"/>
        <w:jc w:val="both"/>
        <w:rPr>
          <w:rFonts w:ascii="GHEA Grapalat" w:hAnsi="GHEA Grapalat"/>
          <w:sz w:val="22"/>
          <w:szCs w:val="22"/>
        </w:rPr>
      </w:pPr>
      <w:r w:rsidRPr="00C921DE">
        <w:rPr>
          <w:rFonts w:ascii="GHEA Grapalat" w:hAnsi="GHEA Grapalat"/>
          <w:sz w:val="22"/>
          <w:szCs w:val="22"/>
        </w:rPr>
        <w:t>«ՀՀ զարգացման գործընթացում սփյուռքի ներուժի ներգրավում» ծրագրի նպատակն</w:t>
      </w:r>
      <w:r w:rsidR="00565A18" w:rsidRPr="00C921DE">
        <w:rPr>
          <w:rFonts w:ascii="GHEA Grapalat" w:hAnsi="GHEA Grapalat"/>
          <w:sz w:val="22"/>
          <w:szCs w:val="22"/>
          <w:lang w:val="en-US"/>
        </w:rPr>
        <w:t>երն</w:t>
      </w:r>
      <w:r w:rsidRPr="00C921DE">
        <w:rPr>
          <w:rFonts w:ascii="GHEA Grapalat" w:hAnsi="GHEA Grapalat"/>
          <w:sz w:val="22"/>
          <w:szCs w:val="22"/>
        </w:rPr>
        <w:t xml:space="preserve"> </w:t>
      </w:r>
      <w:r w:rsidR="00565A18" w:rsidRPr="00C921DE">
        <w:rPr>
          <w:rFonts w:ascii="GHEA Grapalat" w:hAnsi="GHEA Grapalat"/>
          <w:sz w:val="22"/>
          <w:szCs w:val="22"/>
          <w:lang w:val="en-US"/>
        </w:rPr>
        <w:t>են</w:t>
      </w:r>
      <w:r w:rsidRPr="00C921DE">
        <w:rPr>
          <w:rFonts w:ascii="GHEA Grapalat" w:hAnsi="GHEA Grapalat"/>
          <w:sz w:val="22"/>
          <w:szCs w:val="22"/>
        </w:rPr>
        <w:t xml:space="preserve"> Սփյուռքի ներուժի բացահայտումը, տեղեկատվական համակարգերի ստեղծումը, կատարելագործումը և համալրումը</w:t>
      </w:r>
      <w:r w:rsidR="00565A18" w:rsidRPr="00C921DE">
        <w:rPr>
          <w:rFonts w:ascii="GHEA Grapalat" w:hAnsi="GHEA Grapalat"/>
          <w:sz w:val="22"/>
          <w:szCs w:val="22"/>
          <w:lang w:val="en-US"/>
        </w:rPr>
        <w:t>,</w:t>
      </w:r>
      <w:r w:rsidRPr="00C921DE">
        <w:rPr>
          <w:rFonts w:ascii="GHEA Grapalat" w:hAnsi="GHEA Grapalat"/>
          <w:sz w:val="22"/>
          <w:szCs w:val="22"/>
        </w:rPr>
        <w:t xml:space="preserve"> համատեղ ծրագրերի իրականացումը, համահայկական մասնագիտական ցանցերի ստեղծումը, որի արդյունքում հնարավոր կլինի համախմբել Հայաստանի և Սփյուռքի գիտական, կրթական, տնտեսական, մշակութային և այլ ոլորտներում առկա ներուժը</w:t>
      </w:r>
      <w:r w:rsidR="006B362C" w:rsidRPr="00C921DE">
        <w:rPr>
          <w:rFonts w:ascii="GHEA Grapalat" w:hAnsi="GHEA Grapalat"/>
          <w:sz w:val="22"/>
          <w:szCs w:val="22"/>
          <w:lang w:val="en-US"/>
        </w:rPr>
        <w:t>,</w:t>
      </w:r>
      <w:r w:rsidRPr="00C921DE">
        <w:rPr>
          <w:rFonts w:ascii="GHEA Grapalat" w:hAnsi="GHEA Grapalat"/>
          <w:sz w:val="22"/>
          <w:szCs w:val="22"/>
        </w:rPr>
        <w:t xml:space="preserve"> և այն</w:t>
      </w:r>
      <w:r w:rsidR="00CC789D" w:rsidRPr="00C921DE">
        <w:rPr>
          <w:rFonts w:ascii="GHEA Grapalat" w:hAnsi="GHEA Grapalat"/>
          <w:sz w:val="22"/>
          <w:szCs w:val="22"/>
        </w:rPr>
        <w:t xml:space="preserve"> </w:t>
      </w:r>
      <w:r w:rsidRPr="00C921DE">
        <w:rPr>
          <w:rFonts w:ascii="GHEA Grapalat" w:hAnsi="GHEA Grapalat"/>
          <w:sz w:val="22"/>
          <w:szCs w:val="22"/>
        </w:rPr>
        <w:t>արդյունավետ կիրառել առաջադրված խնդիրների լուծման համար:</w:t>
      </w:r>
    </w:p>
    <w:p w14:paraId="1FAC0B3B" w14:textId="77777777" w:rsidR="0090762C" w:rsidRPr="00C921DE" w:rsidRDefault="0090762C" w:rsidP="00CC789D">
      <w:pPr>
        <w:spacing w:line="360" w:lineRule="auto"/>
        <w:ind w:firstLine="567"/>
        <w:jc w:val="both"/>
        <w:rPr>
          <w:rFonts w:ascii="GHEA Grapalat" w:hAnsi="GHEA Grapalat"/>
          <w:sz w:val="22"/>
          <w:szCs w:val="22"/>
        </w:rPr>
      </w:pPr>
      <w:r w:rsidRPr="00C921DE">
        <w:rPr>
          <w:rFonts w:ascii="GHEA Grapalat" w:hAnsi="GHEA Grapalat"/>
          <w:sz w:val="22"/>
          <w:szCs w:val="22"/>
        </w:rPr>
        <w:t>Ծրագրի շրջանակներում իրականացվել են</w:t>
      </w:r>
      <w:r w:rsidRPr="00C921DE">
        <w:rPr>
          <w:rFonts w:ascii="Cambria Math" w:hAnsi="Cambria Math" w:cs="Cambria Math"/>
          <w:sz w:val="22"/>
          <w:szCs w:val="22"/>
        </w:rPr>
        <w:t>․</w:t>
      </w:r>
    </w:p>
    <w:p w14:paraId="26378724" w14:textId="77777777" w:rsidR="0090762C" w:rsidRPr="00C921DE" w:rsidRDefault="0090762C" w:rsidP="0047172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Համահայկական համաժողովների իրականացում միջոցառում</w:t>
      </w:r>
      <w:r w:rsidR="00471728" w:rsidRPr="00C921DE">
        <w:rPr>
          <w:rFonts w:ascii="GHEA Grapalat" w:hAnsi="GHEA Grapalat" w:cs="GHEA Grapalat"/>
          <w:bCs/>
          <w:lang w:val="af-ZA"/>
        </w:rPr>
        <w:t>ը</w:t>
      </w:r>
      <w:r w:rsidRPr="00C921DE">
        <w:rPr>
          <w:rFonts w:ascii="GHEA Grapalat" w:hAnsi="GHEA Grapalat" w:cs="GHEA Grapalat"/>
          <w:bCs/>
          <w:lang w:val="af-ZA"/>
        </w:rPr>
        <w:t>, որի նպատակն է հայ ժողովրդի երկու հատվածների տարբեր մասնագիտական կարողություններ ունեցող անհատներին և կազմակերպություններին</w:t>
      </w:r>
      <w:r w:rsidR="00CC789D" w:rsidRPr="00C921DE">
        <w:rPr>
          <w:rFonts w:ascii="GHEA Grapalat" w:hAnsi="GHEA Grapalat" w:cs="GHEA Grapalat"/>
          <w:bCs/>
          <w:lang w:val="af-ZA"/>
        </w:rPr>
        <w:t xml:space="preserve"> </w:t>
      </w:r>
      <w:r w:rsidRPr="00C921DE">
        <w:rPr>
          <w:rFonts w:ascii="GHEA Grapalat" w:hAnsi="GHEA Grapalat" w:cs="GHEA Grapalat"/>
          <w:bCs/>
          <w:lang w:val="af-ZA"/>
        </w:rPr>
        <w:t>համախմբելու նպատակով ՀՀ-ում կազմակերպել և անցկացնել համահայկական համաժողովներ, որ</w:t>
      </w:r>
      <w:r w:rsidR="00471728" w:rsidRPr="00C921DE">
        <w:rPr>
          <w:rFonts w:ascii="GHEA Grapalat" w:hAnsi="GHEA Grapalat" w:cs="GHEA Grapalat"/>
          <w:bCs/>
          <w:lang w:val="af-ZA"/>
        </w:rPr>
        <w:t>ոնց</w:t>
      </w:r>
      <w:r w:rsidRPr="00C921DE">
        <w:rPr>
          <w:rFonts w:ascii="GHEA Grapalat" w:hAnsi="GHEA Grapalat" w:cs="GHEA Grapalat"/>
          <w:bCs/>
          <w:lang w:val="af-ZA"/>
        </w:rPr>
        <w:t xml:space="preserve"> շրջանակներում հնարավորություն կլինի հայտնաբերել, հաշվառել և գնահատել Սփյուռքի մասնագիտական ներուժը, ձևավորել ընդհանուր մոտեցումներ պահանջող խնդիրների լուծ</w:t>
      </w:r>
      <w:r w:rsidR="00471728" w:rsidRPr="00C921DE">
        <w:rPr>
          <w:rFonts w:ascii="GHEA Grapalat" w:hAnsi="GHEA Grapalat" w:cs="GHEA Grapalat"/>
          <w:bCs/>
          <w:lang w:val="af-ZA"/>
        </w:rPr>
        <w:t>ման համար միասնական մեխանիզմներ.</w:t>
      </w:r>
    </w:p>
    <w:p w14:paraId="3B48261A" w14:textId="77777777" w:rsidR="0090762C" w:rsidRPr="00C921DE" w:rsidRDefault="0090762C" w:rsidP="00471728">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«Սփյուռքի մարդկային ներուժի վերհանում, դրա քարտեզագրում և տեղեկատվական բազայի ստեղծում» միջոցառման նպատակն է սփյուռքի մարդկային ներուժի հավաքագրումն ու քարտեզագրումը: Հավաքագրված ամբողջ տեղեկատվությունը ամփոփվում է սփյուռքի վերաբերյալ մեկ ընդհանուր տեղեկատվական համակարգում, որն անընդհատ համալրվում է նոր տվյալներով, ինչպես նաև մշտապես իրականացվում է առկա տեղեկատվության թարմացում:</w:t>
      </w:r>
    </w:p>
    <w:p w14:paraId="59EA8BDC" w14:textId="092A04F4" w:rsidR="00C41ACD" w:rsidRPr="00C921DE" w:rsidRDefault="00C41ACD" w:rsidP="00C41ACD">
      <w:pPr>
        <w:spacing w:line="360" w:lineRule="auto"/>
        <w:ind w:firstLine="567"/>
        <w:jc w:val="both"/>
        <w:rPr>
          <w:rFonts w:ascii="GHEA Grapalat" w:hAnsi="GHEA Grapalat"/>
          <w:sz w:val="22"/>
          <w:szCs w:val="22"/>
        </w:rPr>
      </w:pPr>
      <w:r w:rsidRPr="00C921DE">
        <w:rPr>
          <w:rFonts w:ascii="GHEA Grapalat" w:hAnsi="GHEA Grapalat"/>
          <w:sz w:val="22"/>
          <w:szCs w:val="22"/>
        </w:rPr>
        <w:t>Սփյուռքի կրթօջախների կարողությունների հզորացման նպատակով 2023 թվականին վերապատրաստվել են 69 սփյուռքահայ ուսուցիչ՝ 18 երկրից: Ուսուցիչները վերապատրաստվել են առկա ձևաչափով, 7 խմբով` տարրական ուսուցում, 1-օրյա դպրոց, Հայոց լեզու և գրականություն, Հայոց պատմություն, մանկապարտեզ, պար և տնօրենների պատրաստում կրթական ծրագրերով: Սփյուռքի կրթօջախներին տրամադր</w:t>
      </w:r>
      <w:r w:rsidR="00723C24" w:rsidRPr="00C921DE">
        <w:rPr>
          <w:rFonts w:ascii="GHEA Grapalat" w:hAnsi="GHEA Grapalat"/>
          <w:sz w:val="22"/>
          <w:szCs w:val="22"/>
          <w:lang w:val="en-US"/>
        </w:rPr>
        <w:t>վ</w:t>
      </w:r>
      <w:r w:rsidRPr="00C921DE">
        <w:rPr>
          <w:rFonts w:ascii="GHEA Grapalat" w:hAnsi="GHEA Grapalat"/>
          <w:sz w:val="22"/>
          <w:szCs w:val="22"/>
        </w:rPr>
        <w:t>ել է ավելի քան 38000 կտոր գրականություն, այդ թվում՝ Վրաստանի հանրային դպրոցներին</w:t>
      </w:r>
      <w:r w:rsidR="00723C24" w:rsidRPr="00C921DE">
        <w:rPr>
          <w:rFonts w:ascii="GHEA Grapalat" w:hAnsi="GHEA Grapalat"/>
          <w:sz w:val="22"/>
          <w:szCs w:val="22"/>
          <w:lang w:val="en-US"/>
        </w:rPr>
        <w:t>՝</w:t>
      </w:r>
      <w:r w:rsidRPr="00C921DE">
        <w:rPr>
          <w:rFonts w:ascii="GHEA Grapalat" w:hAnsi="GHEA Grapalat"/>
          <w:sz w:val="22"/>
          <w:szCs w:val="22"/>
        </w:rPr>
        <w:t xml:space="preserve"> 9500 դասագիրք։</w:t>
      </w:r>
      <w:r w:rsidR="00202FF2" w:rsidRPr="00C921DE">
        <w:rPr>
          <w:rFonts w:ascii="GHEA Grapalat" w:hAnsi="GHEA Grapalat"/>
          <w:sz w:val="22"/>
          <w:szCs w:val="22"/>
        </w:rPr>
        <w:t xml:space="preserve"> </w:t>
      </w:r>
      <w:r w:rsidRPr="00C921DE">
        <w:rPr>
          <w:rFonts w:ascii="GHEA Grapalat" w:hAnsi="GHEA Grapalat"/>
          <w:sz w:val="22"/>
          <w:szCs w:val="22"/>
        </w:rPr>
        <w:t xml:space="preserve">Ձևավորվել է սփյուռքի դպրոցների ուսումնական նյութերի էլեկտրոնային շտեմարանը, որն աստիճանաբար համալրվում է նոր դասագրքերով և նյութերով։ </w:t>
      </w:r>
    </w:p>
    <w:p w14:paraId="16045DA7" w14:textId="77777777" w:rsidR="008C6DE8" w:rsidRPr="00C921DE" w:rsidRDefault="008C6DE8" w:rsidP="00AC199C">
      <w:pPr>
        <w:spacing w:line="360" w:lineRule="auto"/>
        <w:ind w:firstLine="567"/>
        <w:jc w:val="both"/>
        <w:rPr>
          <w:rFonts w:ascii="GHEA Grapalat" w:hAnsi="GHEA Grapalat"/>
          <w:sz w:val="22"/>
          <w:szCs w:val="22"/>
        </w:rPr>
      </w:pPr>
    </w:p>
    <w:p w14:paraId="40898445" w14:textId="77777777" w:rsidR="001C411D" w:rsidRPr="00C921DE" w:rsidRDefault="001C411D" w:rsidP="00AC199C">
      <w:pPr>
        <w:pStyle w:val="Heading2"/>
        <w:spacing w:before="0"/>
      </w:pPr>
      <w:bookmarkStart w:id="42" w:name="_Toc163745431"/>
      <w:r w:rsidRPr="00C921DE">
        <w:t>Արդարադատություն</w:t>
      </w:r>
      <w:bookmarkEnd w:id="42"/>
    </w:p>
    <w:p w14:paraId="76A4122C" w14:textId="77777777" w:rsidR="00D63CEA" w:rsidRPr="00C921DE" w:rsidRDefault="00F024EE" w:rsidP="00D63CEA">
      <w:pPr>
        <w:spacing w:line="360" w:lineRule="auto"/>
        <w:ind w:firstLine="567"/>
        <w:jc w:val="both"/>
        <w:rPr>
          <w:rFonts w:ascii="GHEA Grapalat" w:hAnsi="GHEA Grapalat"/>
          <w:sz w:val="22"/>
          <w:szCs w:val="22"/>
        </w:rPr>
      </w:pPr>
      <w:r w:rsidRPr="00C921DE">
        <w:rPr>
          <w:rFonts w:ascii="GHEA Grapalat" w:hAnsi="GHEA Grapalat"/>
          <w:sz w:val="22"/>
          <w:szCs w:val="22"/>
          <w:lang w:val="en-US"/>
        </w:rPr>
        <w:t>ՀՀ</w:t>
      </w:r>
      <w:r w:rsidR="00D63CEA" w:rsidRPr="00C921DE">
        <w:rPr>
          <w:rFonts w:ascii="GHEA Grapalat" w:hAnsi="GHEA Grapalat"/>
          <w:sz w:val="22"/>
          <w:szCs w:val="22"/>
        </w:rPr>
        <w:t xml:space="preserve"> արդարադատության ոլորտի քաղաքականության հիմնական թիրախային ուղղությունները տեղ են գտել Կառավարության միջոցառումների ցանկում: </w:t>
      </w:r>
    </w:p>
    <w:p w14:paraId="0F5A0A4A" w14:textId="77777777" w:rsidR="001C411D" w:rsidRPr="00C921DE" w:rsidRDefault="001C411D" w:rsidP="00E32777">
      <w:pPr>
        <w:tabs>
          <w:tab w:val="left" w:pos="0"/>
        </w:tabs>
        <w:ind w:firstLine="567"/>
        <w:jc w:val="both"/>
        <w:rPr>
          <w:rFonts w:ascii="GHEA Grapalat" w:hAnsi="GHEA Grapalat" w:cs="Sylfaen"/>
        </w:rPr>
      </w:pPr>
    </w:p>
    <w:p w14:paraId="0C49665E" w14:textId="77777777" w:rsidR="001C411D" w:rsidRPr="00C921DE" w:rsidRDefault="001C411D" w:rsidP="00E32777">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Դատաիրավական ոլորտ</w:t>
      </w:r>
    </w:p>
    <w:p w14:paraId="76E8E170" w14:textId="77777777" w:rsidR="00D63CEA" w:rsidRPr="00C921DE" w:rsidRDefault="00D63CEA" w:rsidP="00AF0E3D">
      <w:pPr>
        <w:spacing w:line="360" w:lineRule="auto"/>
        <w:ind w:firstLine="567"/>
        <w:jc w:val="both"/>
        <w:rPr>
          <w:rFonts w:ascii="GHEA Grapalat" w:hAnsi="GHEA Grapalat"/>
          <w:sz w:val="22"/>
          <w:szCs w:val="22"/>
          <w:lang w:val="en-US"/>
        </w:rPr>
      </w:pPr>
      <w:r w:rsidRPr="00C921DE">
        <w:rPr>
          <w:rFonts w:ascii="GHEA Grapalat" w:hAnsi="GHEA Grapalat"/>
          <w:sz w:val="22"/>
          <w:szCs w:val="22"/>
        </w:rPr>
        <w:t>2023 թվականին դատաիրավական ոլորտում իրակ</w:t>
      </w:r>
      <w:r w:rsidR="006C797D" w:rsidRPr="00C921DE">
        <w:rPr>
          <w:rFonts w:ascii="GHEA Grapalat" w:hAnsi="GHEA Grapalat"/>
          <w:sz w:val="22"/>
          <w:szCs w:val="22"/>
        </w:rPr>
        <w:t>անացվել են հետևյալ աշխատանքները</w:t>
      </w:r>
      <w:r w:rsidR="006C797D" w:rsidRPr="00C921DE">
        <w:rPr>
          <w:rFonts w:ascii="GHEA Grapalat" w:hAnsi="GHEA Grapalat"/>
          <w:sz w:val="22"/>
          <w:szCs w:val="22"/>
          <w:lang w:val="en-US"/>
        </w:rPr>
        <w:t>:</w:t>
      </w:r>
    </w:p>
    <w:p w14:paraId="5F1D75DB"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Մի շարք միջոցներ են ձեռնարկվել դատարանների բեռնաթափման ուղղությամբ: 2 մլն դրամը չգերազանցող գումարի բռնագանձման որոշ գործեր վերապահվել են նոտարներին, ինչի արդյունքում նախատեսվում է ընդհանուր իրավասության դատարանների՝ քաղաքացիական գործերով ծանրաբեռնվածության թեթևացում՝ շուրջ 80%-ի չափով:</w:t>
      </w:r>
    </w:p>
    <w:p w14:paraId="083F2941"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Քաղաքացիական, վարչական և սնանկության վարույթներում ընդլայնվել է գրավոր կարգով քննարկվող հարցերի շրջանակը: Տեխնիկական թերությունների պատճառով հայցադիմումը վերադարձնելու գործառույթը վերապահվել է դատարանի աշխատակազմին՝ դյուրացնելով փաստաթղթերի շտկման գործընթացը:</w:t>
      </w:r>
    </w:p>
    <w:p w14:paraId="7A1E5C28"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Բարձրացվել են դատավորների աշխատավարձերը: Մասնավոր</w:t>
      </w:r>
      <w:r w:rsidR="006C797D" w:rsidRPr="00C921DE">
        <w:rPr>
          <w:rFonts w:ascii="GHEA Grapalat" w:hAnsi="GHEA Grapalat"/>
          <w:sz w:val="22"/>
          <w:szCs w:val="22"/>
        </w:rPr>
        <w:t>ապես՝</w:t>
      </w:r>
      <w:r w:rsidRPr="00C921DE">
        <w:rPr>
          <w:rFonts w:ascii="GHEA Grapalat" w:hAnsi="GHEA Grapalat"/>
          <w:sz w:val="22"/>
          <w:szCs w:val="22"/>
        </w:rPr>
        <w:t xml:space="preserve"> 2024 թվականի հունվարի 1-ից առաջին ատյանի դատարանների դատավորների համար սահմանվել է հավելում 60%</w:t>
      </w:r>
      <w:r w:rsidR="006C797D" w:rsidRPr="00C921DE">
        <w:rPr>
          <w:rFonts w:ascii="GHEA Grapalat" w:hAnsi="GHEA Grapalat"/>
          <w:sz w:val="22"/>
          <w:szCs w:val="22"/>
        </w:rPr>
        <w:noBreakHyphen/>
      </w:r>
      <w:r w:rsidRPr="00C921DE">
        <w:rPr>
          <w:rFonts w:ascii="GHEA Grapalat" w:hAnsi="GHEA Grapalat"/>
          <w:sz w:val="22"/>
          <w:szCs w:val="22"/>
        </w:rPr>
        <w:t>ի չափով, իսկ Վերաքննիչ դատարանների դատավորների համար՝ 55%-ի չափով: Սրանով ամբողջացվել է դատավորների աշխատավարձերի բարձրացումը բոլոր ատյաններում՝ հաշվի առնելով, որ 2022 թվականի ընթացքում արդեն իսկ բարձրացվել էին Վճռաբեկ դատարանի և Սահմանադրական դատա</w:t>
      </w:r>
      <w:r w:rsidR="006C797D" w:rsidRPr="00C921DE">
        <w:rPr>
          <w:rFonts w:ascii="GHEA Grapalat" w:hAnsi="GHEA Grapalat"/>
          <w:sz w:val="22"/>
          <w:szCs w:val="22"/>
        </w:rPr>
        <w:t>րանի դատավորների աշխատավարձերը:</w:t>
      </w:r>
    </w:p>
    <w:p w14:paraId="79C2578C"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Ստեղծվել և գործում են նոր դատարաններ: Երևան քաղաքում ընդհանուր իրավասության դատարանի փոխարեն ձևավորվել են առաջին ատյանի քրեական և քաղաքացիական դատարանները, որի արդյունքում վերաբաշխվել է ծանրաբեռնվածությունը</w:t>
      </w:r>
      <w:r w:rsidR="006C797D" w:rsidRPr="00C921DE">
        <w:rPr>
          <w:rFonts w:ascii="GHEA Grapalat" w:hAnsi="GHEA Grapalat"/>
          <w:sz w:val="22"/>
          <w:szCs w:val="22"/>
          <w:lang w:val="en-US"/>
        </w:rPr>
        <w:t>,</w:t>
      </w:r>
      <w:r w:rsidRPr="00C921DE">
        <w:rPr>
          <w:rFonts w:ascii="GHEA Grapalat" w:hAnsi="GHEA Grapalat"/>
          <w:sz w:val="22"/>
          <w:szCs w:val="22"/>
        </w:rPr>
        <w:t xml:space="preserve"> և ներդրվել են դատարանների ներքին կառավարման առավել արդյունավետ հիմքեր: 2023 թվականի հունիսի 15-ից գործում է Վերաքննիչ հակակոռուպցիոն դատարանը` ապահովելով հակակոռուպցիոն գործերի եռաստիճան մասնագիտացված քննությունը Հակակոռուպցիոն առաջին ատյանի դատարանի և Վճռաբեկ դատարանի հակակոռուպցիոն պալատի հետ մեկտեղ: </w:t>
      </w:r>
    </w:p>
    <w:p w14:paraId="2FA5A127"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Մշակվել և ընդունվել է քաղաքացիական գործերով էլեկտրոնային դատարանի համակարգը, որը պաշտոնապես գործարկվել է 2024 թվականի փետրվարից: Իրականացվել են աշխատանքներ վարչական գործերով ևս նույն համակարգը ներդնելու ուղղությամբ: Մշակվել և պատրաստ է գործարկման նաև սնանկության վարույթի էլեկտրոնային մոդուլը, որով թվայնացվում է ողջ </w:t>
      </w:r>
      <w:r w:rsidRPr="00C921DE">
        <w:rPr>
          <w:rFonts w:ascii="GHEA Grapalat" w:hAnsi="GHEA Grapalat"/>
          <w:sz w:val="22"/>
          <w:szCs w:val="22"/>
        </w:rPr>
        <w:lastRenderedPageBreak/>
        <w:t>սնանկության վարույթը, այդ թվում` աճուրդները: Փաստաբաններ, իրավաբանական անձինք, անհատ ձեռնարկատերեր, սնանկության կառավարիչներ և այլն, պարտավոր են քաղաքացիական դատավարությանն իրենց մասնակցությունն ամբողջությամբ իրականացնել այս հարթակի միջոցով՝ դիմում, հայց, պատասխան, ապացույց կցել, միջնորդություն ներկայացնել, վճիռ ստանալ և այլն։</w:t>
      </w:r>
      <w:r w:rsidR="005D36DB" w:rsidRPr="00C921DE">
        <w:rPr>
          <w:rFonts w:ascii="GHEA Grapalat" w:hAnsi="GHEA Grapalat"/>
          <w:sz w:val="22"/>
          <w:szCs w:val="22"/>
        </w:rPr>
        <w:t xml:space="preserve"> </w:t>
      </w:r>
      <w:r w:rsidRPr="00C921DE">
        <w:rPr>
          <w:rFonts w:ascii="GHEA Grapalat" w:hAnsi="GHEA Grapalat"/>
          <w:sz w:val="22"/>
          <w:szCs w:val="22"/>
        </w:rPr>
        <w:t>Համակարգը</w:t>
      </w:r>
      <w:r w:rsidR="006D0AF2" w:rsidRPr="00C921DE">
        <w:rPr>
          <w:rFonts w:ascii="GHEA Grapalat" w:hAnsi="GHEA Grapalat"/>
          <w:sz w:val="22"/>
          <w:szCs w:val="22"/>
        </w:rPr>
        <w:t xml:space="preserve"> հնարավորություն է տալիս նիստերն</w:t>
      </w:r>
      <w:r w:rsidRPr="00C921DE">
        <w:rPr>
          <w:rFonts w:ascii="GHEA Grapalat" w:hAnsi="GHEA Grapalat"/>
          <w:sz w:val="22"/>
          <w:szCs w:val="22"/>
        </w:rPr>
        <w:t xml:space="preserve"> անցկացնել ինչպես առցանց, այնպես էլ դահլիճում՝ դատավորի ընտրությամբ։ Ֆիզիկական անձինք հարթակից կարող են օգտվել կամավորությ</w:t>
      </w:r>
      <w:r w:rsidR="002B3359" w:rsidRPr="00C921DE">
        <w:rPr>
          <w:rFonts w:ascii="GHEA Grapalat" w:hAnsi="GHEA Grapalat"/>
          <w:sz w:val="22"/>
          <w:szCs w:val="22"/>
        </w:rPr>
        <w:t>ան սկզբունքով։ Մեկ անգամ հարթակն</w:t>
      </w:r>
      <w:r w:rsidRPr="00C921DE">
        <w:rPr>
          <w:rFonts w:ascii="GHEA Grapalat" w:hAnsi="GHEA Grapalat"/>
          <w:sz w:val="22"/>
          <w:szCs w:val="22"/>
        </w:rPr>
        <w:t xml:space="preserve"> ընտրելուց հետո, այլևս մնացած դեպքերով էլ պետք է պարտադիր կիրառեն հարթակը։</w:t>
      </w:r>
    </w:p>
    <w:p w14:paraId="0024226C"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Կատարելագործվել է դատական գործերի մակագրության համակարգը` համապատասխանեցվելով գործերի բաշխման վերաբերյալ առկա պահանջներին և կարգավորումներին, մասնավորապես՝ մակագրության ժամանակ հիմք է ընդունվում նաև գործերի բարդությունը:</w:t>
      </w:r>
    </w:p>
    <w:p w14:paraId="05494721"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Ամբողջությամբ մշակվել և ընդունման փուլում է գտնվում hաշտարարության էլեկտրոնային հարթակը, որի գործարկմամբ հաշտարարության ողջ գործընթացը՝ հաշտարարի օգնությանը դիմելուց և հաշտարարի ընտրությունից մինչև գործի հանգուցալուծում</w:t>
      </w:r>
      <w:r w:rsidR="002B3359" w:rsidRPr="00C921DE">
        <w:rPr>
          <w:rFonts w:ascii="GHEA Grapalat" w:hAnsi="GHEA Grapalat"/>
          <w:sz w:val="22"/>
          <w:szCs w:val="22"/>
          <w:lang w:val="en-US"/>
        </w:rPr>
        <w:t>,</w:t>
      </w:r>
      <w:r w:rsidRPr="00C921DE">
        <w:rPr>
          <w:rFonts w:ascii="GHEA Grapalat" w:hAnsi="GHEA Grapalat"/>
          <w:sz w:val="22"/>
          <w:szCs w:val="22"/>
        </w:rPr>
        <w:t xml:space="preserve"> կիրականացվի էլեկտրոնային եղանակով:</w:t>
      </w:r>
    </w:p>
    <w:p w14:paraId="673A71D0"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Քրեական դատավարության նոր օրենսգրքով նախատեսված քննչական գործողությունների տեսաձայնագրման համար ձեռք են բերվել անհրաժեշտ քանակի տեսախցիկներ և սերվերային տնտեսություններ, որոնցում այժմ կարող են պահպանվել վերը նշված քննչական գործողությունների նյութերը: Բոլոր հարցաքննությունները տեղի են ունենում տեսախցիկի առաջ՝ բացառությամբ այն դեպքերի, երբ տեխնիկապես հնարավոր չէ ապահովել հարցաքննության տեսաձայնագրությունը (օրինակ՝ երբ քննիչն է գնում հեռավոր վայր հարցաքննություն կատարելու)։</w:t>
      </w:r>
    </w:p>
    <w:p w14:paraId="482D22F2"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«Օրենսդրության զարգացման կենտրոն» հիմնադրամի, Հայկական բարեգործական ընդհանուր միության և Ամերիկայի հայ իրավաբանական միության կողմից հիմնադրվել է</w:t>
      </w:r>
      <w:r w:rsidR="005D36DB" w:rsidRPr="00C921DE">
        <w:rPr>
          <w:rFonts w:ascii="GHEA Grapalat" w:hAnsi="GHEA Grapalat"/>
          <w:sz w:val="22"/>
          <w:szCs w:val="22"/>
        </w:rPr>
        <w:t xml:space="preserve"> </w:t>
      </w:r>
      <w:r w:rsidRPr="00C921DE">
        <w:rPr>
          <w:rFonts w:ascii="GHEA Grapalat" w:hAnsi="GHEA Grapalat"/>
          <w:sz w:val="22"/>
          <w:szCs w:val="22"/>
        </w:rPr>
        <w:t xml:space="preserve">և արդեն գործում է Արբիտրաժի և հաշտարարության հայաստանյան նոր կենտրոնը: Կենտրոնում գործի քննության կանոնները հաստատվել են միջազգային և ազգային հեղինակավոր մասնագետների կողմից: 2023 թվականի վերջի դրությամբ՝ Արբիտրաժի և հաշտարարության կենտրոնը շուրջ 1000 պայմանագրերում արդեն նշվել է որպես վեճը լուծող մարմին: </w:t>
      </w:r>
    </w:p>
    <w:p w14:paraId="06A28492"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 xml:space="preserve">Օրենսդրորեն նախատեսվել է հնարավորություն բողոքարկելու Բարձրագույն դատական խորհրդի՝ կարգապահական գործերով կայացված որոշումները: </w:t>
      </w:r>
    </w:p>
    <w:p w14:paraId="23C482AC"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Հայաստանի 40-ից ավելի դատարանների շենքերի նախնական ուսումնասիրության և խնդիրների վերհանման արդյունքում ստեղծվել է դատարանների ստանդարտների մշակման </w:t>
      </w:r>
      <w:r w:rsidRPr="00C921DE">
        <w:rPr>
          <w:rFonts w:ascii="GHEA Grapalat" w:hAnsi="GHEA Grapalat"/>
          <w:sz w:val="22"/>
          <w:szCs w:val="22"/>
        </w:rPr>
        <w:lastRenderedPageBreak/>
        <w:t xml:space="preserve">միջազգային ճարտարապետական ուղեցույց, և նոր ստանդարտներով արդեն իրականացվել է Վերաքննիչ հակակոռուպցիոն դատարանի դահլիճների կահավորումը: </w:t>
      </w:r>
    </w:p>
    <w:p w14:paraId="44D5CBB6"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Ամբողջությամբ թվայնացվել է հարկադիր կատարման վարույթը, և քաղաքացին առցանց հասանելիություն է ստացել իր բոլոր կատարողական վարույթներին: Համակարգը հասանելի է ինչպես համակարգչով, այնպես էլ բջջային հեռախոսի (android համակարգի) հավելվածի տեսքով: Ծառայության բոլոր աշխատակիցներն իրենց գործառույթներ</w:t>
      </w:r>
      <w:r w:rsidR="005D36DB" w:rsidRPr="00C921DE">
        <w:rPr>
          <w:rFonts w:ascii="GHEA Grapalat" w:hAnsi="GHEA Grapalat"/>
          <w:sz w:val="22"/>
          <w:szCs w:val="22"/>
          <w:lang w:val="en-US"/>
        </w:rPr>
        <w:t>ն</w:t>
      </w:r>
      <w:r w:rsidRPr="00C921DE">
        <w:rPr>
          <w:rFonts w:ascii="GHEA Grapalat" w:hAnsi="GHEA Grapalat"/>
          <w:sz w:val="22"/>
          <w:szCs w:val="22"/>
        </w:rPr>
        <w:t xml:space="preserve"> իրականացնում են բացառապես էլեկտրոնային եղանակով, ապահովվել է</w:t>
      </w:r>
      <w:r w:rsidR="005D36DB" w:rsidRPr="00C921DE">
        <w:rPr>
          <w:rFonts w:ascii="GHEA Grapalat" w:hAnsi="GHEA Grapalat"/>
          <w:sz w:val="22"/>
          <w:szCs w:val="22"/>
        </w:rPr>
        <w:t xml:space="preserve"> </w:t>
      </w:r>
      <w:r w:rsidRPr="00C921DE">
        <w:rPr>
          <w:rFonts w:ascii="GHEA Grapalat" w:hAnsi="GHEA Grapalat"/>
          <w:sz w:val="22"/>
          <w:szCs w:val="22"/>
        </w:rPr>
        <w:t>ծառայության և մյուս պետական մարմինների ու համապատասխան մասնավոր կազմակերպությունների ծրագրերի համակցումը: Կատարո</w:t>
      </w:r>
      <w:r w:rsidR="005D36DB" w:rsidRPr="00C921DE">
        <w:rPr>
          <w:rFonts w:ascii="GHEA Grapalat" w:hAnsi="GHEA Grapalat"/>
          <w:sz w:val="22"/>
          <w:szCs w:val="22"/>
        </w:rPr>
        <w:t>ղական վարույթներն</w:t>
      </w:r>
      <w:r w:rsidRPr="00C921DE">
        <w:rPr>
          <w:rFonts w:ascii="GHEA Grapalat" w:hAnsi="GHEA Grapalat"/>
          <w:sz w:val="22"/>
          <w:szCs w:val="22"/>
        </w:rPr>
        <w:t xml:space="preserve"> ինքնաշխատ կարճվում և արգելանքները վերացվում են վարչական ակտերը կատարելուց հետո, պարտապաններին հնարավորություն է տրվում անկանխիկ վճարումներ իրականացնել իրենց պարտավորությունների դիմաց, իսկ կատարված վճարումների մշակման գործընթաց</w:t>
      </w:r>
      <w:r w:rsidR="005D36DB" w:rsidRPr="00C921DE">
        <w:rPr>
          <w:rFonts w:ascii="GHEA Grapalat" w:hAnsi="GHEA Grapalat"/>
          <w:sz w:val="22"/>
          <w:szCs w:val="22"/>
          <w:lang w:val="en-US"/>
        </w:rPr>
        <w:t>ն</w:t>
      </w:r>
      <w:r w:rsidRPr="00C921DE">
        <w:rPr>
          <w:rFonts w:ascii="GHEA Grapalat" w:hAnsi="GHEA Grapalat"/>
          <w:sz w:val="22"/>
          <w:szCs w:val="22"/>
        </w:rPr>
        <w:t xml:space="preserve"> ամբողջ ծավալով ավտոմատացվել և իրականացվում է 24/7 ռեժ</w:t>
      </w:r>
      <w:r w:rsidR="005D36DB" w:rsidRPr="00C921DE">
        <w:rPr>
          <w:rFonts w:ascii="GHEA Grapalat" w:hAnsi="GHEA Grapalat"/>
          <w:sz w:val="22"/>
          <w:szCs w:val="22"/>
        </w:rPr>
        <w:t>իմով։ Արդեն գրանցվել է շուրջ 130</w:t>
      </w:r>
      <w:r w:rsidRPr="00C921DE">
        <w:rPr>
          <w:rFonts w:ascii="GHEA Grapalat" w:hAnsi="GHEA Grapalat"/>
          <w:sz w:val="22"/>
          <w:szCs w:val="22"/>
        </w:rPr>
        <w:t>00 անձ, գրասենյակով կամ բջջային հավելվածով կատարվել է ի սկզբանե նույնականացված տարբերակով 108 ֆորմատ) շուրջ 19</w:t>
      </w:r>
      <w:r w:rsidR="005D36DB" w:rsidRPr="00C921DE">
        <w:rPr>
          <w:rFonts w:ascii="GHEA Grapalat" w:hAnsi="GHEA Grapalat"/>
          <w:sz w:val="22"/>
          <w:szCs w:val="22"/>
          <w:lang w:val="en-US"/>
        </w:rPr>
        <w:t>.</w:t>
      </w:r>
      <w:r w:rsidRPr="00C921DE">
        <w:rPr>
          <w:rFonts w:ascii="GHEA Grapalat" w:hAnsi="GHEA Grapalat"/>
          <w:sz w:val="22"/>
          <w:szCs w:val="22"/>
        </w:rPr>
        <w:t xml:space="preserve">9 մլն ՀՀ դրամի 932 վճարում, արդյունքում նույն պահին ավտոմատ կարճվել է 878 վարույթ, վճարային տերմինալներով և բանկերով </w:t>
      </w:r>
      <w:r w:rsidR="005D36DB" w:rsidRPr="00C921DE">
        <w:rPr>
          <w:rFonts w:ascii="GHEA Grapalat" w:hAnsi="GHEA Grapalat"/>
          <w:sz w:val="22"/>
          <w:szCs w:val="22"/>
        </w:rPr>
        <w:t>կատարվել է ընդհանուր շուրջ 436.4 մլն ՀՀ դրամի 30</w:t>
      </w:r>
      <w:r w:rsidRPr="00C921DE">
        <w:rPr>
          <w:rFonts w:ascii="GHEA Grapalat" w:hAnsi="GHEA Grapalat"/>
          <w:sz w:val="22"/>
          <w:szCs w:val="22"/>
        </w:rPr>
        <w:t>101 վճարում, արդյունքում ն</w:t>
      </w:r>
      <w:r w:rsidR="005D36DB" w:rsidRPr="00C921DE">
        <w:rPr>
          <w:rFonts w:ascii="GHEA Grapalat" w:hAnsi="GHEA Grapalat"/>
          <w:sz w:val="22"/>
          <w:szCs w:val="22"/>
        </w:rPr>
        <w:t>ույն պահին ավտոմատ կարճվել է 26</w:t>
      </w:r>
      <w:r w:rsidRPr="00C921DE">
        <w:rPr>
          <w:rFonts w:ascii="GHEA Grapalat" w:hAnsi="GHEA Grapalat"/>
          <w:sz w:val="22"/>
          <w:szCs w:val="22"/>
        </w:rPr>
        <w:t>782 վարույթ:</w:t>
      </w:r>
    </w:p>
    <w:p w14:paraId="58F4ED0B" w14:textId="77777777" w:rsidR="00D63CEA" w:rsidRPr="00C921DE" w:rsidRDefault="00D63CEA" w:rsidP="006C797D">
      <w:pPr>
        <w:spacing w:line="360" w:lineRule="auto"/>
        <w:ind w:firstLine="567"/>
        <w:jc w:val="both"/>
        <w:rPr>
          <w:rFonts w:ascii="GHEA Grapalat" w:hAnsi="GHEA Grapalat"/>
          <w:sz w:val="22"/>
          <w:szCs w:val="22"/>
        </w:rPr>
      </w:pPr>
      <w:r w:rsidRPr="00C921DE">
        <w:rPr>
          <w:rFonts w:ascii="GHEA Grapalat" w:hAnsi="GHEA Grapalat"/>
          <w:sz w:val="22"/>
          <w:szCs w:val="22"/>
        </w:rPr>
        <w:t>Վերացվել է նոտարների ռեզերվային ցուցակների ինստիտուտը: Այսուհետ նոտարի որակավորման ստուգումն անց է կացվելու կոնկրետ նոտարական նստավայրի թափուր մնացած կամ</w:t>
      </w:r>
      <w:r w:rsidR="007C4819" w:rsidRPr="00C921DE">
        <w:rPr>
          <w:rFonts w:ascii="GHEA Grapalat" w:hAnsi="GHEA Grapalat"/>
          <w:sz w:val="22"/>
          <w:szCs w:val="22"/>
        </w:rPr>
        <w:t xml:space="preserve"> նոր ստեղծված հաստիքների համար:</w:t>
      </w:r>
    </w:p>
    <w:p w14:paraId="4736965D" w14:textId="77777777" w:rsidR="001C411D" w:rsidRPr="00C921DE" w:rsidRDefault="001C411D" w:rsidP="00E32777">
      <w:pPr>
        <w:spacing w:line="360" w:lineRule="auto"/>
        <w:ind w:firstLine="567"/>
        <w:jc w:val="both"/>
        <w:rPr>
          <w:rFonts w:ascii="GHEA Grapalat" w:hAnsi="GHEA Grapalat"/>
          <w:sz w:val="22"/>
          <w:szCs w:val="22"/>
        </w:rPr>
      </w:pPr>
    </w:p>
    <w:p w14:paraId="14333FAF" w14:textId="77777777" w:rsidR="001C411D" w:rsidRPr="00C921DE" w:rsidRDefault="001C411D" w:rsidP="00E32777">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Հակակոռուպցիոն ոլորտ</w:t>
      </w:r>
    </w:p>
    <w:p w14:paraId="0D1EE482" w14:textId="77777777" w:rsidR="00D63CEA" w:rsidRPr="00C921DE" w:rsidRDefault="00D63CEA" w:rsidP="00AF0E3D">
      <w:pPr>
        <w:spacing w:line="360" w:lineRule="auto"/>
        <w:ind w:firstLine="567"/>
        <w:jc w:val="both"/>
        <w:rPr>
          <w:rFonts w:ascii="GHEA Grapalat" w:hAnsi="GHEA Grapalat"/>
          <w:sz w:val="22"/>
          <w:szCs w:val="22"/>
          <w:lang w:val="en-US"/>
        </w:rPr>
      </w:pPr>
      <w:r w:rsidRPr="00C921DE">
        <w:rPr>
          <w:rFonts w:ascii="GHEA Grapalat" w:hAnsi="GHEA Grapalat"/>
          <w:sz w:val="22"/>
          <w:szCs w:val="22"/>
        </w:rPr>
        <w:t>2023 թվականին կոռուպցիայի դեմ պայքարի ուղղությամբ իրակ</w:t>
      </w:r>
      <w:r w:rsidR="00314E5B" w:rsidRPr="00C921DE">
        <w:rPr>
          <w:rFonts w:ascii="GHEA Grapalat" w:hAnsi="GHEA Grapalat"/>
          <w:sz w:val="22"/>
          <w:szCs w:val="22"/>
        </w:rPr>
        <w:t>անացվել են հետևյալ աշխատանքները</w:t>
      </w:r>
      <w:r w:rsidR="00314E5B" w:rsidRPr="00C921DE">
        <w:rPr>
          <w:rFonts w:ascii="GHEA Grapalat" w:hAnsi="GHEA Grapalat"/>
          <w:sz w:val="22"/>
          <w:szCs w:val="22"/>
          <w:lang w:val="en-US"/>
        </w:rPr>
        <w:t>:</w:t>
      </w:r>
    </w:p>
    <w:p w14:paraId="75311116" w14:textId="77777777" w:rsidR="00D63CEA" w:rsidRPr="00C921DE" w:rsidRDefault="00D63CEA" w:rsidP="00EF28B6">
      <w:pPr>
        <w:spacing w:line="360" w:lineRule="auto"/>
        <w:ind w:firstLine="567"/>
        <w:jc w:val="both"/>
        <w:rPr>
          <w:rFonts w:ascii="GHEA Grapalat" w:hAnsi="GHEA Grapalat"/>
          <w:sz w:val="22"/>
          <w:szCs w:val="22"/>
        </w:rPr>
      </w:pPr>
      <w:r w:rsidRPr="00C921DE">
        <w:rPr>
          <w:rFonts w:ascii="GHEA Grapalat" w:hAnsi="GHEA Grapalat"/>
          <w:sz w:val="22"/>
          <w:szCs w:val="22"/>
        </w:rPr>
        <w:t>Ընդունվել է 2023-2026 թվականների Հակակոռուպցիոն ռազմավարությունը, որն</w:t>
      </w:r>
      <w:r w:rsidR="005D36DB" w:rsidRPr="00C921DE">
        <w:rPr>
          <w:rFonts w:ascii="GHEA Grapalat" w:hAnsi="GHEA Grapalat"/>
          <w:sz w:val="22"/>
          <w:szCs w:val="22"/>
        </w:rPr>
        <w:t xml:space="preserve"> </w:t>
      </w:r>
      <w:r w:rsidRPr="00C921DE">
        <w:rPr>
          <w:rFonts w:ascii="GHEA Grapalat" w:hAnsi="GHEA Grapalat"/>
          <w:sz w:val="22"/>
          <w:szCs w:val="22"/>
        </w:rPr>
        <w:t xml:space="preserve">ուղղված է 5 հիմնական ռազմավարական նպատակների իրականացմանը՝ </w:t>
      </w:r>
    </w:p>
    <w:p w14:paraId="76696C3B" w14:textId="77777777" w:rsidR="00D63CEA" w:rsidRPr="00C921DE" w:rsidRDefault="00D63CEA" w:rsidP="00EF28B6">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կոռուպցիայի կանխարգելում և բարեվարքության համակարգերի ամրապնդում,</w:t>
      </w:r>
    </w:p>
    <w:p w14:paraId="4569FB5C" w14:textId="77777777" w:rsidR="00D63CEA" w:rsidRPr="00C921DE" w:rsidRDefault="00D63CEA" w:rsidP="00EF28B6">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կոռուպցիայի հակազդման իրավական և ինստիտուցիոնալ համակարգերի կատարելագործում</w:t>
      </w:r>
      <w:r w:rsidR="00EF28B6" w:rsidRPr="00C921DE">
        <w:rPr>
          <w:rFonts w:ascii="GHEA Grapalat" w:hAnsi="GHEA Grapalat" w:cs="GHEA Grapalat"/>
          <w:bCs/>
          <w:lang w:val="af-ZA"/>
        </w:rPr>
        <w:t>,</w:t>
      </w:r>
    </w:p>
    <w:p w14:paraId="0DDCCFDE" w14:textId="77777777" w:rsidR="00D63CEA" w:rsidRPr="00C921DE" w:rsidRDefault="00D63CEA" w:rsidP="00EF28B6">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հակակոռուպցիոն կրթության և հանրային իրազեկման կառուցակարգերի կատարելագործում</w:t>
      </w:r>
      <w:r w:rsidR="00EF28B6" w:rsidRPr="00C921DE">
        <w:rPr>
          <w:rFonts w:ascii="GHEA Grapalat" w:hAnsi="GHEA Grapalat" w:cs="GHEA Grapalat"/>
          <w:bCs/>
          <w:lang w:val="af-ZA"/>
        </w:rPr>
        <w:t>,</w:t>
      </w:r>
    </w:p>
    <w:p w14:paraId="6B1F2A26" w14:textId="77777777" w:rsidR="00D63CEA" w:rsidRPr="00C921DE" w:rsidRDefault="00D63CEA" w:rsidP="00EF28B6">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գործարար բարեվարքություն, գործարար իրավունքների պաշտպանություն և պետություն-բիզնես վարչարարության դյուրացում,</w:t>
      </w:r>
    </w:p>
    <w:p w14:paraId="25A0DDFB" w14:textId="77777777" w:rsidR="00D63CEA" w:rsidRPr="00C921DE" w:rsidRDefault="00D63CEA" w:rsidP="00EF28B6">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hակակոռուպցիոն մոնիթորինգի և գնահատման համակարգի կատարելագործում։</w:t>
      </w:r>
    </w:p>
    <w:p w14:paraId="2770A87F" w14:textId="77777777" w:rsidR="00D63CEA" w:rsidRPr="00C921DE" w:rsidRDefault="00D63CEA" w:rsidP="00EF28B6">
      <w:pPr>
        <w:spacing w:line="360" w:lineRule="auto"/>
        <w:ind w:firstLine="567"/>
        <w:jc w:val="both"/>
        <w:rPr>
          <w:rFonts w:ascii="GHEA Grapalat" w:hAnsi="GHEA Grapalat"/>
          <w:sz w:val="22"/>
          <w:szCs w:val="22"/>
        </w:rPr>
      </w:pPr>
      <w:r w:rsidRPr="00C921DE">
        <w:rPr>
          <w:rFonts w:ascii="GHEA Grapalat" w:hAnsi="GHEA Grapalat"/>
          <w:sz w:val="22"/>
          <w:szCs w:val="22"/>
        </w:rPr>
        <w:t>Հստակ ամրագրվել է պաշտոնեական պարտականությունների հետ կապված նվերներ ընդունելու արգելքը, սահմանվել է «նվեր» հասկացությունը, ամրագրվել են պետական սեփականություն դարձող նվերների տնօրինման հետ կապված կարգավորումներ:</w:t>
      </w:r>
    </w:p>
    <w:p w14:paraId="27FCE076" w14:textId="77777777" w:rsidR="00D63CEA" w:rsidRPr="00C921DE" w:rsidRDefault="00D63CEA" w:rsidP="00EF28B6">
      <w:pPr>
        <w:spacing w:line="360" w:lineRule="auto"/>
        <w:ind w:firstLine="567"/>
        <w:jc w:val="both"/>
        <w:rPr>
          <w:rFonts w:ascii="GHEA Grapalat" w:hAnsi="GHEA Grapalat"/>
          <w:sz w:val="22"/>
          <w:szCs w:val="22"/>
        </w:rPr>
      </w:pPr>
      <w:r w:rsidRPr="00C921DE">
        <w:rPr>
          <w:rFonts w:ascii="GHEA Grapalat" w:hAnsi="GHEA Grapalat"/>
          <w:sz w:val="22"/>
          <w:szCs w:val="22"/>
        </w:rPr>
        <w:t xml:space="preserve">Կատարելագործվել են ազդարարման համակարգի իրավական մեխանիզմները, ընդլայնվել են ազդարարման տեսակները, սահմանվել է ազդարարման նոր տեսակ՝ «ազդարարում հանրությանը», հստակեցվել են ազդարարներին տրվող պաշտպանության մեխանիզմները: Ազդարարման հետ կապված կարգավորումները տարածվել են նաև մասնավոր ոլորտի առևտրային և ոչ առևտրային, ինչպես նաև համայնքային կազմակերպությունների վրա: </w:t>
      </w:r>
    </w:p>
    <w:p w14:paraId="2B3BDDEB" w14:textId="77777777" w:rsidR="00D63CEA" w:rsidRPr="00C921DE" w:rsidRDefault="00D63CEA" w:rsidP="00EF28B6">
      <w:pPr>
        <w:spacing w:line="360" w:lineRule="auto"/>
        <w:ind w:firstLine="567"/>
        <w:jc w:val="both"/>
        <w:rPr>
          <w:rFonts w:ascii="GHEA Grapalat" w:hAnsi="GHEA Grapalat"/>
          <w:sz w:val="22"/>
          <w:szCs w:val="22"/>
        </w:rPr>
      </w:pPr>
      <w:r w:rsidRPr="00C921DE">
        <w:rPr>
          <w:rFonts w:ascii="GHEA Grapalat" w:hAnsi="GHEA Grapalat"/>
          <w:sz w:val="22"/>
          <w:szCs w:val="22"/>
        </w:rPr>
        <w:t>Ընդլայնվել է հայտարարատու պաշտոնատար անձանց շրջանակը: 2024 թվականի հունվարի</w:t>
      </w:r>
      <w:r w:rsidR="00EF28B6" w:rsidRPr="00C921DE">
        <w:rPr>
          <w:rFonts w:ascii="GHEA Grapalat" w:hAnsi="GHEA Grapalat"/>
          <w:sz w:val="22"/>
          <w:szCs w:val="22"/>
        </w:rPr>
        <w:t xml:space="preserve"> 1</w:t>
      </w:r>
      <w:r w:rsidR="00EF28B6" w:rsidRPr="00C921DE">
        <w:rPr>
          <w:rFonts w:ascii="GHEA Grapalat" w:hAnsi="GHEA Grapalat"/>
          <w:sz w:val="22"/>
          <w:szCs w:val="22"/>
        </w:rPr>
        <w:noBreakHyphen/>
      </w:r>
      <w:r w:rsidRPr="00C921DE">
        <w:rPr>
          <w:rFonts w:ascii="GHEA Grapalat" w:hAnsi="GHEA Grapalat"/>
          <w:sz w:val="22"/>
          <w:szCs w:val="22"/>
        </w:rPr>
        <w:t xml:space="preserve">ից պետական և համայնքային ոչ առևտրային կազմակերպությունների, պետության կողմից հիմնադրած հիմնադրամների, 50 և ավելի տոկոս </w:t>
      </w:r>
      <w:r w:rsidR="00F024EE" w:rsidRPr="00C921DE">
        <w:rPr>
          <w:rFonts w:ascii="GHEA Grapalat" w:hAnsi="GHEA Grapalat"/>
          <w:sz w:val="22"/>
          <w:szCs w:val="22"/>
          <w:lang w:val="en-US"/>
        </w:rPr>
        <w:t>ՀՀ</w:t>
      </w:r>
      <w:r w:rsidRPr="00C921DE">
        <w:rPr>
          <w:rFonts w:ascii="GHEA Grapalat" w:hAnsi="GHEA Grapalat"/>
          <w:sz w:val="22"/>
          <w:szCs w:val="22"/>
        </w:rPr>
        <w:t xml:space="preserve"> և համայնքի մասնակցությամբ առևտրային կազմակերպության գործադիր մարմնի ղեկավարները պարտավոր կլինեն ներկայացնելու իրավիճակային հայտարարագիր՝ Կոռուպցիայի կանխարգելման հանձնաժողովի պահանջով։ Հստակեցվել են նաև շահերի բախման անհամատեղելիության պահանջների և այլ սահմանափակումների վերաբերյալ առկա օրենսդրական կարգավորումները։</w:t>
      </w:r>
    </w:p>
    <w:p w14:paraId="32BD4C0D" w14:textId="77777777" w:rsidR="00D63CEA" w:rsidRPr="00C921DE" w:rsidRDefault="00D63CEA" w:rsidP="00EF28B6">
      <w:pPr>
        <w:spacing w:line="360" w:lineRule="auto"/>
        <w:ind w:firstLine="567"/>
        <w:jc w:val="both"/>
        <w:rPr>
          <w:rFonts w:ascii="GHEA Grapalat" w:hAnsi="GHEA Grapalat"/>
          <w:sz w:val="22"/>
          <w:szCs w:val="22"/>
        </w:rPr>
      </w:pPr>
    </w:p>
    <w:p w14:paraId="231B53BC" w14:textId="77777777" w:rsidR="001C411D" w:rsidRPr="00C921DE" w:rsidRDefault="001C411D" w:rsidP="00E32777">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Քրեակատարողական և պրոբացիայի ոլորտ</w:t>
      </w:r>
    </w:p>
    <w:p w14:paraId="6A6811EF" w14:textId="77777777" w:rsidR="00D63CEA" w:rsidRPr="00C921DE" w:rsidRDefault="00D63CEA" w:rsidP="00682AC8">
      <w:pPr>
        <w:spacing w:line="360" w:lineRule="auto"/>
        <w:ind w:firstLine="567"/>
        <w:jc w:val="both"/>
        <w:rPr>
          <w:rFonts w:ascii="GHEA Grapalat" w:hAnsi="GHEA Grapalat"/>
          <w:sz w:val="22"/>
          <w:szCs w:val="22"/>
          <w:lang w:val="en-US"/>
        </w:rPr>
      </w:pPr>
      <w:r w:rsidRPr="00C921DE">
        <w:rPr>
          <w:rFonts w:ascii="GHEA Grapalat" w:hAnsi="GHEA Grapalat"/>
          <w:sz w:val="22"/>
          <w:szCs w:val="22"/>
        </w:rPr>
        <w:t>2023 թվականին քրեակատարողական և պրոբացիայի ոլորտում իրակ</w:t>
      </w:r>
      <w:r w:rsidR="00682AC8" w:rsidRPr="00C921DE">
        <w:rPr>
          <w:rFonts w:ascii="GHEA Grapalat" w:hAnsi="GHEA Grapalat"/>
          <w:sz w:val="22"/>
          <w:szCs w:val="22"/>
        </w:rPr>
        <w:t>անացվել են հետևյալ աշխատանքները</w:t>
      </w:r>
      <w:r w:rsidR="00682AC8" w:rsidRPr="00C921DE">
        <w:rPr>
          <w:rFonts w:ascii="GHEA Grapalat" w:hAnsi="GHEA Grapalat"/>
          <w:sz w:val="22"/>
          <w:szCs w:val="22"/>
          <w:lang w:val="en-US"/>
        </w:rPr>
        <w:t>:</w:t>
      </w:r>
    </w:p>
    <w:p w14:paraId="3584F855"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Քրեակատարողական հիմնարկներում բարելավվել են դատապարտյալներին պահելու պայմանները: Հենաշարժողական խնդիրներ ունեցող անձանց համար կառուցվել են թեքահարթակներ, հենաբազրիքներ, սանհանգույցներում և լոգարաններում տեղադրվել են հատուկ բռնակներ, «Վանաձոր» քրեակատարողական հիմնարկում տեղադրվել է հատուկ վերելակ: «Արմավիր» քրեակատարողական հիմնարկում տեղադրվել է շուրջ 400 տեսախցիկներից բաղկացած տեսահսկման նորագույն սերնդի համակարգ, կառուցվել են ամբողջովին նոր և ժամանակակից օդափոխության, ջեռուցման հետ համատեղված օդորակման համակարգեր: «Սևան» քրեակատարողական հիմնարկի մասնաշենքերից մեկը վերակառուցվել է, իսկ «Աբովյան» քրեակատարողական հիմնարկում հիմնանորոգվել է կանանց տեղամասը, այդ թվում՝ մինչև երեք տարեկան երեխա ունեցող կանանց պահման պայմանները և վերասոցիալականացման կենտրոնը:</w:t>
      </w:r>
    </w:p>
    <w:p w14:paraId="4937AE0B"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Միջին օրական հաշվարկով քրեակատարողական հիմնարկներում պահվել է 2543 անձ, որոնցից՝ 1112-ը եղել են դատապարտյալներ, իսկ 1341-ը՝ կալանավորված անձինք: 2022</w:t>
      </w:r>
      <w:r w:rsidR="005D36DB" w:rsidRPr="00C921DE">
        <w:rPr>
          <w:rFonts w:ascii="GHEA Grapalat" w:hAnsi="GHEA Grapalat"/>
          <w:sz w:val="22"/>
          <w:szCs w:val="22"/>
        </w:rPr>
        <w:t xml:space="preserve"> </w:t>
      </w:r>
      <w:r w:rsidRPr="00C921DE">
        <w:rPr>
          <w:rFonts w:ascii="GHEA Grapalat" w:hAnsi="GHEA Grapalat"/>
          <w:sz w:val="22"/>
          <w:szCs w:val="22"/>
        </w:rPr>
        <w:t>թվականի համեմատությամբ քրեակատարողական հիմնարկներում պահվող անձանց թիվն ավելացել է 188-ով:</w:t>
      </w:r>
    </w:p>
    <w:p w14:paraId="781CBBAD"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Հունվարի 1-ից տնային կալանք և վարչական հսկողություն, ինչպես նաև ազատության սահմանափակում պատժատեսակի նկատմամբ հսկողությունն իրականացվում է հատուկ էլեկտրոնային սարքերի </w:t>
      </w:r>
      <w:r w:rsidR="00682AC8" w:rsidRPr="00C921DE">
        <w:rPr>
          <w:rFonts w:ascii="GHEA Grapalat" w:hAnsi="GHEA Grapalat"/>
          <w:sz w:val="22"/>
          <w:szCs w:val="22"/>
        </w:rPr>
        <w:t>միջոց</w:t>
      </w:r>
      <w:r w:rsidRPr="00C921DE">
        <w:rPr>
          <w:rFonts w:ascii="GHEA Grapalat" w:hAnsi="GHEA Grapalat"/>
          <w:sz w:val="22"/>
          <w:szCs w:val="22"/>
        </w:rPr>
        <w:t>ով։ Ձեռք է բերվել 661 հսկողության սարք, որոնք կիրառվել են 866 շահառուի նկատմամբ:</w:t>
      </w:r>
    </w:p>
    <w:p w14:paraId="0158DA55"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Ներդրվել է քրեակատարողական ծառայողների համար ատեստավորման նոր կարգ:</w:t>
      </w:r>
    </w:p>
    <w:p w14:paraId="48BC935E"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Ազատազրկման ձևով պատիժ կրող և կալանավորված անձանց համար իրականացվել են կրթական ծրագրեր: </w:t>
      </w:r>
    </w:p>
    <w:p w14:paraId="056E689A"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Սովորելու իրավունքից օգտվել են</w:t>
      </w:r>
      <w:r w:rsidR="005D36DB" w:rsidRPr="00C921DE">
        <w:rPr>
          <w:rFonts w:ascii="GHEA Grapalat" w:hAnsi="GHEA Grapalat"/>
          <w:sz w:val="22"/>
          <w:szCs w:val="22"/>
        </w:rPr>
        <w:t xml:space="preserve"> </w:t>
      </w:r>
      <w:r w:rsidRPr="00C921DE">
        <w:rPr>
          <w:rFonts w:ascii="GHEA Grapalat" w:hAnsi="GHEA Grapalat"/>
          <w:sz w:val="22"/>
          <w:szCs w:val="22"/>
        </w:rPr>
        <w:t xml:space="preserve">մինչև 19 տարեկան 10 անձ, իսկ 19 տարեկանից բարձր՝ 138 անձ: Իրականացվել են նաև մի շարք դասընթացներ՝ լեզուներ, համակարգչային հմտություններ, արհեստագործություն և այլ թեմաներով, որոնց մասնակցել է 185 անձ: </w:t>
      </w:r>
    </w:p>
    <w:p w14:paraId="77AF86A7"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Ընդլայնվել են Պրոբացիայի ծառայողների սոցիալական երաշխիքները, ներդրվել է ծառայողների ատեստավորման նոր համակարգ:</w:t>
      </w:r>
    </w:p>
    <w:p w14:paraId="23CDA30A" w14:textId="77777777" w:rsidR="00D63CEA" w:rsidRPr="00C921DE" w:rsidRDefault="00D63CEA" w:rsidP="00682AC8">
      <w:pPr>
        <w:spacing w:line="360" w:lineRule="auto"/>
        <w:ind w:firstLine="567"/>
        <w:jc w:val="both"/>
        <w:rPr>
          <w:rFonts w:ascii="GHEA Grapalat" w:hAnsi="GHEA Grapalat"/>
          <w:sz w:val="22"/>
          <w:szCs w:val="22"/>
        </w:rPr>
      </w:pPr>
      <w:r w:rsidRPr="00C921DE">
        <w:rPr>
          <w:rFonts w:ascii="GHEA Grapalat" w:hAnsi="GHEA Grapalat"/>
          <w:sz w:val="22"/>
          <w:szCs w:val="22"/>
        </w:rPr>
        <w:t>Պրոբացիայի ծառայության մարզային գրասենյակների օպտիմալացման, ինչպես նաև պրոբացիայի շահառուների հետ տարվող աշխատանքներ</w:t>
      </w:r>
      <w:r w:rsidR="00153012" w:rsidRPr="00C921DE">
        <w:rPr>
          <w:rFonts w:ascii="GHEA Grapalat" w:hAnsi="GHEA Grapalat"/>
          <w:sz w:val="22"/>
          <w:szCs w:val="22"/>
          <w:lang w:val="en-US"/>
        </w:rPr>
        <w:t>ն</w:t>
      </w:r>
      <w:r w:rsidRPr="00C921DE">
        <w:rPr>
          <w:rFonts w:ascii="GHEA Grapalat" w:hAnsi="GHEA Grapalat"/>
          <w:sz w:val="22"/>
          <w:szCs w:val="22"/>
        </w:rPr>
        <w:t xml:space="preserve"> առավել արագ և արդյունավետ դարձնելու նպատակով ձեռք է բերել կահավորված 2 հատուկ տրանսպորտային միջոց՝ որպես շարժական գրասենյակ շահագործելու նպատակով:</w:t>
      </w:r>
    </w:p>
    <w:p w14:paraId="22F47F8A" w14:textId="77777777" w:rsidR="00153012" w:rsidRPr="00C921DE" w:rsidRDefault="00153012" w:rsidP="00682AC8">
      <w:pPr>
        <w:spacing w:line="360" w:lineRule="auto"/>
        <w:ind w:firstLine="567"/>
        <w:jc w:val="both"/>
        <w:rPr>
          <w:rFonts w:ascii="GHEA Grapalat" w:hAnsi="GHEA Grapalat"/>
          <w:sz w:val="22"/>
          <w:szCs w:val="22"/>
        </w:rPr>
      </w:pPr>
    </w:p>
    <w:p w14:paraId="18CDA0DC" w14:textId="77777777" w:rsidR="001C411D" w:rsidRPr="00C921DE" w:rsidRDefault="001C411D" w:rsidP="00E32777">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Մարդու իրավունքների պաշտպանության ոլորտ</w:t>
      </w:r>
    </w:p>
    <w:p w14:paraId="23A0D597" w14:textId="77777777" w:rsidR="00D63CEA" w:rsidRPr="00C921DE" w:rsidRDefault="00D63CEA" w:rsidP="00153012">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153012" w:rsidRPr="00C921DE">
        <w:rPr>
          <w:rFonts w:ascii="GHEA Grapalat" w:hAnsi="GHEA Grapalat"/>
          <w:sz w:val="22"/>
          <w:szCs w:val="22"/>
          <w:lang w:val="en-US"/>
        </w:rPr>
        <w:t xml:space="preserve"> </w:t>
      </w:r>
      <w:r w:rsidRPr="00C921DE">
        <w:rPr>
          <w:rFonts w:ascii="GHEA Grapalat" w:hAnsi="GHEA Grapalat"/>
          <w:sz w:val="22"/>
          <w:szCs w:val="22"/>
        </w:rPr>
        <w:t>թ</w:t>
      </w:r>
      <w:r w:rsidR="00153012" w:rsidRPr="00C921DE">
        <w:rPr>
          <w:rFonts w:ascii="GHEA Grapalat" w:hAnsi="GHEA Grapalat"/>
          <w:sz w:val="22"/>
          <w:szCs w:val="22"/>
          <w:lang w:val="en-US"/>
        </w:rPr>
        <w:t>վականին</w:t>
      </w:r>
      <w:r w:rsidRPr="00C921DE">
        <w:rPr>
          <w:rFonts w:ascii="GHEA Grapalat" w:hAnsi="GHEA Grapalat"/>
          <w:sz w:val="22"/>
          <w:szCs w:val="22"/>
        </w:rPr>
        <w:t xml:space="preserve"> կայացել է ՄԻՊ ազգային ռազմավարությունից բխող 2020-2022 թվականների գործողությունների ծրագրի կատարումը համակարգող խորհրդի եզրափակիչ նիստը, որի ընթացքում ամփոփվել </w:t>
      </w:r>
      <w:r w:rsidR="00153012" w:rsidRPr="00C921DE">
        <w:rPr>
          <w:rFonts w:ascii="GHEA Grapalat" w:hAnsi="GHEA Grapalat"/>
          <w:sz w:val="22"/>
          <w:szCs w:val="22"/>
          <w:lang w:val="en-US"/>
        </w:rPr>
        <w:t>են</w:t>
      </w:r>
      <w:r w:rsidRPr="00C921DE">
        <w:rPr>
          <w:rFonts w:ascii="GHEA Grapalat" w:hAnsi="GHEA Grapalat"/>
          <w:sz w:val="22"/>
          <w:szCs w:val="22"/>
        </w:rPr>
        <w:t xml:space="preserve"> նախորդ 3 տարիների ընթացքում շահագրգիռ գերատեսչությունների կողմից իրենց կառույցներին վերապահված կետերով նախատեսված միջոցառումների կատարողականները:</w:t>
      </w:r>
    </w:p>
    <w:p w14:paraId="6C2EC823" w14:textId="77777777" w:rsidR="00D63CEA" w:rsidRPr="00C921DE" w:rsidRDefault="00D63CEA" w:rsidP="00153012">
      <w:pPr>
        <w:spacing w:line="360" w:lineRule="auto"/>
        <w:ind w:firstLine="567"/>
        <w:jc w:val="both"/>
        <w:rPr>
          <w:rFonts w:ascii="GHEA Grapalat" w:hAnsi="GHEA Grapalat"/>
          <w:sz w:val="22"/>
          <w:szCs w:val="22"/>
        </w:rPr>
      </w:pPr>
      <w:r w:rsidRPr="00C921DE">
        <w:rPr>
          <w:rFonts w:ascii="GHEA Grapalat" w:hAnsi="GHEA Grapalat"/>
          <w:sz w:val="22"/>
          <w:szCs w:val="22"/>
        </w:rPr>
        <w:t>Ընդունվել է մարդու իրավունքների պաշտպանության ազգային ռազմավարությունից բխող 2023-2025 թվականների գործողությունների ծրագիրը, որով նախատեսվում է կատարելագործել օրենսդրությունը՝ բռնության, ատելության խոսքի, թշնամանքի դեպքերը կանխելու և հանրային համերաշխություն ապահովելու նպատակով, ինչպես նաև ապահովել խոշտանգման, անմարդկային ու արժանապատվությունը նվաստացնող վերաբերմունքի կանխարգելմանն ու հետապնդմանն ուղղված գործուն մեխանիզմներ։</w:t>
      </w:r>
      <w:r w:rsidRPr="00C921DE">
        <w:rPr>
          <w:rFonts w:ascii="GHEA Grapalat" w:hAnsi="GHEA Grapalat"/>
          <w:sz w:val="22"/>
          <w:szCs w:val="22"/>
        </w:rPr>
        <w:tab/>
      </w:r>
    </w:p>
    <w:p w14:paraId="59C0CF17" w14:textId="77777777" w:rsidR="001C411D" w:rsidRPr="00C921DE" w:rsidRDefault="001C411D" w:rsidP="00BF34F9">
      <w:pPr>
        <w:spacing w:line="360" w:lineRule="auto"/>
        <w:ind w:firstLine="567"/>
        <w:jc w:val="both"/>
        <w:rPr>
          <w:rFonts w:ascii="GHEA Grapalat" w:hAnsi="GHEA Grapalat"/>
          <w:sz w:val="22"/>
          <w:szCs w:val="22"/>
        </w:rPr>
      </w:pPr>
    </w:p>
    <w:p w14:paraId="54D5803E" w14:textId="77777777" w:rsidR="001C411D" w:rsidRPr="00C921DE" w:rsidRDefault="001C411D" w:rsidP="00E32777">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lastRenderedPageBreak/>
        <w:t>Քաղաքացիական կացության ակտերի գրանցման ոլորտ</w:t>
      </w:r>
    </w:p>
    <w:p w14:paraId="1DA5B107" w14:textId="77777777" w:rsidR="00D63CEA" w:rsidRPr="00C921DE" w:rsidRDefault="00D63CEA" w:rsidP="00D446F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w:t>
      </w:r>
      <w:r w:rsidR="00D446F1" w:rsidRPr="00C921DE">
        <w:rPr>
          <w:rFonts w:ascii="GHEA Grapalat" w:hAnsi="GHEA Grapalat"/>
          <w:sz w:val="22"/>
          <w:szCs w:val="22"/>
          <w:lang w:val="en-US"/>
        </w:rPr>
        <w:t>ն</w:t>
      </w:r>
      <w:r w:rsidRPr="00C921DE">
        <w:rPr>
          <w:rFonts w:ascii="GHEA Grapalat" w:hAnsi="GHEA Grapalat"/>
          <w:sz w:val="22"/>
          <w:szCs w:val="22"/>
        </w:rPr>
        <w:t xml:space="preserve"> </w:t>
      </w:r>
      <w:r w:rsidR="00D446F1" w:rsidRPr="00C921DE">
        <w:rPr>
          <w:rFonts w:ascii="GHEA Grapalat" w:hAnsi="GHEA Grapalat"/>
          <w:sz w:val="22"/>
          <w:szCs w:val="22"/>
          <w:lang w:val="en-US"/>
        </w:rPr>
        <w:t>ո</w:t>
      </w:r>
      <w:r w:rsidRPr="00C921DE">
        <w:rPr>
          <w:rFonts w:ascii="GHEA Grapalat" w:hAnsi="GHEA Grapalat"/>
          <w:sz w:val="22"/>
          <w:szCs w:val="22"/>
        </w:rPr>
        <w:t>ւսումնասիրվել են «Երեխայի միջազգային առևանգման քաղաքացիական մոտեցումների մասին» կոնվենցիայի շրջանակներում ներկայացված դիմումները:</w:t>
      </w:r>
    </w:p>
    <w:p w14:paraId="78851F99" w14:textId="77777777" w:rsidR="00D63CEA" w:rsidRPr="00C921DE" w:rsidRDefault="00D63CEA" w:rsidP="00D446F1">
      <w:pPr>
        <w:spacing w:line="360" w:lineRule="auto"/>
        <w:ind w:firstLine="567"/>
        <w:jc w:val="both"/>
        <w:rPr>
          <w:rFonts w:ascii="GHEA Grapalat" w:hAnsi="GHEA Grapalat"/>
          <w:sz w:val="22"/>
          <w:szCs w:val="22"/>
        </w:rPr>
      </w:pPr>
      <w:r w:rsidRPr="00C921DE">
        <w:rPr>
          <w:rFonts w:ascii="GHEA Grapalat" w:hAnsi="GHEA Grapalat"/>
          <w:sz w:val="22"/>
          <w:szCs w:val="22"/>
        </w:rPr>
        <w:t>Ուսումնասիրվել են օտարերկրյա քաղաքացիների, քաղաքացիություն չունեցող անձանց և ՀՀ տարածքից դուրս բնակվող ՀՀ քաղաքացիների՝ ՀՀ քաղաքացի հանդիսացող երեխա որդեգրելու նպատակով որպես որդեգրել ցանկացող անձ հաշվառվելու նպատակով ներկայացված դիմումները, ապահովվել է Երեխաների պաշտպանության և օտարերկրյա որդեգրման բնագավառում համագործակցության մասին» կոնվենցիայի շրջանակներում կենտրոնական մարմնի լիազորությունների իրականացումը, կազմակերպվել է որդեգրման ենթակա երեխայի համադրման գործընթացը, ապահովվել է ՀՀ արդարադատության նախարարության ներկայությունը դատարանում:</w:t>
      </w:r>
    </w:p>
    <w:p w14:paraId="261A2A6B" w14:textId="77777777" w:rsidR="00D63CEA" w:rsidRPr="00C921DE" w:rsidRDefault="00D63CEA" w:rsidP="00D446F1">
      <w:pPr>
        <w:spacing w:line="360" w:lineRule="auto"/>
        <w:ind w:firstLine="567"/>
        <w:jc w:val="both"/>
        <w:rPr>
          <w:rFonts w:ascii="GHEA Grapalat" w:hAnsi="GHEA Grapalat"/>
          <w:sz w:val="22"/>
          <w:szCs w:val="22"/>
        </w:rPr>
      </w:pPr>
      <w:r w:rsidRPr="00C921DE">
        <w:rPr>
          <w:rFonts w:ascii="GHEA Grapalat" w:hAnsi="GHEA Grapalat"/>
          <w:sz w:val="22"/>
          <w:szCs w:val="22"/>
        </w:rPr>
        <w:t>Ապա</w:t>
      </w:r>
      <w:r w:rsidR="00D446F1" w:rsidRPr="00C921DE">
        <w:rPr>
          <w:rFonts w:ascii="GHEA Grapalat" w:hAnsi="GHEA Grapalat"/>
          <w:sz w:val="22"/>
          <w:szCs w:val="22"/>
        </w:rPr>
        <w:t xml:space="preserve">հովվել </w:t>
      </w:r>
      <w:r w:rsidR="00D446F1" w:rsidRPr="00C921DE">
        <w:rPr>
          <w:rFonts w:ascii="GHEA Grapalat" w:hAnsi="GHEA Grapalat"/>
          <w:sz w:val="22"/>
          <w:szCs w:val="22"/>
          <w:lang w:val="en-US"/>
        </w:rPr>
        <w:t>են</w:t>
      </w:r>
      <w:r w:rsidRPr="00C921DE">
        <w:rPr>
          <w:rFonts w:ascii="GHEA Grapalat" w:hAnsi="GHEA Grapalat"/>
          <w:sz w:val="22"/>
          <w:szCs w:val="22"/>
        </w:rPr>
        <w:t xml:space="preserve"> քաղաքացիական կացության ակտերի գրանցման ոլորտին առնչվող միջազգային պայմանագրերից բխող</w:t>
      </w:r>
      <w:r w:rsidR="00D446F1" w:rsidRPr="00C921DE">
        <w:rPr>
          <w:rFonts w:ascii="GHEA Grapalat" w:hAnsi="GHEA Grapalat"/>
          <w:sz w:val="22"/>
          <w:szCs w:val="22"/>
          <w:lang w:val="en-US"/>
        </w:rPr>
        <w:t>՝</w:t>
      </w:r>
      <w:r w:rsidRPr="00C921DE">
        <w:rPr>
          <w:rFonts w:ascii="GHEA Grapalat" w:hAnsi="GHEA Grapalat"/>
          <w:sz w:val="22"/>
          <w:szCs w:val="22"/>
        </w:rPr>
        <w:t xml:space="preserve"> ՀՀ արդարադատության նախարարության պարտավորությունները:</w:t>
      </w:r>
    </w:p>
    <w:p w14:paraId="54DA0BD5" w14:textId="77777777" w:rsidR="00D63CEA" w:rsidRPr="00C921DE" w:rsidRDefault="00D63CEA" w:rsidP="00D446F1">
      <w:pPr>
        <w:spacing w:line="360" w:lineRule="auto"/>
        <w:ind w:firstLine="567"/>
        <w:jc w:val="both"/>
        <w:rPr>
          <w:rFonts w:ascii="GHEA Grapalat" w:hAnsi="GHEA Grapalat"/>
          <w:sz w:val="22"/>
          <w:szCs w:val="22"/>
        </w:rPr>
      </w:pPr>
      <w:r w:rsidRPr="00C921DE">
        <w:rPr>
          <w:rFonts w:ascii="GHEA Grapalat" w:hAnsi="GHEA Grapalat"/>
          <w:sz w:val="22"/>
          <w:szCs w:val="22"/>
        </w:rPr>
        <w:t xml:space="preserve">Իրականացվել </w:t>
      </w:r>
      <w:r w:rsidR="002A7013" w:rsidRPr="00C921DE">
        <w:rPr>
          <w:rFonts w:ascii="GHEA Grapalat" w:hAnsi="GHEA Grapalat"/>
          <w:sz w:val="22"/>
          <w:szCs w:val="22"/>
          <w:lang w:val="en-US"/>
        </w:rPr>
        <w:t>են</w:t>
      </w:r>
      <w:r w:rsidRPr="00C921DE">
        <w:rPr>
          <w:rFonts w:ascii="GHEA Grapalat" w:hAnsi="GHEA Grapalat"/>
          <w:sz w:val="22"/>
          <w:szCs w:val="22"/>
        </w:rPr>
        <w:t xml:space="preserve"> ծննդյան, հայրության ճանաչման, ամուսնության, ամուսնալուծության, մահվան գրանցումներ, տրամադրվել են վկայականներ և տեղեկանքներ:</w:t>
      </w:r>
    </w:p>
    <w:p w14:paraId="4C04D6BA" w14:textId="77777777" w:rsidR="00D63CEA" w:rsidRPr="00C921DE" w:rsidRDefault="00D63CEA" w:rsidP="00D446F1">
      <w:pPr>
        <w:spacing w:line="360" w:lineRule="auto"/>
        <w:ind w:firstLine="567"/>
        <w:jc w:val="both"/>
        <w:rPr>
          <w:rFonts w:ascii="GHEA Grapalat" w:hAnsi="GHEA Grapalat"/>
          <w:sz w:val="22"/>
          <w:szCs w:val="22"/>
        </w:rPr>
      </w:pPr>
      <w:r w:rsidRPr="00C921DE">
        <w:rPr>
          <w:rFonts w:ascii="GHEA Grapalat" w:hAnsi="GHEA Grapalat"/>
          <w:sz w:val="22"/>
          <w:szCs w:val="22"/>
        </w:rPr>
        <w:t>Թվայնացվել և արխիվացվել են քաղաքացիական կացության ակտեր:</w:t>
      </w:r>
    </w:p>
    <w:p w14:paraId="70AE6A12" w14:textId="77777777" w:rsidR="001C411D" w:rsidRPr="00C921DE" w:rsidRDefault="001C411D" w:rsidP="00BF34F9">
      <w:pPr>
        <w:spacing w:line="360" w:lineRule="auto"/>
        <w:ind w:firstLine="567"/>
        <w:jc w:val="both"/>
        <w:rPr>
          <w:rFonts w:ascii="GHEA Grapalat" w:hAnsi="GHEA Grapalat"/>
          <w:sz w:val="22"/>
          <w:szCs w:val="22"/>
        </w:rPr>
      </w:pPr>
    </w:p>
    <w:p w14:paraId="6E281FD5" w14:textId="77777777" w:rsidR="001C411D" w:rsidRPr="00C921DE" w:rsidRDefault="001C411D" w:rsidP="00E32777">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 xml:space="preserve">Իրավաբանական անձանց պետական գրանցման ռեգիստրի ոլորտ </w:t>
      </w:r>
    </w:p>
    <w:p w14:paraId="145A32C8" w14:textId="77777777" w:rsidR="00BE1D6D" w:rsidRPr="00C921DE" w:rsidRDefault="00BE1D6D" w:rsidP="002A7013">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Հաշվետու ժամանակահատվածում </w:t>
      </w:r>
      <w:r w:rsidR="00F024EE" w:rsidRPr="00C921DE">
        <w:rPr>
          <w:rFonts w:ascii="GHEA Grapalat" w:hAnsi="GHEA Grapalat"/>
          <w:sz w:val="22"/>
          <w:szCs w:val="22"/>
          <w:lang w:val="en-US"/>
        </w:rPr>
        <w:t>ՀՀ</w:t>
      </w:r>
      <w:r w:rsidRPr="00C921DE">
        <w:rPr>
          <w:rFonts w:ascii="GHEA Grapalat" w:hAnsi="GHEA Grapalat"/>
          <w:sz w:val="22"/>
          <w:szCs w:val="22"/>
        </w:rPr>
        <w:t xml:space="preserve"> արդարադատության</w:t>
      </w:r>
      <w:r w:rsidR="005D36DB" w:rsidRPr="00C921DE">
        <w:rPr>
          <w:rFonts w:ascii="GHEA Grapalat" w:hAnsi="GHEA Grapalat"/>
          <w:sz w:val="22"/>
          <w:szCs w:val="22"/>
        </w:rPr>
        <w:t xml:space="preserve"> </w:t>
      </w:r>
      <w:r w:rsidRPr="00C921DE">
        <w:rPr>
          <w:rFonts w:ascii="GHEA Grapalat" w:hAnsi="GHEA Grapalat"/>
          <w:sz w:val="22"/>
          <w:szCs w:val="22"/>
        </w:rPr>
        <w:t>նախարարության իրավաբանական անձանց պետական ռեգիստրի գործակալության կողմից գրանցվել և հաշվառվել է 10075 սահմանափակ պատասխանատվությամբ ընկերություն, 135 փակ բաժնետիրական ընկերություն, 15 բաց բաժնետիրական ընկե</w:t>
      </w:r>
      <w:r w:rsidR="002A7013" w:rsidRPr="00C921DE">
        <w:rPr>
          <w:rFonts w:ascii="GHEA Grapalat" w:hAnsi="GHEA Grapalat"/>
          <w:sz w:val="22"/>
          <w:szCs w:val="22"/>
        </w:rPr>
        <w:t>րություն, 30 համայնքային ոչ առև</w:t>
      </w:r>
      <w:r w:rsidRPr="00C921DE">
        <w:rPr>
          <w:rFonts w:ascii="GHEA Grapalat" w:hAnsi="GHEA Grapalat"/>
          <w:sz w:val="22"/>
          <w:szCs w:val="22"/>
        </w:rPr>
        <w:t>տրային կազմակերպություն, 15 գյուղատնտեսական կոոպերատիվ, 72 առանձնացված ստորաբաժանում, 27519 անհատ ձեռնարկատեր, 415 հասարակական կազմակերպություն, 2 կուսակցություն,</w:t>
      </w:r>
      <w:r w:rsidR="005D36DB" w:rsidRPr="00C921DE">
        <w:rPr>
          <w:rFonts w:ascii="GHEA Grapalat" w:hAnsi="GHEA Grapalat"/>
          <w:sz w:val="22"/>
          <w:szCs w:val="22"/>
        </w:rPr>
        <w:t xml:space="preserve"> </w:t>
      </w:r>
      <w:r w:rsidRPr="00C921DE">
        <w:rPr>
          <w:rFonts w:ascii="GHEA Grapalat" w:hAnsi="GHEA Grapalat"/>
          <w:sz w:val="22"/>
          <w:szCs w:val="22"/>
        </w:rPr>
        <w:t>99 հիմնադրամ, 11 արհեստակցական կազմակերպություն,</w:t>
      </w:r>
      <w:r w:rsidR="005D36DB" w:rsidRPr="00C921DE">
        <w:rPr>
          <w:rFonts w:ascii="GHEA Grapalat" w:hAnsi="GHEA Grapalat"/>
          <w:sz w:val="22"/>
          <w:szCs w:val="22"/>
        </w:rPr>
        <w:t xml:space="preserve"> </w:t>
      </w:r>
      <w:r w:rsidRPr="00C921DE">
        <w:rPr>
          <w:rFonts w:ascii="GHEA Grapalat" w:hAnsi="GHEA Grapalat"/>
          <w:sz w:val="22"/>
          <w:szCs w:val="22"/>
        </w:rPr>
        <w:t xml:space="preserve">4 կրոնական կազմակերպություն, 6 հիմնարկ, 2 </w:t>
      </w:r>
      <w:r w:rsidR="0022480C" w:rsidRPr="00C921DE">
        <w:rPr>
          <w:rFonts w:ascii="GHEA Grapalat" w:hAnsi="GHEA Grapalat"/>
          <w:sz w:val="22"/>
          <w:szCs w:val="22"/>
          <w:lang w:val="en-US"/>
        </w:rPr>
        <w:t>հ</w:t>
      </w:r>
      <w:r w:rsidRPr="00C921DE">
        <w:rPr>
          <w:rFonts w:ascii="GHEA Grapalat" w:hAnsi="GHEA Grapalat"/>
          <w:sz w:val="22"/>
          <w:szCs w:val="22"/>
        </w:rPr>
        <w:t>ամայնքային կառավարչական հիմնարկ, 2 սպառողական կոոպերատիվ, 16 համատիրություն, 258 կուսակցության տարածքային ստորաբաժանում: Իրականացվել է իրավաբանական անձանց մոտ 21436 փոփոխության գրանցում, անհատ ձեռնարկատերերի փոփոխությունների 7779 հաշվառում, անհատ ձեռնարկատերերի հաշվառումից հա</w:t>
      </w:r>
      <w:r w:rsidR="009C32B2" w:rsidRPr="00C921DE">
        <w:rPr>
          <w:rFonts w:ascii="GHEA Grapalat" w:hAnsi="GHEA Grapalat"/>
          <w:sz w:val="22"/>
          <w:szCs w:val="22"/>
        </w:rPr>
        <w:t>նման</w:t>
      </w:r>
      <w:r w:rsidRPr="00C921DE">
        <w:rPr>
          <w:rFonts w:ascii="GHEA Grapalat" w:hAnsi="GHEA Grapalat"/>
          <w:sz w:val="22"/>
          <w:szCs w:val="22"/>
        </w:rPr>
        <w:t xml:space="preserve"> 5575 և իրավաբանական անձանց լուծարման 368 գրանցում: Հաշվառվել է 1 զանգվածային լրատվության միջոց։</w:t>
      </w:r>
    </w:p>
    <w:p w14:paraId="635AD4A2" w14:textId="77777777" w:rsidR="00BE1D6D" w:rsidRPr="00C921DE" w:rsidRDefault="00BE1D6D" w:rsidP="002A7013">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 xml:space="preserve">2023 թվականին իրականացվել է </w:t>
      </w:r>
      <w:hyperlink r:id="rId14" w:history="1">
        <w:r w:rsidRPr="00C921DE">
          <w:rPr>
            <w:sz w:val="22"/>
            <w:szCs w:val="22"/>
          </w:rPr>
          <w:t>www.e-register.am</w:t>
        </w:r>
      </w:hyperlink>
      <w:r w:rsidRPr="00C921DE">
        <w:rPr>
          <w:rFonts w:ascii="GHEA Grapalat" w:hAnsi="GHEA Grapalat"/>
          <w:sz w:val="22"/>
          <w:szCs w:val="22"/>
        </w:rPr>
        <w:t xml:space="preserve">, </w:t>
      </w:r>
      <w:hyperlink r:id="rId15" w:history="1">
        <w:r w:rsidRPr="00C921DE">
          <w:rPr>
            <w:sz w:val="22"/>
            <w:szCs w:val="22"/>
          </w:rPr>
          <w:t>www.registration.am</w:t>
        </w:r>
      </w:hyperlink>
      <w:r w:rsidRPr="00C921DE">
        <w:rPr>
          <w:rFonts w:ascii="GHEA Grapalat" w:hAnsi="GHEA Grapalat"/>
          <w:sz w:val="22"/>
          <w:szCs w:val="22"/>
        </w:rPr>
        <w:t>,</w:t>
      </w:r>
      <w:hyperlink r:id="rId16" w:history="1">
        <w:r w:rsidRPr="00C921DE">
          <w:rPr>
            <w:sz w:val="22"/>
            <w:szCs w:val="22"/>
          </w:rPr>
          <w:t>www.azdarar.am</w:t>
        </w:r>
      </w:hyperlink>
      <w:r w:rsidRPr="00C921DE">
        <w:rPr>
          <w:rFonts w:ascii="GHEA Grapalat" w:hAnsi="GHEA Grapalat"/>
          <w:sz w:val="22"/>
          <w:szCs w:val="22"/>
        </w:rPr>
        <w:t xml:space="preserve"> կայք էջերի վարումը և հրապարակել է 217576</w:t>
      </w:r>
      <w:r w:rsidR="005D36DB" w:rsidRPr="00C921DE">
        <w:rPr>
          <w:rFonts w:ascii="GHEA Grapalat" w:hAnsi="GHEA Grapalat"/>
          <w:sz w:val="22"/>
          <w:szCs w:val="22"/>
        </w:rPr>
        <w:t xml:space="preserve"> </w:t>
      </w:r>
      <w:r w:rsidRPr="00C921DE">
        <w:rPr>
          <w:rFonts w:ascii="GHEA Grapalat" w:hAnsi="GHEA Grapalat"/>
          <w:sz w:val="22"/>
          <w:szCs w:val="22"/>
        </w:rPr>
        <w:t>հայտարարություն:</w:t>
      </w:r>
    </w:p>
    <w:p w14:paraId="2E9C2A9C" w14:textId="5452B229" w:rsidR="00BE1D6D" w:rsidRPr="00C921DE" w:rsidRDefault="00BE1D6D" w:rsidP="002A7013">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9C32B2" w:rsidRPr="00C921DE">
        <w:rPr>
          <w:rFonts w:ascii="GHEA Grapalat" w:hAnsi="GHEA Grapalat"/>
          <w:sz w:val="22"/>
          <w:szCs w:val="22"/>
          <w:lang w:val="en-US"/>
        </w:rPr>
        <w:t xml:space="preserve"> </w:t>
      </w:r>
      <w:r w:rsidRPr="00C921DE">
        <w:rPr>
          <w:rFonts w:ascii="GHEA Grapalat" w:hAnsi="GHEA Grapalat"/>
          <w:sz w:val="22"/>
          <w:szCs w:val="22"/>
        </w:rPr>
        <w:t>թվականին ներկայացվել են ընդհանուր թվով 51275 իրական շահառուների վերաբերյալ հայտարարագրեր։ Սահմանված ժամկետում իրական շահառուների վերաբերյալ տեղեկություններ չներկայացնելու հիմքով</w:t>
      </w:r>
      <w:r w:rsidR="005D36DB" w:rsidRPr="00C921DE">
        <w:rPr>
          <w:rFonts w:ascii="GHEA Grapalat" w:hAnsi="GHEA Grapalat"/>
          <w:sz w:val="22"/>
          <w:szCs w:val="22"/>
        </w:rPr>
        <w:t xml:space="preserve"> </w:t>
      </w:r>
      <w:r w:rsidRPr="00C921DE">
        <w:rPr>
          <w:rFonts w:ascii="GHEA Grapalat" w:hAnsi="GHEA Grapalat"/>
          <w:sz w:val="22"/>
          <w:szCs w:val="22"/>
        </w:rPr>
        <w:t>հարուցվել է 429 վարչական վարույթ։</w:t>
      </w:r>
      <w:r w:rsidR="005D36DB" w:rsidRPr="00C921DE">
        <w:rPr>
          <w:rFonts w:ascii="GHEA Grapalat" w:hAnsi="GHEA Grapalat"/>
          <w:sz w:val="22"/>
          <w:szCs w:val="22"/>
        </w:rPr>
        <w:t xml:space="preserve"> </w:t>
      </w:r>
    </w:p>
    <w:p w14:paraId="381B81C2" w14:textId="77777777" w:rsidR="00BE1D6D" w:rsidRPr="00C921DE" w:rsidRDefault="00BE1D6D" w:rsidP="002A7013">
      <w:pPr>
        <w:spacing w:line="360" w:lineRule="auto"/>
        <w:ind w:firstLine="567"/>
        <w:jc w:val="both"/>
        <w:rPr>
          <w:rFonts w:ascii="GHEA Grapalat" w:hAnsi="GHEA Grapalat"/>
          <w:sz w:val="22"/>
          <w:szCs w:val="22"/>
        </w:rPr>
      </w:pPr>
      <w:r w:rsidRPr="00C921DE">
        <w:rPr>
          <w:rFonts w:ascii="GHEA Grapalat" w:hAnsi="GHEA Grapalat"/>
          <w:sz w:val="22"/>
          <w:szCs w:val="22"/>
        </w:rPr>
        <w:t>Մշակվել և ՀՀ վարչապետի աշխատակազմ է ներկայացվել «Հայաստանի Հանրապետության կառավարության 2013</w:t>
      </w:r>
      <w:r w:rsidRPr="00C921DE">
        <w:rPr>
          <w:rFonts w:ascii="Calibri" w:hAnsi="Calibri" w:cs="Calibri"/>
          <w:sz w:val="22"/>
          <w:szCs w:val="22"/>
        </w:rPr>
        <w:t> </w:t>
      </w:r>
      <w:r w:rsidRPr="00C921DE">
        <w:rPr>
          <w:rFonts w:ascii="GHEA Grapalat" w:hAnsi="GHEA Grapalat"/>
          <w:sz w:val="22"/>
          <w:szCs w:val="22"/>
        </w:rPr>
        <w:t>թվականի հոկտեմբերի 10-ի</w:t>
      </w:r>
      <w:r w:rsidRPr="00C921DE">
        <w:rPr>
          <w:rFonts w:ascii="Calibri" w:hAnsi="Calibri" w:cs="Calibri"/>
          <w:sz w:val="22"/>
          <w:szCs w:val="22"/>
        </w:rPr>
        <w:t> </w:t>
      </w:r>
      <w:r w:rsidRPr="00C921DE">
        <w:rPr>
          <w:rFonts w:ascii="GHEA Grapalat" w:hAnsi="GHEA Grapalat"/>
          <w:sz w:val="22"/>
          <w:szCs w:val="22"/>
        </w:rPr>
        <w:t>N 1110-Ն</w:t>
      </w:r>
      <w:r w:rsidRPr="00C921DE">
        <w:rPr>
          <w:rFonts w:ascii="Calibri" w:hAnsi="Calibri" w:cs="Calibri"/>
          <w:sz w:val="22"/>
          <w:szCs w:val="22"/>
        </w:rPr>
        <w:t> </w:t>
      </w:r>
      <w:r w:rsidRPr="00C921DE">
        <w:rPr>
          <w:rFonts w:ascii="GHEA Grapalat" w:hAnsi="GHEA Grapalat"/>
          <w:sz w:val="22"/>
          <w:szCs w:val="22"/>
        </w:rPr>
        <w:t>որոշման մեջ փոփոխություններ և լրացումներ կատարելու</w:t>
      </w:r>
      <w:r w:rsidRPr="00C921DE">
        <w:rPr>
          <w:rFonts w:ascii="Calibri" w:hAnsi="Calibri" w:cs="Calibri"/>
          <w:sz w:val="22"/>
          <w:szCs w:val="22"/>
        </w:rPr>
        <w:t> </w:t>
      </w:r>
      <w:r w:rsidRPr="00C921DE">
        <w:rPr>
          <w:rFonts w:ascii="GHEA Grapalat" w:hAnsi="GHEA Grapalat"/>
          <w:sz w:val="22"/>
          <w:szCs w:val="22"/>
        </w:rPr>
        <w:t xml:space="preserve">մասին» </w:t>
      </w:r>
      <w:r w:rsidR="00A81889" w:rsidRPr="00C921DE">
        <w:rPr>
          <w:rFonts w:ascii="GHEA Grapalat" w:hAnsi="GHEA Grapalat"/>
          <w:sz w:val="22"/>
          <w:szCs w:val="22"/>
          <w:lang w:val="en-US"/>
        </w:rPr>
        <w:t>ՀՀ</w:t>
      </w:r>
      <w:r w:rsidRPr="00C921DE">
        <w:rPr>
          <w:rFonts w:ascii="GHEA Grapalat" w:hAnsi="GHEA Grapalat"/>
          <w:sz w:val="22"/>
          <w:szCs w:val="22"/>
        </w:rPr>
        <w:t xml:space="preserve"> կառավարության որոշման նախագիծը,</w:t>
      </w:r>
      <w:r w:rsidR="009C32B2" w:rsidRPr="00C921DE">
        <w:rPr>
          <w:rFonts w:ascii="GHEA Grapalat" w:hAnsi="GHEA Grapalat"/>
          <w:sz w:val="22"/>
          <w:szCs w:val="22"/>
        </w:rPr>
        <w:t xml:space="preserve"> ինչպես նաև հանրային քննարկման են</w:t>
      </w:r>
      <w:r w:rsidRPr="00C921DE">
        <w:rPr>
          <w:rFonts w:ascii="GHEA Grapalat" w:hAnsi="GHEA Grapalat"/>
          <w:sz w:val="22"/>
          <w:szCs w:val="22"/>
        </w:rPr>
        <w:t xml:space="preserve"> դրվել «Իրավաբանական անձանց պետական գրանցման, իրավաբանական անձանց առանձնացված ստորաբաժանումների, հիմնարկների և անհատ ձեռնարկատերերի պետական հաշվառման մասին» օրենքում փոփոխություններ և լրացումներ կատարելու մասին» օրենքի և հարակից օրենքների նախագծերը։</w:t>
      </w:r>
    </w:p>
    <w:p w14:paraId="124DB636" w14:textId="77777777" w:rsidR="001C411D" w:rsidRPr="00C921DE" w:rsidRDefault="001C411D" w:rsidP="00BF34F9">
      <w:pPr>
        <w:spacing w:line="360" w:lineRule="auto"/>
        <w:ind w:firstLine="567"/>
        <w:jc w:val="both"/>
        <w:rPr>
          <w:rFonts w:ascii="GHEA Grapalat" w:hAnsi="GHEA Grapalat"/>
          <w:sz w:val="22"/>
          <w:szCs w:val="22"/>
        </w:rPr>
      </w:pPr>
    </w:p>
    <w:p w14:paraId="4A53FB13" w14:textId="77777777" w:rsidR="00BE1D6D" w:rsidRPr="00C921DE" w:rsidRDefault="00BE1D6D" w:rsidP="00BE1D6D">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 xml:space="preserve">Անձնական տվյալների պաշտպանության ոլորտ </w:t>
      </w:r>
    </w:p>
    <w:p w14:paraId="12D3F05B" w14:textId="77777777" w:rsidR="00BE1D6D" w:rsidRPr="00C921DE" w:rsidRDefault="00BE1D6D" w:rsidP="009C32B2">
      <w:pPr>
        <w:spacing w:line="360" w:lineRule="auto"/>
        <w:ind w:firstLine="567"/>
        <w:jc w:val="both"/>
        <w:rPr>
          <w:rFonts w:ascii="GHEA Grapalat" w:hAnsi="GHEA Grapalat"/>
          <w:sz w:val="22"/>
          <w:szCs w:val="22"/>
        </w:rPr>
      </w:pPr>
      <w:r w:rsidRPr="00C921DE">
        <w:rPr>
          <w:rFonts w:ascii="GHEA Grapalat" w:hAnsi="GHEA Grapalat"/>
          <w:sz w:val="22"/>
          <w:szCs w:val="22"/>
        </w:rPr>
        <w:t>Անձնական տվյալների պաշտպանության ոլորտում աջակցություն է ցուցաբեր</w:t>
      </w:r>
      <w:r w:rsidR="0044657C" w:rsidRPr="00C921DE">
        <w:rPr>
          <w:rFonts w:ascii="GHEA Grapalat" w:hAnsi="GHEA Grapalat"/>
          <w:sz w:val="22"/>
          <w:szCs w:val="22"/>
          <w:lang w:val="en-US"/>
        </w:rPr>
        <w:t>վ</w:t>
      </w:r>
      <w:r w:rsidRPr="00C921DE">
        <w:rPr>
          <w:rFonts w:ascii="GHEA Grapalat" w:hAnsi="GHEA Grapalat"/>
          <w:sz w:val="22"/>
          <w:szCs w:val="22"/>
        </w:rPr>
        <w:t>ել</w:t>
      </w:r>
      <w:r w:rsidR="005D36DB" w:rsidRPr="00C921DE">
        <w:rPr>
          <w:rFonts w:ascii="GHEA Grapalat" w:hAnsi="GHEA Grapalat"/>
          <w:sz w:val="22"/>
          <w:szCs w:val="22"/>
        </w:rPr>
        <w:t xml:space="preserve"> </w:t>
      </w:r>
      <w:r w:rsidRPr="00C921DE">
        <w:rPr>
          <w:rFonts w:ascii="GHEA Grapalat" w:hAnsi="GHEA Grapalat"/>
          <w:sz w:val="22"/>
          <w:szCs w:val="22"/>
        </w:rPr>
        <w:t>անձնական տվյալների պաշտպանության լիազոր մարմնի գործառույթների իրականացման, այդ թվում՝ անձնական տվյալների մշակում նախատեսող նոր ընդունվող, ինչպես նաև գործող իրավական ակտերն «Անձնական տվյալների պաշտպանության մասին» ՀՀ օրենքով սահմանված՝ անձնական տվյալների մշակման սկզբունքներին համապատասխանեցման հարցում: Արդյունքում, անձնական տվյալների պաշտպանության լիազոր մարմնի կողմից 2023 թվականի ընթացքում տրվել է 386 խորհրդատվություն, 55 վարչական վարույթ, 28 ուսուցում ընդհանուր շուրջ 750 անձի մասնակցությամբ, 37 ծանուցում</w:t>
      </w:r>
      <w:r w:rsidR="005D36DB" w:rsidRPr="00C921DE">
        <w:rPr>
          <w:rFonts w:ascii="GHEA Grapalat" w:hAnsi="GHEA Grapalat"/>
          <w:sz w:val="22"/>
          <w:szCs w:val="22"/>
        </w:rPr>
        <w:t xml:space="preserve"> </w:t>
      </w:r>
      <w:r w:rsidRPr="00C921DE">
        <w:rPr>
          <w:rFonts w:ascii="GHEA Grapalat" w:hAnsi="GHEA Grapalat"/>
          <w:sz w:val="22"/>
          <w:szCs w:val="22"/>
        </w:rPr>
        <w:t>ներառվել է մշակողների ռեեստր` ի կատարումն «Անձնական տվյալների պաշտպանության մասին» ՀՀ օրենքի 23-րդ հոդվածի պահանջների։</w:t>
      </w:r>
    </w:p>
    <w:p w14:paraId="67B88E7A" w14:textId="77777777" w:rsidR="00BE1D6D" w:rsidRPr="00C921DE" w:rsidRDefault="00BE1D6D" w:rsidP="009C32B2">
      <w:pPr>
        <w:spacing w:line="360" w:lineRule="auto"/>
        <w:ind w:firstLine="567"/>
        <w:jc w:val="both"/>
        <w:rPr>
          <w:rFonts w:ascii="GHEA Grapalat" w:hAnsi="GHEA Grapalat"/>
          <w:sz w:val="22"/>
          <w:szCs w:val="22"/>
        </w:rPr>
      </w:pPr>
      <w:r w:rsidRPr="00C921DE">
        <w:rPr>
          <w:rFonts w:ascii="GHEA Grapalat" w:hAnsi="GHEA Grapalat"/>
          <w:sz w:val="22"/>
          <w:szCs w:val="22"/>
        </w:rPr>
        <w:t>Երեխաների անձնական տվյալների պաշտպանության վերաբերյալ իրազեկման բարձրացման նպատակով անձնական տվյալների պաշտպանության լիազոր մարմնի ներգրավմամբ իրականացվել է 8 ուսուցում շուրջ 450 հոգու համար։</w:t>
      </w:r>
    </w:p>
    <w:p w14:paraId="2E3EB9BC" w14:textId="77777777" w:rsidR="00BE1D6D" w:rsidRPr="00C921DE" w:rsidRDefault="00BE1D6D" w:rsidP="009C32B2">
      <w:pPr>
        <w:spacing w:line="360" w:lineRule="auto"/>
        <w:ind w:firstLine="567"/>
        <w:jc w:val="both"/>
        <w:rPr>
          <w:rFonts w:ascii="GHEA Grapalat" w:hAnsi="GHEA Grapalat"/>
          <w:sz w:val="22"/>
          <w:szCs w:val="22"/>
        </w:rPr>
      </w:pPr>
      <w:r w:rsidRPr="00C921DE">
        <w:rPr>
          <w:rFonts w:ascii="GHEA Grapalat" w:hAnsi="GHEA Grapalat"/>
          <w:sz w:val="22"/>
          <w:szCs w:val="22"/>
        </w:rPr>
        <w:t>Արդարադատության նախարարության «Իրավական կրթության և վերականգնողական ծրագրերի իրականացման կենտրոն» ՊՈԱԿ-ի կողմից իրականացվող՝ քրեակատարողական ծառայողների վերապատրաստման շրջանակում 2023 թվականի անձնական տվյալների պաշտպանության լիազոր մարմնի ներգրավմամբ իրականացվել է 12 ուսուցում</w:t>
      </w:r>
      <w:r w:rsidR="005D36DB" w:rsidRPr="00C921DE">
        <w:rPr>
          <w:rFonts w:ascii="GHEA Grapalat" w:hAnsi="GHEA Grapalat"/>
          <w:sz w:val="22"/>
          <w:szCs w:val="22"/>
        </w:rPr>
        <w:t xml:space="preserve"> </w:t>
      </w:r>
      <w:r w:rsidRPr="00C921DE">
        <w:rPr>
          <w:rFonts w:ascii="GHEA Grapalat" w:hAnsi="GHEA Grapalat"/>
          <w:sz w:val="22"/>
          <w:szCs w:val="22"/>
        </w:rPr>
        <w:t>շուրջ 360 քրեակատարողական ծառայողի համար:</w:t>
      </w:r>
    </w:p>
    <w:p w14:paraId="37682BDA" w14:textId="77777777" w:rsidR="00BE1D6D" w:rsidRPr="00C921DE" w:rsidRDefault="00BE1D6D" w:rsidP="009C32B2">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 xml:space="preserve">«Ինֆորմացիայի ազատության կենտրոն» ՀԿ-ի կողմից բիզնեսի ներկայացուցիչների համար կազմակերպությունների իրական շահառուների պետական գրանցումների համատեքստում </w:t>
      </w:r>
      <w:r w:rsidR="00371DA0" w:rsidRPr="00C921DE">
        <w:rPr>
          <w:rFonts w:ascii="GHEA Grapalat" w:hAnsi="GHEA Grapalat"/>
          <w:sz w:val="22"/>
          <w:szCs w:val="22"/>
          <w:lang w:val="en-US"/>
        </w:rPr>
        <w:t xml:space="preserve">իրականացվել է </w:t>
      </w:r>
      <w:r w:rsidRPr="00C921DE">
        <w:rPr>
          <w:rFonts w:ascii="GHEA Grapalat" w:hAnsi="GHEA Grapalat"/>
          <w:sz w:val="22"/>
          <w:szCs w:val="22"/>
        </w:rPr>
        <w:t>անձնական տվյալների պաշտպանության վերաբերյալ ուսուցումների շարք, որին ընդհանուր թվով մասնակցել է շուրջ 120 ներկայացուցիչ:</w:t>
      </w:r>
    </w:p>
    <w:p w14:paraId="326719C5" w14:textId="77777777" w:rsidR="001C411D" w:rsidRPr="00C921DE" w:rsidRDefault="001C411D" w:rsidP="00BF34F9">
      <w:pPr>
        <w:spacing w:line="360" w:lineRule="auto"/>
        <w:ind w:firstLine="567"/>
        <w:jc w:val="both"/>
        <w:rPr>
          <w:rFonts w:ascii="GHEA Grapalat" w:hAnsi="GHEA Grapalat"/>
          <w:sz w:val="22"/>
          <w:szCs w:val="22"/>
        </w:rPr>
      </w:pPr>
    </w:p>
    <w:p w14:paraId="385470A9" w14:textId="77777777" w:rsidR="00BE1D6D" w:rsidRPr="00C921DE" w:rsidRDefault="00371DA0" w:rsidP="00371DA0">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Իրավական փոխօգնության ոլորտ</w:t>
      </w:r>
    </w:p>
    <w:p w14:paraId="1A72D1EC" w14:textId="77777777" w:rsidR="00BE1D6D" w:rsidRPr="00C921DE" w:rsidRDefault="00BE1D6D" w:rsidP="00371DA0">
      <w:pPr>
        <w:spacing w:line="360" w:lineRule="auto"/>
        <w:ind w:firstLine="567"/>
        <w:jc w:val="both"/>
        <w:rPr>
          <w:rFonts w:ascii="GHEA Grapalat" w:hAnsi="GHEA Grapalat"/>
          <w:sz w:val="22"/>
          <w:szCs w:val="22"/>
        </w:rPr>
      </w:pPr>
      <w:r w:rsidRPr="00C921DE">
        <w:rPr>
          <w:rFonts w:ascii="GHEA Grapalat" w:hAnsi="GHEA Grapalat"/>
          <w:sz w:val="22"/>
          <w:szCs w:val="22"/>
        </w:rPr>
        <w:t>Ուսումնասիրվել են ՀՀ միջազգային պայմանագրերով սահմանված կարգով օտարերկրյա իրավասու մարմինների կողմից ուղարկված դատական հանձնարարությունները, քաղաքացիական և քրեական գործերով իրավական</w:t>
      </w:r>
      <w:r w:rsidR="005D36DB" w:rsidRPr="00C921DE">
        <w:rPr>
          <w:rFonts w:ascii="GHEA Grapalat" w:hAnsi="GHEA Grapalat"/>
          <w:sz w:val="22"/>
          <w:szCs w:val="22"/>
        </w:rPr>
        <w:t xml:space="preserve"> </w:t>
      </w:r>
      <w:r w:rsidRPr="00C921DE">
        <w:rPr>
          <w:rFonts w:ascii="GHEA Grapalat" w:hAnsi="GHEA Grapalat"/>
          <w:sz w:val="22"/>
          <w:szCs w:val="22"/>
        </w:rPr>
        <w:t>օգնության հարցումներին առնչվող փաստաթղթերը, որոնց արդյունքում իրականացվել են ՀՀ համապատասխան իրավասու մարմիններին և դատարաններին դրանց կատարման ուղարկելու աշխատանքները՝ 1647 իրավական օգնության հարցում և դատական հանձնարարություն:</w:t>
      </w:r>
    </w:p>
    <w:p w14:paraId="41EC0BFF" w14:textId="77777777" w:rsidR="00BE1D6D" w:rsidRPr="00C921DE" w:rsidRDefault="00BE1D6D" w:rsidP="00371DA0">
      <w:pPr>
        <w:spacing w:line="360" w:lineRule="auto"/>
        <w:ind w:firstLine="567"/>
        <w:jc w:val="both"/>
        <w:rPr>
          <w:rFonts w:ascii="GHEA Grapalat" w:hAnsi="GHEA Grapalat"/>
          <w:sz w:val="22"/>
          <w:szCs w:val="22"/>
        </w:rPr>
      </w:pPr>
      <w:r w:rsidRPr="00C921DE">
        <w:rPr>
          <w:rFonts w:ascii="GHEA Grapalat" w:hAnsi="GHEA Grapalat"/>
          <w:sz w:val="22"/>
          <w:szCs w:val="22"/>
        </w:rPr>
        <w:t>ՀՀ միջազգային պայմանագրերին համապատասխան իրականացվել են`</w:t>
      </w:r>
    </w:p>
    <w:p w14:paraId="1795177F" w14:textId="77777777" w:rsidR="00BE1D6D" w:rsidRPr="00C921DE" w:rsidRDefault="00BE1D6D" w:rsidP="00371DA0">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օտարերկրյա պետությունների իրավասու մարմիններից հանցագործություն կատարած անձանց հանձնման միջնորդությունների և դրանց կից ներկայացված փաստաթղթերի ուսումնասիրություն, ինչպես նաև օտարերկրյա պետության տարածքում հայտնաբերված</w:t>
      </w:r>
      <w:r w:rsidR="00AE4942" w:rsidRPr="00C921DE">
        <w:rPr>
          <w:rFonts w:ascii="GHEA Grapalat" w:hAnsi="GHEA Grapalat" w:cs="GHEA Grapalat"/>
          <w:bCs/>
          <w:lang w:val="af-ZA"/>
        </w:rPr>
        <w:t>՝</w:t>
      </w:r>
      <w:r w:rsidRPr="00C921DE">
        <w:rPr>
          <w:rFonts w:ascii="GHEA Grapalat" w:hAnsi="GHEA Grapalat" w:cs="GHEA Grapalat"/>
          <w:bCs/>
          <w:lang w:val="af-ZA"/>
        </w:rPr>
        <w:t xml:space="preserve"> ՀՀ իրավասու մարմինների կողմից հետախուզվող անձանց հանձնման աշխատանքների կազմակերպում, արդյունքների ամփոփում, օտարերկրյա պետությունների իրավասու մարմիններին համապատասխան տեղեկատվության տրամադրում՝</w:t>
      </w:r>
      <w:r w:rsidR="00AE4942" w:rsidRPr="00C921DE">
        <w:rPr>
          <w:rFonts w:ascii="GHEA Grapalat" w:hAnsi="GHEA Grapalat" w:cs="GHEA Grapalat"/>
          <w:bCs/>
          <w:lang w:val="af-ZA"/>
        </w:rPr>
        <w:t xml:space="preserve"> 105 գործ.</w:t>
      </w:r>
    </w:p>
    <w:p w14:paraId="4DB31F27" w14:textId="77777777" w:rsidR="00BE1D6D" w:rsidRPr="00C921DE" w:rsidRDefault="00BE1D6D" w:rsidP="00371DA0">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 օտարերկրյա պետություններում պատիժը կրող </w:t>
      </w:r>
      <w:r w:rsidR="00A81889" w:rsidRPr="00C921DE">
        <w:rPr>
          <w:rFonts w:ascii="GHEA Grapalat" w:hAnsi="GHEA Grapalat" w:cs="GHEA Grapalat"/>
          <w:bCs/>
          <w:lang w:val="af-ZA"/>
        </w:rPr>
        <w:t>ՀՀ</w:t>
      </w:r>
      <w:r w:rsidRPr="00C921DE">
        <w:rPr>
          <w:rFonts w:ascii="GHEA Grapalat" w:hAnsi="GHEA Grapalat" w:cs="GHEA Grapalat"/>
          <w:bCs/>
          <w:lang w:val="af-ZA"/>
        </w:rPr>
        <w:t xml:space="preserve"> քաղաքացիների</w:t>
      </w:r>
      <w:r w:rsidR="00AE4942" w:rsidRPr="00C921DE">
        <w:rPr>
          <w:rFonts w:ascii="GHEA Grapalat" w:hAnsi="GHEA Grapalat" w:cs="GHEA Grapalat"/>
          <w:bCs/>
          <w:lang w:val="af-ZA"/>
        </w:rPr>
        <w:t>՝</w:t>
      </w:r>
      <w:r w:rsidRPr="00C921DE">
        <w:rPr>
          <w:rFonts w:ascii="GHEA Grapalat" w:hAnsi="GHEA Grapalat" w:cs="GHEA Grapalat"/>
          <w:bCs/>
          <w:lang w:val="af-ZA"/>
        </w:rPr>
        <w:t xml:space="preserve"> ՀՀ-ում պատիժը կրելու նպատակով դիմումների և ՀՀ-ում պատիժը կրող օտարերկրյա քաղաքացի հանդիսացող դատապարտյալների</w:t>
      </w:r>
      <w:r w:rsidR="00AE4942" w:rsidRPr="00C921DE">
        <w:rPr>
          <w:rFonts w:ascii="GHEA Grapalat" w:hAnsi="GHEA Grapalat" w:cs="GHEA Grapalat"/>
          <w:bCs/>
          <w:lang w:val="af-ZA"/>
        </w:rPr>
        <w:t>՝</w:t>
      </w:r>
      <w:r w:rsidRPr="00C921DE">
        <w:rPr>
          <w:rFonts w:ascii="GHEA Grapalat" w:hAnsi="GHEA Grapalat" w:cs="GHEA Grapalat"/>
          <w:bCs/>
          <w:lang w:val="af-ZA"/>
        </w:rPr>
        <w:t xml:space="preserve"> իրենց քաղաքացիության երկրում պատիժը կրելու նպատակով դիմումների, միջնորդությունների և դրանց կից ներկայացված փաստաթղթերի ուսումնասիրություն և սահմանված կարգով պատասխանների ապահովում՝ 116 գործ</w:t>
      </w:r>
      <w:r w:rsidR="00AE4942" w:rsidRPr="00C921DE">
        <w:rPr>
          <w:rFonts w:ascii="GHEA Grapalat" w:hAnsi="GHEA Grapalat" w:cs="GHEA Grapalat"/>
          <w:bCs/>
          <w:lang w:val="af-ZA"/>
        </w:rPr>
        <w:t>.</w:t>
      </w:r>
    </w:p>
    <w:p w14:paraId="6BBF07F6" w14:textId="77777777" w:rsidR="00BE1D6D" w:rsidRPr="00C921DE" w:rsidRDefault="00AE4942" w:rsidP="00371DA0">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դ</w:t>
      </w:r>
      <w:r w:rsidR="00BE1D6D" w:rsidRPr="00C921DE">
        <w:rPr>
          <w:rFonts w:ascii="GHEA Grapalat" w:hAnsi="GHEA Grapalat" w:cs="GHEA Grapalat"/>
          <w:bCs/>
          <w:lang w:val="af-ZA"/>
        </w:rPr>
        <w:t>ատապարտյալի փոխանցման արդյունքում օտարերկրյա պետության դատարանի կայացրած դատավճռի ճանաչման և կատարման միջնորդության կազմում, ՀՀ իրավասու դատարաններում նշված միջնորդությունների</w:t>
      </w:r>
      <w:r w:rsidRPr="00C921DE">
        <w:rPr>
          <w:rFonts w:ascii="GHEA Grapalat" w:hAnsi="GHEA Grapalat" w:cs="GHEA Grapalat"/>
          <w:bCs/>
          <w:lang w:val="af-ZA"/>
        </w:rPr>
        <w:t xml:space="preserve"> պաշտպանություն, որոնց արդյունք</w:t>
      </w:r>
      <w:r w:rsidR="00BE1D6D" w:rsidRPr="00C921DE">
        <w:rPr>
          <w:rFonts w:ascii="GHEA Grapalat" w:hAnsi="GHEA Grapalat" w:cs="GHEA Grapalat"/>
          <w:bCs/>
          <w:lang w:val="af-ZA"/>
        </w:rPr>
        <w:t>ում ներկայացվել է 6 միջնորդություն</w:t>
      </w:r>
      <w:r w:rsidRPr="00C921DE">
        <w:rPr>
          <w:rFonts w:ascii="GHEA Grapalat" w:hAnsi="GHEA Grapalat" w:cs="GHEA Grapalat"/>
          <w:bCs/>
          <w:lang w:val="af-ZA"/>
        </w:rPr>
        <w:t>,</w:t>
      </w:r>
      <w:r w:rsidR="00BE1D6D" w:rsidRPr="00C921DE">
        <w:rPr>
          <w:rFonts w:ascii="GHEA Grapalat" w:hAnsi="GHEA Grapalat" w:cs="GHEA Grapalat"/>
          <w:bCs/>
          <w:lang w:val="af-ZA"/>
        </w:rPr>
        <w:t xml:space="preserve"> և ՀՀ իրավասու դատարանների կողմից օտարերկրյա պետության իրավասու դատարանի կայացրած դատավճիռ</w:t>
      </w:r>
      <w:r w:rsidRPr="00C921DE">
        <w:rPr>
          <w:rFonts w:ascii="GHEA Grapalat" w:hAnsi="GHEA Grapalat" w:cs="GHEA Grapalat"/>
          <w:bCs/>
          <w:lang w:val="af-ZA"/>
        </w:rPr>
        <w:t>ը</w:t>
      </w:r>
      <w:r w:rsidR="00BE1D6D" w:rsidRPr="00C921DE">
        <w:rPr>
          <w:rFonts w:ascii="GHEA Grapalat" w:hAnsi="GHEA Grapalat" w:cs="GHEA Grapalat"/>
          <w:bCs/>
          <w:lang w:val="af-ZA"/>
        </w:rPr>
        <w:t xml:space="preserve"> </w:t>
      </w:r>
      <w:r w:rsidR="00A81889" w:rsidRPr="00C921DE">
        <w:rPr>
          <w:rFonts w:ascii="GHEA Grapalat" w:hAnsi="GHEA Grapalat" w:cs="GHEA Grapalat"/>
          <w:bCs/>
          <w:lang w:val="af-ZA"/>
        </w:rPr>
        <w:t>ՀՀ-</w:t>
      </w:r>
      <w:r w:rsidR="00BE1D6D" w:rsidRPr="00C921DE">
        <w:rPr>
          <w:rFonts w:ascii="GHEA Grapalat" w:hAnsi="GHEA Grapalat" w:cs="GHEA Grapalat"/>
          <w:bCs/>
          <w:lang w:val="af-ZA"/>
        </w:rPr>
        <w:t>ում ճանաչելու և կատարելու մասին կայացվել է 6 որոշում:</w:t>
      </w:r>
    </w:p>
    <w:p w14:paraId="1AA15EAE" w14:textId="77777777" w:rsidR="00BE1D6D" w:rsidRPr="00C921DE" w:rsidRDefault="00BE1D6D" w:rsidP="00BF34F9">
      <w:pPr>
        <w:spacing w:line="360" w:lineRule="auto"/>
        <w:ind w:firstLine="567"/>
        <w:jc w:val="both"/>
        <w:rPr>
          <w:rFonts w:ascii="GHEA Grapalat" w:hAnsi="GHEA Grapalat"/>
          <w:sz w:val="22"/>
          <w:szCs w:val="22"/>
          <w:lang w:val="en-US"/>
        </w:rPr>
      </w:pPr>
    </w:p>
    <w:p w14:paraId="3BBA0BDC" w14:textId="77777777" w:rsidR="001C411D" w:rsidRPr="00C921DE" w:rsidRDefault="001C411D" w:rsidP="0048614C">
      <w:pPr>
        <w:pStyle w:val="Heading2"/>
        <w:spacing w:before="0"/>
      </w:pPr>
      <w:bookmarkStart w:id="43" w:name="_Toc163745432"/>
      <w:r w:rsidRPr="00C921DE">
        <w:lastRenderedPageBreak/>
        <w:t>Կրթություն</w:t>
      </w:r>
      <w:bookmarkEnd w:id="43"/>
    </w:p>
    <w:p w14:paraId="6B65B7CF" w14:textId="3B7CF502" w:rsidR="0051543C" w:rsidRPr="00C921DE" w:rsidRDefault="0051543C" w:rsidP="002B2FFE">
      <w:pPr>
        <w:spacing w:line="360" w:lineRule="auto"/>
        <w:ind w:firstLine="567"/>
        <w:jc w:val="both"/>
        <w:rPr>
          <w:rFonts w:ascii="GHEA Grapalat" w:hAnsi="GHEA Grapalat"/>
          <w:sz w:val="22"/>
          <w:szCs w:val="22"/>
          <w:lang w:val="en-US"/>
        </w:rPr>
      </w:pPr>
      <w:bookmarkStart w:id="44" w:name="_Toc26174899"/>
      <w:bookmarkStart w:id="45" w:name="_Toc57655428"/>
      <w:r w:rsidRPr="00C921DE">
        <w:rPr>
          <w:rFonts w:ascii="GHEA Grapalat" w:hAnsi="GHEA Grapalat"/>
          <w:sz w:val="22"/>
          <w:szCs w:val="22"/>
        </w:rPr>
        <w:t xml:space="preserve">Կրթության ոլորտի գլխավոր հիմնախնդիրն է միջազգայնորեն ընդունված չափանիշներին համապատասխան որակի ապահովումը: </w:t>
      </w:r>
      <w:r w:rsidR="00061EC7" w:rsidRPr="00C921DE">
        <w:rPr>
          <w:rFonts w:ascii="GHEA Grapalat" w:hAnsi="GHEA Grapalat"/>
          <w:sz w:val="22"/>
          <w:szCs w:val="22"/>
          <w:lang w:val="en-US"/>
        </w:rPr>
        <w:t>Կ</w:t>
      </w:r>
      <w:r w:rsidRPr="00C921DE">
        <w:rPr>
          <w:rFonts w:ascii="GHEA Grapalat" w:hAnsi="GHEA Grapalat"/>
          <w:sz w:val="22"/>
          <w:szCs w:val="22"/>
        </w:rPr>
        <w:t>առավարության ուշադրության կենտրոնում է նաև կրթության ներառականության և մատչելիության բարձրացումը: Այս տեսանկյունից ոլորտային քաղաքականության գերակայությունների շրջանակում իրականացվել են դասավանդող անձնակազմի խրախուսման, ենթակառուցվածքների բարելավման և սովորողների ընդգրկվածության բարձրացմանն ուղղված հետևյալ աշխատանքները</w:t>
      </w:r>
      <w:r w:rsidR="00D673B4" w:rsidRPr="00C921DE">
        <w:rPr>
          <w:rFonts w:ascii="GHEA Grapalat" w:hAnsi="GHEA Grapalat"/>
          <w:sz w:val="22"/>
          <w:szCs w:val="22"/>
          <w:lang w:val="en-US"/>
        </w:rPr>
        <w:t>:</w:t>
      </w:r>
    </w:p>
    <w:p w14:paraId="38496594" w14:textId="77777777" w:rsidR="001C411D" w:rsidRPr="00C921DE" w:rsidRDefault="001C411D" w:rsidP="00B55095">
      <w:pPr>
        <w:spacing w:line="360" w:lineRule="auto"/>
        <w:ind w:firstLine="567"/>
        <w:jc w:val="both"/>
        <w:rPr>
          <w:rFonts w:ascii="GHEA Grapalat" w:hAnsi="GHEA Grapalat"/>
          <w:sz w:val="22"/>
          <w:szCs w:val="22"/>
        </w:rPr>
      </w:pPr>
    </w:p>
    <w:p w14:paraId="72CAAF76" w14:textId="77777777" w:rsidR="0051543C" w:rsidRPr="00C921DE" w:rsidRDefault="0051543C" w:rsidP="00D673B4">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Նախադպրոցական կրթություն</w:t>
      </w:r>
    </w:p>
    <w:p w14:paraId="64BA33C2" w14:textId="43D021B9" w:rsidR="0051543C" w:rsidRPr="00C921DE" w:rsidRDefault="0051543C" w:rsidP="00D673B4">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 հոկտեմբերի 19-ի N 1808-Ն որոշմամբ նախադպրոցական ուսումնական հաստատությունների՝ պետական բյուջեից մեկ սանի հաշվարկով ֆինանսավորման կարգում կատարվել է փոփոխություն, որի արդյունքում ընդլայնվել է թիրախային շահառուների խումբը։</w:t>
      </w:r>
      <w:r w:rsidR="00D673B4" w:rsidRPr="00C921DE">
        <w:rPr>
          <w:rFonts w:ascii="GHEA Grapalat" w:hAnsi="GHEA Grapalat"/>
          <w:sz w:val="22"/>
          <w:szCs w:val="22"/>
        </w:rPr>
        <w:t xml:space="preserve"> </w:t>
      </w:r>
      <w:r w:rsidRPr="00C921DE">
        <w:rPr>
          <w:rFonts w:ascii="GHEA Grapalat" w:hAnsi="GHEA Grapalat"/>
          <w:sz w:val="22"/>
          <w:szCs w:val="22"/>
        </w:rPr>
        <w:t>2024 թվականի սեպտեմբերի 1-ից պետական բյուջեի միջոցների հաշվին անվճար նախադպրոցական կրթություն կստանան նաև ընտանիքի սոցիալական գնահատման համակարգում հաշվառված սոցիալապես անապահով ճանաչված ընտանիքների երեխաները: Բացի դա, ՀՀ բոլոր մարզերում և Երևան քաղաքում նախադպրոցական կրթության ոլորտում անցում է կատարվել համընդհանուր ներառման: 2023 թվականի տարեվերջի դրությամբ մանկապարտեզ է հաճախում և անհրաժեշտ մանկավարժահոգեբանական աջակցություն է ստանում հատուկ կարիք ունեցող 1255 երեխա. նախորդ տարվա համեմատ երեխաների թիվն աճել է ավելի քան 5 անգամ:</w:t>
      </w:r>
    </w:p>
    <w:p w14:paraId="566076E9" w14:textId="77777777" w:rsidR="0051543C" w:rsidRPr="00C921DE" w:rsidRDefault="0051543C" w:rsidP="00D673B4">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նախադպրոցական մանկավարժների մասնագիտական զարգացման ծրա</w:t>
      </w:r>
      <w:r w:rsidR="003D59D3" w:rsidRPr="00C921DE">
        <w:rPr>
          <w:rFonts w:ascii="GHEA Grapalat" w:hAnsi="GHEA Grapalat"/>
          <w:sz w:val="22"/>
          <w:szCs w:val="22"/>
        </w:rPr>
        <w:t>գրերը, վերապատրաստվել է շուրջ 1</w:t>
      </w:r>
      <w:r w:rsidRPr="00C921DE">
        <w:rPr>
          <w:rFonts w:ascii="GHEA Grapalat" w:hAnsi="GHEA Grapalat"/>
          <w:sz w:val="22"/>
          <w:szCs w:val="22"/>
        </w:rPr>
        <w:t>500 մասնագետ: Ներդրվել է մանկապարտեզների մանկավարժական աշխատողների մասնագիտական զարգացման և վարձատրության բարձրացման փոխկապակցված համակարգը՝ տարակարգի տեսքով, որի արդյունքում արդեն կան տարակարգ ունեցող 10 մանկավարժներ։ Տարակարգի շնորհիվ աշխատակիցները ստանում են 30%-ից 50% հավելավճար պետական բյուջեի միջոցներից։</w:t>
      </w:r>
    </w:p>
    <w:p w14:paraId="4DBEB5E4" w14:textId="55AEA571" w:rsidR="0051543C" w:rsidRPr="00C921DE" w:rsidRDefault="0051543C" w:rsidP="00D673B4">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ծրագրով ամրագրված՝ նախադպրոցահասակ երեխաների 85% ընդգրկվածության թիրախն ապահովելու նպատակով շարունակվում է 500 մանկապարտեզի կառուցման, վերակառուցման և հիմնանորոգման ծրագիրը։ 2023 թվականի ավարտի</w:t>
      </w:r>
      <w:r w:rsidR="00D673B4" w:rsidRPr="00C921DE">
        <w:rPr>
          <w:rFonts w:ascii="GHEA Grapalat" w:hAnsi="GHEA Grapalat"/>
          <w:sz w:val="22"/>
          <w:szCs w:val="22"/>
        </w:rPr>
        <w:t xml:space="preserve"> </w:t>
      </w:r>
      <w:r w:rsidRPr="00C921DE">
        <w:rPr>
          <w:rFonts w:ascii="GHEA Grapalat" w:hAnsi="GHEA Grapalat"/>
          <w:sz w:val="22"/>
          <w:szCs w:val="22"/>
        </w:rPr>
        <w:t>դրությամբ</w:t>
      </w:r>
      <w:r w:rsidR="002B1FFE" w:rsidRPr="00C921DE">
        <w:rPr>
          <w:rFonts w:ascii="GHEA Grapalat" w:hAnsi="GHEA Grapalat"/>
          <w:sz w:val="22"/>
          <w:szCs w:val="22"/>
          <w:lang w:val="en-US"/>
        </w:rPr>
        <w:t xml:space="preserve"> </w:t>
      </w:r>
      <w:r w:rsidR="002B1FFE" w:rsidRPr="00C921DE">
        <w:rPr>
          <w:rFonts w:ascii="GHEA Grapalat" w:hAnsi="GHEA Grapalat"/>
          <w:sz w:val="22"/>
          <w:szCs w:val="22"/>
        </w:rPr>
        <w:t>(2021-2023թթ</w:t>
      </w:r>
      <w:r w:rsidR="002B1FFE" w:rsidRPr="00C921DE">
        <w:rPr>
          <w:rFonts w:ascii="Cambria Math" w:hAnsi="Cambria Math" w:cs="Cambria Math"/>
          <w:sz w:val="22"/>
          <w:szCs w:val="22"/>
        </w:rPr>
        <w:t>․</w:t>
      </w:r>
      <w:r w:rsidR="002B1FFE" w:rsidRPr="00C921DE">
        <w:rPr>
          <w:rFonts w:ascii="GHEA Grapalat" w:hAnsi="GHEA Grapalat"/>
          <w:sz w:val="22"/>
          <w:szCs w:val="22"/>
        </w:rPr>
        <w:t>)</w:t>
      </w:r>
      <w:r w:rsidR="009418FF" w:rsidRPr="00C921DE">
        <w:rPr>
          <w:rFonts w:ascii="GHEA Grapalat" w:hAnsi="GHEA Grapalat"/>
          <w:sz w:val="22"/>
          <w:szCs w:val="22"/>
        </w:rPr>
        <w:t xml:space="preserve"> </w:t>
      </w:r>
      <w:r w:rsidRPr="00C921DE">
        <w:rPr>
          <w:rFonts w:ascii="GHEA Grapalat" w:hAnsi="GHEA Grapalat"/>
          <w:sz w:val="22"/>
          <w:szCs w:val="22"/>
        </w:rPr>
        <w:t>14</w:t>
      </w:r>
      <w:r w:rsidR="002B1FFE" w:rsidRPr="00C921DE">
        <w:rPr>
          <w:rFonts w:ascii="GHEA Grapalat" w:hAnsi="GHEA Grapalat"/>
          <w:sz w:val="22"/>
          <w:szCs w:val="22"/>
        </w:rPr>
        <w:t>5</w:t>
      </w:r>
      <w:r w:rsidRPr="00C921DE">
        <w:rPr>
          <w:rFonts w:ascii="GHEA Grapalat" w:hAnsi="GHEA Grapalat"/>
          <w:sz w:val="22"/>
          <w:szCs w:val="22"/>
        </w:rPr>
        <w:t xml:space="preserve"> հաստատություններում</w:t>
      </w:r>
      <w:r w:rsidR="002B1FFE" w:rsidRPr="00C921DE">
        <w:rPr>
          <w:rFonts w:ascii="GHEA Grapalat" w:hAnsi="GHEA Grapalat"/>
          <w:sz w:val="22"/>
          <w:szCs w:val="22"/>
        </w:rPr>
        <w:t xml:space="preserve"> (այդ թվում՝ դպրոցների նախակրթարաններում)</w:t>
      </w:r>
      <w:r w:rsidRPr="00C921DE">
        <w:rPr>
          <w:rFonts w:ascii="GHEA Grapalat" w:hAnsi="GHEA Grapalat"/>
          <w:sz w:val="22"/>
          <w:szCs w:val="22"/>
        </w:rPr>
        <w:t xml:space="preserve"> շինարարական աշխատանքներն ավարտվել են, </w:t>
      </w:r>
      <w:r w:rsidR="002B1FFE" w:rsidRPr="00C921DE">
        <w:rPr>
          <w:rFonts w:ascii="GHEA Grapalat" w:hAnsi="GHEA Grapalat"/>
          <w:sz w:val="22"/>
          <w:szCs w:val="22"/>
        </w:rPr>
        <w:t>295</w:t>
      </w:r>
      <w:r w:rsidRPr="00C921DE">
        <w:rPr>
          <w:rFonts w:ascii="GHEA Grapalat" w:hAnsi="GHEA Grapalat"/>
          <w:sz w:val="22"/>
          <w:szCs w:val="22"/>
        </w:rPr>
        <w:t>-ում՝ ընթացքում են</w:t>
      </w:r>
      <w:r w:rsidR="002B1FFE" w:rsidRPr="00C921DE">
        <w:rPr>
          <w:rFonts w:ascii="GHEA Grapalat" w:hAnsi="GHEA Grapalat"/>
          <w:sz w:val="22"/>
          <w:szCs w:val="22"/>
        </w:rPr>
        <w:t>, ևս 32 հաստատություն գտնվում է նախագծանախահաշվային փաստաթղթերի կազմման փուլում</w:t>
      </w:r>
      <w:r w:rsidRPr="00C921DE">
        <w:rPr>
          <w:rFonts w:ascii="GHEA Grapalat" w:hAnsi="GHEA Grapalat"/>
          <w:sz w:val="22"/>
          <w:szCs w:val="22"/>
        </w:rPr>
        <w:t xml:space="preserve">: Նախադպրոցական </w:t>
      </w:r>
      <w:r w:rsidRPr="00C921DE">
        <w:rPr>
          <w:rFonts w:ascii="GHEA Grapalat" w:hAnsi="GHEA Grapalat"/>
          <w:sz w:val="22"/>
          <w:szCs w:val="22"/>
        </w:rPr>
        <w:lastRenderedPageBreak/>
        <w:t>ծառայություններ կգործեն նաև բոլոր կրթահամալիրներում: Նախադպրոցական ծառայություններ չունեցող բնակավայրերի թիվը հասցված է</w:t>
      </w:r>
      <w:r w:rsidR="00D673B4" w:rsidRPr="00C921DE">
        <w:rPr>
          <w:rFonts w:ascii="GHEA Grapalat" w:hAnsi="GHEA Grapalat"/>
          <w:sz w:val="22"/>
          <w:szCs w:val="22"/>
        </w:rPr>
        <w:t xml:space="preserve"> </w:t>
      </w:r>
      <w:r w:rsidRPr="00C921DE">
        <w:rPr>
          <w:rFonts w:ascii="GHEA Grapalat" w:hAnsi="GHEA Grapalat"/>
          <w:sz w:val="22"/>
          <w:szCs w:val="22"/>
        </w:rPr>
        <w:t>201-ի՝</w:t>
      </w:r>
      <w:r w:rsidR="00D673B4" w:rsidRPr="00C921DE">
        <w:rPr>
          <w:rFonts w:ascii="GHEA Grapalat" w:hAnsi="GHEA Grapalat"/>
          <w:sz w:val="22"/>
          <w:szCs w:val="22"/>
        </w:rPr>
        <w:t xml:space="preserve"> </w:t>
      </w:r>
      <w:r w:rsidRPr="00C921DE">
        <w:rPr>
          <w:rFonts w:ascii="GHEA Grapalat" w:hAnsi="GHEA Grapalat"/>
          <w:sz w:val="22"/>
          <w:szCs w:val="22"/>
        </w:rPr>
        <w:t>2021 թվականի</w:t>
      </w:r>
      <w:r w:rsidR="00D673B4" w:rsidRPr="00C921DE">
        <w:rPr>
          <w:rFonts w:ascii="GHEA Grapalat" w:hAnsi="GHEA Grapalat"/>
          <w:sz w:val="22"/>
          <w:szCs w:val="22"/>
        </w:rPr>
        <w:t xml:space="preserve"> </w:t>
      </w:r>
      <w:r w:rsidRPr="00C921DE">
        <w:rPr>
          <w:rFonts w:ascii="GHEA Grapalat" w:hAnsi="GHEA Grapalat"/>
          <w:sz w:val="22"/>
          <w:szCs w:val="22"/>
        </w:rPr>
        <w:t>229 նախադպրոցական</w:t>
      </w:r>
      <w:r w:rsidR="00D673B4" w:rsidRPr="00C921DE">
        <w:rPr>
          <w:rFonts w:ascii="GHEA Grapalat" w:hAnsi="GHEA Grapalat"/>
          <w:sz w:val="22"/>
          <w:szCs w:val="22"/>
        </w:rPr>
        <w:t xml:space="preserve"> </w:t>
      </w:r>
      <w:r w:rsidRPr="00C921DE">
        <w:rPr>
          <w:rFonts w:ascii="GHEA Grapalat" w:hAnsi="GHEA Grapalat"/>
          <w:sz w:val="22"/>
          <w:szCs w:val="22"/>
        </w:rPr>
        <w:t>ծառայություններ</w:t>
      </w:r>
      <w:r w:rsidR="00D673B4" w:rsidRPr="00C921DE">
        <w:rPr>
          <w:rFonts w:ascii="GHEA Grapalat" w:hAnsi="GHEA Grapalat"/>
          <w:sz w:val="22"/>
          <w:szCs w:val="22"/>
        </w:rPr>
        <w:t xml:space="preserve"> </w:t>
      </w:r>
      <w:r w:rsidRPr="00C921DE">
        <w:rPr>
          <w:rFonts w:ascii="GHEA Grapalat" w:hAnsi="GHEA Grapalat"/>
          <w:sz w:val="22"/>
          <w:szCs w:val="22"/>
        </w:rPr>
        <w:t xml:space="preserve">չունեցող բնակավայրերի թվի նկատմամբ: </w:t>
      </w:r>
    </w:p>
    <w:p w14:paraId="2854BF3A" w14:textId="77777777" w:rsidR="0051543C" w:rsidRPr="00C921DE" w:rsidRDefault="0051543C" w:rsidP="00D673B4">
      <w:pPr>
        <w:spacing w:line="360" w:lineRule="auto"/>
        <w:ind w:firstLine="567"/>
        <w:jc w:val="both"/>
        <w:rPr>
          <w:rFonts w:ascii="GHEA Grapalat" w:hAnsi="GHEA Grapalat"/>
          <w:sz w:val="22"/>
          <w:szCs w:val="22"/>
        </w:rPr>
      </w:pPr>
    </w:p>
    <w:p w14:paraId="5638CDEA" w14:textId="77777777" w:rsidR="0051543C" w:rsidRPr="00C921DE" w:rsidRDefault="0051543C" w:rsidP="008F63D0">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Հանրակրթություն</w:t>
      </w:r>
    </w:p>
    <w:p w14:paraId="5C406C8A" w14:textId="77777777"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2023-2024 ուսումնական տարվանից ՀՀ բոլոր ուսումնական հաստատությունների 2-րդ, 5-րդ և 7-րդ դասարաններում իրականացվել է նոր չափորոշչի ներդրում:</w:t>
      </w:r>
      <w:r w:rsidR="00D673B4" w:rsidRPr="00C921DE">
        <w:rPr>
          <w:rFonts w:ascii="GHEA Grapalat" w:hAnsi="GHEA Grapalat"/>
          <w:sz w:val="22"/>
          <w:szCs w:val="22"/>
        </w:rPr>
        <w:t xml:space="preserve"> </w:t>
      </w:r>
      <w:r w:rsidRPr="00C921DE">
        <w:rPr>
          <w:rFonts w:ascii="GHEA Grapalat" w:hAnsi="GHEA Grapalat"/>
          <w:sz w:val="22"/>
          <w:szCs w:val="22"/>
        </w:rPr>
        <w:t>Արդեն իսկ հաստատվել են</w:t>
      </w:r>
      <w:r w:rsidR="00D673B4" w:rsidRPr="00C921DE">
        <w:rPr>
          <w:rFonts w:ascii="GHEA Grapalat" w:hAnsi="GHEA Grapalat"/>
          <w:sz w:val="22"/>
          <w:szCs w:val="22"/>
        </w:rPr>
        <w:t xml:space="preserve"> </w:t>
      </w:r>
      <w:r w:rsidRPr="00C921DE">
        <w:rPr>
          <w:rFonts w:ascii="GHEA Grapalat" w:hAnsi="GHEA Grapalat"/>
          <w:sz w:val="22"/>
          <w:szCs w:val="22"/>
        </w:rPr>
        <w:t>3-րդ</w:t>
      </w:r>
      <w:r w:rsidR="008F63D0" w:rsidRPr="00C921DE">
        <w:rPr>
          <w:rFonts w:ascii="GHEA Grapalat" w:hAnsi="GHEA Grapalat"/>
          <w:sz w:val="22"/>
          <w:szCs w:val="22"/>
        </w:rPr>
        <w:t>, 6</w:t>
      </w:r>
      <w:r w:rsidR="008F63D0" w:rsidRPr="00C921DE">
        <w:rPr>
          <w:rFonts w:ascii="GHEA Grapalat" w:hAnsi="GHEA Grapalat"/>
          <w:sz w:val="22"/>
          <w:szCs w:val="22"/>
        </w:rPr>
        <w:noBreakHyphen/>
      </w:r>
      <w:r w:rsidRPr="00C921DE">
        <w:rPr>
          <w:rFonts w:ascii="GHEA Grapalat" w:hAnsi="GHEA Grapalat"/>
          <w:sz w:val="22"/>
          <w:szCs w:val="22"/>
        </w:rPr>
        <w:t>րդ, 8-րդ և</w:t>
      </w:r>
      <w:r w:rsidR="00D673B4" w:rsidRPr="00C921DE">
        <w:rPr>
          <w:rFonts w:ascii="GHEA Grapalat" w:hAnsi="GHEA Grapalat"/>
          <w:sz w:val="22"/>
          <w:szCs w:val="22"/>
        </w:rPr>
        <w:t xml:space="preserve"> </w:t>
      </w:r>
      <w:r w:rsidRPr="00C921DE">
        <w:rPr>
          <w:rFonts w:ascii="GHEA Grapalat" w:hAnsi="GHEA Grapalat"/>
          <w:sz w:val="22"/>
          <w:szCs w:val="22"/>
        </w:rPr>
        <w:t>11-րդ դասարանների առարկայական չափորոշիչները և ծրագրերը: Միևնույն ժամանակ, հանրակրթության պետական չափորոշչի ներդրման շրջանակում Տավուշի մարզում գործող հանրակրթական ուսումնական հաստատություններում փորձարկվել են «Մասնագիտական</w:t>
      </w:r>
      <w:r w:rsidR="00D673B4" w:rsidRPr="00C921DE">
        <w:rPr>
          <w:rFonts w:ascii="GHEA Grapalat" w:hAnsi="GHEA Grapalat"/>
          <w:sz w:val="22"/>
          <w:szCs w:val="22"/>
        </w:rPr>
        <w:t xml:space="preserve"> </w:t>
      </w:r>
      <w:r w:rsidRPr="00C921DE">
        <w:rPr>
          <w:rFonts w:ascii="GHEA Grapalat" w:hAnsi="GHEA Grapalat"/>
          <w:sz w:val="22"/>
          <w:szCs w:val="22"/>
        </w:rPr>
        <w:t>կողմնորոշում»</w:t>
      </w:r>
      <w:r w:rsidR="00D673B4" w:rsidRPr="00C921DE">
        <w:rPr>
          <w:rFonts w:ascii="GHEA Grapalat" w:hAnsi="GHEA Grapalat"/>
          <w:sz w:val="22"/>
          <w:szCs w:val="22"/>
        </w:rPr>
        <w:t xml:space="preserve"> </w:t>
      </w:r>
      <w:r w:rsidRPr="00C921DE">
        <w:rPr>
          <w:rFonts w:ascii="GHEA Grapalat" w:hAnsi="GHEA Grapalat"/>
          <w:sz w:val="22"/>
          <w:szCs w:val="22"/>
        </w:rPr>
        <w:t>դասընթացի փորձնական</w:t>
      </w:r>
      <w:r w:rsidR="00D673B4" w:rsidRPr="00C921DE">
        <w:rPr>
          <w:rFonts w:ascii="GHEA Grapalat" w:hAnsi="GHEA Grapalat"/>
          <w:sz w:val="22"/>
          <w:szCs w:val="22"/>
        </w:rPr>
        <w:t xml:space="preserve"> </w:t>
      </w:r>
      <w:r w:rsidRPr="00C921DE">
        <w:rPr>
          <w:rFonts w:ascii="GHEA Grapalat" w:hAnsi="GHEA Grapalat"/>
          <w:sz w:val="22"/>
          <w:szCs w:val="22"/>
        </w:rPr>
        <w:t>չափորոշիչն</w:t>
      </w:r>
      <w:r w:rsidR="00D673B4" w:rsidRPr="00C921DE">
        <w:rPr>
          <w:rFonts w:ascii="GHEA Grapalat" w:hAnsi="GHEA Grapalat"/>
          <w:sz w:val="22"/>
          <w:szCs w:val="22"/>
        </w:rPr>
        <w:t xml:space="preserve"> </w:t>
      </w:r>
      <w:r w:rsidRPr="00C921DE">
        <w:rPr>
          <w:rFonts w:ascii="GHEA Grapalat" w:hAnsi="GHEA Grapalat"/>
          <w:sz w:val="22"/>
          <w:szCs w:val="22"/>
        </w:rPr>
        <w:t>ու ծրագրերը։ Հանրակ</w:t>
      </w:r>
      <w:r w:rsidR="0056200A" w:rsidRPr="00C921DE">
        <w:rPr>
          <w:rFonts w:ascii="GHEA Grapalat" w:hAnsi="GHEA Grapalat"/>
          <w:sz w:val="22"/>
          <w:szCs w:val="22"/>
        </w:rPr>
        <w:t>րթության նոր չափորոշչի համաձայն</w:t>
      </w:r>
      <w:r w:rsidRPr="00C921DE">
        <w:rPr>
          <w:rFonts w:ascii="GHEA Grapalat" w:hAnsi="GHEA Grapalat"/>
          <w:sz w:val="22"/>
          <w:szCs w:val="22"/>
        </w:rPr>
        <w:t xml:space="preserve"> մասնագիտական կողմնորոշման խմբակները գործելու են հանրակրթական բոլոր դպրոցներում՝ 8-11-րդ դասարաններում։</w:t>
      </w:r>
      <w:r w:rsidR="00D673B4" w:rsidRPr="00C921DE">
        <w:rPr>
          <w:rFonts w:ascii="GHEA Grapalat" w:hAnsi="GHEA Grapalat"/>
          <w:sz w:val="22"/>
          <w:szCs w:val="22"/>
        </w:rPr>
        <w:t xml:space="preserve"> </w:t>
      </w:r>
    </w:p>
    <w:p w14:paraId="2E90BE81" w14:textId="1C036338"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Դասավանդող անձնակազմի, մասնավորապես՝ ուսուցիչների, մասնագիտական որակական բարելավման նպատակով ձևավորվել է 55 վերապատրաստման կենտրոն և 38 մենթոր դպրոց:</w:t>
      </w:r>
      <w:r w:rsidR="00D673B4" w:rsidRPr="00C921DE">
        <w:rPr>
          <w:rFonts w:ascii="GHEA Grapalat" w:hAnsi="GHEA Grapalat"/>
          <w:sz w:val="22"/>
          <w:szCs w:val="22"/>
        </w:rPr>
        <w:t xml:space="preserve"> </w:t>
      </w:r>
      <w:r w:rsidRPr="00C921DE">
        <w:rPr>
          <w:rFonts w:ascii="GHEA Grapalat" w:hAnsi="GHEA Grapalat"/>
          <w:sz w:val="22"/>
          <w:szCs w:val="22"/>
        </w:rPr>
        <w:t>2023</w:t>
      </w:r>
      <w:r w:rsidR="0056200A" w:rsidRPr="00C921DE">
        <w:rPr>
          <w:rFonts w:ascii="GHEA Grapalat" w:hAnsi="GHEA Grapalat"/>
          <w:sz w:val="22"/>
          <w:szCs w:val="22"/>
          <w:lang w:val="en-US"/>
        </w:rPr>
        <w:t xml:space="preserve"> </w:t>
      </w:r>
      <w:r w:rsidRPr="00C921DE">
        <w:rPr>
          <w:rFonts w:ascii="GHEA Grapalat" w:hAnsi="GHEA Grapalat"/>
          <w:sz w:val="22"/>
          <w:szCs w:val="22"/>
        </w:rPr>
        <w:t>թ</w:t>
      </w:r>
      <w:r w:rsidR="0056200A" w:rsidRPr="00C921DE">
        <w:rPr>
          <w:rFonts w:ascii="GHEA Grapalat" w:hAnsi="GHEA Grapalat"/>
          <w:sz w:val="22"/>
          <w:szCs w:val="22"/>
          <w:lang w:val="en-US"/>
        </w:rPr>
        <w:t>վականի</w:t>
      </w:r>
      <w:r w:rsidRPr="00C921DE">
        <w:rPr>
          <w:rFonts w:ascii="GHEA Grapalat" w:hAnsi="GHEA Grapalat"/>
          <w:sz w:val="22"/>
          <w:szCs w:val="22"/>
        </w:rPr>
        <w:t xml:space="preserve"> ընթացքում վերապատրաստվել և ատեստավորվել </w:t>
      </w:r>
      <w:r w:rsidR="00253B8A" w:rsidRPr="00C921DE">
        <w:rPr>
          <w:rFonts w:ascii="GHEA Grapalat" w:hAnsi="GHEA Grapalat"/>
          <w:sz w:val="22"/>
          <w:szCs w:val="22"/>
          <w:lang w:val="en-US"/>
        </w:rPr>
        <w:t>է</w:t>
      </w:r>
      <w:r w:rsidRPr="00C921DE">
        <w:rPr>
          <w:rFonts w:ascii="GHEA Grapalat" w:hAnsi="GHEA Grapalat"/>
          <w:sz w:val="22"/>
          <w:szCs w:val="22"/>
        </w:rPr>
        <w:t xml:space="preserve"> 89</w:t>
      </w:r>
      <w:r w:rsidR="00253B8A" w:rsidRPr="00C921DE">
        <w:rPr>
          <w:rFonts w:ascii="GHEA Grapalat" w:hAnsi="GHEA Grapalat"/>
          <w:sz w:val="22"/>
          <w:szCs w:val="22"/>
          <w:lang w:val="en-US"/>
        </w:rPr>
        <w:t>5</w:t>
      </w:r>
      <w:r w:rsidRPr="00C921DE">
        <w:rPr>
          <w:rFonts w:ascii="GHEA Grapalat" w:hAnsi="GHEA Grapalat"/>
          <w:sz w:val="22"/>
          <w:szCs w:val="22"/>
        </w:rPr>
        <w:t>5 ո</w:t>
      </w:r>
      <w:r w:rsidR="00D82904" w:rsidRPr="00C921DE">
        <w:rPr>
          <w:rFonts w:ascii="GHEA Grapalat" w:hAnsi="GHEA Grapalat"/>
          <w:sz w:val="22"/>
          <w:szCs w:val="22"/>
          <w:lang w:val="en-US"/>
        </w:rPr>
        <w:t>ւ</w:t>
      </w:r>
      <w:r w:rsidRPr="00C921DE">
        <w:rPr>
          <w:rFonts w:ascii="GHEA Grapalat" w:hAnsi="GHEA Grapalat"/>
          <w:sz w:val="22"/>
          <w:szCs w:val="22"/>
        </w:rPr>
        <w:t>սուցիչ, կամավոր ատեստավոր</w:t>
      </w:r>
      <w:r w:rsidR="00253B8A" w:rsidRPr="00C921DE">
        <w:rPr>
          <w:rFonts w:ascii="GHEA Grapalat" w:hAnsi="GHEA Grapalat"/>
          <w:sz w:val="22"/>
          <w:szCs w:val="22"/>
          <w:lang w:val="en-US"/>
        </w:rPr>
        <w:t>մանը</w:t>
      </w:r>
      <w:r w:rsidRPr="00C921DE">
        <w:rPr>
          <w:rFonts w:ascii="GHEA Grapalat" w:hAnsi="GHEA Grapalat"/>
          <w:sz w:val="22"/>
          <w:szCs w:val="22"/>
        </w:rPr>
        <w:t xml:space="preserve"> </w:t>
      </w:r>
      <w:r w:rsidR="00253B8A" w:rsidRPr="00C921DE">
        <w:rPr>
          <w:rFonts w:ascii="GHEA Grapalat" w:hAnsi="GHEA Grapalat"/>
          <w:sz w:val="22"/>
          <w:szCs w:val="22"/>
          <w:lang w:val="en-US"/>
        </w:rPr>
        <w:t>մասնակցել</w:t>
      </w:r>
      <w:r w:rsidRPr="00C921DE">
        <w:rPr>
          <w:rFonts w:ascii="GHEA Grapalat" w:hAnsi="GHEA Grapalat"/>
          <w:sz w:val="22"/>
          <w:szCs w:val="22"/>
        </w:rPr>
        <w:t xml:space="preserve"> է </w:t>
      </w:r>
      <w:r w:rsidR="0039567C" w:rsidRPr="00C921DE">
        <w:rPr>
          <w:rFonts w:ascii="GHEA Grapalat" w:hAnsi="GHEA Grapalat"/>
          <w:sz w:val="22"/>
          <w:szCs w:val="22"/>
          <w:lang w:val="en-US"/>
        </w:rPr>
        <w:t>4293</w:t>
      </w:r>
      <w:r w:rsidR="00253B8A" w:rsidRPr="00C921DE">
        <w:rPr>
          <w:rFonts w:ascii="GHEA Grapalat" w:hAnsi="GHEA Grapalat"/>
          <w:sz w:val="22"/>
          <w:szCs w:val="22"/>
          <w:lang w:val="en-US"/>
        </w:rPr>
        <w:t xml:space="preserve"> ուսուցիչ</w:t>
      </w:r>
      <w:r w:rsidR="00253B8A" w:rsidRPr="00C921DE" w:rsidDel="00253B8A">
        <w:rPr>
          <w:rFonts w:ascii="GHEA Grapalat" w:hAnsi="GHEA Grapalat"/>
          <w:sz w:val="22"/>
          <w:szCs w:val="22"/>
        </w:rPr>
        <w:t xml:space="preserve"> </w:t>
      </w:r>
      <w:r w:rsidRPr="00C921DE">
        <w:rPr>
          <w:rFonts w:ascii="GHEA Grapalat" w:hAnsi="GHEA Grapalat"/>
          <w:sz w:val="22"/>
          <w:szCs w:val="22"/>
        </w:rPr>
        <w:t>։</w:t>
      </w:r>
      <w:r w:rsidR="0039567C" w:rsidRPr="00C921DE">
        <w:rPr>
          <w:rFonts w:ascii="GHEA Grapalat" w:hAnsi="GHEA Grapalat"/>
          <w:sz w:val="22"/>
          <w:szCs w:val="22"/>
        </w:rPr>
        <w:t xml:space="preserve"> 2021-2023 թվականների կամավոր ատեստավորման արդյունքում բարձրացված աշխատավարձ է ստանում 3830 ուսուցիչ:</w:t>
      </w:r>
      <w:r w:rsidR="00D673B4" w:rsidRPr="00C921DE">
        <w:rPr>
          <w:rFonts w:ascii="GHEA Grapalat" w:hAnsi="GHEA Grapalat"/>
          <w:sz w:val="22"/>
          <w:szCs w:val="22"/>
        </w:rPr>
        <w:t xml:space="preserve"> </w:t>
      </w:r>
      <w:r w:rsidRPr="00C921DE">
        <w:rPr>
          <w:rFonts w:ascii="GHEA Grapalat" w:hAnsi="GHEA Grapalat"/>
          <w:sz w:val="22"/>
          <w:szCs w:val="22"/>
        </w:rPr>
        <w:t>Ուսուցիչների տարակարգի մեխանիզմը կապակցվել է ուսուցչի դասավանդման հմտություններին, նոր մեխանիզմով տարակարգ է ստացել 101 մանկավարժ, այդ թվում՝ առաջին անգամ ամենաբարձր (չորրորդ աստիճանի տարակարգ)՝ 50% հավելավճարով: Տարակարգի և կամավոր ատեստավորման համակարգերի միջոցով առկա են 400 000-ից մինչև 600 000 դրամ վարձատրությո</w:t>
      </w:r>
      <w:r w:rsidR="0056200A" w:rsidRPr="00C921DE">
        <w:rPr>
          <w:rFonts w:ascii="GHEA Grapalat" w:hAnsi="GHEA Grapalat"/>
          <w:sz w:val="22"/>
          <w:szCs w:val="22"/>
        </w:rPr>
        <w:t xml:space="preserve">ւն ստացող ուսուցիչներ։ 400 000 </w:t>
      </w:r>
      <w:r w:rsidRPr="00C921DE">
        <w:rPr>
          <w:rFonts w:ascii="GHEA Grapalat" w:hAnsi="GHEA Grapalat"/>
          <w:sz w:val="22"/>
          <w:szCs w:val="22"/>
        </w:rPr>
        <w:t>դրամ և ավելի աշխատավարձ է արդեն ստանում շուրջ 220 ուսուցիչ: Մինչև 100 սովորող ունեցող գյուղական դպրոցների 3987 ուսուցչից 2975-ի վարձատրություն</w:t>
      </w:r>
      <w:r w:rsidR="00FA1D6A" w:rsidRPr="00C921DE">
        <w:rPr>
          <w:rFonts w:ascii="GHEA Grapalat" w:hAnsi="GHEA Grapalat"/>
          <w:sz w:val="22"/>
          <w:szCs w:val="22"/>
          <w:lang w:val="en-US"/>
        </w:rPr>
        <w:t>ն</w:t>
      </w:r>
      <w:r w:rsidRPr="00C921DE">
        <w:rPr>
          <w:rFonts w:ascii="GHEA Grapalat" w:hAnsi="GHEA Grapalat"/>
          <w:sz w:val="22"/>
          <w:szCs w:val="22"/>
        </w:rPr>
        <w:t xml:space="preserve"> ավելացել է 0.5 դրույքի չափով, իսկ ԲՏՃ շուրջ 8420 ուսուցչի աշխատավարձ բարձրացել է 25%-ով: </w:t>
      </w:r>
    </w:p>
    <w:p w14:paraId="01E92293" w14:textId="77777777"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Միաժամանակ, իրականացվել են օրենսդրական փոփոխություններ՝ հանրակրթության ոլորտում ուսուցիչների պակասը լրացնելու նպատակով:</w:t>
      </w:r>
      <w:r w:rsidR="00D673B4" w:rsidRPr="00C921DE">
        <w:rPr>
          <w:rFonts w:ascii="GHEA Grapalat" w:hAnsi="GHEA Grapalat"/>
          <w:sz w:val="22"/>
          <w:szCs w:val="22"/>
        </w:rPr>
        <w:t xml:space="preserve"> </w:t>
      </w:r>
      <w:r w:rsidRPr="00C921DE">
        <w:rPr>
          <w:rFonts w:ascii="GHEA Grapalat" w:hAnsi="GHEA Grapalat"/>
          <w:sz w:val="22"/>
          <w:szCs w:val="22"/>
        </w:rPr>
        <w:t xml:space="preserve">Մասնավորապես, հեշտացվել է ԲՏՃՄ առարկաների մասնագիտական ոլորտում բարձրագույն կրթություն ունեցող անձանց մուտքը դպրոց: </w:t>
      </w:r>
    </w:p>
    <w:p w14:paraId="67E00E5B" w14:textId="77777777" w:rsidR="0051543C" w:rsidRPr="00C921DE" w:rsidRDefault="0051543C" w:rsidP="008F63D0">
      <w:pPr>
        <w:spacing w:line="360" w:lineRule="auto"/>
        <w:ind w:firstLine="567"/>
        <w:jc w:val="both"/>
        <w:rPr>
          <w:rFonts w:ascii="GHEA Grapalat" w:hAnsi="GHEA Grapalat"/>
          <w:sz w:val="22"/>
          <w:szCs w:val="22"/>
        </w:rPr>
      </w:pPr>
      <w:r w:rsidRPr="00C921DE">
        <w:rPr>
          <w:rFonts w:ascii="GHEA Grapalat" w:hAnsi="GHEA Grapalat"/>
          <w:sz w:val="22"/>
          <w:szCs w:val="22"/>
        </w:rPr>
        <w:t>ՀՀ կրթության, գիտության, մշակույթի և սպորտի նախա</w:t>
      </w:r>
      <w:r w:rsidR="002163B4" w:rsidRPr="00C921DE">
        <w:rPr>
          <w:rFonts w:ascii="GHEA Grapalat" w:hAnsi="GHEA Grapalat"/>
          <w:sz w:val="22"/>
          <w:szCs w:val="22"/>
        </w:rPr>
        <w:t>րարի՝ 2022 թվականի դեկտեմբերի 7</w:t>
      </w:r>
      <w:r w:rsidR="002163B4" w:rsidRPr="00C921DE">
        <w:rPr>
          <w:rFonts w:ascii="GHEA Grapalat" w:hAnsi="GHEA Grapalat"/>
          <w:sz w:val="22"/>
          <w:szCs w:val="22"/>
        </w:rPr>
        <w:noBreakHyphen/>
      </w:r>
      <w:r w:rsidRPr="00C921DE">
        <w:rPr>
          <w:rFonts w:ascii="GHEA Grapalat" w:hAnsi="GHEA Grapalat"/>
          <w:sz w:val="22"/>
          <w:szCs w:val="22"/>
        </w:rPr>
        <w:t>ի N 79-Ն հրամանով 2023 թվականի սեպտեմբերից ներդրվել է դպրոցների ֆինանսավորման նոր կարգը</w:t>
      </w:r>
      <w:r w:rsidRPr="00C921DE">
        <w:rPr>
          <w:rFonts w:ascii="Cambria Math" w:hAnsi="Cambria Math" w:cs="Cambria Math"/>
          <w:sz w:val="22"/>
          <w:szCs w:val="22"/>
        </w:rPr>
        <w:t>․</w:t>
      </w:r>
      <w:r w:rsidRPr="00C921DE">
        <w:rPr>
          <w:rFonts w:ascii="GHEA Grapalat" w:hAnsi="GHEA Grapalat"/>
          <w:sz w:val="22"/>
          <w:szCs w:val="22"/>
        </w:rPr>
        <w:t xml:space="preserve"> սովորող</w:t>
      </w:r>
      <w:r w:rsidR="002163B4" w:rsidRPr="00C921DE">
        <w:rPr>
          <w:rFonts w:ascii="GHEA Grapalat" w:hAnsi="GHEA Grapalat"/>
          <w:sz w:val="22"/>
          <w:szCs w:val="22"/>
          <w:lang w:val="en-US"/>
        </w:rPr>
        <w:t>ներ</w:t>
      </w:r>
      <w:r w:rsidRPr="00C921DE">
        <w:rPr>
          <w:rFonts w:ascii="GHEA Grapalat" w:hAnsi="GHEA Grapalat"/>
          <w:sz w:val="22"/>
          <w:szCs w:val="22"/>
        </w:rPr>
        <w:t xml:space="preserve">ի թվով ֆինանսավորումից անցում է կատարվել դասարանների թվով </w:t>
      </w:r>
      <w:r w:rsidRPr="00C921DE">
        <w:rPr>
          <w:rFonts w:ascii="GHEA Grapalat" w:hAnsi="GHEA Grapalat"/>
          <w:sz w:val="22"/>
          <w:szCs w:val="22"/>
        </w:rPr>
        <w:lastRenderedPageBreak/>
        <w:t>ֆինանսավորման, էապես ավելացել է կրթության ներառականության ֆինանսավորումը, առանձին ֆինանսավորում է նախատեսվել լաբորատորիաների պահպանման համար։</w:t>
      </w:r>
    </w:p>
    <w:p w14:paraId="1993B8AB" w14:textId="056316D2" w:rsidR="0051543C" w:rsidRPr="00C921DE" w:rsidRDefault="00D82904" w:rsidP="008F63D0">
      <w:pPr>
        <w:spacing w:line="360" w:lineRule="auto"/>
        <w:ind w:firstLine="567"/>
        <w:jc w:val="both"/>
        <w:rPr>
          <w:rFonts w:ascii="GHEA Grapalat" w:hAnsi="GHEA Grapalat"/>
          <w:sz w:val="22"/>
          <w:szCs w:val="22"/>
        </w:rPr>
      </w:pPr>
      <w:r w:rsidRPr="00C921DE">
        <w:rPr>
          <w:rFonts w:ascii="GHEA Grapalat" w:hAnsi="GHEA Grapalat"/>
          <w:sz w:val="22"/>
          <w:szCs w:val="22"/>
          <w:lang w:val="en-US"/>
        </w:rPr>
        <w:t>2021-</w:t>
      </w:r>
      <w:r w:rsidR="0051543C" w:rsidRPr="00C921DE">
        <w:rPr>
          <w:rFonts w:ascii="GHEA Grapalat" w:hAnsi="GHEA Grapalat"/>
          <w:sz w:val="22"/>
          <w:szCs w:val="22"/>
        </w:rPr>
        <w:t>2023 թվական</w:t>
      </w:r>
      <w:r w:rsidRPr="00C921DE">
        <w:rPr>
          <w:rFonts w:ascii="GHEA Grapalat" w:hAnsi="GHEA Grapalat"/>
          <w:sz w:val="22"/>
          <w:szCs w:val="22"/>
          <w:lang w:val="en-US"/>
        </w:rPr>
        <w:t>ներ</w:t>
      </w:r>
      <w:r w:rsidR="0051543C" w:rsidRPr="00C921DE">
        <w:rPr>
          <w:rFonts w:ascii="GHEA Grapalat" w:hAnsi="GHEA Grapalat"/>
          <w:sz w:val="22"/>
          <w:szCs w:val="22"/>
        </w:rPr>
        <w:t xml:space="preserve">ին կառուցվել, </w:t>
      </w:r>
      <w:r w:rsidR="00605166" w:rsidRPr="00C921DE">
        <w:rPr>
          <w:rFonts w:ascii="GHEA Grapalat" w:hAnsi="GHEA Grapalat"/>
          <w:sz w:val="22"/>
          <w:szCs w:val="22"/>
          <w:lang w:val="en-US"/>
        </w:rPr>
        <w:t xml:space="preserve">վերակառուցվել և </w:t>
      </w:r>
      <w:r w:rsidR="0051543C" w:rsidRPr="00C921DE">
        <w:rPr>
          <w:rFonts w:ascii="GHEA Grapalat" w:hAnsi="GHEA Grapalat"/>
          <w:sz w:val="22"/>
          <w:szCs w:val="22"/>
        </w:rPr>
        <w:t>հիմնանորոգվել է</w:t>
      </w:r>
      <w:r w:rsidR="00D673B4" w:rsidRPr="00C921DE">
        <w:rPr>
          <w:rFonts w:ascii="GHEA Grapalat" w:hAnsi="GHEA Grapalat"/>
          <w:sz w:val="22"/>
          <w:szCs w:val="22"/>
        </w:rPr>
        <w:t xml:space="preserve"> </w:t>
      </w:r>
      <w:r w:rsidRPr="00C921DE">
        <w:rPr>
          <w:rFonts w:ascii="GHEA Grapalat" w:hAnsi="GHEA Grapalat"/>
          <w:sz w:val="22"/>
          <w:szCs w:val="22"/>
          <w:lang w:val="en-US"/>
        </w:rPr>
        <w:t>2</w:t>
      </w:r>
      <w:r w:rsidR="00605166" w:rsidRPr="00C921DE">
        <w:rPr>
          <w:rFonts w:ascii="GHEA Grapalat" w:hAnsi="GHEA Grapalat"/>
          <w:sz w:val="22"/>
          <w:szCs w:val="22"/>
          <w:lang w:val="en-US"/>
        </w:rPr>
        <w:t>6</w:t>
      </w:r>
      <w:r w:rsidR="0051543C" w:rsidRPr="00C921DE">
        <w:rPr>
          <w:rFonts w:ascii="GHEA Grapalat" w:hAnsi="GHEA Grapalat"/>
          <w:sz w:val="22"/>
          <w:szCs w:val="22"/>
        </w:rPr>
        <w:t xml:space="preserve"> դպրոց: Շինարարության փուլում է գտնվում </w:t>
      </w:r>
      <w:r w:rsidRPr="00C921DE">
        <w:rPr>
          <w:rFonts w:ascii="GHEA Grapalat" w:hAnsi="GHEA Grapalat"/>
          <w:sz w:val="22"/>
          <w:szCs w:val="22"/>
          <w:lang w:val="en-US"/>
        </w:rPr>
        <w:t>4</w:t>
      </w:r>
      <w:r w:rsidR="00605166" w:rsidRPr="00C921DE">
        <w:rPr>
          <w:rFonts w:ascii="GHEA Grapalat" w:hAnsi="GHEA Grapalat"/>
          <w:sz w:val="22"/>
          <w:szCs w:val="22"/>
          <w:lang w:val="en-US"/>
        </w:rPr>
        <w:t>4</w:t>
      </w:r>
      <w:r w:rsidRPr="00C921DE">
        <w:rPr>
          <w:rFonts w:ascii="GHEA Grapalat" w:hAnsi="GHEA Grapalat"/>
          <w:sz w:val="22"/>
          <w:szCs w:val="22"/>
          <w:lang w:val="en-US"/>
        </w:rPr>
        <w:t xml:space="preserve"> </w:t>
      </w:r>
      <w:r w:rsidR="0051543C" w:rsidRPr="00C921DE">
        <w:rPr>
          <w:rFonts w:ascii="GHEA Grapalat" w:hAnsi="GHEA Grapalat"/>
          <w:sz w:val="22"/>
          <w:szCs w:val="22"/>
        </w:rPr>
        <w:t>դպրոց</w:t>
      </w:r>
      <w:r w:rsidR="00605166" w:rsidRPr="00C921DE">
        <w:rPr>
          <w:rFonts w:ascii="GHEA Grapalat" w:hAnsi="GHEA Grapalat"/>
          <w:sz w:val="22"/>
          <w:szCs w:val="22"/>
          <w:lang w:val="en-US"/>
        </w:rPr>
        <w:t>, իսկ</w:t>
      </w:r>
      <w:r w:rsidR="0051543C" w:rsidRPr="00C921DE">
        <w:rPr>
          <w:rFonts w:ascii="GHEA Grapalat" w:hAnsi="GHEA Grapalat"/>
          <w:sz w:val="22"/>
          <w:szCs w:val="22"/>
        </w:rPr>
        <w:t xml:space="preserve"> </w:t>
      </w:r>
      <w:r w:rsidR="00605166" w:rsidRPr="00C921DE">
        <w:rPr>
          <w:rFonts w:ascii="GHEA Grapalat" w:hAnsi="GHEA Grapalat"/>
          <w:sz w:val="22"/>
          <w:szCs w:val="22"/>
          <w:lang w:val="en-US"/>
        </w:rPr>
        <w:t>ն</w:t>
      </w:r>
      <w:r w:rsidR="0051543C" w:rsidRPr="00C921DE">
        <w:rPr>
          <w:rFonts w:ascii="GHEA Grapalat" w:hAnsi="GHEA Grapalat"/>
          <w:sz w:val="22"/>
          <w:szCs w:val="22"/>
        </w:rPr>
        <w:t xml:space="preserve">ախագծանախահաշվային </w:t>
      </w:r>
      <w:r w:rsidR="00605166" w:rsidRPr="00C921DE">
        <w:rPr>
          <w:rFonts w:ascii="GHEA Grapalat" w:hAnsi="GHEA Grapalat"/>
          <w:sz w:val="22"/>
          <w:szCs w:val="22"/>
        </w:rPr>
        <w:t>փաստաթղթերի կազմման</w:t>
      </w:r>
      <w:r w:rsidR="00605166" w:rsidRPr="00C921DE">
        <w:rPr>
          <w:rFonts w:ascii="GHEA Grapalat" w:hAnsi="GHEA Grapalat"/>
          <w:i/>
        </w:rPr>
        <w:t xml:space="preserve"> </w:t>
      </w:r>
      <w:r w:rsidR="0051543C" w:rsidRPr="00C921DE">
        <w:rPr>
          <w:rFonts w:ascii="GHEA Grapalat" w:hAnsi="GHEA Grapalat"/>
          <w:sz w:val="22"/>
          <w:szCs w:val="22"/>
        </w:rPr>
        <w:t>փուլում</w:t>
      </w:r>
      <w:r w:rsidR="00605166" w:rsidRPr="00C921DE">
        <w:rPr>
          <w:rFonts w:ascii="GHEA Grapalat" w:hAnsi="GHEA Grapalat"/>
          <w:sz w:val="22"/>
          <w:szCs w:val="22"/>
          <w:lang w:val="en-US"/>
        </w:rPr>
        <w:t>՝</w:t>
      </w:r>
      <w:r w:rsidR="0051543C" w:rsidRPr="00C921DE">
        <w:rPr>
          <w:rFonts w:ascii="GHEA Grapalat" w:hAnsi="GHEA Grapalat"/>
          <w:sz w:val="22"/>
          <w:szCs w:val="22"/>
        </w:rPr>
        <w:t xml:space="preserve"> 21 դպրոց: </w:t>
      </w:r>
      <w:r w:rsidR="00605166" w:rsidRPr="00C921DE">
        <w:rPr>
          <w:rFonts w:ascii="GHEA Grapalat" w:hAnsi="GHEA Grapalat"/>
          <w:sz w:val="22"/>
          <w:szCs w:val="22"/>
          <w:lang w:val="en-US"/>
        </w:rPr>
        <w:t>Գ</w:t>
      </w:r>
      <w:r w:rsidR="0051543C" w:rsidRPr="00C921DE">
        <w:rPr>
          <w:rFonts w:ascii="GHEA Grapalat" w:hAnsi="GHEA Grapalat"/>
          <w:sz w:val="22"/>
          <w:szCs w:val="22"/>
        </w:rPr>
        <w:t>ույքով ապահո</w:t>
      </w:r>
      <w:r w:rsidR="002163B4" w:rsidRPr="00C921DE">
        <w:rPr>
          <w:rFonts w:ascii="GHEA Grapalat" w:hAnsi="GHEA Grapalat"/>
          <w:sz w:val="22"/>
          <w:szCs w:val="22"/>
          <w:lang w:val="en-US"/>
        </w:rPr>
        <w:t>վ</w:t>
      </w:r>
      <w:r w:rsidRPr="00C921DE">
        <w:rPr>
          <w:rFonts w:ascii="GHEA Grapalat" w:hAnsi="GHEA Grapalat"/>
          <w:sz w:val="22"/>
          <w:szCs w:val="22"/>
        </w:rPr>
        <w:t>վել է 24</w:t>
      </w:r>
      <w:r w:rsidR="00605166" w:rsidRPr="00C921DE">
        <w:rPr>
          <w:rFonts w:ascii="GHEA Grapalat" w:hAnsi="GHEA Grapalat"/>
          <w:sz w:val="22"/>
          <w:szCs w:val="22"/>
          <w:lang w:val="en-US"/>
        </w:rPr>
        <w:t xml:space="preserve"> դպրոց, ինչպես նաև 29 դպրոցի</w:t>
      </w:r>
      <w:r w:rsidRPr="00C921DE">
        <w:rPr>
          <w:rFonts w:ascii="GHEA Grapalat" w:hAnsi="GHEA Grapalat"/>
          <w:sz w:val="22"/>
          <w:szCs w:val="22"/>
        </w:rPr>
        <w:t xml:space="preserve"> մարզադահլիճ:</w:t>
      </w:r>
    </w:p>
    <w:p w14:paraId="5320290C" w14:textId="77777777" w:rsidR="008F63D0" w:rsidRPr="00C921DE" w:rsidRDefault="008F63D0" w:rsidP="008F63D0">
      <w:pPr>
        <w:spacing w:line="360" w:lineRule="auto"/>
        <w:ind w:firstLine="567"/>
        <w:jc w:val="both"/>
        <w:rPr>
          <w:rFonts w:ascii="GHEA Grapalat" w:hAnsi="GHEA Grapalat"/>
          <w:sz w:val="22"/>
          <w:szCs w:val="22"/>
        </w:rPr>
      </w:pPr>
    </w:p>
    <w:p w14:paraId="13D3A2A7" w14:textId="77777777" w:rsidR="0051543C" w:rsidRPr="00C921DE" w:rsidRDefault="0051543C" w:rsidP="002163B4">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Նախնական (արհեստա</w:t>
      </w:r>
      <w:r w:rsidRPr="00C921DE">
        <w:rPr>
          <w:rFonts w:ascii="GHEA Grapalat" w:hAnsi="GHEA Grapalat"/>
          <w:sz w:val="22"/>
          <w:szCs w:val="22"/>
          <w:u w:val="single"/>
        </w:rPr>
        <w:softHyphen/>
        <w:t>գործական) և միջին մասնագիտական կրթություն</w:t>
      </w:r>
    </w:p>
    <w:p w14:paraId="3913ACB9" w14:textId="77777777" w:rsidR="0051543C"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Նախնական (արհեստա</w:t>
      </w:r>
      <w:r w:rsidRPr="00C921DE">
        <w:rPr>
          <w:rFonts w:ascii="GHEA Grapalat" w:hAnsi="GHEA Grapalat"/>
          <w:sz w:val="22"/>
          <w:szCs w:val="22"/>
        </w:rPr>
        <w:softHyphen/>
        <w:t>գործական) և միջին մասնագիտական պե</w:t>
      </w:r>
      <w:r w:rsidRPr="00C921DE">
        <w:rPr>
          <w:rFonts w:ascii="GHEA Grapalat" w:hAnsi="GHEA Grapalat"/>
          <w:sz w:val="22"/>
          <w:szCs w:val="22"/>
        </w:rPr>
        <w:softHyphen/>
        <w:t>տա</w:t>
      </w:r>
      <w:r w:rsidRPr="00C921DE">
        <w:rPr>
          <w:rFonts w:ascii="GHEA Grapalat" w:hAnsi="GHEA Grapalat"/>
          <w:sz w:val="22"/>
          <w:szCs w:val="22"/>
        </w:rPr>
        <w:softHyphen/>
        <w:t>կան ուսումնական հաստատությունների և դրանցում իրականաց</w:t>
      </w:r>
      <w:r w:rsidRPr="00C921DE">
        <w:rPr>
          <w:rFonts w:ascii="GHEA Grapalat" w:hAnsi="GHEA Grapalat"/>
          <w:sz w:val="22"/>
          <w:szCs w:val="22"/>
        </w:rPr>
        <w:softHyphen/>
        <w:t>վող ծրագրերի տեղա</w:t>
      </w:r>
      <w:r w:rsidRPr="00C921DE">
        <w:rPr>
          <w:rFonts w:ascii="GHEA Grapalat" w:hAnsi="GHEA Grapalat"/>
          <w:sz w:val="22"/>
          <w:szCs w:val="22"/>
        </w:rPr>
        <w:softHyphen/>
      </w:r>
      <w:r w:rsidR="002163B4" w:rsidRPr="00C921DE">
        <w:rPr>
          <w:rFonts w:ascii="GHEA Grapalat" w:hAnsi="GHEA Grapalat"/>
          <w:sz w:val="22"/>
          <w:szCs w:val="22"/>
        </w:rPr>
        <w:t>բաշխման ռացիոնալա</w:t>
      </w:r>
      <w:r w:rsidR="002163B4" w:rsidRPr="00C921DE">
        <w:rPr>
          <w:rFonts w:ascii="GHEA Grapalat" w:hAnsi="GHEA Grapalat"/>
          <w:sz w:val="22"/>
          <w:szCs w:val="22"/>
        </w:rPr>
        <w:softHyphen/>
        <w:t>ցման նպատակով</w:t>
      </w:r>
      <w:r w:rsidR="00D673B4" w:rsidRPr="00C921DE">
        <w:rPr>
          <w:rFonts w:ascii="GHEA Grapalat" w:hAnsi="GHEA Grapalat"/>
          <w:sz w:val="22"/>
          <w:szCs w:val="22"/>
        </w:rPr>
        <w:t xml:space="preserve"> </w:t>
      </w:r>
      <w:r w:rsidRPr="00C921DE">
        <w:rPr>
          <w:rFonts w:ascii="GHEA Grapalat" w:hAnsi="GHEA Grapalat"/>
          <w:sz w:val="22"/>
          <w:szCs w:val="22"/>
        </w:rPr>
        <w:t>իրականացվել է ՆՄՄԿ հաստատությունների վերակազմակերպում և դրանցում ուսուցանվող մասնագիտությունների ու որակավորումների վերանայման գործընթաց՝ ելնելով մարզի զարգացման առանձնահատկությունից և աշխատաշուկայի կարիքից:</w:t>
      </w:r>
      <w:r w:rsidR="00D673B4" w:rsidRPr="00C921DE">
        <w:rPr>
          <w:rFonts w:ascii="GHEA Grapalat" w:hAnsi="GHEA Grapalat"/>
          <w:sz w:val="22"/>
          <w:szCs w:val="22"/>
        </w:rPr>
        <w:t xml:space="preserve"> </w:t>
      </w:r>
      <w:r w:rsidRPr="00C921DE">
        <w:rPr>
          <w:rFonts w:ascii="GHEA Grapalat" w:hAnsi="GHEA Grapalat"/>
          <w:sz w:val="22"/>
          <w:szCs w:val="22"/>
        </w:rPr>
        <w:t xml:space="preserve">Մասնագիտությունների ցանկը կհստակեցվի վերանայման աշխատանքների ամփոփումից ու կարիքի գնահատումից հետո։ </w:t>
      </w:r>
    </w:p>
    <w:p w14:paraId="42D5F6B2" w14:textId="02346741" w:rsidR="0051543C"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հաստատվել են 18 մասնագիտությունների պետական կրթական չափորոշիչներ, մշակվել են նաև դրանց մոդուլային ծրագրերը, որոնք 2024-2025 ուսումնական տարում փորձնական կներդրվեն ՆՄՄԿ ուսումնական հաստատություններում, վերանայվել են 12 մասնագիտությունների պետական կրթական չափորոշիչներ:</w:t>
      </w:r>
      <w:r w:rsidR="00D673B4" w:rsidRPr="00C921DE">
        <w:rPr>
          <w:rFonts w:ascii="GHEA Grapalat" w:hAnsi="GHEA Grapalat"/>
          <w:sz w:val="22"/>
          <w:szCs w:val="22"/>
        </w:rPr>
        <w:t xml:space="preserve"> </w:t>
      </w:r>
      <w:r w:rsidRPr="00C921DE">
        <w:rPr>
          <w:rFonts w:ascii="GHEA Grapalat" w:hAnsi="GHEA Grapalat"/>
          <w:sz w:val="22"/>
          <w:szCs w:val="22"/>
        </w:rPr>
        <w:t>2023</w:t>
      </w:r>
      <w:r w:rsidR="002B12FF" w:rsidRPr="00C921DE">
        <w:rPr>
          <w:rFonts w:ascii="GHEA Grapalat" w:hAnsi="GHEA Grapalat"/>
          <w:sz w:val="22"/>
          <w:szCs w:val="22"/>
          <w:lang w:val="en-US"/>
        </w:rPr>
        <w:t xml:space="preserve"> </w:t>
      </w:r>
      <w:r w:rsidRPr="00C921DE">
        <w:rPr>
          <w:rFonts w:ascii="GHEA Grapalat" w:hAnsi="GHEA Grapalat"/>
          <w:sz w:val="22"/>
          <w:szCs w:val="22"/>
        </w:rPr>
        <w:t>թ</w:t>
      </w:r>
      <w:r w:rsidR="002B12FF" w:rsidRPr="00C921DE">
        <w:rPr>
          <w:rFonts w:ascii="GHEA Grapalat" w:hAnsi="GHEA Grapalat"/>
          <w:sz w:val="22"/>
          <w:szCs w:val="22"/>
          <w:lang w:val="en-US"/>
        </w:rPr>
        <w:t>վականի</w:t>
      </w:r>
      <w:r w:rsidRPr="00C921DE">
        <w:rPr>
          <w:rFonts w:ascii="GHEA Grapalat" w:hAnsi="GHEA Grapalat"/>
          <w:sz w:val="22"/>
          <w:szCs w:val="22"/>
        </w:rPr>
        <w:t xml:space="preserve"> դրությամբ մշակված և վերանայված կրթական չափորոշիչների ընդհանուր թիվը հասցված է 362-ի: </w:t>
      </w:r>
    </w:p>
    <w:p w14:paraId="5CB47A04" w14:textId="77777777" w:rsidR="00CA685F"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Միջին մասնագիտական կրթության ոլորտում 2023-2024 ուսումնական տարվա համար պետության համար առաջնահերթ նշանակություն ունեցող ոլորտներում (գյուղատնտեսություն, շինարարություն, արդյունաբերություն) նախատեսվել է առաջին կուրսում տրամադրել 50000 դրամի չափով կրթաթոշակ, իսկ հաջորդ կուրսերում նախորդ ուսումնական տարվա արդյունքներից կախված՝ 40-50 հազար դրամի</w:t>
      </w:r>
      <w:r w:rsidR="00D673B4" w:rsidRPr="00C921DE">
        <w:rPr>
          <w:rFonts w:ascii="GHEA Grapalat" w:hAnsi="GHEA Grapalat"/>
          <w:sz w:val="22"/>
          <w:szCs w:val="22"/>
        </w:rPr>
        <w:t xml:space="preserve"> </w:t>
      </w:r>
      <w:r w:rsidRPr="00C921DE">
        <w:rPr>
          <w:rFonts w:ascii="GHEA Grapalat" w:hAnsi="GHEA Grapalat"/>
          <w:sz w:val="22"/>
          <w:szCs w:val="22"/>
        </w:rPr>
        <w:t>չափով:</w:t>
      </w:r>
    </w:p>
    <w:p w14:paraId="2565DB10" w14:textId="76BFEEC9" w:rsidR="0051543C" w:rsidRPr="00C921DE" w:rsidRDefault="0051543C" w:rsidP="002163B4">
      <w:pPr>
        <w:spacing w:line="360" w:lineRule="auto"/>
        <w:ind w:firstLine="567"/>
        <w:jc w:val="both"/>
        <w:rPr>
          <w:rFonts w:ascii="GHEA Grapalat" w:hAnsi="GHEA Grapalat"/>
          <w:sz w:val="22"/>
          <w:szCs w:val="22"/>
        </w:rPr>
      </w:pPr>
      <w:r w:rsidRPr="00C921DE">
        <w:rPr>
          <w:rFonts w:ascii="GHEA Grapalat" w:hAnsi="GHEA Grapalat"/>
          <w:sz w:val="22"/>
          <w:szCs w:val="22"/>
        </w:rPr>
        <w:t>Օրենսդրությամբ սահմանված խոցելի խմբերի ուսանողների համար գերազանց առաջադիմության դեպքում կտրամադրվի 25000 դրամի չափով կրթաթոշակ:</w:t>
      </w:r>
    </w:p>
    <w:p w14:paraId="4F91CAD4" w14:textId="77777777" w:rsidR="0051543C" w:rsidRPr="00C921DE" w:rsidRDefault="0051543C" w:rsidP="002163B4">
      <w:pPr>
        <w:spacing w:line="360" w:lineRule="auto"/>
        <w:ind w:firstLine="567"/>
        <w:jc w:val="both"/>
        <w:rPr>
          <w:rFonts w:ascii="GHEA Grapalat" w:hAnsi="GHEA Grapalat"/>
          <w:sz w:val="22"/>
          <w:szCs w:val="22"/>
        </w:rPr>
      </w:pPr>
    </w:p>
    <w:p w14:paraId="271F14F0" w14:textId="77777777" w:rsidR="0051543C" w:rsidRPr="00C921DE" w:rsidRDefault="0051543C" w:rsidP="002B12FF">
      <w:pPr>
        <w:spacing w:line="360" w:lineRule="auto"/>
        <w:ind w:firstLine="567"/>
        <w:jc w:val="both"/>
        <w:rPr>
          <w:rFonts w:ascii="GHEA Grapalat" w:hAnsi="GHEA Grapalat"/>
          <w:sz w:val="22"/>
          <w:szCs w:val="22"/>
          <w:u w:val="single"/>
        </w:rPr>
      </w:pPr>
      <w:r w:rsidRPr="00C921DE">
        <w:rPr>
          <w:rFonts w:ascii="GHEA Grapalat" w:hAnsi="GHEA Grapalat"/>
          <w:sz w:val="22"/>
          <w:szCs w:val="22"/>
          <w:u w:val="single"/>
        </w:rPr>
        <w:t>Բարձրագույն կրթություն</w:t>
      </w:r>
    </w:p>
    <w:p w14:paraId="6E730092"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Բարձրագույն կրթության ոլորտում իրականացված աշխատանքներ</w:t>
      </w:r>
      <w:r w:rsidR="002B12FF" w:rsidRPr="00C921DE">
        <w:rPr>
          <w:rFonts w:ascii="GHEA Grapalat" w:hAnsi="GHEA Grapalat"/>
          <w:sz w:val="22"/>
          <w:szCs w:val="22"/>
          <w:lang w:val="en-US"/>
        </w:rPr>
        <w:t>ն</w:t>
      </w:r>
      <w:r w:rsidRPr="00C921DE">
        <w:rPr>
          <w:rFonts w:ascii="GHEA Grapalat" w:hAnsi="GHEA Grapalat"/>
          <w:sz w:val="22"/>
          <w:szCs w:val="22"/>
        </w:rPr>
        <w:t xml:space="preserve"> ուղղված են եղել</w:t>
      </w:r>
      <w:r w:rsidR="00D673B4" w:rsidRPr="00C921DE">
        <w:rPr>
          <w:rFonts w:ascii="GHEA Grapalat" w:hAnsi="GHEA Grapalat"/>
          <w:sz w:val="22"/>
          <w:szCs w:val="22"/>
        </w:rPr>
        <w:t xml:space="preserve"> </w:t>
      </w:r>
      <w:r w:rsidRPr="00C921DE">
        <w:rPr>
          <w:rFonts w:ascii="GHEA Grapalat" w:hAnsi="GHEA Grapalat"/>
          <w:sz w:val="22"/>
          <w:szCs w:val="22"/>
        </w:rPr>
        <w:t xml:space="preserve">կրթական միջավայրի բարելավմանը, խոցելի խմբերի երիտասարդների ընդգրկվածության մեծացմանը, մասնագիտական կրթության՝ պետական բյուջեից ֆինանսավորվող տեղերի թվի ավելացմանը, ինչպես նաև ուսման վարձի զեղչային համակարգից օգտվող շահառուների խմբերը: </w:t>
      </w:r>
    </w:p>
    <w:p w14:paraId="4CE9C285" w14:textId="27D1FFA1"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ՀՀ կառավարության 2023 թվականի հոկտեմբերի 19-ի N 1802-Լ որոշմամբ հաստատվել է Ակադեմ</w:t>
      </w:r>
      <w:r w:rsidR="007A607B" w:rsidRPr="00C921DE">
        <w:rPr>
          <w:rFonts w:ascii="GHEA Grapalat" w:hAnsi="GHEA Grapalat"/>
          <w:sz w:val="22"/>
          <w:szCs w:val="22"/>
        </w:rPr>
        <w:t>իական քաղաքի հայեցակարգը, որից</w:t>
      </w:r>
      <w:r w:rsidRPr="00C921DE">
        <w:rPr>
          <w:rFonts w:ascii="GHEA Grapalat" w:hAnsi="GHEA Grapalat"/>
          <w:sz w:val="22"/>
          <w:szCs w:val="22"/>
        </w:rPr>
        <w:t xml:space="preserve"> բխող միջոցառումների իրականացման նպատակով ստեղծվել է «Ակադեմիական քաղաք» հիմնադրամը»: </w:t>
      </w:r>
      <w:r w:rsidR="00F0083B" w:rsidRPr="00C921DE">
        <w:rPr>
          <w:rFonts w:ascii="GHEA Grapalat" w:hAnsi="GHEA Grapalat"/>
          <w:sz w:val="22"/>
          <w:szCs w:val="22"/>
        </w:rPr>
        <w:t>2023 թվականին մեկնարկել են Ակադեմիական քաղաքի նախագծման աշխատանքները:</w:t>
      </w:r>
    </w:p>
    <w:p w14:paraId="3ED84E4B"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Պետության համար առաջնահերթ և կարևորություն ներկայացնող մասնագիտություններով սովորողների ներգրավելու նպատակով ՀՀ կառավարության 2023 թվականի օգոստոսի 24-ի N</w:t>
      </w:r>
      <w:r w:rsidR="00BB4BC3" w:rsidRPr="00C921DE">
        <w:rPr>
          <w:rFonts w:ascii="GHEA Grapalat" w:hAnsi="GHEA Grapalat"/>
          <w:sz w:val="22"/>
          <w:szCs w:val="22"/>
        </w:rPr>
        <w:t xml:space="preserve"> 1430</w:t>
      </w:r>
      <w:r w:rsidR="00BB4BC3" w:rsidRPr="00C921DE">
        <w:rPr>
          <w:rFonts w:ascii="GHEA Grapalat" w:hAnsi="GHEA Grapalat"/>
          <w:sz w:val="22"/>
          <w:szCs w:val="22"/>
        </w:rPr>
        <w:noBreakHyphen/>
      </w:r>
      <w:r w:rsidRPr="00C921DE">
        <w:rPr>
          <w:rFonts w:ascii="GHEA Grapalat" w:hAnsi="GHEA Grapalat"/>
          <w:sz w:val="22"/>
          <w:szCs w:val="22"/>
        </w:rPr>
        <w:t xml:space="preserve">Ն </w:t>
      </w:r>
      <w:r w:rsidR="00BB4BC3" w:rsidRPr="00C921DE">
        <w:rPr>
          <w:rFonts w:ascii="GHEA Grapalat" w:hAnsi="GHEA Grapalat"/>
          <w:sz w:val="22"/>
          <w:szCs w:val="22"/>
        </w:rPr>
        <w:t>որոշմամբ վերասահմանվել են</w:t>
      </w:r>
      <w:r w:rsidRPr="00C921DE">
        <w:rPr>
          <w:rFonts w:ascii="GHEA Grapalat" w:hAnsi="GHEA Grapalat"/>
          <w:sz w:val="22"/>
          <w:szCs w:val="22"/>
        </w:rPr>
        <w:t xml:space="preserve"> առկա ուսուցմամբ սովորողներին տրվող պետական կրթաթոշակի չափերը՝ պետության համար առաջնային և կարևորություն ներկայացնող մասնագիտություններով՝ 2023-2024 ուսումնական տարվանից առաջին կուրսում՝ 70 000 դրամ, հաջորդ կուրսերում նախորդ ուսումնական տարվա արդյունքներից կախված</w:t>
      </w:r>
      <w:r w:rsidR="00BB4BC3" w:rsidRPr="00C921DE">
        <w:rPr>
          <w:rFonts w:ascii="GHEA Grapalat" w:hAnsi="GHEA Grapalat"/>
          <w:sz w:val="22"/>
          <w:szCs w:val="22"/>
          <w:lang w:val="en-US"/>
        </w:rPr>
        <w:t>՝</w:t>
      </w:r>
      <w:r w:rsidRPr="00C921DE">
        <w:rPr>
          <w:rFonts w:ascii="GHEA Grapalat" w:hAnsi="GHEA Grapalat"/>
          <w:sz w:val="22"/>
          <w:szCs w:val="22"/>
        </w:rPr>
        <w:t xml:space="preserve"> մինչև 77 000 դրամ: «Հաշմանդամություն ունեցող անձանց իրավունքների մասին» օրենքով նախատեսված ֆունկցիոնալության ծանր կամ խորը աստիճանի սահմանափակում ունեցող, առկա ուսուցմամբ սովորողների կրթաթոշակը սահմանվել է 50 000 դրամ:</w:t>
      </w:r>
    </w:p>
    <w:p w14:paraId="0B407541"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ԲՏՃՄ մասնագիտությունների գծով 2023-2024 ուստարվա համար լրացուցիչ 100 տեղով ավելացվել է բակալավրի կրթական ծրագրով ընդունելության համար նախատեսվող պետության կողմից ֆինանսավորվող տեղերի թիվը` կազմելով պետական ֆինանսավորմամբ տեղերի ավելի քան 55%-ը:</w:t>
      </w:r>
    </w:p>
    <w:p w14:paraId="42DF0891"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առաջին անգամ ընդունելության քննություններն անց են կացվել երկու փուլով՝ նվազեցնելով քննական սթրեսը և լարվածությունը, ինչպես նաև հնարավորություն ընձեռելով դիմորդներին լավագույնս դրսևորել իրենց կարողությունները:</w:t>
      </w:r>
    </w:p>
    <w:p w14:paraId="0158873C"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2023-2024 ուսումնական տարում գրանցվել է ՀՀ բուհերում սովորող օտարերկրյա ուսանողների թվ</w:t>
      </w:r>
      <w:r w:rsidR="00BB4BC3" w:rsidRPr="00C921DE">
        <w:rPr>
          <w:rFonts w:ascii="GHEA Grapalat" w:hAnsi="GHEA Grapalat"/>
          <w:sz w:val="22"/>
          <w:szCs w:val="22"/>
        </w:rPr>
        <w:t>ի շուրջ 8.</w:t>
      </w:r>
      <w:r w:rsidR="001067F3" w:rsidRPr="00C921DE">
        <w:rPr>
          <w:rFonts w:ascii="GHEA Grapalat" w:hAnsi="GHEA Grapalat"/>
          <w:sz w:val="22"/>
          <w:szCs w:val="22"/>
        </w:rPr>
        <w:t>4% աճ,</w:t>
      </w:r>
      <w:r w:rsidRPr="00C921DE">
        <w:rPr>
          <w:rFonts w:ascii="GHEA Grapalat" w:hAnsi="GHEA Grapalat"/>
          <w:sz w:val="22"/>
          <w:szCs w:val="22"/>
        </w:rPr>
        <w:t xml:space="preserve"> 8333 ուսանողից 4</w:t>
      </w:r>
      <w:r w:rsidR="001067F3" w:rsidRPr="00C921DE">
        <w:rPr>
          <w:rFonts w:ascii="GHEA Grapalat" w:hAnsi="GHEA Grapalat"/>
          <w:sz w:val="22"/>
          <w:szCs w:val="22"/>
        </w:rPr>
        <w:t>229-ը եղել է</w:t>
      </w:r>
      <w:r w:rsidRPr="00C921DE">
        <w:rPr>
          <w:rFonts w:ascii="GHEA Grapalat" w:hAnsi="GHEA Grapalat"/>
          <w:sz w:val="22"/>
          <w:szCs w:val="22"/>
        </w:rPr>
        <w:t xml:space="preserve"> սփյուռքահայ (որից պետպատվերով սովորող՝ 330): </w:t>
      </w:r>
    </w:p>
    <w:p w14:paraId="3C48B322" w14:textId="77777777" w:rsidR="0051543C" w:rsidRPr="00C921DE" w:rsidRDefault="0051543C" w:rsidP="002B12FF">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ՀՀ բարձրագույն ուսումնական հաստատությունների լաբորատոր և նորարարական ենթակառուցվածքների ու միջբուհական, միջառարկայական փորձարարական թեմատիկ լաբորատորիաների և գիտակրթական ամբիոնների արդիականացման ու համալրման նպատակով «Կրթության բարելավման ծրագրի լրացուցիչ ֆինանսավորում» վարկային ծրագրով նախատեսվել է ԲՏՃՄ/STEM ուղղություններով դրամաշնորհների տրամադրում ՀՀ բարձրագույն ուսումնական հաստատություններին։ Վերջինիս շրջանակներում ներկայացված 11 հայտերից բավարարվել են 5-ը: </w:t>
      </w:r>
    </w:p>
    <w:p w14:paraId="4C0CEAE1" w14:textId="77777777" w:rsidR="002923CA" w:rsidRPr="00C921DE" w:rsidRDefault="002923CA" w:rsidP="002B12FF">
      <w:pPr>
        <w:spacing w:line="360" w:lineRule="auto"/>
        <w:ind w:firstLine="567"/>
        <w:jc w:val="both"/>
        <w:rPr>
          <w:rFonts w:ascii="GHEA Grapalat" w:hAnsi="GHEA Grapalat"/>
          <w:sz w:val="22"/>
          <w:szCs w:val="22"/>
        </w:rPr>
      </w:pPr>
    </w:p>
    <w:p w14:paraId="269BA2A4" w14:textId="77777777" w:rsidR="001C411D" w:rsidRPr="00C921DE" w:rsidRDefault="001C411D" w:rsidP="00B31A3E">
      <w:pPr>
        <w:pStyle w:val="Heading2"/>
        <w:spacing w:before="0"/>
      </w:pPr>
      <w:bookmarkStart w:id="46" w:name="_Toc163745433"/>
      <w:bookmarkEnd w:id="44"/>
      <w:bookmarkEnd w:id="45"/>
      <w:r w:rsidRPr="00C921DE">
        <w:lastRenderedPageBreak/>
        <w:t>Գիտություն</w:t>
      </w:r>
      <w:bookmarkEnd w:id="46"/>
    </w:p>
    <w:p w14:paraId="3BBB2C72"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պետական բյուջեով գիտության ոլորտին առաջին անգամ հատկացվել են կապիտալ բնույթի ծախսային միջոցառումների համար միջոցներ՝ 4.2 մլրդ ՀՀ դրամի չափով:</w:t>
      </w:r>
    </w:p>
    <w:p w14:paraId="16A4D41A"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Գիտական կենտրոնները ժամանակակից սարքավորումներով վերազինելու ու համատեղ օգտագործման գիտական սարքավորումների կենտրոնների ստեղծման նպատակով 2023 թվականին 2 անգամ հայտարարվել է սարքերի ձեռք բերման մրցույթ, որի նպատակով գիտական կազմակերպությունները ներկայացրել են 233 (114+119) սարքավորման հայտ, որոնցից գիտական փորձաքննության արդյունքում ձեռքբերման է երաշխավորվել 95 (54+41) սարքավորում` 7.1 մլրդ դրամ ընդհանուր արժեքով:</w:t>
      </w:r>
    </w:p>
    <w:p w14:paraId="4C69B63F"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Գիտական ստորաբաժանումների զարգացման ծրագրի շրջանակում առաջին անգամ իրականացվել է մրցունակ գիտական ստորաբաժանումների հագեցվածությանն ուղղված մրցութային ծրագիր, որի բյուջեն ամբողջությամբ ուղղվել է փոքր և ամենօրյա կիրառություն ունեցող գիտական սարքավորումների և նյութերի ձեռքբերմանը: Մրցույթի արդյունքում ստացվել է 99 հայտ, որից փորձաքննության արդյունքում ֆինանսավորման է երաշխավորվել 60 հայտ` ընդհանուր 932 մլն դրամ գումարային արժեքով:</w:t>
      </w:r>
    </w:p>
    <w:p w14:paraId="0E816FB3"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հունիսի 7-ին ՀՀ գիտության կոմիտեի և Վրաստանի Շոթա Ռուսթավելիի անվան գիտության ազգային հիմնադրամի միջև ստորագրվել է «Գիտության և տեխնոլոգիաների ոլորտներում համագործակցության մասին» ծրագիր: Ծրագրով նախատեսվում է համատեղ հետազոտական և մշակումների նախագծերի իրականացում, ներառյալ՝ հետազոտության արդյունքների, գիտնականների և մասնագետների փոխանակում, համագործակցություն Եվրոպական միության ծրագրերի շրջանակներում («Հորիզոն Եվրոպա», «Էրազմուս պլյուս»): Համատեղ հետազոտական և մշակումների ծրագրերի իրականացման նպատակով կֆինանսավորվեն տարեկան մինչև 5000 ԱՄՆ դոլարին համարժեք բյուջեով երկամյա նախագծեր:</w:t>
      </w:r>
    </w:p>
    <w:p w14:paraId="16A6CD38"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«ՀՀ ԿԳՄՍՆ ԳԿ-ԻՀ ԱՀԽ - 2023» մրցույթի արդյունքներով ֆինանսավորման են երաշխավորվել 10 անձից բաղկացած հայ-իտալական համատեղ 8 գիտական խմբեր՝ 24 ամիս տևողությամբ: Հայաստանյան գիտական խմբի տարեկան ֆինանսավորման առավելագույն ծավալը կազմում է 2 միլիոն 500 հազար ՀՀ դրամ:</w:t>
      </w:r>
    </w:p>
    <w:p w14:paraId="181B90BF"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«ՀՀ ԿԳՄՍՆ ԳԿ – ԳԿՀԴՆ - 2022» միջազգային մրցույթի արդյունքներով ֆինանսավորման են երաշխավորվել ՀՀ և Գերմանիայի Դաշնային Հանրապետության 4-10 գիտնականներից բաղկացած 5 գիտական խմբեր՝ 12 կամ 24 ամիս տևողությամբ:</w:t>
      </w:r>
    </w:p>
    <w:p w14:paraId="748CBA16"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2023 թվականի հունիսի 20-ին ԵՄ արտաքին գործունեությունների շրջանակում Բարձրագույն կրթության և գիտության կոմիտեի և Հայաստանում Եվրոպական միության պատվիրակության միջև ստորագրվել է «NDICI-GEO-NEAR/2023/443-082» պայմանագիրը: Համաձայն պայմանագրի՝ Եվրոպական կողմը կտրամադրի 2 մլն եվրո՝ ի աջակցություն</w:t>
      </w:r>
      <w:r w:rsidR="00D673B4" w:rsidRPr="00C921DE">
        <w:rPr>
          <w:rFonts w:ascii="GHEA Grapalat" w:hAnsi="GHEA Grapalat"/>
          <w:sz w:val="22"/>
          <w:szCs w:val="22"/>
        </w:rPr>
        <w:t xml:space="preserve"> </w:t>
      </w:r>
      <w:r w:rsidRPr="00C921DE">
        <w:rPr>
          <w:rFonts w:ascii="GHEA Grapalat" w:hAnsi="GHEA Grapalat"/>
          <w:sz w:val="22"/>
          <w:szCs w:val="22"/>
        </w:rPr>
        <w:t>«Հոր</w:t>
      </w:r>
      <w:r w:rsidR="002B4397" w:rsidRPr="00C921DE">
        <w:rPr>
          <w:rFonts w:ascii="GHEA Grapalat" w:hAnsi="GHEA Grapalat"/>
          <w:sz w:val="22"/>
          <w:szCs w:val="22"/>
          <w:lang w:val="en-US"/>
        </w:rPr>
        <w:t>ի</w:t>
      </w:r>
      <w:r w:rsidRPr="00C921DE">
        <w:rPr>
          <w:rFonts w:ascii="GHEA Grapalat" w:hAnsi="GHEA Grapalat"/>
          <w:sz w:val="22"/>
          <w:szCs w:val="22"/>
        </w:rPr>
        <w:t>զոն Եվրոպա» ծրագրին ՀՀ անդամակցության:</w:t>
      </w:r>
    </w:p>
    <w:p w14:paraId="55CBE1DD"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նոյեմբեր ամսվա դրությամբ ԵՄ «Հորիզոն Եվրոպա» ծրագրին հայաստանյան կազմակերպությունների կողմից ներկայացվել է 71 հայտ: Ծրագրի շրջանակներում կնքվել է 10 պայմանագիր` 3.2 մլն եվրո ընդհանուր բյուջեով: 2023 թվականի դեկտեմբեր ամսվա դրությամբ ՀՀ մասնակցության գործակիցը կազմում է 14.49 տոկոս:</w:t>
      </w:r>
    </w:p>
    <w:p w14:paraId="09A4CF81"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Հայտարարվել է «Ասպիրանտների և երիտասարդ հայցորդների հետազոտությունների աջակցության ծրագիր-2023» </w:t>
      </w:r>
      <w:hyperlink r:id="rId17" w:history="1">
        <w:r w:rsidRPr="00C921DE">
          <w:rPr>
            <w:rFonts w:ascii="GHEA Grapalat" w:hAnsi="GHEA Grapalat"/>
            <w:sz w:val="22"/>
            <w:szCs w:val="22"/>
          </w:rPr>
          <w:t>մրցույթ</w:t>
        </w:r>
      </w:hyperlink>
      <w:r w:rsidRPr="00C921DE">
        <w:rPr>
          <w:rFonts w:ascii="GHEA Grapalat" w:hAnsi="GHEA Grapalat"/>
          <w:sz w:val="22"/>
          <w:szCs w:val="22"/>
        </w:rPr>
        <w:t xml:space="preserve">ը. ընտրվել է 42 հայտ: Կազմակերպվել է 10 ասպիրանտների և հայցորդների նպատակային ուսուցում արտերկրի լավագույն կենտրոններում։ </w:t>
      </w:r>
    </w:p>
    <w:p w14:paraId="12B930C7"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Ֆինանսավորման են երաշխավորվել Գիտական կադրերի (PhD, PostDoc) վերապատրաստման ծրագրերի հայտերի ընտրության մրցույթի արդյունքներով` (երկու փուլ) առաջին փուլում ներկայացված 8 հայտերից 5 ծրագիր, իսկ երկրորդ փուլում՝ ներկայացված 7 հայտերից 5 ծրագիր: Ծրագրերի վերապատրաստման տևողությունը 3-12 ամիս է:</w:t>
      </w:r>
    </w:p>
    <w:p w14:paraId="6590FC83"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Ֆինանսավորման են երաշխավորվել Գիտական կազմակերպությունների աշխատակիցների մասնագիտական վերապատրաստման ծրագրերի հայտերի ընտրության մրցույթի արդյունքներով` (երկու փուլ) առաջին փուլի արդյունքներով 5 ծրագրեր, իսկ երկրորդ փուլով՝ մեկ ծրագիր: Ծրագրերի վերապատրաստման տևողությունը 2-12 ամիս է:</w:t>
      </w:r>
    </w:p>
    <w:p w14:paraId="06340C9A"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նաև նոր գիտական խմբերի ու լաբորատորիաների ստեղծման, ինչպես նաև արդեն իսկ գործող գիտական լաբորատորիաների կամ բաժինների ամրապնդման նպատակով 2021</w:t>
      </w:r>
      <w:r w:rsidRPr="00C921DE">
        <w:rPr>
          <w:rFonts w:ascii="Calibri" w:hAnsi="Calibri" w:cs="Calibri"/>
          <w:sz w:val="22"/>
          <w:szCs w:val="22"/>
        </w:rPr>
        <w:t> </w:t>
      </w:r>
      <w:r w:rsidRPr="00C921DE">
        <w:rPr>
          <w:rFonts w:ascii="GHEA Grapalat" w:hAnsi="GHEA Grapalat"/>
          <w:sz w:val="22"/>
          <w:szCs w:val="22"/>
        </w:rPr>
        <w:t xml:space="preserve">թվականին ամփոփված Գիտական խմբերի մեկնարկի կամ լաբորատորիաների (բաժինների) ամրապնդմանն աջակցության դրամաշնորհային ծրագրերի ֆինանսավորումը` (2020 թվականին՝ 19 ծրագիր և 2021 թվականին՝ 16 ծրագիր), 2021 թվականին ամփոփված պայմանագրային (թեմատիկ) հետազոտությունների մրցույթի շրջանակներում ֆինանսավորման երաշխավորված 231 գիտական թեմաների ֆինանսավորումը՝ 12-ից մինչև 36 ամիս տևողությամբ, ինչպես նաև ամենախոշոր պետական գիտական դրամաշնորհային ծրագրերից մեկի՝ առաջատար հետազոտությունների աջակցության գիտական թեմաների hայտերի ընտրության մրցույթի շրջանակներում ֆինանսավորման երաշխավորված 49 գիտական խմբերի ֆինանսավորումը՝ մինչև 60 ամիս (3+2 տարի) տևողությամբ, 150,000.0 հազ. դրամ ծավալով ողջ տևողության համար: </w:t>
      </w:r>
    </w:p>
    <w:p w14:paraId="15D42FB6"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2023 թվականին իրականացվել է ՀՀ պետական բյուջեի գիտական և գիտատեխնիկական գործունեության բազային ֆինանսավորման ծրագրերում ընդգրկված գիտական կադրերի աշխատավարձերի նորմավորման գործընթացը՝ համաձայն ՀՀ կառավարության 2021 թվականի մայիսի 13-ի «Հայաստանի Հանրապետության կառավարության 2001 թվականի նոյեմբերի 17-ի N 1121 որոշման մեջ փոփոխություններ և լրացումներ կատարելու մասին» N 747-Լ որոշմամբ ներդրված 2022-2025 թվականների բազային ֆինանսավորման ծրագրերում ընդգրկված գիտական կադրերի նվազագույն պաշտոնային դրույքաչափի հաշվարկման գործակիցների աղյուսակի և 2021 թվականին գիտական անձնակազմի ատեստավորման արդյունքների:</w:t>
      </w:r>
    </w:p>
    <w:p w14:paraId="083722B3" w14:textId="77777777" w:rsidR="0051543C" w:rsidRPr="00C921DE" w:rsidRDefault="0051543C" w:rsidP="009063A8">
      <w:pPr>
        <w:spacing w:line="360" w:lineRule="auto"/>
        <w:ind w:firstLine="567"/>
        <w:jc w:val="both"/>
        <w:rPr>
          <w:rFonts w:ascii="GHEA Grapalat" w:hAnsi="GHEA Grapalat"/>
          <w:sz w:val="22"/>
          <w:szCs w:val="22"/>
        </w:rPr>
      </w:pPr>
      <w:r w:rsidRPr="00C921DE">
        <w:rPr>
          <w:rFonts w:ascii="GHEA Grapalat" w:hAnsi="GHEA Grapalat"/>
          <w:sz w:val="22"/>
          <w:szCs w:val="22"/>
        </w:rPr>
        <w:t>Օտարերկրյա պետություններում բնակվող հայ մասնագետների ներգրավման, հայաստանյան գիտնականների շարժունության ապահովման նպատակով՝</w:t>
      </w:r>
    </w:p>
    <w:p w14:paraId="463AEEBD" w14:textId="77777777" w:rsidR="0051543C" w:rsidRPr="00C921DE" w:rsidRDefault="0051543C" w:rsidP="00997BEE">
      <w:pPr>
        <w:pStyle w:val="ListParagraph"/>
        <w:numPr>
          <w:ilvl w:val="0"/>
          <w:numId w:val="23"/>
        </w:numPr>
        <w:tabs>
          <w:tab w:val="left" w:pos="851"/>
        </w:tabs>
        <w:spacing w:after="0" w:line="360" w:lineRule="auto"/>
        <w:ind w:left="0" w:firstLine="567"/>
        <w:jc w:val="both"/>
        <w:rPr>
          <w:rFonts w:ascii="GHEA Grapalat" w:hAnsi="GHEA Grapalat"/>
        </w:rPr>
      </w:pPr>
      <w:r w:rsidRPr="00C921DE">
        <w:rPr>
          <w:rFonts w:ascii="GHEA Grapalat" w:hAnsi="GHEA Grapalat"/>
        </w:rPr>
        <w:t>Ֆինանսավորման են երաշխավորվել «Հեռավար լաբորատորիաների հիմնադրման ծրագիր 2023» մրցույթի արդյունքներով ներկայացված 48 հայտերից 15 թեմաներ: Մրցույթի արդյունքում յուրաքանչյուր ծրագրին 5 տարվա համար հատկացվում է մինչև 152.5 մ</w:t>
      </w:r>
      <w:r w:rsidR="003A4745" w:rsidRPr="00C921DE">
        <w:rPr>
          <w:rFonts w:ascii="GHEA Grapalat" w:hAnsi="GHEA Grapalat"/>
          <w:lang w:val="en-US"/>
        </w:rPr>
        <w:t>լն</w:t>
      </w:r>
      <w:r w:rsidRPr="00C921DE">
        <w:rPr>
          <w:rFonts w:ascii="GHEA Grapalat" w:hAnsi="GHEA Grapalat"/>
        </w:rPr>
        <w:t xml:space="preserve"> ՀՀ դրամ (շուրջ 350 հազար եվրո), որի մեջ մտնում է նաև որոշակի բաժին լաբորատոր (աշխատանքային) միջավայրի բարեկարգման համար,</w:t>
      </w:r>
    </w:p>
    <w:p w14:paraId="5DE5ADF6" w14:textId="77777777" w:rsidR="0051543C" w:rsidRPr="00C921DE" w:rsidRDefault="0051543C" w:rsidP="00997BEE">
      <w:pPr>
        <w:pStyle w:val="ListParagraph"/>
        <w:numPr>
          <w:ilvl w:val="0"/>
          <w:numId w:val="23"/>
        </w:numPr>
        <w:tabs>
          <w:tab w:val="left" w:pos="851"/>
        </w:tabs>
        <w:spacing w:after="0" w:line="360" w:lineRule="auto"/>
        <w:ind w:left="0" w:firstLine="567"/>
        <w:jc w:val="both"/>
        <w:rPr>
          <w:rFonts w:ascii="GHEA Grapalat" w:hAnsi="GHEA Grapalat"/>
        </w:rPr>
      </w:pPr>
      <w:r w:rsidRPr="00C921DE">
        <w:rPr>
          <w:rFonts w:ascii="GHEA Grapalat" w:hAnsi="GHEA Grapalat"/>
        </w:rPr>
        <w:t>Ֆինանսավորման են երաշխավորվել «ՀՀ գիտական համայնքին արտերկրի գիտնականների ինտեգրմանն աջակցության ծրագիր 2023» մրցույթի արդյունքներո</w:t>
      </w:r>
      <w:r w:rsidR="003A4745" w:rsidRPr="00C921DE">
        <w:rPr>
          <w:rFonts w:ascii="GHEA Grapalat" w:hAnsi="GHEA Grapalat"/>
        </w:rPr>
        <w:t>վ ներկայացված 9 հայտերից 4 թեմա,</w:t>
      </w:r>
      <w:r w:rsidRPr="00C921DE">
        <w:rPr>
          <w:rFonts w:ascii="GHEA Grapalat" w:hAnsi="GHEA Grapalat"/>
        </w:rPr>
        <w:t xml:space="preserve"> </w:t>
      </w:r>
      <w:r w:rsidR="003A4745" w:rsidRPr="00C921DE">
        <w:rPr>
          <w:rFonts w:ascii="GHEA Grapalat" w:hAnsi="GHEA Grapalat"/>
        </w:rPr>
        <w:t>ի</w:t>
      </w:r>
      <w:r w:rsidRPr="00C921DE">
        <w:rPr>
          <w:rFonts w:ascii="GHEA Grapalat" w:hAnsi="GHEA Grapalat"/>
        </w:rPr>
        <w:t>սկ երկրորդ փուլով՝</w:t>
      </w:r>
      <w:r w:rsidR="00D673B4" w:rsidRPr="00C921DE">
        <w:rPr>
          <w:rFonts w:ascii="GHEA Grapalat" w:hAnsi="GHEA Grapalat"/>
        </w:rPr>
        <w:t xml:space="preserve"> </w:t>
      </w:r>
      <w:r w:rsidRPr="00C921DE">
        <w:rPr>
          <w:rFonts w:ascii="GHEA Grapalat" w:hAnsi="GHEA Grapalat"/>
        </w:rPr>
        <w:t>ներկայացված 6 հայտեր</w:t>
      </w:r>
      <w:r w:rsidR="003A4745" w:rsidRPr="00C921DE">
        <w:rPr>
          <w:rFonts w:ascii="GHEA Grapalat" w:hAnsi="GHEA Grapalat"/>
        </w:rPr>
        <w:t>ի</w:t>
      </w:r>
      <w:r w:rsidRPr="00C921DE">
        <w:rPr>
          <w:rFonts w:ascii="GHEA Grapalat" w:hAnsi="GHEA Grapalat"/>
        </w:rPr>
        <w:t>ց մեկ թեմա: Մրցույթի արդյունքում յուրաքանչյուր ծրագրի</w:t>
      </w:r>
      <w:r w:rsidR="002B4397" w:rsidRPr="00C921DE">
        <w:rPr>
          <w:rFonts w:ascii="GHEA Grapalat" w:hAnsi="GHEA Grapalat"/>
        </w:rPr>
        <w:t xml:space="preserve"> համար </w:t>
      </w:r>
      <w:r w:rsidRPr="00C921DE">
        <w:rPr>
          <w:rFonts w:ascii="GHEA Grapalat" w:hAnsi="GHEA Grapalat"/>
        </w:rPr>
        <w:t>հատկացվում է մինչև 177 միլիոն ՀՀ դրամ ողջ տևողության համար</w:t>
      </w:r>
      <w:r w:rsidR="00103AD9" w:rsidRPr="00C921DE">
        <w:rPr>
          <w:rFonts w:ascii="GHEA Grapalat" w:hAnsi="GHEA Grapalat"/>
        </w:rPr>
        <w:t xml:space="preserve"> (60 ամիս 3+2 տարի),</w:t>
      </w:r>
    </w:p>
    <w:p w14:paraId="4F4FA662" w14:textId="77777777" w:rsidR="0051543C" w:rsidRPr="00C921DE" w:rsidRDefault="0051543C" w:rsidP="00997BEE">
      <w:pPr>
        <w:pStyle w:val="ListParagraph"/>
        <w:numPr>
          <w:ilvl w:val="0"/>
          <w:numId w:val="23"/>
        </w:numPr>
        <w:tabs>
          <w:tab w:val="left" w:pos="851"/>
        </w:tabs>
        <w:spacing w:after="0" w:line="360" w:lineRule="auto"/>
        <w:ind w:left="0" w:firstLine="567"/>
        <w:jc w:val="both"/>
        <w:rPr>
          <w:rFonts w:ascii="GHEA Grapalat" w:hAnsi="GHEA Grapalat"/>
        </w:rPr>
      </w:pPr>
      <w:r w:rsidRPr="00C921DE">
        <w:rPr>
          <w:rFonts w:ascii="GHEA Grapalat" w:hAnsi="GHEA Grapalat"/>
        </w:rPr>
        <w:t>Ֆինանսավորման են երաշխավորվել «ՀՀ գիտական կազմակերպություններում արտերկրի գիտնականների «PostDoc» ծրագիր 2023» մրցույթի արդյունքներով ներկայացված 9 հայտերից 8 թեմա: Մրցույթը շարունակական է, և այդ նպատակով 2023 թվականի հուլիսին հայտարարվել և կազմակերպվել է «Հայաստանի Հանրապետության գիտական կազմակերպություններում արտերկրի գիտնականների «PostDoc» ծրագիր 2023/2» մրցույթը, որի շրջանակներում ներկայացված 4 հայտերն էլ ֆինանսավոր</w:t>
      </w:r>
      <w:r w:rsidR="00103AD9" w:rsidRPr="00C921DE">
        <w:rPr>
          <w:rFonts w:ascii="GHEA Grapalat" w:hAnsi="GHEA Grapalat"/>
        </w:rPr>
        <w:t>վել</w:t>
      </w:r>
      <w:r w:rsidRPr="00C921DE">
        <w:rPr>
          <w:rFonts w:ascii="GHEA Grapalat" w:hAnsi="GHEA Grapalat"/>
        </w:rPr>
        <w:t xml:space="preserve"> են: Մրցույթների արդյունքում յուրաքանչյուր ծրագրին 24 ամսվա համար հատկացվում է մինչև 12.6 միլիոն ՀՀ դրամ </w:t>
      </w:r>
      <w:r w:rsidR="00103AD9" w:rsidRPr="00C921DE">
        <w:rPr>
          <w:rFonts w:ascii="GHEA Grapalat" w:hAnsi="GHEA Grapalat"/>
        </w:rPr>
        <w:t>(</w:t>
      </w:r>
      <w:r w:rsidRPr="00C921DE">
        <w:rPr>
          <w:rFonts w:ascii="GHEA Grapalat" w:hAnsi="GHEA Grapalat"/>
        </w:rPr>
        <w:t>ողջ տևողության համար</w:t>
      </w:r>
      <w:r w:rsidR="00103AD9" w:rsidRPr="00C921DE">
        <w:rPr>
          <w:rFonts w:ascii="GHEA Grapalat" w:hAnsi="GHEA Grapalat"/>
        </w:rPr>
        <w:t>)</w:t>
      </w:r>
      <w:r w:rsidRPr="00C921DE">
        <w:rPr>
          <w:rFonts w:ascii="GHEA Grapalat" w:hAnsi="GHEA Grapalat"/>
        </w:rPr>
        <w:t>:</w:t>
      </w:r>
    </w:p>
    <w:p w14:paraId="3DAEECA5" w14:textId="77777777" w:rsidR="0051543C" w:rsidRPr="00C921DE" w:rsidRDefault="0051543C" w:rsidP="00573085">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ՀՀ ԲՏԱՆ ՌԱԿ-ի հետ համատեղ իրականացվել է Երկակի նշանակության ծրագրերի աջակցության ամենամյա մրցույթը, որն ամփոփվել է 2 անգամ. 1-ին փուլով ստացված 34 հայտերից ֆինանսավորվել է 6-ը, իսկ 2-րդ փուլով՝ 23 հայտերից 9-ը:</w:t>
      </w:r>
    </w:p>
    <w:p w14:paraId="37EF8A38" w14:textId="77777777" w:rsidR="00C55CEE" w:rsidRPr="00C921DE" w:rsidRDefault="0051543C" w:rsidP="00573085">
      <w:pPr>
        <w:spacing w:line="360" w:lineRule="auto"/>
        <w:ind w:firstLine="567"/>
        <w:jc w:val="both"/>
        <w:rPr>
          <w:rFonts w:ascii="GHEA Grapalat" w:hAnsi="GHEA Grapalat"/>
          <w:sz w:val="22"/>
          <w:szCs w:val="22"/>
        </w:rPr>
      </w:pPr>
      <w:r w:rsidRPr="00C921DE">
        <w:rPr>
          <w:rFonts w:ascii="GHEA Grapalat" w:hAnsi="GHEA Grapalat"/>
          <w:sz w:val="22"/>
          <w:szCs w:val="22"/>
        </w:rPr>
        <w:t xml:space="preserve"> 2023 թվականին ամփոփվել է 2022 թվականին առաջին անգամ հայտարարված փորձարարական մշակումների դրամաշնորհային ծրագիրը, որի գնահատման ժամանակ առաջին </w:t>
      </w:r>
      <w:r w:rsidRPr="00C921DE">
        <w:rPr>
          <w:rFonts w:ascii="GHEA Grapalat" w:hAnsi="GHEA Grapalat"/>
          <w:sz w:val="22"/>
          <w:szCs w:val="22"/>
        </w:rPr>
        <w:lastRenderedPageBreak/>
        <w:t>անգամ կիրառվել է տեխնոլոգիաների պատրաստության աստիճանի միջազգային սանդղակը (TRL grades). ֆինանսավորման է երաշխավորվել 6 ծրագիր:</w:t>
      </w:r>
    </w:p>
    <w:p w14:paraId="335030A8" w14:textId="77777777" w:rsidR="0051543C" w:rsidRPr="00C921DE" w:rsidRDefault="0051543C" w:rsidP="00573085">
      <w:pPr>
        <w:spacing w:line="360" w:lineRule="auto"/>
        <w:ind w:firstLine="567"/>
        <w:jc w:val="both"/>
        <w:rPr>
          <w:rFonts w:ascii="GHEA Grapalat" w:hAnsi="GHEA Grapalat"/>
          <w:sz w:val="22"/>
          <w:szCs w:val="22"/>
        </w:rPr>
      </w:pPr>
    </w:p>
    <w:p w14:paraId="26676231" w14:textId="77777777" w:rsidR="001C411D" w:rsidRPr="00C921DE" w:rsidRDefault="001C411D" w:rsidP="00AC199C">
      <w:pPr>
        <w:pStyle w:val="Heading2"/>
        <w:spacing w:before="0"/>
      </w:pPr>
      <w:bookmarkStart w:id="47" w:name="_Toc163745434"/>
      <w:r w:rsidRPr="00C921DE">
        <w:t>Մշակույթ</w:t>
      </w:r>
      <w:bookmarkEnd w:id="47"/>
    </w:p>
    <w:p w14:paraId="672EBE60"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Մշակույթի ոլորտում իրականացվել են մշակութային ժառանգության (նյութական և ոչ նյութական) պահպանության, պաշտպանության, ուսումնասիրության, ազգային արվեստների հենքի և ավանդույթների հիմքի վրա ժամանակակից մարդու ընկալումներին ու ձգտումներին համահունչ արվեստի ստեղծման և տարածման, ազգաբնակչության ստեղծագործական ներուժի խթանման, նոր մտահղացումների ու գաղափարների ներդրման անհրաժեշտ պայմանների ապահովման, ժամանակակից մշակութային մրցունակ արտադրանքի ստեղծման, մշակութային միջոցառումների իրականացման և այլ աշխատանքներ:</w:t>
      </w:r>
    </w:p>
    <w:p w14:paraId="074A5B25" w14:textId="26A181BF"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Մշակույթի ոլորտում ավելի համակարգված և թիրախավորված քաղաքականություն իրականացնելու նպատակով </w:t>
      </w:r>
      <w:r w:rsidR="004E3CD3" w:rsidRPr="00C921DE">
        <w:rPr>
          <w:rFonts w:ascii="GHEA Grapalat" w:hAnsi="GHEA Grapalat"/>
          <w:sz w:val="22"/>
          <w:szCs w:val="22"/>
          <w:lang w:val="en-US"/>
        </w:rPr>
        <w:t>Կ</w:t>
      </w:r>
      <w:r w:rsidRPr="00C921DE">
        <w:rPr>
          <w:rFonts w:ascii="GHEA Grapalat" w:hAnsi="GHEA Grapalat"/>
          <w:sz w:val="22"/>
          <w:szCs w:val="22"/>
        </w:rPr>
        <w:t>առավարությունը 2023 թվականին նոյեմբերի 9-ին հաստատել է Հայաստանի Հանրապետության մշակույթի պահպանության, զարգացման և հանրահռչակման 2023-2027 թվականների ռազմավարությունը և դրա կատարումն ապահովող գործողությունների ծրագիրը: Այն սահմանում է ոլորտի կառավարման և զարգացման նոր մոտեցումներ ու նոր բանաձևեր։ Լայնածավալ աշխատանքներ են իրականացվել պատմամշակութային հուշարձանների վերականգնման ուղղությամբ: Վերականգնվել է 8 հուշարձան</w:t>
      </w:r>
      <w:r w:rsidR="00C55CEE" w:rsidRPr="00C921DE">
        <w:rPr>
          <w:rFonts w:ascii="GHEA Grapalat" w:hAnsi="GHEA Grapalat"/>
          <w:sz w:val="22"/>
          <w:szCs w:val="22"/>
          <w:lang w:val="en-US"/>
        </w:rPr>
        <w:t xml:space="preserve"> և 1 արձան</w:t>
      </w:r>
      <w:r w:rsidRPr="00C921DE">
        <w:rPr>
          <w:rFonts w:ascii="GHEA Grapalat" w:hAnsi="GHEA Grapalat"/>
          <w:sz w:val="22"/>
          <w:szCs w:val="22"/>
        </w:rPr>
        <w:t xml:space="preserve">, </w:t>
      </w:r>
      <w:r w:rsidR="00C55CEE" w:rsidRPr="00C921DE">
        <w:rPr>
          <w:rFonts w:ascii="GHEA Grapalat" w:hAnsi="GHEA Grapalat"/>
          <w:sz w:val="22"/>
          <w:szCs w:val="22"/>
          <w:lang w:val="en-US"/>
        </w:rPr>
        <w:t>փորձաքննվել</w:t>
      </w:r>
      <w:r w:rsidRPr="00C921DE">
        <w:rPr>
          <w:rFonts w:ascii="GHEA Grapalat" w:hAnsi="GHEA Grapalat"/>
          <w:sz w:val="22"/>
          <w:szCs w:val="22"/>
        </w:rPr>
        <w:t xml:space="preserve"> են </w:t>
      </w:r>
      <w:r w:rsidR="00C55CEE" w:rsidRPr="00C921DE">
        <w:rPr>
          <w:rFonts w:ascii="GHEA Grapalat" w:hAnsi="GHEA Grapalat"/>
          <w:sz w:val="22"/>
          <w:szCs w:val="22"/>
          <w:lang w:val="en-US"/>
        </w:rPr>
        <w:t>6</w:t>
      </w:r>
      <w:r w:rsidRPr="00C921DE">
        <w:rPr>
          <w:rFonts w:ascii="GHEA Grapalat" w:hAnsi="GHEA Grapalat"/>
          <w:sz w:val="22"/>
          <w:szCs w:val="22"/>
        </w:rPr>
        <w:t xml:space="preserve"> հուշարձանի ամրակայման, նորոգման և վերականգնման գիտանախագծային փաստաթղթերը</w:t>
      </w:r>
      <w:r w:rsidR="00986A9E" w:rsidRPr="00C921DE">
        <w:rPr>
          <w:rFonts w:ascii="GHEA Grapalat" w:hAnsi="GHEA Grapalat"/>
          <w:sz w:val="22"/>
          <w:szCs w:val="22"/>
          <w:lang w:val="en-US"/>
        </w:rPr>
        <w:t xml:space="preserve">, </w:t>
      </w:r>
      <w:r w:rsidR="00986A9E" w:rsidRPr="00C921DE">
        <w:rPr>
          <w:rFonts w:ascii="GHEA Grapalat" w:hAnsi="GHEA Grapalat"/>
          <w:sz w:val="22"/>
          <w:szCs w:val="22"/>
        </w:rPr>
        <w:t>կատարվել են պեղումներ 1 հուշարձանի տարածքում</w:t>
      </w:r>
      <w:r w:rsidRPr="00C921DE">
        <w:rPr>
          <w:rFonts w:ascii="GHEA Grapalat" w:hAnsi="GHEA Grapalat"/>
          <w:sz w:val="22"/>
          <w:szCs w:val="22"/>
        </w:rPr>
        <w:t>:</w:t>
      </w:r>
      <w:r w:rsidR="000F435A" w:rsidRPr="00C921DE">
        <w:rPr>
          <w:rFonts w:ascii="GHEA Grapalat" w:hAnsi="GHEA Grapalat"/>
          <w:sz w:val="22"/>
          <w:szCs w:val="22"/>
        </w:rPr>
        <w:t xml:space="preserve"> Ձեռք են բերվել Հայաստանի Հանրապետությունում տեղակայված և տեղակայվող արձանների </w:t>
      </w:r>
      <w:r w:rsidR="000F435A" w:rsidRPr="00C921DE">
        <w:rPr>
          <w:rFonts w:ascii="GHEA Grapalat" w:hAnsi="GHEA Grapalat"/>
          <w:sz w:val="22"/>
          <w:szCs w:val="22"/>
          <w:lang w:val="en-US"/>
        </w:rPr>
        <w:t>ու</w:t>
      </w:r>
      <w:r w:rsidR="000F435A" w:rsidRPr="00C921DE">
        <w:rPr>
          <w:rFonts w:ascii="GHEA Grapalat" w:hAnsi="GHEA Grapalat"/>
          <w:sz w:val="22"/>
          <w:szCs w:val="22"/>
        </w:rPr>
        <w:t xml:space="preserve"> քանդակների հարակից հողատարածքները:</w:t>
      </w:r>
      <w:r w:rsidR="00202FF2" w:rsidRPr="00C921DE">
        <w:rPr>
          <w:rFonts w:ascii="GHEA Grapalat" w:hAnsi="GHEA Grapalat"/>
          <w:sz w:val="22"/>
          <w:szCs w:val="22"/>
        </w:rPr>
        <w:t xml:space="preserve"> </w:t>
      </w:r>
      <w:r w:rsidRPr="00C921DE">
        <w:rPr>
          <w:rFonts w:ascii="GHEA Grapalat" w:hAnsi="GHEA Grapalat"/>
          <w:sz w:val="22"/>
          <w:szCs w:val="22"/>
        </w:rPr>
        <w:t xml:space="preserve">Այս նպատակներով պետական բյուջեից </w:t>
      </w:r>
      <w:r w:rsidR="000F435A" w:rsidRPr="00C921DE">
        <w:rPr>
          <w:rFonts w:ascii="GHEA Grapalat" w:hAnsi="GHEA Grapalat"/>
          <w:sz w:val="22"/>
          <w:szCs w:val="22"/>
        </w:rPr>
        <w:t>ծախս</w:t>
      </w:r>
      <w:r w:rsidRPr="00C921DE">
        <w:rPr>
          <w:rFonts w:ascii="GHEA Grapalat" w:hAnsi="GHEA Grapalat"/>
          <w:sz w:val="22"/>
          <w:szCs w:val="22"/>
        </w:rPr>
        <w:t>վել է 5</w:t>
      </w:r>
      <w:r w:rsidR="000F435A" w:rsidRPr="00C921DE">
        <w:rPr>
          <w:rFonts w:ascii="GHEA Grapalat" w:hAnsi="GHEA Grapalat"/>
          <w:sz w:val="22"/>
          <w:szCs w:val="22"/>
        </w:rPr>
        <w:t>53.4</w:t>
      </w:r>
      <w:r w:rsidRPr="00C921DE">
        <w:rPr>
          <w:rFonts w:ascii="GHEA Grapalat" w:hAnsi="GHEA Grapalat"/>
          <w:sz w:val="22"/>
          <w:szCs w:val="22"/>
        </w:rPr>
        <w:t xml:space="preserve"> մլն դրամ։ Շարունակվել են պետականության խորհրդանիշ հանդիսացող հուշարձանների՝ Լոռու և Տավուշի բերդերի, Ամբերդի ամրոցի, Տափի բերդի, Սմբատաբերդի և այլ հուշարձանների վերականգնման գիտանախագծային փաստաթղթերի կազմման աշխատանքները։</w:t>
      </w:r>
      <w:r w:rsidR="00D673B4" w:rsidRPr="00C921DE">
        <w:rPr>
          <w:rFonts w:ascii="GHEA Grapalat" w:hAnsi="GHEA Grapalat"/>
          <w:sz w:val="22"/>
          <w:szCs w:val="22"/>
        </w:rPr>
        <w:t xml:space="preserve"> </w:t>
      </w:r>
      <w:r w:rsidRPr="00C921DE">
        <w:rPr>
          <w:rFonts w:ascii="GHEA Grapalat" w:hAnsi="GHEA Grapalat"/>
          <w:sz w:val="22"/>
          <w:szCs w:val="22"/>
        </w:rPr>
        <w:t>2023 թվականին մարտի 30-ին ՀՀ կառավարություն</w:t>
      </w:r>
      <w:r w:rsidR="00BA3027" w:rsidRPr="00C921DE">
        <w:rPr>
          <w:rFonts w:ascii="GHEA Grapalat" w:hAnsi="GHEA Grapalat"/>
          <w:sz w:val="22"/>
          <w:szCs w:val="22"/>
          <w:lang w:val="en-US"/>
        </w:rPr>
        <w:t>ն</w:t>
      </w:r>
      <w:r w:rsidRPr="00C921DE">
        <w:rPr>
          <w:rFonts w:ascii="GHEA Grapalat" w:hAnsi="GHEA Grapalat"/>
          <w:sz w:val="22"/>
          <w:szCs w:val="22"/>
        </w:rPr>
        <w:t xml:space="preserve"> ընդունել է N 418-Ն որոշումը, որով ստեղծվել է</w:t>
      </w:r>
      <w:r w:rsidR="00D673B4" w:rsidRPr="00C921DE">
        <w:rPr>
          <w:rFonts w:ascii="GHEA Grapalat" w:hAnsi="GHEA Grapalat"/>
          <w:sz w:val="22"/>
          <w:szCs w:val="22"/>
        </w:rPr>
        <w:t xml:space="preserve"> </w:t>
      </w:r>
      <w:r w:rsidRPr="00C921DE">
        <w:rPr>
          <w:rFonts w:ascii="GHEA Grapalat" w:hAnsi="GHEA Grapalat"/>
          <w:sz w:val="22"/>
          <w:szCs w:val="22"/>
        </w:rPr>
        <w:t>«Արտաշատ մայրաքա</w:t>
      </w:r>
      <w:r w:rsidRPr="00C921DE">
        <w:rPr>
          <w:rFonts w:ascii="GHEA Grapalat" w:hAnsi="GHEA Grapalat"/>
          <w:sz w:val="22"/>
          <w:szCs w:val="22"/>
        </w:rPr>
        <w:softHyphen/>
        <w:t>ղաք» պատմամշակութային արգելոցը:</w:t>
      </w:r>
      <w:r w:rsidR="009C20A1" w:rsidRPr="00C921DE">
        <w:rPr>
          <w:rFonts w:ascii="GHEA Grapalat" w:hAnsi="GHEA Grapalat"/>
          <w:sz w:val="22"/>
          <w:szCs w:val="22"/>
        </w:rPr>
        <w:t xml:space="preserve"> 197 մլն ՀՀ դրամ գումար է հատկացվել տեղեկատվական մոդուլային կենտրոնների կառուցման և ստեղծված «Արտաշատ մայրաքա</w:t>
      </w:r>
      <w:r w:rsidR="009C20A1" w:rsidRPr="00C921DE">
        <w:rPr>
          <w:rFonts w:ascii="GHEA Grapalat" w:hAnsi="GHEA Grapalat"/>
          <w:sz w:val="22"/>
          <w:szCs w:val="22"/>
        </w:rPr>
        <w:softHyphen/>
        <w:t>ղաք» պատմամշակութային արգելոցի հարակից տարածքում (Հին Արտաշատ մայրաքաղաքի տեղակայման վայրում), «Լոռի բերդ» քաղաքատեղի» պատմամշակութային արգելոցի և «Բջնի ամրոց» պատմամշակութային արգելոցի տարածքներում տեղակայման համար։</w:t>
      </w:r>
    </w:p>
    <w:p w14:paraId="4A974DFE" w14:textId="5ABF47D4"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Մշակութային ժառանգության բնագավառի օրենսդրության կատարելագործման նպատակով</w:t>
      </w:r>
      <w:r w:rsidR="00D673B4" w:rsidRPr="00C921DE">
        <w:rPr>
          <w:rFonts w:ascii="GHEA Grapalat" w:hAnsi="GHEA Grapalat"/>
          <w:sz w:val="22"/>
          <w:szCs w:val="22"/>
        </w:rPr>
        <w:t xml:space="preserve"> </w:t>
      </w:r>
      <w:r w:rsidRPr="00C921DE">
        <w:rPr>
          <w:rFonts w:ascii="GHEA Grapalat" w:hAnsi="GHEA Grapalat"/>
          <w:sz w:val="22"/>
          <w:szCs w:val="22"/>
        </w:rPr>
        <w:t>ՀՀ կառավարությունը 2023 թվականի նոյեմբերի 17-ի N 1984-Ա որոշմամբ հավանություն է տվել «Թանգարանների մասին» օրենքի նախագծին, որն</w:t>
      </w:r>
      <w:r w:rsidR="00B26E9A" w:rsidRPr="00C921DE">
        <w:rPr>
          <w:rFonts w:ascii="GHEA Grapalat" w:hAnsi="GHEA Grapalat"/>
          <w:sz w:val="22"/>
          <w:szCs w:val="22"/>
        </w:rPr>
        <w:t xml:space="preserve"> Ազգային ժողովի կողմից ընդունվել է 2024 թվականի փետրվարի 28-ին</w:t>
      </w:r>
      <w:r w:rsidRPr="00C921DE">
        <w:rPr>
          <w:rFonts w:ascii="GHEA Grapalat" w:hAnsi="GHEA Grapalat"/>
          <w:sz w:val="22"/>
          <w:szCs w:val="22"/>
        </w:rPr>
        <w:t>:</w:t>
      </w:r>
    </w:p>
    <w:p w14:paraId="2997E1EA" w14:textId="7733825A"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կյանքին հանրային լայն մասնակցության ապահովման նպատակով շարունակվել է դպրոցականների համար բաժանորդային ծրագիրը, որի շրջանակում</w:t>
      </w:r>
      <w:r w:rsidR="00D673B4" w:rsidRPr="00C921DE">
        <w:rPr>
          <w:rFonts w:ascii="GHEA Grapalat" w:hAnsi="GHEA Grapalat"/>
          <w:sz w:val="22"/>
          <w:szCs w:val="22"/>
        </w:rPr>
        <w:t xml:space="preserve"> </w:t>
      </w:r>
      <w:r w:rsidRPr="00C921DE">
        <w:rPr>
          <w:rFonts w:ascii="GHEA Grapalat" w:hAnsi="GHEA Grapalat"/>
          <w:sz w:val="22"/>
          <w:szCs w:val="22"/>
        </w:rPr>
        <w:t xml:space="preserve">թանգարան </w:t>
      </w:r>
      <w:r w:rsidR="00BA3027" w:rsidRPr="00C921DE">
        <w:rPr>
          <w:rFonts w:ascii="GHEA Grapalat" w:hAnsi="GHEA Grapalat"/>
          <w:sz w:val="22"/>
          <w:szCs w:val="22"/>
          <w:lang w:val="en-US"/>
        </w:rPr>
        <w:t>է</w:t>
      </w:r>
      <w:r w:rsidRPr="00C921DE">
        <w:rPr>
          <w:rFonts w:ascii="GHEA Grapalat" w:hAnsi="GHEA Grapalat"/>
          <w:sz w:val="22"/>
          <w:szCs w:val="22"/>
        </w:rPr>
        <w:t xml:space="preserve"> այցելել</w:t>
      </w:r>
      <w:r w:rsidR="00277BE3" w:rsidRPr="00C921DE">
        <w:rPr>
          <w:rFonts w:ascii="GHEA Grapalat" w:hAnsi="GHEA Grapalat"/>
          <w:sz w:val="22"/>
          <w:szCs w:val="22"/>
          <w:lang w:val="en-US"/>
        </w:rPr>
        <w:t xml:space="preserve"> </w:t>
      </w:r>
      <w:r w:rsidR="00544F8F" w:rsidRPr="00C921DE">
        <w:rPr>
          <w:rFonts w:ascii="GHEA Grapalat" w:hAnsi="GHEA Grapalat"/>
          <w:sz w:val="22"/>
          <w:szCs w:val="22"/>
        </w:rPr>
        <w:t>118</w:t>
      </w:r>
      <w:r w:rsidR="00277BE3" w:rsidRPr="00C921DE">
        <w:rPr>
          <w:rFonts w:ascii="GHEA Grapalat" w:hAnsi="GHEA Grapalat"/>
          <w:sz w:val="22"/>
          <w:szCs w:val="22"/>
        </w:rPr>
        <w:t>143 աշակերտ և ուսուցիչ, որից՝</w:t>
      </w:r>
      <w:r w:rsidRPr="00C921DE">
        <w:rPr>
          <w:rFonts w:ascii="GHEA Grapalat" w:hAnsi="GHEA Grapalat"/>
          <w:sz w:val="22"/>
          <w:szCs w:val="22"/>
        </w:rPr>
        <w:t xml:space="preserve"> 113811 աշակերտ</w:t>
      </w:r>
      <w:r w:rsidR="00277BE3" w:rsidRPr="00C921DE">
        <w:rPr>
          <w:rFonts w:ascii="GHEA Grapalat" w:hAnsi="GHEA Grapalat"/>
          <w:sz w:val="22"/>
          <w:szCs w:val="22"/>
        </w:rPr>
        <w:t xml:space="preserve"> և 4332 ուսուցիչ</w:t>
      </w:r>
      <w:r w:rsidRPr="00C921DE">
        <w:rPr>
          <w:rFonts w:ascii="GHEA Grapalat" w:hAnsi="GHEA Grapalat"/>
          <w:sz w:val="22"/>
          <w:szCs w:val="22"/>
        </w:rPr>
        <w:t>,</w:t>
      </w:r>
      <w:r w:rsidR="00D673B4" w:rsidRPr="00C921DE">
        <w:rPr>
          <w:rFonts w:ascii="GHEA Grapalat" w:hAnsi="GHEA Grapalat"/>
          <w:sz w:val="22"/>
          <w:szCs w:val="22"/>
        </w:rPr>
        <w:t xml:space="preserve"> </w:t>
      </w:r>
      <w:r w:rsidRPr="00C921DE">
        <w:rPr>
          <w:rFonts w:ascii="GHEA Grapalat" w:hAnsi="GHEA Grapalat"/>
          <w:sz w:val="22"/>
          <w:szCs w:val="22"/>
        </w:rPr>
        <w:t>թատրոն՝</w:t>
      </w:r>
      <w:r w:rsidR="00277BE3" w:rsidRPr="00C921DE">
        <w:rPr>
          <w:rFonts w:ascii="GHEA Grapalat" w:hAnsi="GHEA Grapalat"/>
          <w:sz w:val="22"/>
          <w:szCs w:val="22"/>
        </w:rPr>
        <w:t xml:space="preserve"> 102577, որից՝</w:t>
      </w:r>
      <w:r w:rsidR="00D673B4" w:rsidRPr="00C921DE">
        <w:rPr>
          <w:rFonts w:ascii="GHEA Grapalat" w:hAnsi="GHEA Grapalat"/>
          <w:sz w:val="22"/>
          <w:szCs w:val="22"/>
        </w:rPr>
        <w:t xml:space="preserve"> </w:t>
      </w:r>
      <w:r w:rsidRPr="00C921DE">
        <w:rPr>
          <w:rFonts w:ascii="GHEA Grapalat" w:hAnsi="GHEA Grapalat"/>
          <w:sz w:val="22"/>
          <w:szCs w:val="22"/>
        </w:rPr>
        <w:t>101332 աշակերտ</w:t>
      </w:r>
      <w:r w:rsidR="00405DEB" w:rsidRPr="00C921DE">
        <w:rPr>
          <w:rFonts w:ascii="GHEA Grapalat" w:hAnsi="GHEA Grapalat"/>
          <w:sz w:val="22"/>
          <w:szCs w:val="22"/>
          <w:lang w:val="en-US"/>
        </w:rPr>
        <w:t xml:space="preserve"> և </w:t>
      </w:r>
      <w:r w:rsidR="002F13FB" w:rsidRPr="00C921DE">
        <w:rPr>
          <w:rFonts w:ascii="GHEA Grapalat" w:hAnsi="GHEA Grapalat"/>
          <w:sz w:val="22"/>
          <w:szCs w:val="22"/>
          <w:lang w:val="en-US"/>
        </w:rPr>
        <w:t>1245</w:t>
      </w:r>
      <w:r w:rsidR="00405DEB" w:rsidRPr="00C921DE">
        <w:rPr>
          <w:rFonts w:ascii="GHEA Grapalat" w:hAnsi="GHEA Grapalat"/>
          <w:sz w:val="22"/>
          <w:szCs w:val="22"/>
          <w:lang w:val="en-US"/>
        </w:rPr>
        <w:t xml:space="preserve"> ուսուցիչ</w:t>
      </w:r>
      <w:r w:rsidRPr="00C921DE">
        <w:rPr>
          <w:rFonts w:ascii="GHEA Grapalat" w:hAnsi="GHEA Grapalat"/>
          <w:sz w:val="22"/>
          <w:szCs w:val="22"/>
        </w:rPr>
        <w:t>, համերգային կազմակերպություններ՝</w:t>
      </w:r>
      <w:r w:rsidR="00544F8F" w:rsidRPr="00C921DE">
        <w:rPr>
          <w:rFonts w:ascii="GHEA Grapalat" w:hAnsi="GHEA Grapalat"/>
          <w:sz w:val="22"/>
          <w:szCs w:val="22"/>
          <w:lang w:val="en-US"/>
        </w:rPr>
        <w:t xml:space="preserve"> 9169, որից՝</w:t>
      </w:r>
      <w:r w:rsidRPr="00C921DE">
        <w:rPr>
          <w:rFonts w:ascii="GHEA Grapalat" w:hAnsi="GHEA Grapalat"/>
          <w:sz w:val="22"/>
          <w:szCs w:val="22"/>
        </w:rPr>
        <w:t xml:space="preserve"> 9078 աշակերտ</w:t>
      </w:r>
      <w:r w:rsidR="00544F8F" w:rsidRPr="00C921DE">
        <w:rPr>
          <w:rFonts w:ascii="GHEA Grapalat" w:hAnsi="GHEA Grapalat"/>
          <w:sz w:val="22"/>
          <w:szCs w:val="22"/>
          <w:lang w:val="en-US"/>
        </w:rPr>
        <w:t xml:space="preserve"> և 91 ուսուցիչ</w:t>
      </w:r>
      <w:r w:rsidRPr="00C921DE">
        <w:rPr>
          <w:rFonts w:ascii="GHEA Grapalat" w:hAnsi="GHEA Grapalat"/>
          <w:sz w:val="22"/>
          <w:szCs w:val="22"/>
        </w:rPr>
        <w:t>:</w:t>
      </w:r>
      <w:r w:rsidR="00544F8F" w:rsidRPr="00C921DE">
        <w:rPr>
          <w:rFonts w:ascii="GHEA Grapalat" w:hAnsi="GHEA Grapalat"/>
          <w:sz w:val="22"/>
          <w:szCs w:val="22"/>
        </w:rPr>
        <w:t xml:space="preserve"> </w:t>
      </w:r>
      <w:r w:rsidR="006A1638" w:rsidRPr="00C921DE">
        <w:rPr>
          <w:rFonts w:ascii="GHEA Grapalat" w:hAnsi="GHEA Grapalat"/>
          <w:sz w:val="22"/>
          <w:szCs w:val="22"/>
        </w:rPr>
        <w:t>2023 թվականին ընդհանուր մշակութ</w:t>
      </w:r>
      <w:r w:rsidR="00544F8F" w:rsidRPr="00C921DE">
        <w:rPr>
          <w:rFonts w:ascii="GHEA Grapalat" w:hAnsi="GHEA Grapalat"/>
          <w:sz w:val="22"/>
          <w:szCs w:val="22"/>
        </w:rPr>
        <w:t>ա</w:t>
      </w:r>
      <w:r w:rsidR="006A1638" w:rsidRPr="00C921DE">
        <w:rPr>
          <w:rFonts w:ascii="GHEA Grapalat" w:hAnsi="GHEA Grapalat"/>
          <w:sz w:val="22"/>
          <w:szCs w:val="22"/>
          <w:lang w:val="en-US"/>
        </w:rPr>
        <w:t>յ</w:t>
      </w:r>
      <w:r w:rsidR="00544F8F" w:rsidRPr="00C921DE">
        <w:rPr>
          <w:rFonts w:ascii="GHEA Grapalat" w:hAnsi="GHEA Grapalat"/>
          <w:sz w:val="22"/>
          <w:szCs w:val="22"/>
        </w:rPr>
        <w:t>ին հաստատություններ են այցելել 229 889 այցելու, որից՝ 224312 աշակերտ և 5577 ուսուցիչ։</w:t>
      </w:r>
      <w:r w:rsidRPr="00C921DE">
        <w:rPr>
          <w:rFonts w:ascii="GHEA Grapalat" w:hAnsi="GHEA Grapalat"/>
          <w:sz w:val="22"/>
          <w:szCs w:val="22"/>
        </w:rPr>
        <w:t xml:space="preserve"> Մշակութային-կրթական նպատակային ծրագրերի շրջանակում «Քույր դպրոցներ» կրթական ծրագրին մասնակցել են Երևանի և ՀՀ 10 մարզերի 60 ուսումնական հաստատություն,</w:t>
      </w:r>
      <w:r w:rsidR="00D673B4" w:rsidRPr="00C921DE">
        <w:rPr>
          <w:rFonts w:ascii="GHEA Grapalat" w:hAnsi="GHEA Grapalat"/>
          <w:sz w:val="22"/>
          <w:szCs w:val="22"/>
        </w:rPr>
        <w:t xml:space="preserve"> </w:t>
      </w:r>
      <w:r w:rsidRPr="00C921DE">
        <w:rPr>
          <w:rFonts w:ascii="GHEA Grapalat" w:hAnsi="GHEA Grapalat"/>
          <w:sz w:val="22"/>
          <w:szCs w:val="22"/>
        </w:rPr>
        <w:t>«Քո արվեստը դպրոցում» ծրագրի ընթացքում կազմակերպվել է 50 հանդիպում-դասախոսություն, որոնց ընթացքում ներկայացվել են հայ արդի արվեստագետներն ու մշակութային գոր</w:t>
      </w:r>
      <w:r w:rsidRPr="00C921DE">
        <w:rPr>
          <w:rFonts w:ascii="GHEA Grapalat" w:hAnsi="GHEA Grapalat"/>
          <w:sz w:val="22"/>
          <w:szCs w:val="22"/>
        </w:rPr>
        <w:softHyphen/>
        <w:t>ծիչները։ Բազմաթիվ շնորհալի երեխաներ «Մեկնարկ» տաղանդի զարգացման նպատակային ծրագրի շրջանակում մասնակցել են 15 երաժշտական միջազգային մրցույթների և</w:t>
      </w:r>
      <w:r w:rsidR="00D673B4" w:rsidRPr="00C921DE">
        <w:rPr>
          <w:rFonts w:ascii="GHEA Grapalat" w:hAnsi="GHEA Grapalat"/>
          <w:sz w:val="22"/>
          <w:szCs w:val="22"/>
        </w:rPr>
        <w:t xml:space="preserve"> </w:t>
      </w:r>
      <w:r w:rsidRPr="00C921DE">
        <w:rPr>
          <w:rFonts w:ascii="GHEA Grapalat" w:hAnsi="GHEA Grapalat"/>
          <w:sz w:val="22"/>
          <w:szCs w:val="22"/>
        </w:rPr>
        <w:t>արժանացել 1-ին և 2-րդ մրցանակներին:</w:t>
      </w:r>
      <w:r w:rsidR="00D673B4" w:rsidRPr="00C921DE">
        <w:rPr>
          <w:rFonts w:ascii="GHEA Grapalat" w:hAnsi="GHEA Grapalat"/>
          <w:sz w:val="22"/>
          <w:szCs w:val="22"/>
        </w:rPr>
        <w:t xml:space="preserve"> </w:t>
      </w:r>
      <w:r w:rsidRPr="00C921DE">
        <w:rPr>
          <w:rFonts w:ascii="GHEA Grapalat" w:hAnsi="GHEA Grapalat"/>
          <w:sz w:val="22"/>
          <w:szCs w:val="22"/>
        </w:rPr>
        <w:t xml:space="preserve">Իրականացվել է նաև </w:t>
      </w:r>
      <w:r w:rsidR="00734465" w:rsidRPr="00C921DE">
        <w:rPr>
          <w:rFonts w:ascii="GHEA Grapalat" w:hAnsi="GHEA Grapalat"/>
          <w:sz w:val="22"/>
          <w:szCs w:val="22"/>
          <w:lang w:val="en-US"/>
        </w:rPr>
        <w:t>«</w:t>
      </w:r>
      <w:r w:rsidRPr="00C921DE">
        <w:rPr>
          <w:rFonts w:ascii="GHEA Grapalat" w:hAnsi="GHEA Grapalat"/>
          <w:sz w:val="22"/>
          <w:szCs w:val="22"/>
        </w:rPr>
        <w:t>Դասարան</w:t>
      </w:r>
      <w:r w:rsidR="00FA4FE5" w:rsidRPr="00C921DE">
        <w:rPr>
          <w:rFonts w:ascii="GHEA Grapalat" w:hAnsi="GHEA Grapalat"/>
          <w:sz w:val="22"/>
          <w:szCs w:val="22"/>
        </w:rPr>
        <w:t xml:space="preserve"> +</w:t>
      </w:r>
      <w:r w:rsidRPr="00C921DE">
        <w:rPr>
          <w:rFonts w:ascii="GHEA Grapalat" w:hAnsi="GHEA Grapalat"/>
          <w:sz w:val="22"/>
          <w:szCs w:val="22"/>
        </w:rPr>
        <w:t xml:space="preserve"> Դասական» ստեղծագործական կրթական ծրագիրը, որի հիմնական թիրախային խումբ</w:t>
      </w:r>
      <w:r w:rsidR="00395FD9" w:rsidRPr="00C921DE">
        <w:rPr>
          <w:rFonts w:ascii="GHEA Grapalat" w:hAnsi="GHEA Grapalat"/>
          <w:sz w:val="22"/>
          <w:szCs w:val="22"/>
          <w:lang w:val="en-US"/>
        </w:rPr>
        <w:t>ն</w:t>
      </w:r>
      <w:r w:rsidRPr="00C921DE">
        <w:rPr>
          <w:rFonts w:ascii="GHEA Grapalat" w:hAnsi="GHEA Grapalat"/>
          <w:sz w:val="22"/>
          <w:szCs w:val="22"/>
        </w:rPr>
        <w:t xml:space="preserve"> ավագ դպրոցի աշակերտներն են։ Ծրագիրը միտված է ամրապնդելու դպրոց-թատրոն կապը, նպաստելու մասնակիցների մասնագիտական կողմնորոշմանը: 2023 թ</w:t>
      </w:r>
      <w:r w:rsidR="00395FD9" w:rsidRPr="00C921DE">
        <w:rPr>
          <w:rFonts w:ascii="GHEA Grapalat" w:hAnsi="GHEA Grapalat"/>
          <w:sz w:val="22"/>
          <w:szCs w:val="22"/>
          <w:lang w:val="en-US"/>
        </w:rPr>
        <w:t>վական</w:t>
      </w:r>
      <w:r w:rsidRPr="00C921DE">
        <w:rPr>
          <w:rFonts w:ascii="GHEA Grapalat" w:hAnsi="GHEA Grapalat"/>
          <w:sz w:val="22"/>
          <w:szCs w:val="22"/>
        </w:rPr>
        <w:t xml:space="preserve">ին մրցութային երկու փուլերը հաղթահարել և ծրագրին մասնակցել է 70 </w:t>
      </w:r>
      <w:r w:rsidR="00395FD9" w:rsidRPr="00C921DE">
        <w:rPr>
          <w:rFonts w:ascii="GHEA Grapalat" w:hAnsi="GHEA Grapalat"/>
          <w:sz w:val="22"/>
          <w:szCs w:val="22"/>
        </w:rPr>
        <w:t>աշակերտ</w:t>
      </w:r>
      <w:r w:rsidRPr="00C921DE">
        <w:rPr>
          <w:rFonts w:ascii="GHEA Grapalat" w:hAnsi="GHEA Grapalat"/>
          <w:sz w:val="22"/>
          <w:szCs w:val="22"/>
        </w:rPr>
        <w:t xml:space="preserve"> Երևանից</w:t>
      </w:r>
      <w:r w:rsidR="00395FD9" w:rsidRPr="00C921DE">
        <w:rPr>
          <w:rFonts w:ascii="GHEA Grapalat" w:hAnsi="GHEA Grapalat"/>
          <w:sz w:val="22"/>
          <w:szCs w:val="22"/>
        </w:rPr>
        <w:t xml:space="preserve"> և</w:t>
      </w:r>
      <w:r w:rsidR="00D673B4" w:rsidRPr="00C921DE">
        <w:rPr>
          <w:rFonts w:ascii="GHEA Grapalat" w:hAnsi="GHEA Grapalat"/>
          <w:sz w:val="22"/>
          <w:szCs w:val="22"/>
        </w:rPr>
        <w:t xml:space="preserve"> </w:t>
      </w:r>
      <w:r w:rsidRPr="00C921DE">
        <w:rPr>
          <w:rFonts w:ascii="GHEA Grapalat" w:hAnsi="GHEA Grapalat"/>
          <w:sz w:val="22"/>
          <w:szCs w:val="22"/>
        </w:rPr>
        <w:t>ՀՀ</w:t>
      </w:r>
      <w:r w:rsidR="00D673B4" w:rsidRPr="00C921DE">
        <w:rPr>
          <w:rFonts w:ascii="GHEA Grapalat" w:hAnsi="GHEA Grapalat"/>
          <w:sz w:val="22"/>
          <w:szCs w:val="22"/>
        </w:rPr>
        <w:t xml:space="preserve"> </w:t>
      </w:r>
      <w:r w:rsidRPr="00C921DE">
        <w:rPr>
          <w:rFonts w:ascii="GHEA Grapalat" w:hAnsi="GHEA Grapalat"/>
          <w:sz w:val="22"/>
          <w:szCs w:val="22"/>
        </w:rPr>
        <w:t>մարզերից։</w:t>
      </w:r>
    </w:p>
    <w:p w14:paraId="42C2A347"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 մարտի 2-ի N 269-N որոշմամբ արտադպրոցական հաստատությունների մանկավարժների համար ներդրվել է կա</w:t>
      </w:r>
      <w:r w:rsidR="00395FD9" w:rsidRPr="00C921DE">
        <w:rPr>
          <w:rFonts w:ascii="GHEA Grapalat" w:hAnsi="GHEA Grapalat"/>
          <w:sz w:val="22"/>
          <w:szCs w:val="22"/>
        </w:rPr>
        <w:t>մավոր ատեստավորման մեխանիզմ՝ 60</w:t>
      </w:r>
      <w:r w:rsidRPr="00C921DE">
        <w:rPr>
          <w:rFonts w:ascii="GHEA Grapalat" w:hAnsi="GHEA Grapalat"/>
          <w:sz w:val="22"/>
          <w:szCs w:val="22"/>
        </w:rPr>
        <w:t>000, 80000 և 100000 ՀՀ դրամ հավելավճարի չափերով։ Ատեստավորվել և հավելավճար է ստանում 42 մանկավարժ:</w:t>
      </w:r>
    </w:p>
    <w:p w14:paraId="3FFEA965"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ՀՀ 10 մարզերում և համայնքներում ոչ նյութական մշակութային ժառանգության իրազեկման և կրթամշակութային ծրագրերի իրականացման նպատակով իրականացվել է 8 ծրագիր: Այդ ծրագրերից մեկի շրջանակում ՀՀ 8 մարզերի 40 համայնքների 24 «Արար» կենտրոններում դասավանդել են 18 տեղաբնակ մասնագետներ, սովորում են 7-17 տարեկան շուրջ 900 երեխաներ ու պատանիներ, որոնց ուսուցանվում են ոչ նյութական մշակութային ժառանգության 10 ուղղություններ:</w:t>
      </w:r>
      <w:r w:rsidR="00D673B4" w:rsidRPr="00C921DE">
        <w:rPr>
          <w:rFonts w:ascii="GHEA Grapalat" w:hAnsi="GHEA Grapalat"/>
          <w:sz w:val="22"/>
          <w:szCs w:val="22"/>
        </w:rPr>
        <w:t xml:space="preserve"> </w:t>
      </w:r>
    </w:p>
    <w:p w14:paraId="27B54FED"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ժառանգության թվայնացման, ժամանակակից տեղեկատվական տեխնոլոգիաների կիրառման ընդլայնման նպատակով</w:t>
      </w:r>
      <w:r w:rsidR="00D673B4" w:rsidRPr="00C921DE">
        <w:rPr>
          <w:rFonts w:ascii="GHEA Grapalat" w:hAnsi="GHEA Grapalat"/>
          <w:sz w:val="22"/>
          <w:szCs w:val="22"/>
        </w:rPr>
        <w:t xml:space="preserve"> </w:t>
      </w:r>
      <w:r w:rsidRPr="00C921DE">
        <w:rPr>
          <w:rFonts w:ascii="GHEA Grapalat" w:hAnsi="GHEA Grapalat"/>
          <w:sz w:val="22"/>
          <w:szCs w:val="22"/>
        </w:rPr>
        <w:t>հանրապետության 3</w:t>
      </w:r>
      <w:r w:rsidR="00D673B4" w:rsidRPr="00C921DE">
        <w:rPr>
          <w:rFonts w:ascii="GHEA Grapalat" w:hAnsi="GHEA Grapalat"/>
          <w:sz w:val="22"/>
          <w:szCs w:val="22"/>
        </w:rPr>
        <w:t xml:space="preserve"> </w:t>
      </w:r>
      <w:r w:rsidRPr="00C921DE">
        <w:rPr>
          <w:rFonts w:ascii="GHEA Grapalat" w:hAnsi="GHEA Grapalat"/>
          <w:sz w:val="22"/>
          <w:szCs w:val="22"/>
        </w:rPr>
        <w:t>գրադարաններում էլեկտրոնայ</w:t>
      </w:r>
      <w:r w:rsidR="00A0586B" w:rsidRPr="00C921DE">
        <w:rPr>
          <w:rFonts w:ascii="GHEA Grapalat" w:hAnsi="GHEA Grapalat"/>
          <w:sz w:val="22"/>
          <w:szCs w:val="22"/>
        </w:rPr>
        <w:t>ին ընթացակարգով սպասարկվել է 23</w:t>
      </w:r>
      <w:r w:rsidRPr="00C921DE">
        <w:rPr>
          <w:rFonts w:ascii="GHEA Grapalat" w:hAnsi="GHEA Grapalat"/>
          <w:sz w:val="22"/>
          <w:szCs w:val="22"/>
        </w:rPr>
        <w:t>688 ընթերցող,</w:t>
      </w:r>
      <w:r w:rsidR="00D673B4" w:rsidRPr="00C921DE">
        <w:rPr>
          <w:rFonts w:ascii="GHEA Grapalat" w:hAnsi="GHEA Grapalat"/>
          <w:sz w:val="22"/>
          <w:szCs w:val="22"/>
        </w:rPr>
        <w:t xml:space="preserve"> </w:t>
      </w:r>
      <w:r w:rsidR="00A0586B" w:rsidRPr="00C921DE">
        <w:rPr>
          <w:rFonts w:ascii="GHEA Grapalat" w:hAnsi="GHEA Grapalat"/>
          <w:sz w:val="22"/>
          <w:szCs w:val="22"/>
        </w:rPr>
        <w:t>տրամադրվել է 32</w:t>
      </w:r>
      <w:r w:rsidRPr="00C921DE">
        <w:rPr>
          <w:rFonts w:ascii="GHEA Grapalat" w:hAnsi="GHEA Grapalat"/>
          <w:sz w:val="22"/>
          <w:szCs w:val="22"/>
        </w:rPr>
        <w:t xml:space="preserve">324 միավոր գիրք: </w:t>
      </w:r>
      <w:r w:rsidRPr="00C921DE">
        <w:rPr>
          <w:rFonts w:ascii="GHEA Grapalat" w:hAnsi="GHEA Grapalat"/>
          <w:sz w:val="22"/>
          <w:szCs w:val="22"/>
        </w:rPr>
        <w:lastRenderedPageBreak/>
        <w:t xml:space="preserve">Ապահովվել է </w:t>
      </w:r>
      <w:r w:rsidR="00A81889" w:rsidRPr="00C921DE">
        <w:rPr>
          <w:rFonts w:ascii="GHEA Grapalat" w:hAnsi="GHEA Grapalat"/>
          <w:sz w:val="22"/>
          <w:szCs w:val="22"/>
          <w:lang w:val="en-US"/>
        </w:rPr>
        <w:t>«</w:t>
      </w:r>
      <w:r w:rsidRPr="00C921DE">
        <w:rPr>
          <w:rFonts w:ascii="GHEA Grapalat" w:hAnsi="GHEA Grapalat"/>
          <w:sz w:val="22"/>
          <w:szCs w:val="22"/>
        </w:rPr>
        <w:t xml:space="preserve">Հայաստանի Հանրապետության ոչ նյութական մշակութային ժառանգություն» շտեմարան՝ </w:t>
      </w:r>
      <w:hyperlink r:id="rId18" w:history="1">
        <w:r w:rsidRPr="00C921DE">
          <w:rPr>
            <w:rFonts w:ascii="GHEA Grapalat" w:hAnsi="GHEA Grapalat"/>
            <w:sz w:val="22"/>
            <w:szCs w:val="22"/>
          </w:rPr>
          <w:t>https://int-heritage.am/</w:t>
        </w:r>
      </w:hyperlink>
      <w:r w:rsidR="00D673B4" w:rsidRPr="00C921DE">
        <w:rPr>
          <w:rFonts w:ascii="GHEA Grapalat" w:hAnsi="GHEA Grapalat"/>
          <w:sz w:val="22"/>
          <w:szCs w:val="22"/>
        </w:rPr>
        <w:t xml:space="preserve"> </w:t>
      </w:r>
      <w:r w:rsidRPr="00C921DE">
        <w:rPr>
          <w:rFonts w:ascii="GHEA Grapalat" w:hAnsi="GHEA Grapalat"/>
          <w:sz w:val="22"/>
          <w:szCs w:val="22"/>
        </w:rPr>
        <w:t>կայքէջի գործունեությունը, մուտքագրվել են հոդվածներ, նորություններ, տեսանյութեր և այլն:</w:t>
      </w:r>
      <w:r w:rsidR="00D673B4" w:rsidRPr="00C921DE">
        <w:rPr>
          <w:rFonts w:ascii="GHEA Grapalat" w:hAnsi="GHEA Grapalat"/>
          <w:sz w:val="22"/>
          <w:szCs w:val="22"/>
        </w:rPr>
        <w:t xml:space="preserve"> </w:t>
      </w:r>
      <w:r w:rsidRPr="00C921DE">
        <w:rPr>
          <w:rFonts w:ascii="GHEA Grapalat" w:hAnsi="GHEA Grapalat"/>
          <w:sz w:val="22"/>
          <w:szCs w:val="22"/>
        </w:rPr>
        <w:t>Թվայնացվել և մշակութային արժեքների «Գանձարան» էլեկտրո</w:t>
      </w:r>
      <w:r w:rsidRPr="00C921DE">
        <w:rPr>
          <w:rFonts w:ascii="GHEA Grapalat" w:hAnsi="GHEA Grapalat"/>
          <w:sz w:val="22"/>
          <w:szCs w:val="22"/>
        </w:rPr>
        <w:softHyphen/>
        <w:t>նա</w:t>
      </w:r>
      <w:r w:rsidRPr="00C921DE">
        <w:rPr>
          <w:rFonts w:ascii="GHEA Grapalat" w:hAnsi="GHEA Grapalat"/>
          <w:sz w:val="22"/>
          <w:szCs w:val="22"/>
        </w:rPr>
        <w:softHyphen/>
        <w:t>յին տե</w:t>
      </w:r>
      <w:r w:rsidRPr="00C921DE">
        <w:rPr>
          <w:rFonts w:ascii="GHEA Grapalat" w:hAnsi="GHEA Grapalat"/>
          <w:sz w:val="22"/>
          <w:szCs w:val="22"/>
        </w:rPr>
        <w:softHyphen/>
        <w:t>ղե</w:t>
      </w:r>
      <w:r w:rsidRPr="00C921DE">
        <w:rPr>
          <w:rFonts w:ascii="GHEA Grapalat" w:hAnsi="GHEA Grapalat"/>
          <w:sz w:val="22"/>
          <w:szCs w:val="22"/>
        </w:rPr>
        <w:softHyphen/>
        <w:t>կատվական շտեմ</w:t>
      </w:r>
      <w:r w:rsidR="00592C13" w:rsidRPr="00C921DE">
        <w:rPr>
          <w:rFonts w:ascii="GHEA Grapalat" w:hAnsi="GHEA Grapalat"/>
          <w:sz w:val="22"/>
          <w:szCs w:val="22"/>
        </w:rPr>
        <w:t>ա</w:t>
      </w:r>
      <w:r w:rsidR="00592C13" w:rsidRPr="00C921DE">
        <w:rPr>
          <w:rFonts w:ascii="GHEA Grapalat" w:hAnsi="GHEA Grapalat"/>
          <w:sz w:val="22"/>
          <w:szCs w:val="22"/>
        </w:rPr>
        <w:softHyphen/>
        <w:t>րան են</w:t>
      </w:r>
      <w:r w:rsidRPr="00C921DE">
        <w:rPr>
          <w:rFonts w:ascii="GHEA Grapalat" w:hAnsi="GHEA Grapalat"/>
          <w:sz w:val="22"/>
          <w:szCs w:val="22"/>
        </w:rPr>
        <w:t xml:space="preserve"> մուտքագրվել </w:t>
      </w:r>
      <w:r w:rsidR="00592C13" w:rsidRPr="00C921DE">
        <w:rPr>
          <w:rFonts w:ascii="GHEA Grapalat" w:hAnsi="GHEA Grapalat"/>
          <w:sz w:val="22"/>
          <w:szCs w:val="22"/>
        </w:rPr>
        <w:t>52</w:t>
      </w:r>
      <w:r w:rsidRPr="00C921DE">
        <w:rPr>
          <w:rFonts w:ascii="GHEA Grapalat" w:hAnsi="GHEA Grapalat"/>
          <w:sz w:val="22"/>
          <w:szCs w:val="22"/>
        </w:rPr>
        <w:t>483</w:t>
      </w:r>
      <w:r w:rsidR="00D673B4" w:rsidRPr="00C921DE">
        <w:rPr>
          <w:rFonts w:ascii="GHEA Grapalat" w:hAnsi="GHEA Grapalat"/>
          <w:sz w:val="22"/>
          <w:szCs w:val="22"/>
        </w:rPr>
        <w:t xml:space="preserve"> </w:t>
      </w:r>
      <w:r w:rsidRPr="00C921DE">
        <w:rPr>
          <w:rFonts w:ascii="GHEA Grapalat" w:hAnsi="GHEA Grapalat"/>
          <w:sz w:val="22"/>
          <w:szCs w:val="22"/>
        </w:rPr>
        <w:t>թան</w:t>
      </w:r>
      <w:r w:rsidRPr="00C921DE">
        <w:rPr>
          <w:rFonts w:ascii="GHEA Grapalat" w:hAnsi="GHEA Grapalat"/>
          <w:sz w:val="22"/>
          <w:szCs w:val="22"/>
        </w:rPr>
        <w:softHyphen/>
      </w:r>
      <w:r w:rsidRPr="00C921DE">
        <w:rPr>
          <w:rFonts w:ascii="GHEA Grapalat" w:hAnsi="GHEA Grapalat"/>
          <w:sz w:val="22"/>
          <w:szCs w:val="22"/>
        </w:rPr>
        <w:softHyphen/>
      </w:r>
      <w:r w:rsidRPr="00C921DE">
        <w:rPr>
          <w:rFonts w:ascii="GHEA Grapalat" w:hAnsi="GHEA Grapalat"/>
          <w:sz w:val="22"/>
          <w:szCs w:val="22"/>
        </w:rPr>
        <w:softHyphen/>
        <w:t>գա</w:t>
      </w:r>
      <w:r w:rsidRPr="00C921DE">
        <w:rPr>
          <w:rFonts w:ascii="GHEA Grapalat" w:hAnsi="GHEA Grapalat"/>
          <w:sz w:val="22"/>
          <w:szCs w:val="22"/>
        </w:rPr>
        <w:softHyphen/>
        <w:t>րանային առարկայի տվյալներ:</w:t>
      </w:r>
    </w:p>
    <w:p w14:paraId="71C7EE78"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Մշակութային հաստատությունների ֆինանսական կառավարման արդյունավետությունը բարձրացնելու նպատակով ներդրվել է թատերահամերգային կազմակերպությունների ֆինանսավորման փորձնական մոդելը, համաձայն որի պետությունը թատերահամերգային կազմակերպությանը յուրաքանչյուր տարի տրամադրում է կազմակերպության կանխատեսվող սեփական եկամուտների կրկնապատիկի չափով գումար, որի արդյունքում, օրինակ,</w:t>
      </w:r>
      <w:r w:rsidR="00D673B4" w:rsidRPr="00C921DE">
        <w:rPr>
          <w:rFonts w:ascii="GHEA Grapalat" w:hAnsi="GHEA Grapalat"/>
          <w:sz w:val="22"/>
          <w:szCs w:val="22"/>
        </w:rPr>
        <w:t xml:space="preserve"> </w:t>
      </w:r>
      <w:r w:rsidRPr="00C921DE">
        <w:rPr>
          <w:rFonts w:ascii="GHEA Grapalat" w:hAnsi="GHEA Grapalat"/>
          <w:sz w:val="22"/>
          <w:szCs w:val="22"/>
        </w:rPr>
        <w:t>Օպերայի և բալետի պետական թատրոնն արդեն իսկ գրանցել է սեփական եկամուտների աճ շուրջ 17%-ով, ինչպես նաև աշխատավարձերի աճ մինչև 40%։</w:t>
      </w:r>
    </w:p>
    <w:p w14:paraId="1E14545A" w14:textId="77777777" w:rsidR="0051543C" w:rsidRPr="00C921DE" w:rsidRDefault="0051543C" w:rsidP="00FA07C8">
      <w:pPr>
        <w:spacing w:line="360" w:lineRule="auto"/>
        <w:ind w:firstLine="567"/>
        <w:jc w:val="both"/>
        <w:rPr>
          <w:rFonts w:ascii="GHEA Grapalat" w:hAnsi="GHEA Grapalat"/>
          <w:sz w:val="22"/>
          <w:szCs w:val="22"/>
        </w:rPr>
      </w:pPr>
      <w:r w:rsidRPr="00C921DE">
        <w:rPr>
          <w:rFonts w:ascii="GHEA Grapalat" w:hAnsi="GHEA Grapalat"/>
          <w:sz w:val="22"/>
          <w:szCs w:val="22"/>
        </w:rPr>
        <w:t>Փոփոխություն է կատարվել «Կինեմատոգրաֆիայի մասին» ՀՀ օրենքում, որի արդյունքում Հայաստանում այլևս կիրառվելու է ներդրումների մասնակի վերադարձի (cash rebate) համակարգը։ Կինոնկարների արտադրության</w:t>
      </w:r>
      <w:r w:rsidR="00D673B4" w:rsidRPr="00C921DE">
        <w:rPr>
          <w:rFonts w:ascii="GHEA Grapalat" w:hAnsi="GHEA Grapalat"/>
          <w:sz w:val="22"/>
          <w:szCs w:val="22"/>
        </w:rPr>
        <w:t xml:space="preserve"> </w:t>
      </w:r>
      <w:r w:rsidRPr="00C921DE">
        <w:rPr>
          <w:rFonts w:ascii="GHEA Grapalat" w:hAnsi="GHEA Grapalat"/>
          <w:sz w:val="22"/>
          <w:szCs w:val="22"/>
        </w:rPr>
        <w:t>նպատակով աջակցություն է տրամադրվել ընդհանուր թվով 32 կինոնախագծի՝ արտադրության տարբեր փուլերի համար:</w:t>
      </w:r>
      <w:r w:rsidR="00D673B4" w:rsidRPr="00C921DE">
        <w:rPr>
          <w:rFonts w:ascii="GHEA Grapalat" w:hAnsi="GHEA Grapalat"/>
          <w:sz w:val="22"/>
          <w:szCs w:val="22"/>
        </w:rPr>
        <w:t xml:space="preserve"> </w:t>
      </w:r>
      <w:r w:rsidRPr="00C921DE">
        <w:rPr>
          <w:rFonts w:ascii="GHEA Grapalat" w:hAnsi="GHEA Grapalat"/>
          <w:sz w:val="22"/>
          <w:szCs w:val="22"/>
        </w:rPr>
        <w:t>2023 թ</w:t>
      </w:r>
      <w:r w:rsidR="00592C13" w:rsidRPr="00C921DE">
        <w:rPr>
          <w:rFonts w:ascii="GHEA Grapalat" w:hAnsi="GHEA Grapalat"/>
          <w:sz w:val="22"/>
          <w:szCs w:val="22"/>
          <w:lang w:val="en-US"/>
        </w:rPr>
        <w:t>վական</w:t>
      </w:r>
      <w:r w:rsidRPr="00C921DE">
        <w:rPr>
          <w:rFonts w:ascii="GHEA Grapalat" w:hAnsi="GHEA Grapalat"/>
          <w:sz w:val="22"/>
          <w:szCs w:val="22"/>
        </w:rPr>
        <w:t>ին հայկական արտադրության ֆիլմերը մասնակցել են 110 միջազգային կինոփառատոնի, ստացել են 28 մրցանակ: 8 երկրներում կազմակերպվել են հայկական ֆիլմերի օրեր, ինչպես նաև կինոշուկաներում ներկայացվել է հայկական ժամանակակից կինոարտադրանքն ու կինոժառանգությունը:</w:t>
      </w:r>
    </w:p>
    <w:p w14:paraId="0CF4C3C2" w14:textId="77777777" w:rsidR="001C411D" w:rsidRPr="00C921DE" w:rsidRDefault="001C411D" w:rsidP="00AC199C">
      <w:pPr>
        <w:spacing w:line="360" w:lineRule="auto"/>
        <w:ind w:firstLine="567"/>
        <w:jc w:val="both"/>
        <w:rPr>
          <w:rFonts w:ascii="GHEA Grapalat" w:hAnsi="GHEA Grapalat"/>
          <w:sz w:val="22"/>
          <w:szCs w:val="22"/>
        </w:rPr>
      </w:pPr>
    </w:p>
    <w:p w14:paraId="2506B2C2" w14:textId="77777777" w:rsidR="001C411D" w:rsidRPr="00C921DE" w:rsidRDefault="001C411D" w:rsidP="00AC199C">
      <w:pPr>
        <w:pStyle w:val="Heading2"/>
        <w:spacing w:before="0"/>
      </w:pPr>
      <w:bookmarkStart w:id="48" w:name="_Toc163745435"/>
      <w:r w:rsidRPr="00C921DE">
        <w:t>Սպորտ</w:t>
      </w:r>
      <w:bookmarkEnd w:id="48"/>
    </w:p>
    <w:p w14:paraId="0D0488AF"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2023 թվականի</w:t>
      </w:r>
      <w:r w:rsidR="00D673B4" w:rsidRPr="00C921DE">
        <w:rPr>
          <w:rFonts w:ascii="GHEA Grapalat" w:hAnsi="GHEA Grapalat"/>
          <w:sz w:val="22"/>
          <w:szCs w:val="22"/>
        </w:rPr>
        <w:t xml:space="preserve"> </w:t>
      </w:r>
      <w:r w:rsidRPr="00C921DE">
        <w:rPr>
          <w:rFonts w:ascii="GHEA Grapalat" w:hAnsi="GHEA Grapalat"/>
          <w:sz w:val="22"/>
          <w:szCs w:val="22"/>
        </w:rPr>
        <w:t>դեկտեմբերի 7-ին</w:t>
      </w:r>
      <w:r w:rsidR="00E80096" w:rsidRPr="00C921DE">
        <w:rPr>
          <w:rFonts w:ascii="GHEA Grapalat" w:hAnsi="GHEA Grapalat"/>
          <w:sz w:val="22"/>
          <w:szCs w:val="22"/>
          <w:lang w:val="en-US"/>
        </w:rPr>
        <w:t xml:space="preserve"> N</w:t>
      </w:r>
      <w:r w:rsidRPr="00C921DE">
        <w:rPr>
          <w:rFonts w:ascii="GHEA Grapalat" w:hAnsi="GHEA Grapalat"/>
          <w:sz w:val="22"/>
          <w:szCs w:val="22"/>
        </w:rPr>
        <w:t xml:space="preserve"> 2145-Լ որոշմա</w:t>
      </w:r>
      <w:r w:rsidR="00E80096" w:rsidRPr="00C921DE">
        <w:rPr>
          <w:rFonts w:ascii="GHEA Grapalat" w:hAnsi="GHEA Grapalat"/>
          <w:sz w:val="22"/>
          <w:szCs w:val="22"/>
          <w:lang w:val="en-US"/>
        </w:rPr>
        <w:t>մ</w:t>
      </w:r>
      <w:r w:rsidRPr="00C921DE">
        <w:rPr>
          <w:rFonts w:ascii="GHEA Grapalat" w:hAnsi="GHEA Grapalat"/>
          <w:sz w:val="22"/>
          <w:szCs w:val="22"/>
        </w:rPr>
        <w:t>բ հաստատվել է «Հայաստանի Հանրապետության ֆիզիկական կուլտուրայի և</w:t>
      </w:r>
      <w:r w:rsidR="00D673B4" w:rsidRPr="00C921DE">
        <w:rPr>
          <w:rFonts w:ascii="GHEA Grapalat" w:hAnsi="GHEA Grapalat"/>
          <w:sz w:val="22"/>
          <w:szCs w:val="22"/>
        </w:rPr>
        <w:t xml:space="preserve"> </w:t>
      </w:r>
      <w:r w:rsidRPr="00C921DE">
        <w:rPr>
          <w:rFonts w:ascii="GHEA Grapalat" w:hAnsi="GHEA Grapalat"/>
          <w:sz w:val="22"/>
          <w:szCs w:val="22"/>
        </w:rPr>
        <w:t>սպորտի ոլորտների 2024-2030 թվականների զարգացման ռազմավարությունը և ռազմավարության գործողությունների պլանը»:</w:t>
      </w:r>
    </w:p>
    <w:p w14:paraId="01FC4AA4" w14:textId="1CFB4A9D"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 xml:space="preserve">Ոլորտում </w:t>
      </w:r>
      <w:r w:rsidR="00E04B70" w:rsidRPr="00C921DE">
        <w:rPr>
          <w:rFonts w:ascii="GHEA Grapalat" w:hAnsi="GHEA Grapalat"/>
          <w:sz w:val="22"/>
          <w:szCs w:val="22"/>
          <w:lang w:val="en-US"/>
        </w:rPr>
        <w:t>Կ</w:t>
      </w:r>
      <w:r w:rsidRPr="00C921DE">
        <w:rPr>
          <w:rFonts w:ascii="GHEA Grapalat" w:hAnsi="GHEA Grapalat"/>
          <w:sz w:val="22"/>
          <w:szCs w:val="22"/>
        </w:rPr>
        <w:t>առավարությունն իրականացրել է մի շարք միջոցառումներ, որ</w:t>
      </w:r>
      <w:r w:rsidR="00E80096" w:rsidRPr="00C921DE">
        <w:rPr>
          <w:rFonts w:ascii="GHEA Grapalat" w:hAnsi="GHEA Grapalat"/>
          <w:sz w:val="22"/>
          <w:szCs w:val="22"/>
          <w:lang w:val="en-US"/>
        </w:rPr>
        <w:t>ոնց</w:t>
      </w:r>
      <w:r w:rsidRPr="00C921DE">
        <w:rPr>
          <w:rFonts w:ascii="GHEA Grapalat" w:hAnsi="GHEA Grapalat"/>
          <w:sz w:val="22"/>
          <w:szCs w:val="22"/>
        </w:rPr>
        <w:t xml:space="preserve"> արդյունքում 2023 թվականին բարելավվել է իրավական դաշտը, ենթակառուցվածքները, ավելացել են միջազգային մրցաշարերում նվաճված մեդալների քանակը, մասսայական միջոցառումների մասնակիցների քանակը, մարզիկների, մարզիչների և այլ անձանց խրախուսման ծավալները:</w:t>
      </w:r>
      <w:r w:rsidR="00D673B4" w:rsidRPr="00C921DE">
        <w:rPr>
          <w:rFonts w:ascii="GHEA Grapalat" w:hAnsi="GHEA Grapalat"/>
          <w:sz w:val="22"/>
          <w:szCs w:val="22"/>
        </w:rPr>
        <w:t xml:space="preserve"> </w:t>
      </w:r>
    </w:p>
    <w:p w14:paraId="46C8175F"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55373F" w:rsidRPr="00C921DE">
        <w:rPr>
          <w:rFonts w:ascii="GHEA Grapalat" w:hAnsi="GHEA Grapalat"/>
          <w:sz w:val="22"/>
          <w:szCs w:val="22"/>
          <w:lang w:val="en-US"/>
        </w:rPr>
        <w:t xml:space="preserve"> </w:t>
      </w:r>
      <w:r w:rsidR="0055373F" w:rsidRPr="00C921DE">
        <w:rPr>
          <w:rFonts w:ascii="GHEA Grapalat" w:hAnsi="GHEA Grapalat"/>
          <w:sz w:val="22"/>
          <w:szCs w:val="22"/>
        </w:rPr>
        <w:t>թվականի</w:t>
      </w:r>
      <w:r w:rsidRPr="00C921DE">
        <w:rPr>
          <w:rFonts w:ascii="GHEA Grapalat" w:hAnsi="GHEA Grapalat"/>
          <w:sz w:val="22"/>
          <w:szCs w:val="22"/>
        </w:rPr>
        <w:t xml:space="preserve">ն Հայաստանի մարզիկները նվաճել են 445 մեդալ, այդ թվում՝ 125 ոսկե, 127 արծաթե և 193 բրոնզե: Պատանիների, երիտասարդների և մեծահասակների Աշխարհի ու Եվրոպայի առաջնություններում մեր մարզիկները նվաճել են 106 ոսկե մեդալ, որից 77-ը՝ Եվրոպայի, 29-ը՝ աշխարհի։ Հայաստանի հաշմանդամություն ունեցող մարզիկները միջազգային մրցաշարերում, </w:t>
      </w:r>
      <w:r w:rsidRPr="00C921DE">
        <w:rPr>
          <w:rFonts w:ascii="GHEA Grapalat" w:hAnsi="GHEA Grapalat"/>
          <w:sz w:val="22"/>
          <w:szCs w:val="22"/>
        </w:rPr>
        <w:lastRenderedPageBreak/>
        <w:t>Աշխարհի և Եվրոպայի առաջնություններում նվաճել են 38 մեդալ, այդ թվում՝ 15 ոսկե, 8 արծաթե և 15 բ</w:t>
      </w:r>
      <w:r w:rsidR="0055373F" w:rsidRPr="00C921DE">
        <w:rPr>
          <w:rFonts w:ascii="GHEA Grapalat" w:hAnsi="GHEA Grapalat"/>
          <w:sz w:val="22"/>
          <w:szCs w:val="22"/>
        </w:rPr>
        <w:t>րոնզե: Սպորտի ոլորտում շուրջ 10.</w:t>
      </w:r>
      <w:r w:rsidRPr="00C921DE">
        <w:rPr>
          <w:rFonts w:ascii="GHEA Grapalat" w:hAnsi="GHEA Grapalat"/>
          <w:sz w:val="22"/>
          <w:szCs w:val="22"/>
        </w:rPr>
        <w:t>3 մլրդ դրամի պետական ներդրումներ են իրականացվել, ինչը շուրջ 5 անգամ ավելի է 2018 թվականի նույն ցուցանիշից:</w:t>
      </w:r>
    </w:p>
    <w:p w14:paraId="05356E49"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Մշակվել է ֆեդերացիաների ֆինանսավորման նոր կարգ՝ ֆինանսավորումը փոխկապակցելով մարզաձևերում զարգացման հեռանկարն</w:t>
      </w:r>
      <w:r w:rsidR="00E80096" w:rsidRPr="00C921DE">
        <w:rPr>
          <w:rFonts w:ascii="GHEA Grapalat" w:hAnsi="GHEA Grapalat"/>
          <w:sz w:val="22"/>
          <w:szCs w:val="22"/>
        </w:rPr>
        <w:t>երի և գրանցած արդյունքների հետ:</w:t>
      </w:r>
    </w:p>
    <w:p w14:paraId="6DD497AC"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նաև բարձր նվաճումներ ունեցող մարզիկների խրախուսման ծրագրերը։ Տարվա ընթացքում 64 մարզի</w:t>
      </w:r>
      <w:r w:rsidR="0055373F" w:rsidRPr="00C921DE">
        <w:rPr>
          <w:rFonts w:ascii="GHEA Grapalat" w:hAnsi="GHEA Grapalat"/>
          <w:sz w:val="22"/>
          <w:szCs w:val="22"/>
        </w:rPr>
        <w:t>կ և մարզիչ ստացել է ամսական 100</w:t>
      </w:r>
      <w:r w:rsidRPr="00C921DE">
        <w:rPr>
          <w:rFonts w:ascii="GHEA Grapalat" w:hAnsi="GHEA Grapalat"/>
          <w:sz w:val="22"/>
          <w:szCs w:val="22"/>
        </w:rPr>
        <w:t>000-ից 500000 դրամ, 24 մարզիկ և մարզիչ՝ ամսական 500000-ից 1 մլն դրամ, 2 մարզիկ՝ ամսական 1 մլն դրամից ավելի՝ որպես գրանցած արդյունքների խրախուսում: Մարզական լրագրողների և մարզիչների քվեարկության արդյունքում տարվա լավագույնը ճանաչված</w:t>
      </w:r>
      <w:r w:rsidRPr="00C921DE">
        <w:rPr>
          <w:rFonts w:ascii="Calibri" w:hAnsi="Calibri" w:cs="Calibri"/>
          <w:sz w:val="22"/>
          <w:szCs w:val="22"/>
        </w:rPr>
        <w:t> </w:t>
      </w:r>
      <w:r w:rsidRPr="00C921DE">
        <w:rPr>
          <w:rFonts w:ascii="GHEA Grapalat" w:hAnsi="GHEA Grapalat"/>
          <w:sz w:val="22"/>
          <w:szCs w:val="22"/>
        </w:rPr>
        <w:t xml:space="preserve">10 </w:t>
      </w:r>
      <w:r w:rsidRPr="00C921DE">
        <w:rPr>
          <w:rFonts w:ascii="GHEA Grapalat" w:hAnsi="GHEA Grapalat" w:cs="GHEA Grapalat"/>
          <w:sz w:val="22"/>
          <w:szCs w:val="22"/>
        </w:rPr>
        <w:t>մարզիկներ</w:t>
      </w:r>
      <w:r w:rsidRPr="00C921DE">
        <w:rPr>
          <w:rFonts w:ascii="GHEA Grapalat" w:hAnsi="GHEA Grapalat"/>
          <w:sz w:val="22"/>
          <w:szCs w:val="22"/>
        </w:rPr>
        <w:t>ից յուրաքանչյուրը</w:t>
      </w:r>
      <w:r w:rsidR="00EF5C1D" w:rsidRPr="00C921DE">
        <w:rPr>
          <w:rFonts w:ascii="GHEA Grapalat" w:hAnsi="GHEA Grapalat"/>
          <w:sz w:val="22"/>
          <w:szCs w:val="22"/>
        </w:rPr>
        <w:t xml:space="preserve"> պարգևատրվել է</w:t>
      </w:r>
      <w:r w:rsidR="0055373F" w:rsidRPr="00C921DE">
        <w:rPr>
          <w:rFonts w:ascii="GHEA Grapalat" w:hAnsi="GHEA Grapalat"/>
          <w:sz w:val="22"/>
          <w:szCs w:val="22"/>
        </w:rPr>
        <w:t xml:space="preserve"> 5 մլն </w:t>
      </w:r>
      <w:r w:rsidRPr="00C921DE">
        <w:rPr>
          <w:rFonts w:ascii="GHEA Grapalat" w:hAnsi="GHEA Grapalat"/>
          <w:sz w:val="22"/>
          <w:szCs w:val="22"/>
        </w:rPr>
        <w:t>դրամով:</w:t>
      </w:r>
    </w:p>
    <w:p w14:paraId="0FCB8152" w14:textId="5877F55C" w:rsidR="0051543C" w:rsidRPr="00C921DE" w:rsidRDefault="0051543C" w:rsidP="00EF5C1D">
      <w:pPr>
        <w:spacing w:line="360" w:lineRule="auto"/>
        <w:ind w:firstLine="567"/>
        <w:jc w:val="both"/>
        <w:rPr>
          <w:rFonts w:ascii="GHEA Grapalat" w:hAnsi="GHEA Grapalat"/>
          <w:sz w:val="22"/>
          <w:szCs w:val="22"/>
        </w:rPr>
      </w:pPr>
      <w:r w:rsidRPr="00C921DE">
        <w:rPr>
          <w:rFonts w:ascii="GHEA Grapalat" w:hAnsi="GHEA Grapalat"/>
          <w:sz w:val="22"/>
          <w:szCs w:val="22"/>
        </w:rPr>
        <w:t>Բնակչության տարբեր տարիքային խմբերի համար զանգվածային սպորտի տարածմանը և առողջ ապրելակերպի քարոզմանն ուղղված ծրագրերի իրականացման անընդհատության ապահովման նպատակով 2023 թվական</w:t>
      </w:r>
      <w:r w:rsidR="00EF5C1D" w:rsidRPr="00C921DE">
        <w:rPr>
          <w:rFonts w:ascii="GHEA Grapalat" w:hAnsi="GHEA Grapalat"/>
          <w:sz w:val="22"/>
          <w:szCs w:val="22"/>
        </w:rPr>
        <w:t>ին անց են</w:t>
      </w:r>
      <w:r w:rsidRPr="00C921DE">
        <w:rPr>
          <w:rFonts w:ascii="GHEA Grapalat" w:hAnsi="GHEA Grapalat"/>
          <w:sz w:val="22"/>
          <w:szCs w:val="22"/>
        </w:rPr>
        <w:t xml:space="preserve"> կացվել սեղանի թենիսի (2069 մասնակից),</w:t>
      </w:r>
      <w:r w:rsidR="00D673B4" w:rsidRPr="00C921DE">
        <w:rPr>
          <w:rFonts w:ascii="GHEA Grapalat" w:hAnsi="GHEA Grapalat"/>
          <w:sz w:val="22"/>
          <w:szCs w:val="22"/>
        </w:rPr>
        <w:t xml:space="preserve"> </w:t>
      </w:r>
      <w:r w:rsidRPr="00C921DE">
        <w:rPr>
          <w:rFonts w:ascii="GHEA Grapalat" w:hAnsi="GHEA Grapalat"/>
          <w:sz w:val="22"/>
          <w:szCs w:val="22"/>
        </w:rPr>
        <w:t>խճուղային հեծանվավազքի (302 մասնակից),</w:t>
      </w:r>
      <w:r w:rsidR="00D673B4" w:rsidRPr="00C921DE">
        <w:rPr>
          <w:rFonts w:ascii="GHEA Grapalat" w:hAnsi="GHEA Grapalat"/>
          <w:sz w:val="22"/>
          <w:szCs w:val="22"/>
        </w:rPr>
        <w:t xml:space="preserve"> </w:t>
      </w:r>
      <w:r w:rsidRPr="00C921DE">
        <w:rPr>
          <w:rFonts w:ascii="GHEA Grapalat" w:hAnsi="GHEA Grapalat"/>
          <w:sz w:val="22"/>
          <w:szCs w:val="22"/>
        </w:rPr>
        <w:t>լողի (141 մասնակից)</w:t>
      </w:r>
      <w:r w:rsidR="00EF5C1D" w:rsidRPr="00C921DE">
        <w:rPr>
          <w:rFonts w:ascii="GHEA Grapalat" w:hAnsi="GHEA Grapalat"/>
          <w:sz w:val="22"/>
          <w:szCs w:val="22"/>
          <w:lang w:val="en-US"/>
        </w:rPr>
        <w:t>,</w:t>
      </w:r>
      <w:r w:rsidRPr="00C921DE">
        <w:rPr>
          <w:rFonts w:ascii="GHEA Grapalat" w:hAnsi="GHEA Grapalat"/>
          <w:sz w:val="22"/>
          <w:szCs w:val="22"/>
        </w:rPr>
        <w:t xml:space="preserve"> խճուղա</w:t>
      </w:r>
      <w:r w:rsidR="00EF5C1D" w:rsidRPr="00C921DE">
        <w:rPr>
          <w:rFonts w:ascii="GHEA Grapalat" w:hAnsi="GHEA Grapalat"/>
          <w:sz w:val="22"/>
          <w:szCs w:val="22"/>
        </w:rPr>
        <w:t>յին կրոսավազքի (2000 մասնակից) և</w:t>
      </w:r>
      <w:r w:rsidR="00D673B4" w:rsidRPr="00C921DE">
        <w:rPr>
          <w:rFonts w:ascii="GHEA Grapalat" w:hAnsi="GHEA Grapalat"/>
          <w:sz w:val="22"/>
          <w:szCs w:val="22"/>
        </w:rPr>
        <w:t xml:space="preserve"> </w:t>
      </w:r>
      <w:r w:rsidRPr="00C921DE">
        <w:rPr>
          <w:rFonts w:ascii="GHEA Grapalat" w:hAnsi="GHEA Grapalat"/>
          <w:sz w:val="22"/>
          <w:szCs w:val="22"/>
        </w:rPr>
        <w:t>դպրոցականների թիմային խճուղավազ</w:t>
      </w:r>
      <w:r w:rsidR="00EF5C1D" w:rsidRPr="00C921DE">
        <w:rPr>
          <w:rFonts w:ascii="GHEA Grapalat" w:hAnsi="GHEA Grapalat"/>
          <w:sz w:val="22"/>
          <w:szCs w:val="22"/>
          <w:lang w:val="en-US"/>
        </w:rPr>
        <w:t>ք</w:t>
      </w:r>
      <w:r w:rsidRPr="00C921DE">
        <w:rPr>
          <w:rFonts w:ascii="GHEA Grapalat" w:hAnsi="GHEA Grapalat"/>
          <w:sz w:val="22"/>
          <w:szCs w:val="22"/>
        </w:rPr>
        <w:t xml:space="preserve">ի (251 դպրոցից 1984 աշակերտ) «Հայաստանի Հանրապետության Վարչապետի գավաթ» սիրողական մրցաշարերը: </w:t>
      </w:r>
      <w:r w:rsidR="00BB0935" w:rsidRPr="00C921DE">
        <w:rPr>
          <w:rFonts w:ascii="GHEA Grapalat" w:hAnsi="GHEA Grapalat"/>
          <w:sz w:val="22"/>
          <w:szCs w:val="22"/>
        </w:rPr>
        <w:t>ՀՀ մարզերի և Երևան քաղաքի հանրակրթական դպրոցների</w:t>
      </w:r>
      <w:r w:rsidRPr="00C921DE">
        <w:rPr>
          <w:rFonts w:ascii="GHEA Grapalat" w:hAnsi="GHEA Grapalat"/>
          <w:sz w:val="22"/>
          <w:szCs w:val="22"/>
        </w:rPr>
        <w:t xml:space="preserve"> 1-3-րդ</w:t>
      </w:r>
      <w:r w:rsidR="00BB0935" w:rsidRPr="00C921DE">
        <w:rPr>
          <w:rFonts w:ascii="GHEA Grapalat" w:hAnsi="GHEA Grapalat"/>
          <w:sz w:val="22"/>
          <w:szCs w:val="22"/>
        </w:rPr>
        <w:t xml:space="preserve"> և</w:t>
      </w:r>
      <w:r w:rsidRPr="00C921DE">
        <w:rPr>
          <w:rFonts w:ascii="GHEA Grapalat" w:hAnsi="GHEA Grapalat"/>
          <w:sz w:val="22"/>
          <w:szCs w:val="22"/>
        </w:rPr>
        <w:t xml:space="preserve"> 4-</w:t>
      </w:r>
      <w:r w:rsidR="007D7966" w:rsidRPr="00C921DE">
        <w:rPr>
          <w:rFonts w:ascii="GHEA Grapalat" w:hAnsi="GHEA Grapalat"/>
          <w:sz w:val="22"/>
          <w:szCs w:val="22"/>
        </w:rPr>
        <w:t>6</w:t>
      </w:r>
      <w:r w:rsidRPr="00C921DE">
        <w:rPr>
          <w:rFonts w:ascii="GHEA Grapalat" w:hAnsi="GHEA Grapalat"/>
          <w:sz w:val="22"/>
          <w:szCs w:val="22"/>
        </w:rPr>
        <w:t>-րդ դասարան</w:t>
      </w:r>
      <w:r w:rsidR="007D7966" w:rsidRPr="00C921DE">
        <w:rPr>
          <w:rFonts w:ascii="GHEA Grapalat" w:hAnsi="GHEA Grapalat"/>
          <w:sz w:val="22"/>
          <w:szCs w:val="22"/>
        </w:rPr>
        <w:t>ներ</w:t>
      </w:r>
      <w:r w:rsidRPr="00C921DE">
        <w:rPr>
          <w:rFonts w:ascii="GHEA Grapalat" w:hAnsi="GHEA Grapalat"/>
          <w:sz w:val="22"/>
          <w:szCs w:val="22"/>
        </w:rPr>
        <w:t xml:space="preserve">ի </w:t>
      </w:r>
      <w:r w:rsidR="00F11D9B" w:rsidRPr="00C921DE">
        <w:rPr>
          <w:rFonts w:ascii="GHEA Grapalat" w:hAnsi="GHEA Grapalat"/>
          <w:sz w:val="22"/>
          <w:szCs w:val="22"/>
        </w:rPr>
        <w:t>միջև</w:t>
      </w:r>
      <w:r w:rsidR="007D7966" w:rsidRPr="00C921DE">
        <w:rPr>
          <w:rFonts w:ascii="GHEA Grapalat" w:hAnsi="GHEA Grapalat"/>
          <w:sz w:val="22"/>
          <w:szCs w:val="22"/>
        </w:rPr>
        <w:t xml:space="preserve"> Սպորտլանդիային</w:t>
      </w:r>
      <w:r w:rsidR="00F11D9B" w:rsidRPr="00C921DE">
        <w:rPr>
          <w:rFonts w:ascii="GHEA Grapalat" w:hAnsi="GHEA Grapalat"/>
          <w:sz w:val="22"/>
          <w:szCs w:val="22"/>
        </w:rPr>
        <w:t xml:space="preserve"> մասնակցել է</w:t>
      </w:r>
      <w:r w:rsidRPr="00C921DE">
        <w:rPr>
          <w:rFonts w:ascii="GHEA Grapalat" w:hAnsi="GHEA Grapalat"/>
          <w:sz w:val="22"/>
          <w:szCs w:val="22"/>
        </w:rPr>
        <w:t xml:space="preserve"> 120</w:t>
      </w:r>
      <w:r w:rsidR="007D7966" w:rsidRPr="00C921DE">
        <w:rPr>
          <w:rFonts w:ascii="GHEA Grapalat" w:hAnsi="GHEA Grapalat"/>
          <w:sz w:val="22"/>
          <w:szCs w:val="22"/>
        </w:rPr>
        <w:t>1</w:t>
      </w:r>
      <w:r w:rsidRPr="00C921DE">
        <w:rPr>
          <w:rFonts w:ascii="GHEA Grapalat" w:hAnsi="GHEA Grapalat"/>
          <w:sz w:val="22"/>
          <w:szCs w:val="22"/>
        </w:rPr>
        <w:t>0 աշակերտ</w:t>
      </w:r>
      <w:r w:rsidR="00484742" w:rsidRPr="00C921DE">
        <w:rPr>
          <w:rFonts w:ascii="GHEA Grapalat" w:hAnsi="GHEA Grapalat"/>
          <w:sz w:val="22"/>
          <w:szCs w:val="22"/>
        </w:rPr>
        <w:t xml:space="preserve"> և</w:t>
      </w:r>
      <w:r w:rsidR="00484742" w:rsidRPr="00C921DE">
        <w:rPr>
          <w:rFonts w:ascii="Calibri" w:hAnsi="Calibri" w:cs="Calibri"/>
          <w:sz w:val="22"/>
          <w:szCs w:val="22"/>
        </w:rPr>
        <w:t> </w:t>
      </w:r>
      <w:r w:rsidR="00484742" w:rsidRPr="00C921DE">
        <w:rPr>
          <w:rFonts w:ascii="GHEA Grapalat" w:hAnsi="GHEA Grapalat"/>
          <w:sz w:val="22"/>
          <w:szCs w:val="22"/>
        </w:rPr>
        <w:t xml:space="preserve"> ՀՀ հանրակրթական դպրոցների 7-12-րդ դասարանների աշակերտների Սպարտակիադային՝ </w:t>
      </w:r>
      <w:r w:rsidR="00484742" w:rsidRPr="00C921DE">
        <w:rPr>
          <w:rFonts w:ascii="Calibri" w:hAnsi="Calibri" w:cs="Calibri"/>
          <w:sz w:val="22"/>
          <w:szCs w:val="22"/>
        </w:rPr>
        <w:t> </w:t>
      </w:r>
      <w:r w:rsidR="00484742" w:rsidRPr="00C921DE">
        <w:rPr>
          <w:rFonts w:ascii="GHEA Grapalat" w:hAnsi="GHEA Grapalat"/>
          <w:sz w:val="22"/>
          <w:szCs w:val="22"/>
        </w:rPr>
        <w:t>19698</w:t>
      </w:r>
      <w:r w:rsidR="00484742" w:rsidRPr="00C921DE">
        <w:rPr>
          <w:rFonts w:ascii="Calibri" w:hAnsi="Calibri" w:cs="Calibri"/>
          <w:sz w:val="22"/>
          <w:szCs w:val="22"/>
        </w:rPr>
        <w:t> </w:t>
      </w:r>
      <w:r w:rsidR="00484742" w:rsidRPr="00C921DE">
        <w:rPr>
          <w:rFonts w:ascii="GHEA Grapalat" w:hAnsi="GHEA Grapalat"/>
          <w:sz w:val="22"/>
          <w:szCs w:val="22"/>
        </w:rPr>
        <w:t>աշակերտ</w:t>
      </w:r>
      <w:r w:rsidRPr="00C921DE">
        <w:rPr>
          <w:rFonts w:ascii="GHEA Grapalat" w:hAnsi="GHEA Grapalat"/>
          <w:sz w:val="22"/>
          <w:szCs w:val="22"/>
        </w:rPr>
        <w:t>:</w:t>
      </w:r>
    </w:p>
    <w:p w14:paraId="0D2CE68E"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թվականին </w:t>
      </w:r>
      <w:r w:rsidR="00501E71" w:rsidRPr="00C921DE">
        <w:rPr>
          <w:rFonts w:ascii="GHEA Grapalat" w:hAnsi="GHEA Grapalat"/>
          <w:sz w:val="22"/>
          <w:szCs w:val="22"/>
        </w:rPr>
        <w:t>61</w:t>
      </w:r>
      <w:r w:rsidRPr="00C921DE">
        <w:rPr>
          <w:rFonts w:ascii="GHEA Grapalat" w:hAnsi="GHEA Grapalat"/>
          <w:sz w:val="22"/>
          <w:szCs w:val="22"/>
        </w:rPr>
        <w:t xml:space="preserve"> մանկապատանեկան մարզադպրոցներին, մարզաձևերի ազգային ֆեդերացիաներին</w:t>
      </w:r>
      <w:r w:rsidR="008C6DE8" w:rsidRPr="00C921DE">
        <w:rPr>
          <w:rFonts w:ascii="GHEA Grapalat" w:hAnsi="GHEA Grapalat"/>
          <w:sz w:val="22"/>
          <w:szCs w:val="22"/>
        </w:rPr>
        <w:t>, հանրակրթական ուսումնական հաստատություններին</w:t>
      </w:r>
      <w:r w:rsidR="00AF2000" w:rsidRPr="00C921DE">
        <w:rPr>
          <w:rFonts w:ascii="GHEA Grapalat" w:hAnsi="GHEA Grapalat"/>
          <w:sz w:val="22"/>
          <w:szCs w:val="22"/>
        </w:rPr>
        <w:t xml:space="preserve"> և այլ</w:t>
      </w:r>
      <w:r w:rsidRPr="00C921DE">
        <w:rPr>
          <w:rFonts w:ascii="GHEA Grapalat" w:hAnsi="GHEA Grapalat"/>
          <w:sz w:val="22"/>
          <w:szCs w:val="22"/>
        </w:rPr>
        <w:t xml:space="preserve"> մարզական կազմակերպությունների հատկացվել է մարզական գույք:</w:t>
      </w:r>
    </w:p>
    <w:p w14:paraId="0E959F2B" w14:textId="77777777" w:rsidR="0051543C" w:rsidRPr="00C921DE" w:rsidRDefault="0051543C" w:rsidP="00E80096">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Երևանում անց են կացվել 5 խոշոր միջազգային առաջնություններ, որոնք նպաստել են Հա</w:t>
      </w:r>
      <w:r w:rsidR="00F11D9B" w:rsidRPr="00C921DE">
        <w:rPr>
          <w:rFonts w:ascii="GHEA Grapalat" w:hAnsi="GHEA Grapalat"/>
          <w:sz w:val="22"/>
          <w:szCs w:val="22"/>
        </w:rPr>
        <w:t>յաստանում սպորտի հանրահռչակմանը,</w:t>
      </w:r>
      <w:r w:rsidRPr="00C921DE">
        <w:rPr>
          <w:rFonts w:ascii="GHEA Grapalat" w:hAnsi="GHEA Grapalat"/>
          <w:sz w:val="22"/>
          <w:szCs w:val="22"/>
        </w:rPr>
        <w:t xml:space="preserve"> </w:t>
      </w:r>
      <w:r w:rsidR="00F11D9B" w:rsidRPr="00C921DE">
        <w:rPr>
          <w:rFonts w:ascii="GHEA Grapalat" w:hAnsi="GHEA Grapalat"/>
          <w:sz w:val="22"/>
          <w:szCs w:val="22"/>
          <w:lang w:val="en-US"/>
        </w:rPr>
        <w:t>մ</w:t>
      </w:r>
      <w:r w:rsidRPr="00C921DE">
        <w:rPr>
          <w:rFonts w:ascii="GHEA Grapalat" w:hAnsi="GHEA Grapalat"/>
          <w:sz w:val="22"/>
          <w:szCs w:val="22"/>
        </w:rPr>
        <w:t>ասնավորապես՝</w:t>
      </w:r>
      <w:r w:rsidR="00F11D9B" w:rsidRPr="00C921DE">
        <w:rPr>
          <w:rFonts w:ascii="GHEA Grapalat" w:hAnsi="GHEA Grapalat"/>
          <w:sz w:val="22"/>
          <w:szCs w:val="22"/>
          <w:lang w:val="en-US"/>
        </w:rPr>
        <w:t xml:space="preserve"> </w:t>
      </w:r>
      <w:r w:rsidRPr="00C921DE">
        <w:rPr>
          <w:rFonts w:ascii="GHEA Grapalat" w:hAnsi="GHEA Grapalat"/>
          <w:sz w:val="22"/>
          <w:szCs w:val="22"/>
        </w:rPr>
        <w:t>ծանրամարտի մեծահասակների Եվրոպայի առաջնություն</w:t>
      </w:r>
      <w:r w:rsidR="00F11D9B" w:rsidRPr="00C921DE">
        <w:rPr>
          <w:rFonts w:ascii="GHEA Grapalat" w:hAnsi="GHEA Grapalat"/>
          <w:sz w:val="22"/>
          <w:szCs w:val="22"/>
          <w:lang w:val="en-US"/>
        </w:rPr>
        <w:t>ը</w:t>
      </w:r>
      <w:r w:rsidRPr="00C921DE">
        <w:rPr>
          <w:rFonts w:ascii="GHEA Grapalat" w:hAnsi="GHEA Grapalat"/>
          <w:sz w:val="22"/>
          <w:szCs w:val="22"/>
        </w:rPr>
        <w:t xml:space="preserve"> (40 երկրից 600 մասնակից), բռնցքամարտի երիտասարդների Եվրոպայի առաջնություն</w:t>
      </w:r>
      <w:r w:rsidR="00F11D9B" w:rsidRPr="00C921DE">
        <w:rPr>
          <w:rFonts w:ascii="GHEA Grapalat" w:hAnsi="GHEA Grapalat"/>
          <w:sz w:val="22"/>
          <w:szCs w:val="22"/>
          <w:lang w:val="en-US"/>
        </w:rPr>
        <w:t>ը</w:t>
      </w:r>
      <w:r w:rsidRPr="00C921DE">
        <w:rPr>
          <w:rFonts w:ascii="GHEA Grapalat" w:hAnsi="GHEA Grapalat"/>
          <w:sz w:val="22"/>
          <w:szCs w:val="22"/>
        </w:rPr>
        <w:t xml:space="preserve"> (39 երկրից 350 մասնակից),</w:t>
      </w:r>
      <w:r w:rsidR="00D673B4" w:rsidRPr="00C921DE">
        <w:rPr>
          <w:rFonts w:ascii="GHEA Grapalat" w:hAnsi="GHEA Grapalat"/>
          <w:sz w:val="22"/>
          <w:szCs w:val="22"/>
        </w:rPr>
        <w:t xml:space="preserve"> </w:t>
      </w:r>
      <w:r w:rsidRPr="00C921DE">
        <w:rPr>
          <w:rFonts w:ascii="GHEA Grapalat" w:hAnsi="GHEA Grapalat"/>
          <w:sz w:val="22"/>
          <w:szCs w:val="22"/>
        </w:rPr>
        <w:t>սամբոյի մեծահասակների աշխարհի առաջնություն</w:t>
      </w:r>
      <w:r w:rsidR="00F11D9B" w:rsidRPr="00C921DE">
        <w:rPr>
          <w:rFonts w:ascii="GHEA Grapalat" w:hAnsi="GHEA Grapalat"/>
          <w:sz w:val="22"/>
          <w:szCs w:val="22"/>
          <w:lang w:val="en-US"/>
        </w:rPr>
        <w:t>ը</w:t>
      </w:r>
      <w:r w:rsidRPr="00C921DE">
        <w:rPr>
          <w:rFonts w:ascii="GHEA Grapalat" w:hAnsi="GHEA Grapalat"/>
          <w:sz w:val="22"/>
          <w:szCs w:val="22"/>
        </w:rPr>
        <w:t xml:space="preserve"> (71 երկրից</w:t>
      </w:r>
      <w:r w:rsidR="00D673B4" w:rsidRPr="00C921DE">
        <w:rPr>
          <w:rFonts w:ascii="GHEA Grapalat" w:hAnsi="GHEA Grapalat"/>
          <w:sz w:val="22"/>
          <w:szCs w:val="22"/>
        </w:rPr>
        <w:t xml:space="preserve"> </w:t>
      </w:r>
      <w:r w:rsidRPr="00C921DE">
        <w:rPr>
          <w:rFonts w:ascii="GHEA Grapalat" w:hAnsi="GHEA Grapalat"/>
          <w:sz w:val="22"/>
          <w:szCs w:val="22"/>
        </w:rPr>
        <w:t>700 մասնակից), լատինաամերիկյան պարերի աշխարհի երիտասարդական առաջնություն</w:t>
      </w:r>
      <w:r w:rsidR="001B5DE4" w:rsidRPr="00C921DE">
        <w:rPr>
          <w:rFonts w:ascii="GHEA Grapalat" w:hAnsi="GHEA Grapalat"/>
          <w:sz w:val="22"/>
          <w:szCs w:val="22"/>
          <w:lang w:val="en-US"/>
        </w:rPr>
        <w:t>ը</w:t>
      </w:r>
      <w:r w:rsidR="00501E71" w:rsidRPr="00C921DE">
        <w:rPr>
          <w:rFonts w:ascii="GHEA Grapalat" w:hAnsi="GHEA Grapalat"/>
          <w:sz w:val="22"/>
          <w:szCs w:val="22"/>
        </w:rPr>
        <w:t xml:space="preserve"> (</w:t>
      </w:r>
      <w:r w:rsidRPr="00C921DE">
        <w:rPr>
          <w:rFonts w:ascii="GHEA Grapalat" w:hAnsi="GHEA Grapalat"/>
          <w:sz w:val="22"/>
          <w:szCs w:val="22"/>
        </w:rPr>
        <w:t>33 երկրից 120 մասնակից), բռնցքամարտի պատանիների աշխարհի առաջնություն</w:t>
      </w:r>
      <w:r w:rsidR="001B5DE4" w:rsidRPr="00C921DE">
        <w:rPr>
          <w:rFonts w:ascii="GHEA Grapalat" w:hAnsi="GHEA Grapalat"/>
          <w:sz w:val="22"/>
          <w:szCs w:val="22"/>
          <w:lang w:val="en-US"/>
        </w:rPr>
        <w:t>ը</w:t>
      </w:r>
      <w:r w:rsidR="00501E71" w:rsidRPr="00C921DE">
        <w:rPr>
          <w:rFonts w:ascii="GHEA Grapalat" w:hAnsi="GHEA Grapalat"/>
          <w:sz w:val="22"/>
          <w:szCs w:val="22"/>
        </w:rPr>
        <w:t xml:space="preserve"> (</w:t>
      </w:r>
      <w:r w:rsidRPr="00C921DE">
        <w:rPr>
          <w:rFonts w:ascii="GHEA Grapalat" w:hAnsi="GHEA Grapalat"/>
          <w:sz w:val="22"/>
          <w:szCs w:val="22"/>
        </w:rPr>
        <w:t>52 երկրից 450 մասնակից):</w:t>
      </w:r>
    </w:p>
    <w:p w14:paraId="1D07F656" w14:textId="77777777" w:rsidR="001C411D" w:rsidRPr="00C921DE" w:rsidRDefault="001C411D" w:rsidP="00AC199C">
      <w:pPr>
        <w:spacing w:line="360" w:lineRule="auto"/>
        <w:ind w:firstLine="567"/>
        <w:jc w:val="both"/>
        <w:rPr>
          <w:rFonts w:ascii="GHEA Grapalat" w:hAnsi="GHEA Grapalat"/>
          <w:sz w:val="22"/>
          <w:szCs w:val="22"/>
        </w:rPr>
      </w:pPr>
    </w:p>
    <w:p w14:paraId="5582002E" w14:textId="77777777" w:rsidR="001C411D" w:rsidRPr="00C921DE" w:rsidRDefault="001C411D" w:rsidP="00AC199C">
      <w:pPr>
        <w:pStyle w:val="Heading2"/>
        <w:spacing w:before="0"/>
      </w:pPr>
      <w:bookmarkStart w:id="49" w:name="_Toc163745436"/>
      <w:r w:rsidRPr="00C921DE">
        <w:lastRenderedPageBreak/>
        <w:t>Երիտասարդություն</w:t>
      </w:r>
      <w:bookmarkEnd w:id="49"/>
    </w:p>
    <w:p w14:paraId="774DD4BA"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Պետական երիտասարդական</w:t>
      </w:r>
      <w:r w:rsidR="00D673B4" w:rsidRPr="00C921DE">
        <w:rPr>
          <w:rFonts w:ascii="GHEA Grapalat" w:hAnsi="GHEA Grapalat"/>
          <w:sz w:val="22"/>
          <w:szCs w:val="22"/>
        </w:rPr>
        <w:t xml:space="preserve"> </w:t>
      </w:r>
      <w:r w:rsidRPr="00C921DE">
        <w:rPr>
          <w:rFonts w:ascii="GHEA Grapalat" w:hAnsi="GHEA Grapalat"/>
          <w:sz w:val="22"/>
          <w:szCs w:val="22"/>
        </w:rPr>
        <w:t>քաղաքականության իրավական հիմքերի կատարելագործման նպատակով 2023 թվականի նոյեմբերի 29-ի</w:t>
      </w:r>
      <w:r w:rsidR="00A46484" w:rsidRPr="00C921DE">
        <w:rPr>
          <w:rFonts w:ascii="GHEA Grapalat" w:hAnsi="GHEA Grapalat"/>
          <w:sz w:val="22"/>
          <w:szCs w:val="22"/>
          <w:lang w:val="en-US"/>
        </w:rPr>
        <w:t>ն</w:t>
      </w:r>
      <w:r w:rsidRPr="00C921DE">
        <w:rPr>
          <w:rFonts w:ascii="GHEA Grapalat" w:hAnsi="GHEA Grapalat"/>
          <w:sz w:val="22"/>
          <w:szCs w:val="22"/>
        </w:rPr>
        <w:t xml:space="preserve"> ՀՀ ԿԳՄՍ նախարարի հրամանով հաստատվել է «Երիտասարդության ոլորտում պետական քաղաքականութ</w:t>
      </w:r>
      <w:r w:rsidR="009A7EB2" w:rsidRPr="00C921DE">
        <w:rPr>
          <w:rFonts w:ascii="GHEA Grapalat" w:hAnsi="GHEA Grapalat"/>
          <w:sz w:val="22"/>
          <w:szCs w:val="22"/>
        </w:rPr>
        <w:t>յան որակի ապահովման մեխանիզմը»:</w:t>
      </w:r>
    </w:p>
    <w:p w14:paraId="7FE6D29C"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Հայաստանի մարզային համայնքներում երիտասարդության ներուժի բացահայտման և համակողմանի զարգացման նպատակով ՀՀ Տավուշի մարզի Դիլիջան և ՀՀ Արագածոտնի մարզի Ապարան համայնքներում 2023 թվականին ստեղծվել են երիտասարդական կենտրոններ: Հանրային կյանքում որոշումների կայացմանը երիտասարդների մասնակցության բարձրացման նպատակով</w:t>
      </w:r>
      <w:r w:rsidR="00D673B4" w:rsidRPr="00C921DE">
        <w:rPr>
          <w:rFonts w:ascii="GHEA Grapalat" w:hAnsi="GHEA Grapalat"/>
          <w:sz w:val="22"/>
          <w:szCs w:val="22"/>
        </w:rPr>
        <w:t xml:space="preserve"> </w:t>
      </w:r>
      <w:r w:rsidRPr="00C921DE">
        <w:rPr>
          <w:rFonts w:ascii="GHEA Grapalat" w:hAnsi="GHEA Grapalat"/>
          <w:sz w:val="22"/>
          <w:szCs w:val="22"/>
        </w:rPr>
        <w:t>«ԲՈՒՆ» գիտամշակութային հիմնադրամի հետ կնքվել է պայմանագիր, որով նախատեսվել է «Լինել քաղաքացի» խորագրով ծրագրի թողարկում: Հաղորդաշարը հեռարձակվել է Boon TV-ի աշնանա</w:t>
      </w:r>
      <w:r w:rsidR="009A7EB2" w:rsidRPr="00C921DE">
        <w:rPr>
          <w:rFonts w:ascii="GHEA Grapalat" w:hAnsi="GHEA Grapalat"/>
          <w:sz w:val="22"/>
          <w:szCs w:val="22"/>
        </w:rPr>
        <w:t>յին նոր եթերաշրջանի շրջանակում:</w:t>
      </w:r>
    </w:p>
    <w:p w14:paraId="552AB25E"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Երիտասարդության սոցիալ-տնտեսական խնդիրների բարելավման և մասնագիտական կարողությունների զարգացման նպատակով</w:t>
      </w:r>
      <w:r w:rsidR="00D673B4" w:rsidRPr="00C921DE">
        <w:rPr>
          <w:rFonts w:ascii="GHEA Grapalat" w:hAnsi="GHEA Grapalat"/>
          <w:sz w:val="22"/>
          <w:szCs w:val="22"/>
        </w:rPr>
        <w:t xml:space="preserve"> </w:t>
      </w:r>
      <w:r w:rsidRPr="00C921DE">
        <w:rPr>
          <w:rFonts w:ascii="GHEA Grapalat" w:hAnsi="GHEA Grapalat"/>
          <w:sz w:val="22"/>
          <w:szCs w:val="22"/>
        </w:rPr>
        <w:t>շարունակվել է «Երիտասարդ ընտանիքին՝ մատչելի բնակարան» պետական նպատակային ծրագիրը: 2010-2023 թվականներին ծրագրից օգտվել է</w:t>
      </w:r>
      <w:r w:rsidR="00D673B4" w:rsidRPr="00C921DE">
        <w:rPr>
          <w:rFonts w:ascii="GHEA Grapalat" w:hAnsi="GHEA Grapalat"/>
          <w:sz w:val="22"/>
          <w:szCs w:val="22"/>
        </w:rPr>
        <w:t xml:space="preserve"> </w:t>
      </w:r>
      <w:r w:rsidRPr="00C921DE">
        <w:rPr>
          <w:rFonts w:ascii="GHEA Grapalat" w:hAnsi="GHEA Grapalat"/>
          <w:sz w:val="22"/>
          <w:szCs w:val="22"/>
        </w:rPr>
        <w:t>8404 (8140՝ երկրորդային</w:t>
      </w:r>
      <w:r w:rsidR="00A46484" w:rsidRPr="00C921DE">
        <w:rPr>
          <w:rFonts w:ascii="GHEA Grapalat" w:hAnsi="GHEA Grapalat"/>
          <w:sz w:val="22"/>
          <w:szCs w:val="22"/>
        </w:rPr>
        <w:t xml:space="preserve"> շուկա</w:t>
      </w:r>
      <w:r w:rsidRPr="00C921DE">
        <w:rPr>
          <w:rFonts w:ascii="GHEA Grapalat" w:hAnsi="GHEA Grapalat"/>
          <w:sz w:val="22"/>
          <w:szCs w:val="22"/>
        </w:rPr>
        <w:t>, +264՝ առաջնային շուկա)</w:t>
      </w:r>
      <w:r w:rsidRPr="00C921DE">
        <w:rPr>
          <w:rFonts w:ascii="Calibri" w:hAnsi="Calibri" w:cs="Calibri"/>
          <w:sz w:val="22"/>
          <w:szCs w:val="22"/>
        </w:rPr>
        <w:t> </w:t>
      </w:r>
      <w:r w:rsidRPr="00C921DE">
        <w:rPr>
          <w:rFonts w:ascii="GHEA Grapalat" w:hAnsi="GHEA Grapalat"/>
          <w:sz w:val="22"/>
          <w:szCs w:val="22"/>
        </w:rPr>
        <w:t>ընտանիք (թիվը ներառում է և</w:t>
      </w:r>
      <w:r w:rsidR="00756C6B" w:rsidRPr="00C921DE">
        <w:rPr>
          <w:rFonts w:ascii="GHEA Grapalat" w:hAnsi="GHEA Grapalat"/>
          <w:sz w:val="22"/>
          <w:szCs w:val="22"/>
          <w:lang w:val="en-US"/>
        </w:rPr>
        <w:t>՛</w:t>
      </w:r>
      <w:r w:rsidRPr="00C921DE">
        <w:rPr>
          <w:rFonts w:ascii="GHEA Grapalat" w:hAnsi="GHEA Grapalat"/>
          <w:sz w:val="22"/>
          <w:szCs w:val="22"/>
        </w:rPr>
        <w:t xml:space="preserve"> շարունակական, և</w:t>
      </w:r>
      <w:r w:rsidR="00756C6B" w:rsidRPr="00C921DE">
        <w:rPr>
          <w:rFonts w:ascii="GHEA Grapalat" w:hAnsi="GHEA Grapalat"/>
          <w:sz w:val="22"/>
          <w:szCs w:val="22"/>
          <w:lang w:val="en-US"/>
        </w:rPr>
        <w:t>՛</w:t>
      </w:r>
      <w:r w:rsidRPr="00C921DE">
        <w:rPr>
          <w:rFonts w:ascii="GHEA Grapalat" w:hAnsi="GHEA Grapalat"/>
          <w:sz w:val="22"/>
          <w:szCs w:val="22"/>
        </w:rPr>
        <w:t xml:space="preserve"> մարված, և</w:t>
      </w:r>
      <w:r w:rsidR="00756C6B" w:rsidRPr="00C921DE">
        <w:rPr>
          <w:rFonts w:ascii="GHEA Grapalat" w:hAnsi="GHEA Grapalat"/>
          <w:sz w:val="22"/>
          <w:szCs w:val="22"/>
          <w:lang w:val="en-US"/>
        </w:rPr>
        <w:t>՛</w:t>
      </w:r>
      <w:r w:rsidRPr="00C921DE">
        <w:rPr>
          <w:rFonts w:ascii="GHEA Grapalat" w:hAnsi="GHEA Grapalat"/>
          <w:sz w:val="22"/>
          <w:szCs w:val="22"/>
        </w:rPr>
        <w:t xml:space="preserve"> դասակարգված վարկերը): 2023 թ</w:t>
      </w:r>
      <w:r w:rsidR="00756C6B" w:rsidRPr="00C921DE">
        <w:rPr>
          <w:rFonts w:ascii="GHEA Grapalat" w:hAnsi="GHEA Grapalat"/>
          <w:sz w:val="22"/>
          <w:szCs w:val="22"/>
          <w:lang w:val="en-US"/>
        </w:rPr>
        <w:t>վականին</w:t>
      </w:r>
      <w:r w:rsidRPr="00C921DE">
        <w:rPr>
          <w:rFonts w:ascii="GHEA Grapalat" w:hAnsi="GHEA Grapalat"/>
          <w:sz w:val="22"/>
          <w:szCs w:val="22"/>
        </w:rPr>
        <w:t xml:space="preserve"> 713 ընտանիք դարձել է ծրագրի շահառու:</w:t>
      </w:r>
    </w:p>
    <w:p w14:paraId="62099830" w14:textId="77777777" w:rsidR="002B2FFE" w:rsidRPr="00C921DE" w:rsidRDefault="002B2FFE" w:rsidP="009A7EB2">
      <w:pPr>
        <w:spacing w:line="360" w:lineRule="auto"/>
        <w:ind w:firstLine="567"/>
        <w:jc w:val="both"/>
        <w:rPr>
          <w:rFonts w:ascii="GHEA Grapalat" w:hAnsi="GHEA Grapalat"/>
          <w:sz w:val="22"/>
          <w:szCs w:val="22"/>
        </w:rPr>
      </w:pPr>
      <w:r w:rsidRPr="00C921DE">
        <w:rPr>
          <w:rFonts w:ascii="GHEA Grapalat" w:hAnsi="GHEA Grapalat"/>
          <w:sz w:val="22"/>
          <w:szCs w:val="22"/>
        </w:rPr>
        <w:t>Երիտասարդների սոցիալական ձեռներեցության</w:t>
      </w:r>
      <w:r w:rsidR="00D673B4" w:rsidRPr="00C921DE">
        <w:rPr>
          <w:rFonts w:ascii="GHEA Grapalat" w:hAnsi="GHEA Grapalat"/>
          <w:sz w:val="22"/>
          <w:szCs w:val="22"/>
        </w:rPr>
        <w:t xml:space="preserve"> </w:t>
      </w:r>
      <w:r w:rsidRPr="00C921DE">
        <w:rPr>
          <w:rFonts w:ascii="GHEA Grapalat" w:hAnsi="GHEA Grapalat"/>
          <w:sz w:val="22"/>
          <w:szCs w:val="22"/>
        </w:rPr>
        <w:t>նախաձեռնություններին աջակցման ծրագրի</w:t>
      </w:r>
      <w:r w:rsidR="00756C6B" w:rsidRPr="00C921DE">
        <w:rPr>
          <w:rFonts w:ascii="GHEA Grapalat" w:hAnsi="GHEA Grapalat"/>
          <w:sz w:val="22"/>
          <w:szCs w:val="22"/>
          <w:lang w:val="en-US"/>
        </w:rPr>
        <w:t>ն</w:t>
      </w:r>
      <w:r w:rsidRPr="00C921DE">
        <w:rPr>
          <w:rFonts w:ascii="GHEA Grapalat" w:hAnsi="GHEA Grapalat"/>
          <w:sz w:val="22"/>
          <w:szCs w:val="22"/>
        </w:rPr>
        <w:t xml:space="preserve"> մասնակցել են 18-30 տարեկան 101 երիտասարդներ ՀՀ Սյունիքի, Կոտայքի, Վայոց Ձորի, Տավուշի, Գեղարքունիքի, Երևանի, Արարատի, Արմավիրի և Շիրակի մարզերից։ Ընդհանուր առմամբ մշակվել է 15 ծրագիր, որոնցից </w:t>
      </w:r>
      <w:r w:rsidR="009A7EB2" w:rsidRPr="00C921DE">
        <w:rPr>
          <w:rFonts w:ascii="GHEA Grapalat" w:hAnsi="GHEA Grapalat"/>
          <w:sz w:val="22"/>
          <w:szCs w:val="22"/>
        </w:rPr>
        <w:t>9-ը ֆինանսավորվել է։</w:t>
      </w:r>
    </w:p>
    <w:p w14:paraId="252053B0" w14:textId="77777777" w:rsidR="001C411D" w:rsidRPr="00C921DE" w:rsidRDefault="001C411D" w:rsidP="006B27BD">
      <w:pPr>
        <w:spacing w:line="360" w:lineRule="auto"/>
        <w:ind w:firstLine="567"/>
        <w:jc w:val="both"/>
        <w:rPr>
          <w:rFonts w:ascii="GHEA Grapalat" w:hAnsi="GHEA Grapalat"/>
          <w:sz w:val="22"/>
          <w:szCs w:val="22"/>
        </w:rPr>
      </w:pPr>
    </w:p>
    <w:p w14:paraId="64375024" w14:textId="77777777" w:rsidR="001C411D" w:rsidRPr="00C921DE" w:rsidRDefault="001C411D" w:rsidP="00AC199C">
      <w:pPr>
        <w:pStyle w:val="Heading2"/>
        <w:spacing w:before="0"/>
      </w:pPr>
      <w:bookmarkStart w:id="50" w:name="_Toc163745437"/>
      <w:r w:rsidRPr="00C921DE">
        <w:t>Առողջապահություն</w:t>
      </w:r>
      <w:bookmarkEnd w:id="50"/>
    </w:p>
    <w:p w14:paraId="390A60AD"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Բնակչության առողջության պահպանման և բարելավման հիմնախնդիրները դիտարկվում են որպես պետության կայուն զարգացումը պայմանավորող հիմնական գործոններից և ազգային անվտանգության ապահովման առաջնահերթություններից մեկը: Առողջապահության ոլորտի գործունեության բարելավման և զարգացման քաղաքականության հիմքում որդեգրվել է ապահովել յուրաքանչյուր քաղաքացու առողջության պահպանման սահմանադրական իրավունքը` բուժօգնության տրամադրման հավասարություն, արդարություն, մատչելիություն, բժշկական օգնության որակի ապահովում: </w:t>
      </w:r>
    </w:p>
    <w:p w14:paraId="5E2BA064"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 xml:space="preserve">Ոլորտում իրականացվող քաղաքականությունն ուղղվել է հանրային առողջապահական ծառայությունների հզորացմանը, հիվանդությունների կանխարգելմանը, առողջ կենսակերպի համար պայմանների ստեղծմանը: </w:t>
      </w:r>
    </w:p>
    <w:p w14:paraId="4AB50A79"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Պետական առողջապահական ծախսերի նպատակայնության հետևողական բարձրացման, հատկացվող ֆինանսական միջոցների վերահսկման և մատուցվող ծառայությունների որա</w:t>
      </w:r>
      <w:r w:rsidRPr="00C921DE">
        <w:rPr>
          <w:rFonts w:ascii="GHEA Grapalat" w:hAnsi="GHEA Grapalat"/>
          <w:sz w:val="22"/>
          <w:szCs w:val="22"/>
        </w:rPr>
        <w:softHyphen/>
        <w:t>կի կառավարման գործուն մեխանիզմների շարունակական բարելավման շնորհիվ առող</w:t>
      </w:r>
      <w:r w:rsidRPr="00C921DE">
        <w:rPr>
          <w:rFonts w:ascii="GHEA Grapalat" w:hAnsi="GHEA Grapalat"/>
          <w:sz w:val="22"/>
          <w:szCs w:val="22"/>
        </w:rPr>
        <w:softHyphen/>
        <w:t>ջա</w:t>
      </w:r>
      <w:r w:rsidRPr="00C921DE">
        <w:rPr>
          <w:rFonts w:ascii="GHEA Grapalat" w:hAnsi="GHEA Grapalat"/>
          <w:sz w:val="22"/>
          <w:szCs w:val="22"/>
        </w:rPr>
        <w:softHyphen/>
        <w:t>պա</w:t>
      </w:r>
      <w:r w:rsidRPr="00C921DE">
        <w:rPr>
          <w:rFonts w:ascii="GHEA Grapalat" w:hAnsi="GHEA Grapalat"/>
          <w:sz w:val="22"/>
          <w:szCs w:val="22"/>
        </w:rPr>
        <w:softHyphen/>
        <w:t>հական համակարգի շահառուն ստիպված չի եղել հավելյալ վճարել պետության կողմից ան</w:t>
      </w:r>
      <w:r w:rsidRPr="00C921DE">
        <w:rPr>
          <w:rFonts w:ascii="GHEA Grapalat" w:hAnsi="GHEA Grapalat"/>
          <w:sz w:val="22"/>
          <w:szCs w:val="22"/>
        </w:rPr>
        <w:softHyphen/>
        <w:t>վճար և արտոնյալ պայմաններով մատուցվող ծառայությունների համար և ստացել է որակյալ բժշկա</w:t>
      </w:r>
      <w:r w:rsidRPr="00C921DE">
        <w:rPr>
          <w:rFonts w:ascii="GHEA Grapalat" w:hAnsi="GHEA Grapalat"/>
          <w:sz w:val="22"/>
          <w:szCs w:val="22"/>
        </w:rPr>
        <w:softHyphen/>
        <w:t>կան օգնություն և ծառայություններ: Անվճար բժշկական օգնությունը տրամադրվել է միայն սոցիալական արդարության սկզբունքի հիման վրա: Միաժամանակ պետությունը կանգնել է անհետաձգելի բժշկա</w:t>
      </w:r>
      <w:r w:rsidRPr="00C921DE">
        <w:rPr>
          <w:rFonts w:ascii="GHEA Grapalat" w:hAnsi="GHEA Grapalat"/>
          <w:sz w:val="22"/>
          <w:szCs w:val="22"/>
        </w:rPr>
        <w:softHyphen/>
        <w:t xml:space="preserve">կան օգնության կարիք ունեցող ցանկացած մարդու կողքին: </w:t>
      </w:r>
    </w:p>
    <w:p w14:paraId="1E5F9E3F"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Առողջության առաջնային պահպանման, մոր և մանկան առողջապահական, վերարտադրողական առողջության պահպանման ծառայությունները եղել են պետության առաջնահերթությունը: </w:t>
      </w:r>
    </w:p>
    <w:p w14:paraId="5546AC01"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Հանրային առողջապահական ծառայությունների հզորացման ոլորտում</w:t>
      </w:r>
      <w:r w:rsidR="002E15CB" w:rsidRPr="00C921DE">
        <w:rPr>
          <w:rFonts w:ascii="GHEA Grapalat" w:hAnsi="GHEA Grapalat"/>
          <w:sz w:val="22"/>
          <w:szCs w:val="22"/>
        </w:rPr>
        <w:t xml:space="preserve"> </w:t>
      </w:r>
      <w:r w:rsidRPr="00C921DE">
        <w:rPr>
          <w:rFonts w:ascii="GHEA Grapalat" w:hAnsi="GHEA Grapalat"/>
          <w:sz w:val="22"/>
          <w:szCs w:val="22"/>
        </w:rPr>
        <w:t xml:space="preserve">կառավարությունն ապահովել է հանրային առողջապահության միասնական պետական քաղաքականության մշակումը և իրականացումը, օրենսդրական դաշտի բարելավումը, վարակիչ և ոչ վարակիչ հիվանդությունների առաջացման և տարածման պատճառների ուսումնասիրությունը և դրանց կանխարգելմանն ուղղված միջոցառումների իրականացումը: Բնակչության հիգիենիկ և հակահամաճարակային անվտանգության բնագավառում տարվող քաղաքականության հիմնական նպատակն է եղել բնակչության սանիտարահամաճարակային անվտանգության ապահովումը, մարդու օրգանիզմի վրա շրջակա միջավայրի վնասակար ու վտանգավոր գործոնների ազդեցության նվազեցումը` սանիտարահամաճարակային կանոնների և նորմերի, հիգիենիկ նորմատիվների պահանջների կատարման նկատմամբ վերահսկողության միջոցով: </w:t>
      </w:r>
    </w:p>
    <w:p w14:paraId="13418965"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աշխատանքները հանրային առողջության համար վտանգ ներկայացնող իրավիճակներին արձագանքման կատարելագործման, համընդհանուր լաբորատոր ցանցի և լաբորատոր համակարգի շարունակական զարգացման, առողջ ապրելակերպի քարոզչության, աշխատողների առողջության պահպանման հիմնական կանոնների ու նորմերի սահմանման և կիրառման ուղղություններով:</w:t>
      </w:r>
    </w:p>
    <w:p w14:paraId="544091CD"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Արտահիվանդանոցային և հիվանդանոցային առողջապահական ծառայությունների որակի, մատչելիության, հասանելիության ապահովման ոլորտում բժշկական օգնության կազմակ</w:t>
      </w:r>
      <w:r w:rsidR="00A053BE" w:rsidRPr="00C921DE">
        <w:rPr>
          <w:rFonts w:ascii="GHEA Grapalat" w:hAnsi="GHEA Grapalat"/>
          <w:sz w:val="22"/>
          <w:szCs w:val="22"/>
        </w:rPr>
        <w:t>երպման որակի բարձրացման առումով՝</w:t>
      </w:r>
      <w:r w:rsidRPr="00C921DE">
        <w:rPr>
          <w:rFonts w:ascii="GHEA Grapalat" w:hAnsi="GHEA Grapalat"/>
          <w:sz w:val="22"/>
          <w:szCs w:val="22"/>
        </w:rPr>
        <w:t xml:space="preserve"> բժշկական ծառայությունների որակի կառավարման նպատակով փուլ </w:t>
      </w:r>
      <w:r w:rsidRPr="00C921DE">
        <w:rPr>
          <w:rFonts w:ascii="GHEA Grapalat" w:hAnsi="GHEA Grapalat"/>
          <w:sz w:val="22"/>
          <w:szCs w:val="22"/>
        </w:rPr>
        <w:lastRenderedPageBreak/>
        <w:t>առ փուլ ներդրվել են ապացուցողական բժշկության վրա հիմնված բժշկական օգնության տրամադրման չափորոշիչները: Կառավարությունը շարունակել է մարզային բժշկական կազմակերպությունները (առողջության առաջնային պահպանման օղակի և հիվանդանոցային) վերանորոգելու, վերակառուցելու և վերազինելու ծրագրի իրականացումը</w:t>
      </w:r>
      <w:r w:rsidR="00A053BE" w:rsidRPr="00C921DE">
        <w:rPr>
          <w:rFonts w:ascii="GHEA Grapalat" w:hAnsi="GHEA Grapalat"/>
          <w:sz w:val="22"/>
          <w:szCs w:val="22"/>
          <w:lang w:val="en-US"/>
        </w:rPr>
        <w:t>՝</w:t>
      </w:r>
      <w:r w:rsidRPr="00C921DE">
        <w:rPr>
          <w:rFonts w:ascii="GHEA Grapalat" w:hAnsi="GHEA Grapalat"/>
          <w:sz w:val="22"/>
          <w:szCs w:val="22"/>
        </w:rPr>
        <w:t xml:space="preserve"> հանրապետության ամբողջ տարածքում հասանելի դարձնելով ժամանակակից բժշկական ծառայությունները: Աշխատանքներ են իրականացվել ոլորտը նորագույն սարքավորումներով վերազինելու և միասնական էլեկտրոնային համակարգ ներդնելու ուղղություններով:</w:t>
      </w:r>
    </w:p>
    <w:p w14:paraId="4C264275"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Առողջության առաջնային պահպանման ծառայություններ մատուցող բժշկի (տեղամասային թերապևտ, մանկաբույժ, ընտանեկան բժիշկ) գործառույթներ</w:t>
      </w:r>
      <w:r w:rsidR="00A053BE" w:rsidRPr="00C921DE">
        <w:rPr>
          <w:rFonts w:ascii="GHEA Grapalat" w:hAnsi="GHEA Grapalat"/>
          <w:sz w:val="22"/>
          <w:szCs w:val="22"/>
          <w:lang w:val="en-US"/>
        </w:rPr>
        <w:t>ն</w:t>
      </w:r>
      <w:r w:rsidRPr="00C921DE">
        <w:rPr>
          <w:rFonts w:ascii="GHEA Grapalat" w:hAnsi="GHEA Grapalat"/>
          <w:sz w:val="22"/>
          <w:szCs w:val="22"/>
        </w:rPr>
        <w:t xml:space="preserve"> առավելագույնս ուղղվել են հիվանդությունների կանխարգելմանն ու վաղ հայտնաբերմանը: </w:t>
      </w:r>
    </w:p>
    <w:p w14:paraId="72D06C4D"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Մոր ու մանկան առողջության պահպանման ծառայությունների բարելավման ոլորտում կառավարությունը նպաստել է մոր և մանկան առողջության ցուցանիշների բարելավմանը` ուղղորդված առողջապահական ծրագրային միջոցառումների իրականացման միջոցով ապահովելու մոր ու մանկան առողջության առաջնային պահպանման համակարգում կանխարգելիչ ծրագրային ուղղությունների ուժեղացումը: </w:t>
      </w:r>
    </w:p>
    <w:p w14:paraId="40D7B218"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Առողջապահական կադրային ներուժի ապահովման ոլորտում իրականացվել են աշխատանքներ բուժաշխատողների մասնագիտական գիտելիքների և հմտությունների շարունա</w:t>
      </w:r>
      <w:r w:rsidRPr="00C921DE">
        <w:rPr>
          <w:rFonts w:ascii="GHEA Grapalat" w:hAnsi="GHEA Grapalat"/>
          <w:sz w:val="22"/>
          <w:szCs w:val="22"/>
        </w:rPr>
        <w:softHyphen/>
        <w:t xml:space="preserve">կական բարելավման ուղղությամբ: Ներդրվել են մեխանիզմներ առողջապահական կադրային ներուժի տարածքային օպտիմալ բաշխման, մարզային առողջապահական կազմակերպությունները որակյալ կադրերով ապահովելու և բժշկի աշխատանքը մարզում հնարավորինս խրախուսելու համար: </w:t>
      </w:r>
    </w:p>
    <w:p w14:paraId="2DD820C1"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Դեղերի անվտանգության, արդյունավետության և որակի ապահովման ոլորտում իրականացվել են </w:t>
      </w:r>
      <w:r w:rsidR="00A053BE" w:rsidRPr="00C921DE">
        <w:rPr>
          <w:rFonts w:ascii="GHEA Grapalat" w:hAnsi="GHEA Grapalat"/>
          <w:sz w:val="22"/>
          <w:szCs w:val="22"/>
        </w:rPr>
        <w:t xml:space="preserve">աշխատանքներ </w:t>
      </w:r>
      <w:r w:rsidRPr="00C921DE">
        <w:rPr>
          <w:rFonts w:ascii="GHEA Grapalat" w:hAnsi="GHEA Grapalat"/>
          <w:sz w:val="22"/>
          <w:szCs w:val="22"/>
        </w:rPr>
        <w:t xml:space="preserve">հանրապետությունում անվտանգ, արդյունավետ, որակյալ և մատչելի դեղեր ունենալու ուղղությամբ` դեղային ազգային քաղաքականության մշակման, դեղերի շրջանառության բոլոր փուլերի կանոնակարգման, այս ոլորտի պետական վերահսկողության բարելավման, հայրենական արտադրության դեղերի մրցունակության ապահովման և տեղական դեղարտադրության խրախուսման միջոցով: </w:t>
      </w:r>
    </w:p>
    <w:p w14:paraId="576D6461"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Շարունակվել են լրացուցիչ միջոցներ ուղղվել պե</w:t>
      </w:r>
      <w:r w:rsidRPr="00C921DE">
        <w:rPr>
          <w:rFonts w:ascii="GHEA Grapalat" w:hAnsi="GHEA Grapalat"/>
          <w:sz w:val="22"/>
          <w:szCs w:val="22"/>
        </w:rPr>
        <w:softHyphen/>
        <w:t>տության կողմից երաշխավորված անվճար բժշկական օգնության և սպասարկման շրջա</w:t>
      </w:r>
      <w:r w:rsidRPr="00C921DE">
        <w:rPr>
          <w:rFonts w:ascii="GHEA Grapalat" w:hAnsi="GHEA Grapalat"/>
          <w:sz w:val="22"/>
          <w:szCs w:val="22"/>
        </w:rPr>
        <w:softHyphen/>
        <w:t>նակ</w:t>
      </w:r>
      <w:r w:rsidRPr="00C921DE">
        <w:rPr>
          <w:rFonts w:ascii="GHEA Grapalat" w:hAnsi="GHEA Grapalat"/>
          <w:sz w:val="22"/>
          <w:szCs w:val="22"/>
        </w:rPr>
        <w:softHyphen/>
        <w:t>նե</w:t>
      </w:r>
      <w:r w:rsidRPr="00C921DE">
        <w:rPr>
          <w:rFonts w:ascii="GHEA Grapalat" w:hAnsi="GHEA Grapalat"/>
          <w:sz w:val="22"/>
          <w:szCs w:val="22"/>
        </w:rPr>
        <w:softHyphen/>
        <w:t>րում կյանք փրկող գլխուղեղի սուր և/կամ ենթասուր իշեմիկ կաթվածների թրոմբոլիտիկ բուժ</w:t>
      </w:r>
      <w:r w:rsidRPr="00C921DE">
        <w:rPr>
          <w:rFonts w:ascii="GHEA Grapalat" w:hAnsi="GHEA Grapalat"/>
          <w:sz w:val="22"/>
          <w:szCs w:val="22"/>
        </w:rPr>
        <w:softHyphen/>
        <w:t>ման և մեխանիկական թրոմբէկտոմիա ծառայության զարգացմանը:</w:t>
      </w:r>
    </w:p>
    <w:p w14:paraId="1AB0B608"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Վարակիչ և ոչ վարակիչ հիվանդությունների կանխարգելումը ռազմավարական մեկ այլ կարևոր նպատակ է եղել, որի շրջանակներում ապահովվել են առավել տարածված ոչ վարակիչ հի</w:t>
      </w:r>
      <w:r w:rsidRPr="00C921DE">
        <w:rPr>
          <w:rFonts w:ascii="GHEA Grapalat" w:hAnsi="GHEA Grapalat"/>
          <w:sz w:val="22"/>
          <w:szCs w:val="22"/>
        </w:rPr>
        <w:softHyphen/>
        <w:t>վան</w:t>
      </w:r>
      <w:r w:rsidRPr="00C921DE">
        <w:rPr>
          <w:rFonts w:ascii="GHEA Grapalat" w:hAnsi="GHEA Grapalat"/>
          <w:sz w:val="22"/>
          <w:szCs w:val="22"/>
        </w:rPr>
        <w:softHyphen/>
        <w:t>դությունների վաղ հայտնաբերման, ախտորոշման ու կանխարգելման ճանապարհով բնակ</w:t>
      </w:r>
      <w:r w:rsidRPr="00C921DE">
        <w:rPr>
          <w:rFonts w:ascii="GHEA Grapalat" w:hAnsi="GHEA Grapalat"/>
          <w:sz w:val="22"/>
          <w:szCs w:val="22"/>
        </w:rPr>
        <w:softHyphen/>
        <w:t>չու</w:t>
      </w:r>
      <w:r w:rsidRPr="00C921DE">
        <w:rPr>
          <w:rFonts w:ascii="GHEA Grapalat" w:hAnsi="GHEA Grapalat"/>
          <w:sz w:val="22"/>
          <w:szCs w:val="22"/>
        </w:rPr>
        <w:softHyphen/>
        <w:t>թյան առողջության հիմնական ցուցանիշների բարելավում և այդ հիվանդությունների բար</w:t>
      </w:r>
      <w:r w:rsidRPr="00C921DE">
        <w:rPr>
          <w:rFonts w:ascii="GHEA Grapalat" w:hAnsi="GHEA Grapalat"/>
          <w:sz w:val="22"/>
          <w:szCs w:val="22"/>
        </w:rPr>
        <w:softHyphen/>
        <w:t>դու</w:t>
      </w:r>
      <w:r w:rsidRPr="00C921DE">
        <w:rPr>
          <w:rFonts w:ascii="GHEA Grapalat" w:hAnsi="GHEA Grapalat"/>
          <w:sz w:val="22"/>
          <w:szCs w:val="22"/>
        </w:rPr>
        <w:softHyphen/>
        <w:t>թյուն</w:t>
      </w:r>
      <w:r w:rsidRPr="00C921DE">
        <w:rPr>
          <w:rFonts w:ascii="GHEA Grapalat" w:hAnsi="GHEA Grapalat"/>
          <w:sz w:val="22"/>
          <w:szCs w:val="22"/>
        </w:rPr>
        <w:softHyphen/>
        <w:t>ների, հաշմանդամության և մահացության ցուցանիշների կրճատում, ինչպես նաև վարակիչ հի</w:t>
      </w:r>
      <w:r w:rsidRPr="00C921DE">
        <w:rPr>
          <w:rFonts w:ascii="GHEA Grapalat" w:hAnsi="GHEA Grapalat"/>
          <w:sz w:val="22"/>
          <w:szCs w:val="22"/>
        </w:rPr>
        <w:softHyphen/>
        <w:t>վան</w:t>
      </w:r>
      <w:r w:rsidRPr="00C921DE">
        <w:rPr>
          <w:rFonts w:ascii="GHEA Grapalat" w:hAnsi="GHEA Grapalat"/>
          <w:sz w:val="22"/>
          <w:szCs w:val="22"/>
        </w:rPr>
        <w:softHyphen/>
        <w:t>դություններով հիվանդացության նվազեցում, կառավարելի վարակիչ հի</w:t>
      </w:r>
      <w:r w:rsidRPr="00C921DE">
        <w:rPr>
          <w:rFonts w:ascii="GHEA Grapalat" w:hAnsi="GHEA Grapalat"/>
          <w:sz w:val="22"/>
          <w:szCs w:val="22"/>
        </w:rPr>
        <w:softHyphen/>
        <w:t>վան</w:t>
      </w:r>
      <w:r w:rsidRPr="00C921DE">
        <w:rPr>
          <w:rFonts w:ascii="GHEA Grapalat" w:hAnsi="GHEA Grapalat"/>
          <w:sz w:val="22"/>
          <w:szCs w:val="22"/>
        </w:rPr>
        <w:softHyphen/>
        <w:t>դու</w:t>
      </w:r>
      <w:r w:rsidRPr="00C921DE">
        <w:rPr>
          <w:rFonts w:ascii="GHEA Grapalat" w:hAnsi="GHEA Grapalat"/>
          <w:sz w:val="22"/>
          <w:szCs w:val="22"/>
        </w:rPr>
        <w:softHyphen/>
        <w:t>թյուն</w:t>
      </w:r>
      <w:r w:rsidRPr="00C921DE">
        <w:rPr>
          <w:rFonts w:ascii="GHEA Grapalat" w:hAnsi="GHEA Grapalat"/>
          <w:sz w:val="22"/>
          <w:szCs w:val="22"/>
        </w:rPr>
        <w:softHyphen/>
        <w:t>նե</w:t>
      </w:r>
      <w:r w:rsidRPr="00C921DE">
        <w:rPr>
          <w:rFonts w:ascii="GHEA Grapalat" w:hAnsi="GHEA Grapalat"/>
          <w:sz w:val="22"/>
          <w:szCs w:val="22"/>
        </w:rPr>
        <w:softHyphen/>
        <w:t>րից մահվան դեպքերի կանխում և վարակիչ հիվանդությունների նկատմամբ բնակչության անընկալության ապահովում:</w:t>
      </w:r>
    </w:p>
    <w:p w14:paraId="08440DC0"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Առողջապահության նախարարության հիմնական խնդիրներից է եղել հանրապետությունում ուռուց</w:t>
      </w:r>
      <w:r w:rsidRPr="00C921DE">
        <w:rPr>
          <w:rFonts w:ascii="GHEA Grapalat" w:hAnsi="GHEA Grapalat"/>
          <w:sz w:val="22"/>
          <w:szCs w:val="22"/>
        </w:rPr>
        <w:softHyphen/>
        <w:t>քաբանական ծառայությունների շարունակական բարելավումը: Ուռուցքաբանական վի</w:t>
      </w:r>
      <w:r w:rsidRPr="00C921DE">
        <w:rPr>
          <w:rFonts w:ascii="GHEA Grapalat" w:hAnsi="GHEA Grapalat"/>
          <w:sz w:val="22"/>
          <w:szCs w:val="22"/>
        </w:rPr>
        <w:softHyphen/>
        <w:t>րա</w:t>
      </w:r>
      <w:r w:rsidRPr="00C921DE">
        <w:rPr>
          <w:rFonts w:ascii="GHEA Grapalat" w:hAnsi="GHEA Grapalat"/>
          <w:sz w:val="22"/>
          <w:szCs w:val="22"/>
        </w:rPr>
        <w:softHyphen/>
      </w:r>
      <w:r w:rsidRPr="00C921DE">
        <w:rPr>
          <w:rFonts w:ascii="GHEA Grapalat" w:hAnsi="GHEA Grapalat"/>
          <w:sz w:val="22"/>
          <w:szCs w:val="22"/>
        </w:rPr>
        <w:softHyphen/>
      </w:r>
      <w:r w:rsidRPr="00C921DE">
        <w:rPr>
          <w:rFonts w:ascii="GHEA Grapalat" w:hAnsi="GHEA Grapalat"/>
          <w:sz w:val="22"/>
          <w:szCs w:val="22"/>
        </w:rPr>
        <w:softHyphen/>
        <w:t>հատությունների գների վերանայման, ճառագայթային բուժման դեպքերի, քիմիա</w:t>
      </w:r>
      <w:r w:rsidRPr="00C921DE">
        <w:rPr>
          <w:rFonts w:ascii="GHEA Grapalat" w:hAnsi="GHEA Grapalat"/>
          <w:sz w:val="22"/>
          <w:szCs w:val="22"/>
        </w:rPr>
        <w:softHyphen/>
        <w:t>թե</w:t>
      </w:r>
      <w:r w:rsidRPr="00C921DE">
        <w:rPr>
          <w:rFonts w:ascii="GHEA Grapalat" w:hAnsi="GHEA Grapalat"/>
          <w:sz w:val="22"/>
          <w:szCs w:val="22"/>
        </w:rPr>
        <w:softHyphen/>
        <w:t>րա</w:t>
      </w:r>
      <w:r w:rsidRPr="00C921DE">
        <w:rPr>
          <w:rFonts w:ascii="GHEA Grapalat" w:hAnsi="GHEA Grapalat"/>
          <w:sz w:val="22"/>
          <w:szCs w:val="22"/>
        </w:rPr>
        <w:softHyphen/>
        <w:t>պի</w:t>
      </w:r>
      <w:r w:rsidRPr="00C921DE">
        <w:rPr>
          <w:rFonts w:ascii="GHEA Grapalat" w:hAnsi="GHEA Grapalat"/>
          <w:sz w:val="22"/>
          <w:szCs w:val="22"/>
        </w:rPr>
        <w:softHyphen/>
        <w:t>ա</w:t>
      </w:r>
      <w:r w:rsidRPr="00C921DE">
        <w:rPr>
          <w:rFonts w:ascii="GHEA Grapalat" w:hAnsi="GHEA Grapalat"/>
          <w:sz w:val="22"/>
          <w:szCs w:val="22"/>
        </w:rPr>
        <w:softHyphen/>
        <w:t>յի դեղերի ցանկի ընդլայնման և պետության կողմից երաշխավորված անվճար պալիատիվ ծա</w:t>
      </w:r>
      <w:r w:rsidRPr="00C921DE">
        <w:rPr>
          <w:rFonts w:ascii="GHEA Grapalat" w:hAnsi="GHEA Grapalat"/>
          <w:sz w:val="22"/>
          <w:szCs w:val="22"/>
        </w:rPr>
        <w:softHyphen/>
        <w:t>ռա</w:t>
      </w:r>
      <w:r w:rsidRPr="00C921DE">
        <w:rPr>
          <w:rFonts w:ascii="GHEA Grapalat" w:hAnsi="GHEA Grapalat"/>
          <w:sz w:val="22"/>
          <w:szCs w:val="22"/>
        </w:rPr>
        <w:softHyphen/>
      </w:r>
      <w:r w:rsidRPr="00C921DE">
        <w:rPr>
          <w:rFonts w:ascii="GHEA Grapalat" w:hAnsi="GHEA Grapalat"/>
          <w:sz w:val="22"/>
          <w:szCs w:val="22"/>
        </w:rPr>
        <w:softHyphen/>
        <w:t>յության ներդրման միջոցով ուռուցքաբանական հիվանդություններով հիվանդ քաղա</w:t>
      </w:r>
      <w:r w:rsidRPr="00C921DE">
        <w:rPr>
          <w:rFonts w:ascii="GHEA Grapalat" w:hAnsi="GHEA Grapalat"/>
          <w:sz w:val="22"/>
          <w:szCs w:val="22"/>
        </w:rPr>
        <w:softHyphen/>
        <w:t>քա</w:t>
      </w:r>
      <w:r w:rsidRPr="00C921DE">
        <w:rPr>
          <w:rFonts w:ascii="GHEA Grapalat" w:hAnsi="GHEA Grapalat"/>
          <w:sz w:val="22"/>
          <w:szCs w:val="22"/>
        </w:rPr>
        <w:softHyphen/>
        <w:t>ցի</w:t>
      </w:r>
      <w:r w:rsidRPr="00C921DE">
        <w:rPr>
          <w:rFonts w:ascii="GHEA Grapalat" w:hAnsi="GHEA Grapalat"/>
          <w:sz w:val="22"/>
          <w:szCs w:val="22"/>
        </w:rPr>
        <w:softHyphen/>
        <w:t>նե</w:t>
      </w:r>
      <w:r w:rsidRPr="00C921DE">
        <w:rPr>
          <w:rFonts w:ascii="GHEA Grapalat" w:hAnsi="GHEA Grapalat"/>
          <w:sz w:val="22"/>
          <w:szCs w:val="22"/>
        </w:rPr>
        <w:softHyphen/>
        <w:t>րին մատուցվել են որակյալ բժշկական օգնությ</w:t>
      </w:r>
      <w:r w:rsidR="002E15CB" w:rsidRPr="00C921DE">
        <w:rPr>
          <w:rFonts w:ascii="GHEA Grapalat" w:hAnsi="GHEA Grapalat"/>
          <w:sz w:val="22"/>
          <w:szCs w:val="22"/>
        </w:rPr>
        <w:t>ան և սպասարկման ծառայություններ՝</w:t>
      </w:r>
      <w:r w:rsidRPr="00C921DE">
        <w:rPr>
          <w:rFonts w:ascii="GHEA Grapalat" w:hAnsi="GHEA Grapalat"/>
          <w:sz w:val="22"/>
          <w:szCs w:val="22"/>
        </w:rPr>
        <w:t xml:space="preserve"> միա</w:t>
      </w:r>
      <w:r w:rsidRPr="00C921DE">
        <w:rPr>
          <w:rFonts w:ascii="GHEA Grapalat" w:hAnsi="GHEA Grapalat"/>
          <w:sz w:val="22"/>
          <w:szCs w:val="22"/>
        </w:rPr>
        <w:softHyphen/>
        <w:t>ժա</w:t>
      </w:r>
      <w:r w:rsidRPr="00C921DE">
        <w:rPr>
          <w:rFonts w:ascii="GHEA Grapalat" w:hAnsi="GHEA Grapalat"/>
          <w:sz w:val="22"/>
          <w:szCs w:val="22"/>
        </w:rPr>
        <w:softHyphen/>
        <w:t>մա</w:t>
      </w:r>
      <w:r w:rsidRPr="00C921DE">
        <w:rPr>
          <w:rFonts w:ascii="GHEA Grapalat" w:hAnsi="GHEA Grapalat"/>
          <w:sz w:val="22"/>
          <w:szCs w:val="22"/>
        </w:rPr>
        <w:softHyphen/>
        <w:t>նակ վերջիններիս «փրկելով» հիվանդության բուժման հետ կապված կործանարար ծախ</w:t>
      </w:r>
      <w:r w:rsidRPr="00C921DE">
        <w:rPr>
          <w:rFonts w:ascii="GHEA Grapalat" w:hAnsi="GHEA Grapalat"/>
          <w:sz w:val="22"/>
          <w:szCs w:val="22"/>
        </w:rPr>
        <w:softHyphen/>
        <w:t>սեր կա</w:t>
      </w:r>
      <w:r w:rsidRPr="00C921DE">
        <w:rPr>
          <w:rFonts w:ascii="GHEA Grapalat" w:hAnsi="GHEA Grapalat"/>
          <w:sz w:val="22"/>
          <w:szCs w:val="22"/>
        </w:rPr>
        <w:softHyphen/>
        <w:t>տարելու վտանգներից:</w:t>
      </w:r>
    </w:p>
    <w:p w14:paraId="35D0451C" w14:textId="1B56DBF3"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Նոր տեխնոլոգիաների կիրառմամբ </w:t>
      </w:r>
      <w:r w:rsidR="002E15CB" w:rsidRPr="00C921DE">
        <w:rPr>
          <w:rFonts w:ascii="GHEA Grapalat" w:hAnsi="GHEA Grapalat"/>
          <w:sz w:val="22"/>
          <w:szCs w:val="22"/>
          <w:lang w:val="en-US"/>
        </w:rPr>
        <w:t>մատուցվել են</w:t>
      </w:r>
      <w:r w:rsidRPr="00C921DE">
        <w:rPr>
          <w:rFonts w:ascii="GHEA Grapalat" w:hAnsi="GHEA Grapalat"/>
          <w:sz w:val="22"/>
          <w:szCs w:val="22"/>
        </w:rPr>
        <w:t xml:space="preserve"> մարդու օրգանների (երի</w:t>
      </w:r>
      <w:r w:rsidRPr="00C921DE">
        <w:rPr>
          <w:rFonts w:ascii="GHEA Grapalat" w:hAnsi="GHEA Grapalat"/>
          <w:sz w:val="22"/>
          <w:szCs w:val="22"/>
        </w:rPr>
        <w:softHyphen/>
        <w:t>կամ) և ոսկրածուծի/ցողունային բջիջների փոխպատվաստման ծառայություններ, որոնք բարելավել են քրոնիկ երիկամային անբավար</w:t>
      </w:r>
      <w:r w:rsidR="00A36781" w:rsidRPr="00C921DE">
        <w:rPr>
          <w:rFonts w:ascii="GHEA Grapalat" w:hAnsi="GHEA Grapalat"/>
          <w:sz w:val="22"/>
          <w:szCs w:val="22"/>
          <w:lang w:val="en-US"/>
        </w:rPr>
        <w:t>ար</w:t>
      </w:r>
      <w:r w:rsidRPr="00C921DE">
        <w:rPr>
          <w:rFonts w:ascii="GHEA Grapalat" w:hAnsi="GHEA Grapalat"/>
          <w:sz w:val="22"/>
          <w:szCs w:val="22"/>
        </w:rPr>
        <w:t>ությամբ և արյան չարորակ հիվանդություններով տառապող անձանց կյանքի որակը և ապրելիության ցուցանիշը:</w:t>
      </w:r>
    </w:p>
    <w:p w14:paraId="11F80C28" w14:textId="77777777" w:rsidR="003E5D4B" w:rsidRPr="00C921DE" w:rsidRDefault="003E5D4B" w:rsidP="003E5D4B">
      <w:pPr>
        <w:spacing w:line="360" w:lineRule="auto"/>
        <w:ind w:firstLine="567"/>
        <w:jc w:val="both"/>
        <w:rPr>
          <w:rFonts w:ascii="GHEA Grapalat" w:hAnsi="GHEA Grapalat"/>
          <w:sz w:val="22"/>
          <w:szCs w:val="22"/>
        </w:rPr>
      </w:pPr>
      <w:r w:rsidRPr="00C921DE">
        <w:rPr>
          <w:rFonts w:ascii="GHEA Grapalat" w:hAnsi="GHEA Grapalat"/>
          <w:sz w:val="22"/>
          <w:szCs w:val="22"/>
        </w:rPr>
        <w:t xml:space="preserve">Իրականացվել են կապիտալ ծախսեր` մարզային առողջապահական կազմակերպությունների շենքային և նյութատեխնիկական պայմանների բարելավման նպատակով: </w:t>
      </w:r>
    </w:p>
    <w:p w14:paraId="73F70ADB" w14:textId="77777777" w:rsidR="001C411D" w:rsidRPr="00C921DE" w:rsidRDefault="001C411D" w:rsidP="00AC199C">
      <w:pPr>
        <w:spacing w:line="360" w:lineRule="auto"/>
        <w:ind w:firstLine="567"/>
        <w:jc w:val="both"/>
        <w:rPr>
          <w:rFonts w:ascii="GHEA Grapalat" w:hAnsi="GHEA Grapalat"/>
          <w:sz w:val="22"/>
          <w:szCs w:val="22"/>
        </w:rPr>
      </w:pPr>
    </w:p>
    <w:p w14:paraId="676879D4" w14:textId="77777777" w:rsidR="001C411D" w:rsidRPr="00C921DE" w:rsidRDefault="001C411D" w:rsidP="008A5E8A">
      <w:pPr>
        <w:pStyle w:val="Heading2"/>
        <w:spacing w:before="0"/>
      </w:pPr>
      <w:bookmarkStart w:id="51" w:name="_Toc163745438"/>
      <w:r w:rsidRPr="00C921DE">
        <w:t>Աշխատանք</w:t>
      </w:r>
      <w:r w:rsidR="00A40FC4" w:rsidRPr="00C921DE">
        <w:t>ի</w:t>
      </w:r>
      <w:r w:rsidRPr="00C921DE">
        <w:t xml:space="preserve"> և սոցիալական պաշտպանություն</w:t>
      </w:r>
      <w:bookmarkEnd w:id="51"/>
    </w:p>
    <w:p w14:paraId="2E16A70A" w14:textId="77777777" w:rsidR="00A948E8" w:rsidRPr="00C921DE" w:rsidRDefault="00A948E8" w:rsidP="00A948E8">
      <w:pPr>
        <w:spacing w:line="360" w:lineRule="auto"/>
        <w:ind w:firstLine="567"/>
        <w:jc w:val="both"/>
        <w:rPr>
          <w:rFonts w:ascii="GHEA Grapalat" w:hAnsi="GHEA Grapalat" w:cs="Browallia New"/>
          <w:sz w:val="22"/>
          <w:szCs w:val="22"/>
          <w:lang w:val="fr-FR"/>
        </w:rPr>
      </w:pPr>
      <w:r w:rsidRPr="00C921DE">
        <w:rPr>
          <w:rFonts w:ascii="GHEA Grapalat" w:hAnsi="GHEA Grapalat"/>
          <w:sz w:val="22"/>
          <w:szCs w:val="22"/>
          <w:lang w:val="en-US"/>
        </w:rPr>
        <w:t>Աշխատանքի և սոցիալական պաշտպանության ոլորտում 2023 թվականին գերակա վերջնական</w:t>
      </w:r>
      <w:r w:rsidRPr="00C921DE">
        <w:rPr>
          <w:rFonts w:ascii="GHEA Grapalat" w:hAnsi="GHEA Grapalat"/>
          <w:sz w:val="22"/>
          <w:szCs w:val="22"/>
          <w:lang w:val="af-ZA"/>
        </w:rPr>
        <w:t xml:space="preserve"> </w:t>
      </w:r>
      <w:r w:rsidRPr="00C921DE">
        <w:rPr>
          <w:rFonts w:ascii="GHEA Grapalat" w:hAnsi="GHEA Grapalat"/>
          <w:sz w:val="22"/>
          <w:szCs w:val="22"/>
          <w:lang w:val="en-US"/>
        </w:rPr>
        <w:t>արդյունքներ</w:t>
      </w:r>
      <w:r w:rsidRPr="00C921DE">
        <w:rPr>
          <w:rFonts w:ascii="GHEA Grapalat" w:hAnsi="GHEA Grapalat"/>
          <w:sz w:val="22"/>
          <w:szCs w:val="22"/>
          <w:lang w:val="af-ZA"/>
        </w:rPr>
        <w:t xml:space="preserve"> </w:t>
      </w:r>
      <w:r w:rsidRPr="00C921DE">
        <w:rPr>
          <w:rFonts w:ascii="GHEA Grapalat" w:hAnsi="GHEA Grapalat"/>
          <w:sz w:val="22"/>
          <w:szCs w:val="22"/>
          <w:lang w:val="en-US"/>
        </w:rPr>
        <w:t>են</w:t>
      </w:r>
      <w:r w:rsidRPr="00C921DE">
        <w:rPr>
          <w:rFonts w:ascii="GHEA Grapalat" w:hAnsi="GHEA Grapalat"/>
          <w:sz w:val="22"/>
          <w:szCs w:val="22"/>
          <w:lang w:val="af-ZA"/>
        </w:rPr>
        <w:t xml:space="preserve"> հանդիսացել </w:t>
      </w:r>
      <w:r w:rsidRPr="00C921DE">
        <w:rPr>
          <w:rFonts w:ascii="GHEA Grapalat" w:hAnsi="GHEA Grapalat"/>
          <w:sz w:val="22"/>
          <w:szCs w:val="22"/>
          <w:lang w:val="en-US"/>
        </w:rPr>
        <w:t>պետական</w:t>
      </w:r>
      <w:r w:rsidRPr="00C921DE">
        <w:rPr>
          <w:rFonts w:ascii="GHEA Grapalat" w:hAnsi="GHEA Grapalat"/>
          <w:sz w:val="22"/>
          <w:szCs w:val="22"/>
          <w:lang w:val="af-ZA"/>
        </w:rPr>
        <w:t xml:space="preserve"> </w:t>
      </w:r>
      <w:r w:rsidRPr="00C921DE">
        <w:rPr>
          <w:rFonts w:ascii="GHEA Grapalat" w:hAnsi="GHEA Grapalat"/>
          <w:sz w:val="22"/>
          <w:szCs w:val="22"/>
          <w:lang w:val="en-US"/>
        </w:rPr>
        <w:t>միջոցների</w:t>
      </w:r>
      <w:r w:rsidRPr="00C921DE">
        <w:rPr>
          <w:rFonts w:ascii="GHEA Grapalat" w:hAnsi="GHEA Grapalat"/>
          <w:sz w:val="22"/>
          <w:szCs w:val="22"/>
          <w:lang w:val="af-ZA"/>
        </w:rPr>
        <w:t xml:space="preserve"> </w:t>
      </w:r>
      <w:r w:rsidRPr="00C921DE">
        <w:rPr>
          <w:rFonts w:ascii="GHEA Grapalat" w:hAnsi="GHEA Grapalat"/>
          <w:sz w:val="22"/>
          <w:szCs w:val="22"/>
          <w:lang w:val="en-US"/>
        </w:rPr>
        <w:t>շրջանակում</w:t>
      </w:r>
      <w:r w:rsidRPr="00C921DE">
        <w:rPr>
          <w:rFonts w:ascii="GHEA Grapalat" w:hAnsi="GHEA Grapalat"/>
          <w:sz w:val="22"/>
          <w:szCs w:val="22"/>
          <w:lang w:val="af-ZA"/>
        </w:rPr>
        <w:t xml:space="preserve"> </w:t>
      </w:r>
      <w:r w:rsidRPr="00C921DE">
        <w:rPr>
          <w:rFonts w:ascii="GHEA Grapalat" w:hAnsi="GHEA Grapalat"/>
          <w:sz w:val="22"/>
          <w:szCs w:val="22"/>
          <w:lang w:val="en-US"/>
        </w:rPr>
        <w:t>շահառուներին</w:t>
      </w:r>
      <w:r w:rsidRPr="00C921DE">
        <w:rPr>
          <w:rFonts w:ascii="GHEA Grapalat" w:hAnsi="GHEA Grapalat"/>
          <w:sz w:val="22"/>
          <w:szCs w:val="22"/>
          <w:lang w:val="af-ZA"/>
        </w:rPr>
        <w:t xml:space="preserve"> </w:t>
      </w:r>
      <w:r w:rsidRPr="00C921DE">
        <w:rPr>
          <w:rFonts w:ascii="GHEA Grapalat" w:hAnsi="GHEA Grapalat"/>
          <w:sz w:val="22"/>
          <w:szCs w:val="22"/>
          <w:lang w:val="en-US"/>
        </w:rPr>
        <w:t>մատուցվող</w:t>
      </w:r>
      <w:r w:rsidRPr="00C921DE">
        <w:rPr>
          <w:rFonts w:ascii="GHEA Grapalat" w:hAnsi="GHEA Grapalat"/>
          <w:sz w:val="22"/>
          <w:szCs w:val="22"/>
          <w:lang w:val="af-ZA"/>
        </w:rPr>
        <w:t xml:space="preserve"> </w:t>
      </w:r>
      <w:r w:rsidRPr="00C921DE">
        <w:rPr>
          <w:rFonts w:ascii="GHEA Grapalat" w:hAnsi="GHEA Grapalat"/>
          <w:sz w:val="22"/>
          <w:szCs w:val="22"/>
          <w:lang w:val="en-US"/>
        </w:rPr>
        <w:t>ծառայությունների</w:t>
      </w:r>
      <w:r w:rsidRPr="00C921DE">
        <w:rPr>
          <w:rFonts w:ascii="GHEA Grapalat" w:hAnsi="GHEA Grapalat"/>
          <w:sz w:val="22"/>
          <w:szCs w:val="22"/>
          <w:lang w:val="af-ZA"/>
        </w:rPr>
        <w:t xml:space="preserve"> </w:t>
      </w:r>
      <w:r w:rsidRPr="00C921DE">
        <w:rPr>
          <w:rFonts w:ascii="GHEA Grapalat" w:hAnsi="GHEA Grapalat"/>
          <w:sz w:val="22"/>
          <w:szCs w:val="22"/>
          <w:lang w:val="en-US"/>
        </w:rPr>
        <w:t>շարունակականության</w:t>
      </w:r>
      <w:r w:rsidRPr="00C921DE">
        <w:rPr>
          <w:rFonts w:ascii="GHEA Grapalat" w:hAnsi="GHEA Grapalat"/>
          <w:sz w:val="22"/>
          <w:szCs w:val="22"/>
          <w:lang w:val="af-ZA"/>
        </w:rPr>
        <w:t xml:space="preserve"> </w:t>
      </w:r>
      <w:r w:rsidRPr="00C921DE">
        <w:rPr>
          <w:rFonts w:ascii="GHEA Grapalat" w:hAnsi="GHEA Grapalat"/>
          <w:sz w:val="22"/>
          <w:szCs w:val="22"/>
          <w:lang w:val="en-US"/>
        </w:rPr>
        <w:t>ապահովումը</w:t>
      </w:r>
      <w:r w:rsidRPr="00C921DE">
        <w:rPr>
          <w:rFonts w:ascii="GHEA Grapalat" w:hAnsi="GHEA Grapalat"/>
          <w:sz w:val="22"/>
          <w:szCs w:val="22"/>
          <w:lang w:val="af-ZA"/>
        </w:rPr>
        <w:t xml:space="preserve">` </w:t>
      </w:r>
      <w:r w:rsidRPr="00C921DE">
        <w:rPr>
          <w:rFonts w:ascii="GHEA Grapalat" w:hAnsi="GHEA Grapalat"/>
          <w:sz w:val="22"/>
          <w:szCs w:val="22"/>
          <w:lang w:val="en-US"/>
        </w:rPr>
        <w:t>խրախուսելով</w:t>
      </w:r>
      <w:r w:rsidRPr="00C921DE">
        <w:rPr>
          <w:rFonts w:ascii="GHEA Grapalat" w:hAnsi="GHEA Grapalat"/>
          <w:sz w:val="22"/>
          <w:szCs w:val="22"/>
          <w:lang w:val="af-ZA"/>
        </w:rPr>
        <w:t xml:space="preserve"> </w:t>
      </w:r>
      <w:r w:rsidRPr="00C921DE">
        <w:rPr>
          <w:rFonts w:ascii="GHEA Grapalat" w:hAnsi="GHEA Grapalat"/>
          <w:sz w:val="22"/>
          <w:szCs w:val="22"/>
          <w:lang w:val="en-US"/>
        </w:rPr>
        <w:t>ծառայությունների՝</w:t>
      </w:r>
      <w:r w:rsidRPr="00C921DE">
        <w:rPr>
          <w:rFonts w:ascii="GHEA Grapalat" w:hAnsi="GHEA Grapalat"/>
          <w:sz w:val="22"/>
          <w:szCs w:val="22"/>
          <w:lang w:val="af-ZA"/>
        </w:rPr>
        <w:t xml:space="preserve"> </w:t>
      </w:r>
      <w:r w:rsidRPr="00C921DE">
        <w:rPr>
          <w:rFonts w:ascii="GHEA Grapalat" w:hAnsi="GHEA Grapalat"/>
          <w:sz w:val="22"/>
          <w:szCs w:val="22"/>
          <w:lang w:val="en-US"/>
        </w:rPr>
        <w:t>հասարակական</w:t>
      </w:r>
      <w:r w:rsidRPr="00C921DE">
        <w:rPr>
          <w:rFonts w:ascii="GHEA Grapalat" w:hAnsi="GHEA Grapalat"/>
          <w:sz w:val="22"/>
          <w:szCs w:val="22"/>
          <w:lang w:val="af-ZA"/>
        </w:rPr>
        <w:t xml:space="preserve"> </w:t>
      </w:r>
      <w:r w:rsidRPr="00C921DE">
        <w:rPr>
          <w:rFonts w:ascii="GHEA Grapalat" w:hAnsi="GHEA Grapalat"/>
          <w:sz w:val="22"/>
          <w:szCs w:val="22"/>
          <w:lang w:val="en-US"/>
        </w:rPr>
        <w:t>կազմակերպություններին</w:t>
      </w:r>
      <w:r w:rsidRPr="00C921DE">
        <w:rPr>
          <w:rFonts w:ascii="GHEA Grapalat" w:hAnsi="GHEA Grapalat"/>
          <w:sz w:val="22"/>
          <w:szCs w:val="22"/>
          <w:lang w:val="af-ZA"/>
        </w:rPr>
        <w:t xml:space="preserve"> </w:t>
      </w:r>
      <w:r w:rsidRPr="00C921DE">
        <w:rPr>
          <w:rFonts w:ascii="GHEA Grapalat" w:hAnsi="GHEA Grapalat"/>
          <w:sz w:val="22"/>
          <w:szCs w:val="22"/>
          <w:lang w:val="en-US"/>
        </w:rPr>
        <w:t>մրցութային</w:t>
      </w:r>
      <w:r w:rsidRPr="00C921DE">
        <w:rPr>
          <w:rFonts w:ascii="GHEA Grapalat" w:hAnsi="GHEA Grapalat"/>
          <w:sz w:val="22"/>
          <w:szCs w:val="22"/>
          <w:lang w:val="af-ZA"/>
        </w:rPr>
        <w:t xml:space="preserve"> </w:t>
      </w:r>
      <w:r w:rsidRPr="00C921DE">
        <w:rPr>
          <w:rFonts w:ascii="GHEA Grapalat" w:hAnsi="GHEA Grapalat"/>
          <w:sz w:val="22"/>
          <w:szCs w:val="22"/>
          <w:lang w:val="en-US"/>
        </w:rPr>
        <w:t>եղանակով</w:t>
      </w:r>
      <w:r w:rsidRPr="00C921DE">
        <w:rPr>
          <w:rFonts w:ascii="GHEA Grapalat" w:hAnsi="GHEA Grapalat"/>
          <w:sz w:val="22"/>
          <w:szCs w:val="22"/>
          <w:lang w:val="af-ZA"/>
        </w:rPr>
        <w:t xml:space="preserve"> </w:t>
      </w:r>
      <w:r w:rsidRPr="00C921DE">
        <w:rPr>
          <w:rFonts w:ascii="GHEA Grapalat" w:hAnsi="GHEA Grapalat"/>
          <w:sz w:val="22"/>
          <w:szCs w:val="22"/>
          <w:lang w:val="en-US"/>
        </w:rPr>
        <w:t>պատվիրակումը</w:t>
      </w:r>
      <w:r w:rsidRPr="00C921DE">
        <w:rPr>
          <w:rFonts w:ascii="GHEA Grapalat" w:hAnsi="GHEA Grapalat"/>
          <w:sz w:val="22"/>
          <w:szCs w:val="22"/>
          <w:lang w:val="af-ZA"/>
        </w:rPr>
        <w:t xml:space="preserve">, </w:t>
      </w:r>
      <w:r w:rsidRPr="00C921DE">
        <w:rPr>
          <w:rFonts w:ascii="GHEA Grapalat" w:hAnsi="GHEA Grapalat"/>
          <w:sz w:val="22"/>
          <w:szCs w:val="22"/>
          <w:lang w:val="en-US"/>
        </w:rPr>
        <w:t>շահառուներին</w:t>
      </w:r>
      <w:r w:rsidRPr="00C921DE">
        <w:rPr>
          <w:rFonts w:ascii="GHEA Grapalat" w:hAnsi="GHEA Grapalat"/>
          <w:sz w:val="22"/>
          <w:szCs w:val="22"/>
          <w:lang w:val="af-ZA"/>
        </w:rPr>
        <w:t xml:space="preserve"> </w:t>
      </w:r>
      <w:r w:rsidRPr="00C921DE">
        <w:rPr>
          <w:rFonts w:ascii="GHEA Grapalat" w:hAnsi="GHEA Grapalat"/>
          <w:sz w:val="22"/>
          <w:szCs w:val="22"/>
          <w:lang w:val="en-US"/>
        </w:rPr>
        <w:t>մատուցվող</w:t>
      </w:r>
      <w:r w:rsidRPr="00C921DE">
        <w:rPr>
          <w:rFonts w:ascii="GHEA Grapalat" w:hAnsi="GHEA Grapalat"/>
          <w:sz w:val="22"/>
          <w:szCs w:val="22"/>
          <w:lang w:val="af-ZA"/>
        </w:rPr>
        <w:t xml:space="preserve"> </w:t>
      </w:r>
      <w:r w:rsidRPr="00C921DE">
        <w:rPr>
          <w:rFonts w:ascii="GHEA Grapalat" w:hAnsi="GHEA Grapalat"/>
          <w:sz w:val="22"/>
          <w:szCs w:val="22"/>
          <w:lang w:val="en-US"/>
        </w:rPr>
        <w:t>ծառայությունների</w:t>
      </w:r>
      <w:r w:rsidRPr="00C921DE">
        <w:rPr>
          <w:rFonts w:ascii="GHEA Grapalat" w:hAnsi="GHEA Grapalat"/>
          <w:sz w:val="22"/>
          <w:szCs w:val="22"/>
          <w:lang w:val="af-ZA"/>
        </w:rPr>
        <w:t xml:space="preserve"> </w:t>
      </w:r>
      <w:r w:rsidRPr="00C921DE">
        <w:rPr>
          <w:rFonts w:ascii="GHEA Grapalat" w:hAnsi="GHEA Grapalat"/>
          <w:sz w:val="22"/>
          <w:szCs w:val="22"/>
          <w:lang w:val="en-US"/>
        </w:rPr>
        <w:t>որակի</w:t>
      </w:r>
      <w:r w:rsidRPr="00C921DE">
        <w:rPr>
          <w:rFonts w:ascii="GHEA Grapalat" w:hAnsi="GHEA Grapalat"/>
          <w:sz w:val="22"/>
          <w:szCs w:val="22"/>
          <w:lang w:val="af-ZA"/>
        </w:rPr>
        <w:t xml:space="preserve"> </w:t>
      </w:r>
      <w:r w:rsidRPr="00C921DE">
        <w:rPr>
          <w:rFonts w:ascii="GHEA Grapalat" w:hAnsi="GHEA Grapalat"/>
          <w:sz w:val="22"/>
          <w:szCs w:val="22"/>
          <w:lang w:val="en-US"/>
        </w:rPr>
        <w:t>բարելավումը</w:t>
      </w:r>
      <w:r w:rsidRPr="00C921DE">
        <w:rPr>
          <w:rFonts w:ascii="GHEA Grapalat" w:hAnsi="GHEA Grapalat"/>
          <w:sz w:val="22"/>
          <w:szCs w:val="22"/>
          <w:lang w:val="af-ZA"/>
        </w:rPr>
        <w:t>, հաստատու</w:t>
      </w:r>
      <w:r w:rsidRPr="00C921DE">
        <w:rPr>
          <w:rFonts w:ascii="GHEA Grapalat" w:hAnsi="GHEA Grapalat"/>
          <w:sz w:val="22"/>
          <w:szCs w:val="22"/>
          <w:lang w:val="en-US"/>
        </w:rPr>
        <w:t>թյունների</w:t>
      </w:r>
      <w:r w:rsidRPr="00C921DE">
        <w:rPr>
          <w:rFonts w:ascii="GHEA Grapalat" w:hAnsi="GHEA Grapalat"/>
          <w:sz w:val="22"/>
          <w:szCs w:val="22"/>
          <w:lang w:val="af-ZA"/>
        </w:rPr>
        <w:t xml:space="preserve"> </w:t>
      </w:r>
      <w:r w:rsidRPr="00C921DE">
        <w:rPr>
          <w:rFonts w:ascii="GHEA Grapalat" w:hAnsi="GHEA Grapalat"/>
          <w:sz w:val="22"/>
          <w:szCs w:val="22"/>
          <w:lang w:val="en-US"/>
        </w:rPr>
        <w:t>ապաինստիտուցիոնալացման</w:t>
      </w:r>
      <w:r w:rsidRPr="00C921DE">
        <w:rPr>
          <w:rFonts w:ascii="GHEA Grapalat" w:hAnsi="GHEA Grapalat"/>
          <w:sz w:val="22"/>
          <w:szCs w:val="22"/>
          <w:lang w:val="af-ZA"/>
        </w:rPr>
        <w:t xml:space="preserve"> </w:t>
      </w:r>
      <w:r w:rsidRPr="00C921DE">
        <w:rPr>
          <w:rFonts w:ascii="GHEA Grapalat" w:hAnsi="GHEA Grapalat"/>
          <w:sz w:val="22"/>
          <w:szCs w:val="22"/>
          <w:lang w:val="en-US"/>
        </w:rPr>
        <w:t>գործընթացի</w:t>
      </w:r>
      <w:r w:rsidRPr="00C921DE">
        <w:rPr>
          <w:rFonts w:ascii="GHEA Grapalat" w:hAnsi="GHEA Grapalat"/>
          <w:sz w:val="22"/>
          <w:szCs w:val="22"/>
          <w:lang w:val="af-ZA"/>
        </w:rPr>
        <w:t xml:space="preserve"> </w:t>
      </w:r>
      <w:r w:rsidRPr="00C921DE">
        <w:rPr>
          <w:rFonts w:ascii="GHEA Grapalat" w:hAnsi="GHEA Grapalat"/>
          <w:sz w:val="22"/>
          <w:szCs w:val="22"/>
          <w:lang w:val="en-US"/>
        </w:rPr>
        <w:t>համատեքստում</w:t>
      </w:r>
      <w:r w:rsidRPr="00C921DE">
        <w:rPr>
          <w:rFonts w:ascii="GHEA Grapalat" w:hAnsi="GHEA Grapalat"/>
          <w:sz w:val="22"/>
          <w:szCs w:val="22"/>
          <w:lang w:val="af-ZA"/>
        </w:rPr>
        <w:t xml:space="preserve"> </w:t>
      </w:r>
      <w:r w:rsidRPr="00C921DE">
        <w:rPr>
          <w:rFonts w:ascii="GHEA Grapalat" w:hAnsi="GHEA Grapalat"/>
          <w:sz w:val="22"/>
          <w:szCs w:val="22"/>
          <w:lang w:val="en-US"/>
        </w:rPr>
        <w:t>համայնքային</w:t>
      </w:r>
      <w:r w:rsidRPr="00C921DE">
        <w:rPr>
          <w:rFonts w:ascii="GHEA Grapalat" w:hAnsi="GHEA Grapalat"/>
          <w:sz w:val="22"/>
          <w:szCs w:val="22"/>
          <w:lang w:val="af-ZA"/>
        </w:rPr>
        <w:t xml:space="preserve"> </w:t>
      </w:r>
      <w:r w:rsidRPr="00C921DE">
        <w:rPr>
          <w:rFonts w:ascii="GHEA Grapalat" w:hAnsi="GHEA Grapalat"/>
          <w:sz w:val="22"/>
          <w:szCs w:val="22"/>
          <w:lang w:val="en-US"/>
        </w:rPr>
        <w:t>այլընտրանքային</w:t>
      </w:r>
      <w:r w:rsidRPr="00C921DE">
        <w:rPr>
          <w:rFonts w:ascii="GHEA Grapalat" w:hAnsi="GHEA Grapalat"/>
          <w:sz w:val="22"/>
          <w:szCs w:val="22"/>
          <w:lang w:val="af-ZA"/>
        </w:rPr>
        <w:t xml:space="preserve"> </w:t>
      </w:r>
      <w:r w:rsidRPr="00C921DE">
        <w:rPr>
          <w:rFonts w:ascii="GHEA Grapalat" w:hAnsi="GHEA Grapalat"/>
          <w:sz w:val="22"/>
          <w:szCs w:val="22"/>
          <w:lang w:val="en-US"/>
        </w:rPr>
        <w:t>ծառայությունների</w:t>
      </w:r>
      <w:r w:rsidRPr="00C921DE">
        <w:rPr>
          <w:rFonts w:ascii="GHEA Grapalat" w:hAnsi="GHEA Grapalat"/>
          <w:sz w:val="22"/>
          <w:szCs w:val="22"/>
          <w:lang w:val="af-ZA"/>
        </w:rPr>
        <w:t xml:space="preserve"> </w:t>
      </w:r>
      <w:r w:rsidRPr="00C921DE">
        <w:rPr>
          <w:rFonts w:ascii="GHEA Grapalat" w:hAnsi="GHEA Grapalat"/>
          <w:sz w:val="22"/>
          <w:szCs w:val="22"/>
          <w:lang w:val="en-US"/>
        </w:rPr>
        <w:t>ընդլայնումը</w:t>
      </w:r>
      <w:r w:rsidRPr="00C921DE">
        <w:rPr>
          <w:rFonts w:ascii="GHEA Grapalat" w:hAnsi="GHEA Grapalat"/>
          <w:sz w:val="22"/>
          <w:szCs w:val="22"/>
          <w:lang w:val="af-ZA"/>
        </w:rPr>
        <w:t xml:space="preserve">` </w:t>
      </w:r>
      <w:r w:rsidRPr="00C921DE">
        <w:rPr>
          <w:rFonts w:ascii="GHEA Grapalat" w:hAnsi="GHEA Grapalat"/>
          <w:sz w:val="22"/>
          <w:szCs w:val="22"/>
          <w:lang w:val="en-US"/>
        </w:rPr>
        <w:t>ներգրավելով</w:t>
      </w:r>
      <w:r w:rsidRPr="00C921DE">
        <w:rPr>
          <w:rFonts w:ascii="GHEA Grapalat" w:hAnsi="GHEA Grapalat"/>
          <w:sz w:val="22"/>
          <w:szCs w:val="22"/>
          <w:lang w:val="af-ZA"/>
        </w:rPr>
        <w:t xml:space="preserve"> </w:t>
      </w:r>
      <w:r w:rsidRPr="00C921DE">
        <w:rPr>
          <w:rFonts w:ascii="GHEA Grapalat" w:hAnsi="GHEA Grapalat"/>
          <w:sz w:val="22"/>
          <w:szCs w:val="22"/>
          <w:lang w:val="en-US"/>
        </w:rPr>
        <w:t>համայնքի</w:t>
      </w:r>
      <w:r w:rsidRPr="00C921DE">
        <w:rPr>
          <w:rFonts w:ascii="GHEA Grapalat" w:hAnsi="GHEA Grapalat"/>
          <w:sz w:val="22"/>
          <w:szCs w:val="22"/>
          <w:lang w:val="af-ZA"/>
        </w:rPr>
        <w:t xml:space="preserve"> </w:t>
      </w:r>
      <w:r w:rsidRPr="00C921DE">
        <w:rPr>
          <w:rFonts w:ascii="GHEA Grapalat" w:hAnsi="GHEA Grapalat"/>
          <w:sz w:val="22"/>
          <w:szCs w:val="22"/>
          <w:lang w:val="en-US"/>
        </w:rPr>
        <w:t>ներուժը</w:t>
      </w:r>
      <w:r w:rsidRPr="00C921DE">
        <w:rPr>
          <w:rFonts w:ascii="GHEA Grapalat" w:hAnsi="GHEA Grapalat"/>
          <w:sz w:val="22"/>
          <w:szCs w:val="22"/>
          <w:lang w:val="af-ZA"/>
        </w:rPr>
        <w:t>:</w:t>
      </w:r>
    </w:p>
    <w:p w14:paraId="3612E920" w14:textId="77777777" w:rsidR="001C411D" w:rsidRPr="00C921DE" w:rsidRDefault="001C411D" w:rsidP="008A5E8A">
      <w:pPr>
        <w:spacing w:line="360" w:lineRule="auto"/>
        <w:ind w:firstLine="567"/>
        <w:jc w:val="both"/>
        <w:rPr>
          <w:rFonts w:ascii="GHEA Grapalat" w:hAnsi="GHEA Grapalat"/>
          <w:sz w:val="22"/>
          <w:szCs w:val="22"/>
          <w:lang w:val="en-US"/>
        </w:rPr>
      </w:pPr>
    </w:p>
    <w:p w14:paraId="0E8636D6" w14:textId="77777777" w:rsidR="001C411D" w:rsidRPr="00C921DE" w:rsidRDefault="001C411D" w:rsidP="008A5E8A">
      <w:pPr>
        <w:spacing w:line="360" w:lineRule="auto"/>
        <w:ind w:firstLine="567"/>
        <w:jc w:val="both"/>
        <w:rPr>
          <w:rFonts w:ascii="GHEA Grapalat" w:hAnsi="GHEA Grapalat"/>
          <w:sz w:val="22"/>
          <w:szCs w:val="22"/>
          <w:u w:val="single"/>
          <w:lang w:val="af-ZA"/>
        </w:rPr>
      </w:pPr>
      <w:r w:rsidRPr="00C921DE">
        <w:rPr>
          <w:rFonts w:ascii="GHEA Grapalat" w:hAnsi="GHEA Grapalat"/>
          <w:sz w:val="22"/>
          <w:szCs w:val="22"/>
          <w:u w:val="single"/>
          <w:lang w:val="af-ZA"/>
        </w:rPr>
        <w:lastRenderedPageBreak/>
        <w:t>Ժողովրդագրության և ընտանիքի սոցիալական երաշխիքների բնագավառ</w:t>
      </w:r>
    </w:p>
    <w:p w14:paraId="4DF26AC9" w14:textId="77777777" w:rsidR="00085BFC" w:rsidRPr="00C921DE" w:rsidRDefault="00085BFC"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w:t>
      </w:r>
      <w:r w:rsidR="00A96047" w:rsidRPr="00C921DE">
        <w:rPr>
          <w:rFonts w:ascii="GHEA Grapalat" w:hAnsi="GHEA Grapalat"/>
          <w:sz w:val="22"/>
          <w:szCs w:val="22"/>
          <w:lang w:val="en-US"/>
        </w:rPr>
        <w:t>վականին</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շարունակվել</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են</w:t>
      </w:r>
      <w:r w:rsidRPr="00C921DE">
        <w:rPr>
          <w:rFonts w:ascii="GHEA Grapalat" w:hAnsi="GHEA Grapalat"/>
          <w:sz w:val="22"/>
          <w:szCs w:val="22"/>
          <w:lang w:val="en-US"/>
        </w:rPr>
        <w:t xml:space="preserve"> անապահովության գնահատման նոր համակարգ ներդնելուն ուղղված աշխատանքները, որի շնորհիվ սոցիալական աջակցության ծրագրերը կլինեն ավելի հասցեական: Անապահովության գնահատման նոր համակարգի հիմք ընտրվել է ընտանիքի միջոցների հիբրիդային ստուգման մեթոդը, որը ենթադրում է անցում ընտանիքի տնօրինվող եկամուտների և ակտիվների հիման վրա նպաստի իրավունքի որոշմանը (հեշտ ստուգվող եկամուտների ստուգման, իսկ դժվար ստուգվող եկամուտների</w:t>
      </w:r>
      <w:r w:rsidR="00505CF8" w:rsidRPr="00C921DE">
        <w:rPr>
          <w:rFonts w:ascii="GHEA Grapalat" w:hAnsi="GHEA Grapalat"/>
          <w:sz w:val="22"/>
          <w:szCs w:val="22"/>
          <w:lang w:val="en-US"/>
        </w:rPr>
        <w:t>՝</w:t>
      </w:r>
      <w:r w:rsidRPr="00C921DE">
        <w:rPr>
          <w:rFonts w:ascii="GHEA Grapalat" w:hAnsi="GHEA Grapalat"/>
          <w:sz w:val="22"/>
          <w:szCs w:val="22"/>
          <w:lang w:val="en-US"/>
        </w:rPr>
        <w:t xml:space="preserve"> վերագրման միջոցով)։ Ընտանիքի կենսամակարդակի բարձրացմանն ուղղված նպաստների (ընտանեկան, սոցիալական նպաստներ, հրատապ օգնություն) վճարումներն իրականացվում են նաև անկանխիկ եղանակով: Անկանխիկ եղանակով նպաստ ստացող ընտանիքներն օգտվում են ՀՀ տարածքում գործող առևտրի կետերում և ծառայություններ մատուցող կազմակերպություններում վճարային քարտերով ու վճարում ընդունող սարքերով գործարքներ կատարելու դիմաց օրենսդրությամբ սահմանված հետվճար ստանալու իրավունքից: Ճգնաժամային իրավիճակներում արագ արձագանքման նպատակով շարունակվում են սոցիալական շտապ օգնության համակարգի ամբողջությամբ գործարկման, սննդային քարտերի համակարգի ներդրմանը, ինչպես նաև կենսակայունացման ծրագրերին ուղղված աշխատանքները: 2023 թ</w:t>
      </w:r>
      <w:r w:rsidR="00505CF8" w:rsidRPr="00C921DE">
        <w:rPr>
          <w:rFonts w:ascii="GHEA Grapalat" w:hAnsi="GHEA Grapalat"/>
          <w:sz w:val="22"/>
          <w:szCs w:val="22"/>
          <w:lang w:val="en-US"/>
        </w:rPr>
        <w:t>վականի</w:t>
      </w:r>
      <w:r w:rsidRPr="00C921DE">
        <w:rPr>
          <w:rFonts w:ascii="GHEA Grapalat" w:hAnsi="GHEA Grapalat"/>
          <w:sz w:val="22"/>
          <w:szCs w:val="22"/>
          <w:lang w:val="en-US"/>
        </w:rPr>
        <w:t xml:space="preserve"> ընթացքում շուրջ 800 ընտանիքի տրամադրվել են սննդային փաթեթներ։ Սննդային քարտերի ծրագրի շրջանակում իրականացվում է պիլոտային ծրագիր՝ զարգացման գործընկերների հետ համատեղ, որի շրջանակներում 2397 ընտանիքի տրամադրվել են սննդային քարտեր: </w:t>
      </w:r>
    </w:p>
    <w:p w14:paraId="67F77FF4" w14:textId="77777777" w:rsidR="00085BFC" w:rsidRPr="00C921DE" w:rsidRDefault="000B6841"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Մշակվել է</w:t>
      </w:r>
      <w:r w:rsidR="00085BFC" w:rsidRPr="00C921DE">
        <w:rPr>
          <w:rFonts w:ascii="GHEA Grapalat" w:hAnsi="GHEA Grapalat"/>
          <w:sz w:val="22"/>
          <w:szCs w:val="22"/>
          <w:lang w:val="en-US"/>
        </w:rPr>
        <w:t xml:space="preserve"> «Սոցիալական աջակցության մասին» նոր օրենքի և հարակից օրենքների նախագծերի փաթեթը, որով նախատեսվում </w:t>
      </w:r>
      <w:r w:rsidR="00505CF8" w:rsidRPr="00C921DE">
        <w:rPr>
          <w:rFonts w:ascii="GHEA Grapalat" w:hAnsi="GHEA Grapalat"/>
          <w:sz w:val="22"/>
          <w:szCs w:val="22"/>
          <w:lang w:val="en-US"/>
        </w:rPr>
        <w:t>են</w:t>
      </w:r>
      <w:r w:rsidR="00085BFC" w:rsidRPr="00C921DE">
        <w:rPr>
          <w:rFonts w:ascii="GHEA Grapalat" w:hAnsi="GHEA Grapalat"/>
          <w:sz w:val="22"/>
          <w:szCs w:val="22"/>
          <w:lang w:val="en-US"/>
        </w:rPr>
        <w:t xml:space="preserve"> սոցիալական աջակցության ոլորտի համակարգային բարեփոխումներ:</w:t>
      </w:r>
    </w:p>
    <w:p w14:paraId="1CF492CD" w14:textId="1159D3CD" w:rsidR="00085BFC" w:rsidRPr="00C921DE" w:rsidRDefault="00085BFC"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w:t>
      </w:r>
      <w:r w:rsidR="000B6841" w:rsidRPr="00C921DE">
        <w:rPr>
          <w:rFonts w:ascii="GHEA Grapalat" w:hAnsi="GHEA Grapalat"/>
          <w:sz w:val="22"/>
          <w:szCs w:val="22"/>
          <w:lang w:val="en-US"/>
        </w:rPr>
        <w:t>վականի</w:t>
      </w:r>
      <w:r w:rsidRPr="00C921DE">
        <w:rPr>
          <w:rFonts w:ascii="GHEA Grapalat" w:hAnsi="GHEA Grapalat"/>
          <w:sz w:val="22"/>
          <w:szCs w:val="22"/>
          <w:lang w:val="en-US"/>
        </w:rPr>
        <w:t xml:space="preserve"> ընթացքում շարունակվել են </w:t>
      </w:r>
      <w:r w:rsidR="00E94E3A" w:rsidRPr="00C921DE">
        <w:rPr>
          <w:rFonts w:ascii="GHEA Grapalat" w:hAnsi="GHEA Grapalat"/>
          <w:sz w:val="22"/>
          <w:szCs w:val="22"/>
          <w:lang w:val="en-US"/>
        </w:rPr>
        <w:t>ՄՍԾ</w:t>
      </w:r>
      <w:r w:rsidRPr="00C921DE">
        <w:rPr>
          <w:rFonts w:ascii="GHEA Grapalat" w:hAnsi="GHEA Grapalat"/>
          <w:sz w:val="22"/>
          <w:szCs w:val="22"/>
          <w:lang w:val="en-US"/>
        </w:rPr>
        <w:t xml:space="preserve"> սոցիալական աշխատողների շարունակական վերապատրաստումները։ Շարունակվում են Կառավարության ծրագրով նախատեսված՝ ինտեգրված սոցիալական ծառայությունների և բնակարանային ծրագրերի ռազմավարական փաստաթղթերի, ինչպես նաև Ժողովրդագրական իրավիճակի բարելավման ռազմավարության մշակման աշխատանքները։ </w:t>
      </w:r>
    </w:p>
    <w:p w14:paraId="6DB0902C" w14:textId="77777777" w:rsidR="00085BFC" w:rsidRPr="00C921DE" w:rsidRDefault="00085BFC"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000B6841" w:rsidRPr="00C921DE">
        <w:rPr>
          <w:rFonts w:ascii="GHEA Grapalat" w:hAnsi="GHEA Grapalat"/>
          <w:sz w:val="22"/>
          <w:szCs w:val="22"/>
          <w:lang w:val="en-US"/>
        </w:rPr>
        <w:t>ն</w:t>
      </w:r>
      <w:r w:rsidRPr="00C921DE">
        <w:rPr>
          <w:rFonts w:ascii="GHEA Grapalat" w:hAnsi="GHEA Grapalat"/>
          <w:sz w:val="22"/>
          <w:szCs w:val="22"/>
          <w:lang w:val="en-US"/>
        </w:rPr>
        <w:t xml:space="preserve"> ծրագրերի շրջանակներում 3617 շահառու ստացել է աջակցություն 2,660,752</w:t>
      </w:r>
      <w:r w:rsidRPr="00C921DE">
        <w:rPr>
          <w:rFonts w:ascii="Cambria Math" w:hAnsi="Cambria Math" w:cs="Cambria Math"/>
          <w:sz w:val="22"/>
          <w:szCs w:val="22"/>
          <w:lang w:val="en-US"/>
        </w:rPr>
        <w:t>․</w:t>
      </w:r>
      <w:r w:rsidRPr="00C921DE">
        <w:rPr>
          <w:rFonts w:ascii="GHEA Grapalat" w:hAnsi="GHEA Grapalat"/>
          <w:sz w:val="22"/>
          <w:szCs w:val="22"/>
          <w:lang w:val="en-US"/>
        </w:rPr>
        <w:t>608 ՀՀ դրամի չափով:</w:t>
      </w:r>
    </w:p>
    <w:p w14:paraId="2997CFB0" w14:textId="77777777" w:rsidR="00085BFC" w:rsidRPr="00C921DE" w:rsidRDefault="00085BFC"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w:t>
      </w:r>
      <w:r w:rsidR="00C5149A" w:rsidRPr="00C921DE">
        <w:rPr>
          <w:rFonts w:ascii="GHEA Grapalat" w:hAnsi="GHEA Grapalat"/>
          <w:sz w:val="22"/>
          <w:szCs w:val="22"/>
          <w:lang w:val="en-US"/>
        </w:rPr>
        <w:t>վականին</w:t>
      </w:r>
      <w:r w:rsidRPr="00C921DE">
        <w:rPr>
          <w:rFonts w:ascii="GHEA Grapalat" w:hAnsi="GHEA Grapalat"/>
          <w:sz w:val="22"/>
          <w:szCs w:val="22"/>
          <w:lang w:val="en-US"/>
        </w:rPr>
        <w:t xml:space="preserve"> շարունակվել է 2022 թ</w:t>
      </w:r>
      <w:r w:rsidR="00C5149A" w:rsidRPr="00C921DE">
        <w:rPr>
          <w:rFonts w:ascii="Cambria Math" w:hAnsi="Cambria Math" w:cs="Cambria Math"/>
          <w:sz w:val="22"/>
          <w:szCs w:val="22"/>
          <w:lang w:val="en-US"/>
        </w:rPr>
        <w:t>վականի</w:t>
      </w:r>
      <w:r w:rsidR="00C5149A" w:rsidRPr="00C921DE">
        <w:rPr>
          <w:rFonts w:ascii="GHEA Grapalat" w:hAnsi="GHEA Grapalat"/>
          <w:sz w:val="22"/>
          <w:szCs w:val="22"/>
          <w:lang w:val="en-US"/>
        </w:rPr>
        <w:t xml:space="preserve"> հունվարի 1-ից մեկնարկ</w:t>
      </w:r>
      <w:r w:rsidRPr="00C921DE">
        <w:rPr>
          <w:rFonts w:ascii="GHEA Grapalat" w:hAnsi="GHEA Grapalat"/>
          <w:sz w:val="22"/>
          <w:szCs w:val="22"/>
          <w:lang w:val="en-US"/>
        </w:rPr>
        <w:t xml:space="preserve">ած՝ ընտանիքում 3-րդ և յուրաքանչյուր հաջորդ երեխայի ծնվելու կապակցությամբ միջոցառումը, որի շրջանակում 2022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հունվարի 1-ից հետո ծնված երեխայի ծնողին՝ մինչև երեխայի 6 տարեկանը լրանալը վճարվելու է 50,000 դրամ: </w:t>
      </w:r>
    </w:p>
    <w:p w14:paraId="40075566" w14:textId="77777777" w:rsidR="00085BFC" w:rsidRPr="00C921DE" w:rsidRDefault="00085BFC"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 xml:space="preserve">2023 </w:t>
      </w:r>
      <w:r w:rsidR="00505CF8" w:rsidRPr="00C921DE">
        <w:rPr>
          <w:rFonts w:ascii="GHEA Grapalat" w:hAnsi="GHEA Grapalat"/>
          <w:sz w:val="22"/>
          <w:szCs w:val="22"/>
          <w:lang w:val="en-US"/>
        </w:rPr>
        <w:t>թվականի</w:t>
      </w:r>
      <w:r w:rsidR="00C5149A" w:rsidRPr="00C921DE">
        <w:rPr>
          <w:rFonts w:ascii="GHEA Grapalat" w:hAnsi="GHEA Grapalat"/>
          <w:sz w:val="22"/>
          <w:szCs w:val="22"/>
          <w:lang w:val="en-US"/>
        </w:rPr>
        <w:t>ն</w:t>
      </w:r>
      <w:r w:rsidRPr="00C921DE">
        <w:rPr>
          <w:rFonts w:ascii="GHEA Grapalat" w:hAnsi="GHEA Grapalat"/>
          <w:sz w:val="22"/>
          <w:szCs w:val="22"/>
          <w:lang w:val="en-US"/>
        </w:rPr>
        <w:t xml:space="preserve"> պահպանվել են 2022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համար սահմանված</w:t>
      </w:r>
      <w:r w:rsidR="00C5149A" w:rsidRPr="00C921DE">
        <w:rPr>
          <w:rFonts w:ascii="GHEA Grapalat" w:hAnsi="GHEA Grapalat"/>
          <w:sz w:val="22"/>
          <w:szCs w:val="22"/>
          <w:lang w:val="en-US"/>
        </w:rPr>
        <w:t>՝</w:t>
      </w:r>
      <w:r w:rsidRPr="00C921DE">
        <w:rPr>
          <w:rFonts w:ascii="GHEA Grapalat" w:hAnsi="GHEA Grapalat"/>
          <w:sz w:val="22"/>
          <w:szCs w:val="22"/>
          <w:lang w:val="en-US"/>
        </w:rPr>
        <w:t xml:space="preserve"> երեխայի ծննդյան միանվագ նպաստի չափերը՝ 1-ին կամ 2-րդ երեխայի ծննդյան դեպքում՝ 300 հազար դրամ, 3-րդ կամ 4-րդ երեխայի ծննդյան դեպքում՝ 1 մլն դրամ, 5-րդ և յուրաքանչյուր հաջորդ երեխայի ծննդյան դեպքում՝ 1.5 մլն դրամ: </w:t>
      </w:r>
    </w:p>
    <w:p w14:paraId="74640850" w14:textId="77777777" w:rsidR="00085BFC" w:rsidRPr="00C921DE" w:rsidRDefault="00085BFC" w:rsidP="00A9604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հունվարի 1-ից խնամքի նպաստի համակարգում կատարվել են փոփոխություններ, որոնց արդյունքում 2023 թվականի հունվարի 1-ին և դրանից հետո ծնված երեխայի խնամքի կապակցությամբ խնամքի նպաստ նշանակվելու է երեխայի ծնողներից մեկին (անկախ խնամքի արձակուրդում գտնվելու հանգամանքից)՝ երեխայի 70 օրականը լրանալու օրվան հաջորդող ամսվա 1-ից։ Ընդ որում, միայն խնամքի նպաստի չափը որոշելիս հաշվի է առնվում ծնողի՝ խ</w:t>
      </w:r>
      <w:r w:rsidR="00302770" w:rsidRPr="00C921DE">
        <w:rPr>
          <w:rFonts w:ascii="GHEA Grapalat" w:hAnsi="GHEA Grapalat"/>
          <w:sz w:val="22"/>
          <w:szCs w:val="22"/>
          <w:lang w:val="en-US"/>
        </w:rPr>
        <w:t>նամքի արձակուրդում գտնվելու հան</w:t>
      </w:r>
      <w:r w:rsidRPr="00C921DE">
        <w:rPr>
          <w:rFonts w:ascii="GHEA Grapalat" w:hAnsi="GHEA Grapalat"/>
          <w:sz w:val="22"/>
          <w:szCs w:val="22"/>
          <w:lang w:val="en-US"/>
        </w:rPr>
        <w:t>գամանքը։ Այսպիսով, 2023 թ</w:t>
      </w:r>
      <w:r w:rsidR="002865CE" w:rsidRPr="00C921DE">
        <w:rPr>
          <w:rFonts w:ascii="GHEA Grapalat" w:hAnsi="GHEA Grapalat"/>
          <w:sz w:val="22"/>
          <w:szCs w:val="22"/>
          <w:lang w:val="en-US"/>
        </w:rPr>
        <w:t>վականի</w:t>
      </w:r>
      <w:r w:rsidRPr="00C921DE">
        <w:rPr>
          <w:rFonts w:ascii="GHEA Grapalat" w:hAnsi="GHEA Grapalat"/>
          <w:sz w:val="22"/>
          <w:szCs w:val="22"/>
          <w:lang w:val="en-US"/>
        </w:rPr>
        <w:t xml:space="preserve"> համար խնամքի նպաստի չափը՝ </w:t>
      </w:r>
    </w:p>
    <w:p w14:paraId="3C9FD23C" w14:textId="77777777" w:rsidR="00085BFC" w:rsidRPr="00C921DE" w:rsidRDefault="00085BFC" w:rsidP="00997BEE">
      <w:pPr>
        <w:pStyle w:val="ListParagraph"/>
        <w:numPr>
          <w:ilvl w:val="0"/>
          <w:numId w:val="21"/>
        </w:numPr>
        <w:tabs>
          <w:tab w:val="left" w:pos="709"/>
          <w:tab w:val="left" w:pos="851"/>
        </w:tabs>
        <w:spacing w:after="0" w:line="360" w:lineRule="auto"/>
        <w:ind w:left="0" w:firstLine="567"/>
        <w:jc w:val="both"/>
        <w:rPr>
          <w:rFonts w:ascii="GHEA Grapalat" w:hAnsi="GHEA Grapalat"/>
          <w:lang w:val="en-US"/>
        </w:rPr>
      </w:pPr>
      <w:r w:rsidRPr="00C921DE">
        <w:rPr>
          <w:rFonts w:ascii="GHEA Grapalat" w:hAnsi="GHEA Grapalat"/>
          <w:lang w:val="en-US"/>
        </w:rPr>
        <w:t>խնամքի արձակուրդում գտնվող ծնողի համար՝ «Նվազագույն ամսական աշխատավարձի մասին» օրենքի 1-ին հոդվածով սահմանված չափի նկատմամբ տոկոսով սահմանում է Կառավարությունը (2023թ</w:t>
      </w:r>
      <w:r w:rsidRPr="00C921DE">
        <w:rPr>
          <w:rFonts w:ascii="Cambria Math" w:hAnsi="Cambria Math" w:cs="Cambria Math"/>
          <w:lang w:val="en-US"/>
        </w:rPr>
        <w:t>․</w:t>
      </w:r>
      <w:r w:rsidRPr="00C921DE">
        <w:rPr>
          <w:rFonts w:ascii="GHEA Grapalat" w:hAnsi="GHEA Grapalat"/>
          <w:lang w:val="en-US"/>
        </w:rPr>
        <w:t xml:space="preserve"> հունվարի 1-ից՝ 37500 դրամ),</w:t>
      </w:r>
    </w:p>
    <w:p w14:paraId="5A51144C" w14:textId="77777777" w:rsidR="00085BFC" w:rsidRPr="00C921DE" w:rsidRDefault="00085BFC" w:rsidP="00997BEE">
      <w:pPr>
        <w:pStyle w:val="ListParagraph"/>
        <w:numPr>
          <w:ilvl w:val="0"/>
          <w:numId w:val="21"/>
        </w:numPr>
        <w:tabs>
          <w:tab w:val="left" w:pos="709"/>
          <w:tab w:val="left" w:pos="851"/>
        </w:tabs>
        <w:spacing w:after="0" w:line="360" w:lineRule="auto"/>
        <w:ind w:left="0" w:firstLine="567"/>
        <w:jc w:val="both"/>
        <w:rPr>
          <w:rFonts w:ascii="GHEA Grapalat" w:hAnsi="GHEA Grapalat"/>
          <w:lang w:val="en-US"/>
        </w:rPr>
      </w:pPr>
      <w:r w:rsidRPr="00C921DE">
        <w:rPr>
          <w:rFonts w:ascii="GHEA Grapalat" w:hAnsi="GHEA Grapalat"/>
          <w:lang w:val="en-US"/>
        </w:rPr>
        <w:t>խնամքի արձակուրդում չգտնվող ծնողի համար՝ խնամքի արձակուրդում գտնվող ծնողի համար սահմանված չափի 85 տոկոսը չգերազանցող չափով սահմանում է Կառավարությունը (2023թ</w:t>
      </w:r>
      <w:r w:rsidRPr="00C921DE">
        <w:rPr>
          <w:rFonts w:ascii="Cambria Math" w:hAnsi="Cambria Math" w:cs="Cambria Math"/>
          <w:lang w:val="en-US"/>
        </w:rPr>
        <w:t>․</w:t>
      </w:r>
      <w:r w:rsidRPr="00C921DE">
        <w:rPr>
          <w:rFonts w:ascii="GHEA Grapalat" w:hAnsi="GHEA Grapalat"/>
          <w:lang w:val="en-US"/>
        </w:rPr>
        <w:t xml:space="preserve"> հունվարի 1-ից՝ 31600 դրամ),</w:t>
      </w:r>
    </w:p>
    <w:p w14:paraId="738492E7" w14:textId="77777777" w:rsidR="00085BFC" w:rsidRPr="00C921DE" w:rsidRDefault="00085BFC" w:rsidP="00997BEE">
      <w:pPr>
        <w:pStyle w:val="ListParagraph"/>
        <w:numPr>
          <w:ilvl w:val="0"/>
          <w:numId w:val="21"/>
        </w:numPr>
        <w:tabs>
          <w:tab w:val="left" w:pos="709"/>
          <w:tab w:val="left" w:pos="851"/>
        </w:tabs>
        <w:spacing w:after="0" w:line="360" w:lineRule="auto"/>
        <w:ind w:left="0" w:firstLine="567"/>
        <w:jc w:val="both"/>
        <w:rPr>
          <w:rFonts w:ascii="GHEA Grapalat" w:hAnsi="GHEA Grapalat"/>
          <w:lang w:val="en-US"/>
        </w:rPr>
      </w:pPr>
      <w:r w:rsidRPr="00C921DE">
        <w:rPr>
          <w:rFonts w:ascii="GHEA Grapalat" w:hAnsi="GHEA Grapalat"/>
          <w:lang w:val="en-US"/>
        </w:rPr>
        <w:t>գյուղական բնակավայրի հասցեով մեկ տարի հաշվառում ունենալու և խնամքի արձակուրդում գտնվելու դեպքում՝ 69100 դրամ։</w:t>
      </w:r>
    </w:p>
    <w:p w14:paraId="4004AC51" w14:textId="0044EB0B" w:rsidR="00085BFC" w:rsidRPr="00C921DE" w:rsidRDefault="00085BFC" w:rsidP="00385AB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00385AB7" w:rsidRPr="00C921DE">
        <w:rPr>
          <w:rFonts w:ascii="GHEA Grapalat" w:hAnsi="GHEA Grapalat"/>
          <w:sz w:val="22"/>
          <w:szCs w:val="22"/>
          <w:lang w:val="en-US"/>
        </w:rPr>
        <w:t>ն</w:t>
      </w:r>
      <w:r w:rsidRPr="00C921DE">
        <w:rPr>
          <w:rFonts w:ascii="GHEA Grapalat" w:hAnsi="GHEA Grapalat"/>
          <w:sz w:val="22"/>
          <w:szCs w:val="22"/>
          <w:lang w:val="en-US"/>
        </w:rPr>
        <w:t xml:space="preserve"> շարո</w:t>
      </w:r>
      <w:r w:rsidR="00385AB7" w:rsidRPr="00C921DE">
        <w:rPr>
          <w:rFonts w:ascii="GHEA Grapalat" w:hAnsi="GHEA Grapalat"/>
          <w:sz w:val="22"/>
          <w:szCs w:val="22"/>
          <w:lang w:val="en-US"/>
        </w:rPr>
        <w:t>ւնակվել է ՀՀ կառավարության 2022</w:t>
      </w:r>
      <w:r w:rsidRPr="00C921DE">
        <w:rPr>
          <w:rFonts w:ascii="GHEA Grapalat" w:hAnsi="GHEA Grapalat"/>
          <w:sz w:val="22"/>
          <w:szCs w:val="22"/>
          <w:lang w:val="en-US"/>
        </w:rPr>
        <w:t>թ</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հունվարի 13-ի N 64-Լ որոշմամբ հաստատված՝ ՀՀ պաշտպանության մարտական գործողություններին մասնակցելու կամ հակառակորդի հետ շփման գծում մարտական հերթապահության կամ հատուկ առաջադրանք կամ ծառայողական պարտականություններ կատարելու ընթացքում կամ հակառակորդի նախահարձակ գործողության հետևանքով զոհված զինծառայողների ծնողների վերարտադրողական առողջության աջակցման միջոցառման շրջանակներում շահառուների կողմից կատարվող՝ փոխնակ մոր ծառայության և դոնորական ձվաբջջի համար ծախսերի մասնակի փոխհատուցման նշանակումն ու վճարումը: </w:t>
      </w:r>
    </w:p>
    <w:p w14:paraId="0E5377C5" w14:textId="77777777" w:rsidR="00085BFC" w:rsidRPr="00C921DE" w:rsidRDefault="00085BFC" w:rsidP="00385AB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Ընդ որում, փոխհատուցումը տրվում է արտամարմնային բեղմնավորման իրականացման համար ուղեգրման վերաբերյալ </w:t>
      </w:r>
      <w:r w:rsidR="00385AB7" w:rsidRPr="00C921DE">
        <w:rPr>
          <w:rFonts w:ascii="GHEA Grapalat" w:hAnsi="GHEA Grapalat"/>
          <w:sz w:val="22"/>
          <w:szCs w:val="22"/>
          <w:lang w:val="en-US"/>
        </w:rPr>
        <w:t>ա</w:t>
      </w:r>
      <w:r w:rsidRPr="00C921DE">
        <w:rPr>
          <w:rFonts w:ascii="GHEA Grapalat" w:hAnsi="GHEA Grapalat"/>
          <w:sz w:val="22"/>
          <w:szCs w:val="22"/>
          <w:lang w:val="en-US"/>
        </w:rPr>
        <w:t xml:space="preserve">ռողջապահության նախարարի հրամանի հիման վրա, և 2023 </w:t>
      </w:r>
      <w:r w:rsidR="00505CF8" w:rsidRPr="00C921DE">
        <w:rPr>
          <w:rFonts w:ascii="GHEA Grapalat" w:hAnsi="GHEA Grapalat"/>
          <w:sz w:val="22"/>
          <w:szCs w:val="22"/>
          <w:lang w:val="en-US"/>
        </w:rPr>
        <w:t>թվականի</w:t>
      </w:r>
      <w:r w:rsidR="000448FC" w:rsidRPr="00C921DE">
        <w:rPr>
          <w:rFonts w:ascii="GHEA Grapalat" w:hAnsi="GHEA Grapalat"/>
          <w:sz w:val="22"/>
          <w:szCs w:val="22"/>
          <w:lang w:val="en-US"/>
        </w:rPr>
        <w:t>ն</w:t>
      </w:r>
      <w:r w:rsidRPr="00C921DE">
        <w:rPr>
          <w:rFonts w:ascii="GHEA Grapalat" w:hAnsi="GHEA Grapalat"/>
          <w:sz w:val="22"/>
          <w:szCs w:val="22"/>
          <w:lang w:val="en-US"/>
        </w:rPr>
        <w:t xml:space="preserve"> պահպանվել են 2022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համար սահմանված փոխհատուցման չափերը։</w:t>
      </w:r>
    </w:p>
    <w:p w14:paraId="332679F6" w14:textId="77777777" w:rsidR="00085BFC" w:rsidRPr="00C921DE" w:rsidRDefault="00085BFC" w:rsidP="00385AB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w:t>
      </w:r>
      <w:r w:rsidR="000448FC" w:rsidRPr="00C921DE">
        <w:rPr>
          <w:rFonts w:ascii="GHEA Grapalat" w:hAnsi="GHEA Grapalat"/>
          <w:sz w:val="22"/>
          <w:szCs w:val="22"/>
          <w:lang w:val="en-US"/>
        </w:rPr>
        <w:t xml:space="preserve"> </w:t>
      </w:r>
      <w:r w:rsidR="00505CF8" w:rsidRPr="00C921DE">
        <w:rPr>
          <w:rFonts w:ascii="GHEA Grapalat" w:hAnsi="GHEA Grapalat"/>
          <w:sz w:val="22"/>
          <w:szCs w:val="22"/>
          <w:lang w:val="en-US"/>
        </w:rPr>
        <w:t>թվականի</w:t>
      </w:r>
      <w:r w:rsidR="000448FC" w:rsidRPr="00C921DE">
        <w:rPr>
          <w:rFonts w:ascii="GHEA Grapalat" w:hAnsi="GHEA Grapalat"/>
          <w:sz w:val="22"/>
          <w:szCs w:val="22"/>
          <w:lang w:val="en-US"/>
        </w:rPr>
        <w:t>ն</w:t>
      </w:r>
      <w:r w:rsidRPr="00C921DE">
        <w:rPr>
          <w:rFonts w:ascii="GHEA Grapalat" w:hAnsi="GHEA Grapalat"/>
          <w:sz w:val="22"/>
          <w:szCs w:val="22"/>
          <w:lang w:val="en-US"/>
        </w:rPr>
        <w:t xml:space="preserve"> դոնորական ձվաբջջի ձեռքբերման ծախսերի համար փոխհատուցում է հատկացվել 37 շահառու անձանց, կամ փոխհատուցումը փոխանցվել է համապատասխան բժշկական </w:t>
      </w:r>
      <w:r w:rsidRPr="00C921DE">
        <w:rPr>
          <w:rFonts w:ascii="GHEA Grapalat" w:hAnsi="GHEA Grapalat"/>
          <w:sz w:val="22"/>
          <w:szCs w:val="22"/>
          <w:lang w:val="en-US"/>
        </w:rPr>
        <w:lastRenderedPageBreak/>
        <w:t>կազմակերպություններին՝ 123 շահառուի համար, իսկ փոխնակ մոր ծառայություններից օգտվելու համար՝ 17 շահառու անձանց, որ</w:t>
      </w:r>
      <w:r w:rsidR="000448FC" w:rsidRPr="00C921DE">
        <w:rPr>
          <w:rFonts w:ascii="GHEA Grapalat" w:hAnsi="GHEA Grapalat"/>
          <w:sz w:val="22"/>
          <w:szCs w:val="22"/>
          <w:lang w:val="en-US"/>
        </w:rPr>
        <w:t>ոնց</w:t>
      </w:r>
      <w:r w:rsidRPr="00C921DE">
        <w:rPr>
          <w:rFonts w:ascii="GHEA Grapalat" w:hAnsi="GHEA Grapalat"/>
          <w:sz w:val="22"/>
          <w:szCs w:val="22"/>
          <w:lang w:val="en-US"/>
        </w:rPr>
        <w:t>ից 12-ին վճարվել է ամբողջությամբ, իսկ 5-ին</w:t>
      </w:r>
      <w:r w:rsidR="000448FC" w:rsidRPr="00C921DE">
        <w:rPr>
          <w:rFonts w:ascii="GHEA Grapalat" w:hAnsi="GHEA Grapalat"/>
          <w:sz w:val="22"/>
          <w:szCs w:val="22"/>
          <w:lang w:val="en-US"/>
        </w:rPr>
        <w:t>՝</w:t>
      </w:r>
      <w:r w:rsidRPr="00C921DE">
        <w:rPr>
          <w:rFonts w:ascii="GHEA Grapalat" w:hAnsi="GHEA Grapalat"/>
          <w:sz w:val="22"/>
          <w:szCs w:val="22"/>
          <w:lang w:val="en-US"/>
        </w:rPr>
        <w:t xml:space="preserve"> մասնակի, ծախսը կազմել է 82,340.0 հազ.դրամ: </w:t>
      </w:r>
    </w:p>
    <w:p w14:paraId="6621B173" w14:textId="77777777" w:rsidR="00085BFC" w:rsidRPr="00C921DE" w:rsidRDefault="00085BFC" w:rsidP="00385AB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Շարունակվու</w:t>
      </w:r>
      <w:r w:rsidR="000448FC" w:rsidRPr="00C921DE">
        <w:rPr>
          <w:rFonts w:ascii="GHEA Grapalat" w:hAnsi="GHEA Grapalat"/>
          <w:sz w:val="22"/>
          <w:szCs w:val="22"/>
          <w:lang w:val="en-US"/>
        </w:rPr>
        <w:t>մ է ՀՀ կառավարության 03.10.2023</w:t>
      </w:r>
      <w:r w:rsidRPr="00C921DE">
        <w:rPr>
          <w:rFonts w:ascii="GHEA Grapalat" w:hAnsi="GHEA Grapalat"/>
          <w:sz w:val="22"/>
          <w:szCs w:val="22"/>
          <w:lang w:val="en-US"/>
        </w:rPr>
        <w:t>թ. «2023 թվականի սեպտեմբերի 19-ից Ադրբեջանի կողմից Լեռնային Ղարաբաղի դեմ սանձազերծված ռազմական գործողությունների հետևանքով բռնի տեղահանվածներին միանվագ դրամական սոցիալական աջակցության միջոցառումը և տրամադրման կարգը հաստատելու մասին» N 1675-Լ որոշման շրջանակում շահառուներին 100000 դրամ միանվագ դրամական աջակցության տրամադրումը:</w:t>
      </w:r>
    </w:p>
    <w:p w14:paraId="35A175E0" w14:textId="77777777" w:rsidR="001C411D" w:rsidRPr="00C921DE" w:rsidRDefault="001C411D" w:rsidP="008A5E8A">
      <w:pPr>
        <w:spacing w:line="360" w:lineRule="auto"/>
        <w:ind w:firstLine="567"/>
        <w:jc w:val="both"/>
        <w:rPr>
          <w:rFonts w:ascii="GHEA Grapalat" w:hAnsi="GHEA Grapalat"/>
          <w:sz w:val="22"/>
          <w:szCs w:val="22"/>
          <w:lang w:val="en-US"/>
        </w:rPr>
      </w:pPr>
    </w:p>
    <w:p w14:paraId="0E33D7D6" w14:textId="77777777" w:rsidR="001C411D" w:rsidRPr="00C921DE" w:rsidRDefault="001C411D" w:rsidP="008A5E8A">
      <w:pPr>
        <w:spacing w:line="360" w:lineRule="auto"/>
        <w:ind w:firstLine="567"/>
        <w:jc w:val="both"/>
        <w:rPr>
          <w:rFonts w:ascii="GHEA Grapalat" w:hAnsi="GHEA Grapalat"/>
          <w:sz w:val="22"/>
          <w:szCs w:val="22"/>
          <w:u w:val="single"/>
          <w:lang w:val="af-ZA"/>
        </w:rPr>
      </w:pPr>
      <w:r w:rsidRPr="00C921DE">
        <w:rPr>
          <w:rFonts w:ascii="GHEA Grapalat" w:hAnsi="GHEA Grapalat"/>
          <w:sz w:val="22"/>
          <w:szCs w:val="22"/>
          <w:u w:val="single"/>
          <w:lang w:val="af-ZA"/>
        </w:rPr>
        <w:t>Աշխատանքի և զբաղվածության բնագավառ</w:t>
      </w:r>
    </w:p>
    <w:p w14:paraId="75EBEED3" w14:textId="77777777" w:rsidR="00085BFC" w:rsidRPr="00C921DE" w:rsidRDefault="00085BFC" w:rsidP="00822504">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74328B" w:rsidRPr="00C921DE">
        <w:rPr>
          <w:rFonts w:ascii="GHEA Grapalat" w:hAnsi="GHEA Grapalat"/>
          <w:sz w:val="22"/>
          <w:szCs w:val="22"/>
          <w:lang w:val="en-US"/>
        </w:rPr>
        <w:t>թվականին</w:t>
      </w:r>
      <w:r w:rsidRPr="00C921DE">
        <w:rPr>
          <w:rFonts w:ascii="GHEA Grapalat" w:hAnsi="GHEA Grapalat"/>
          <w:sz w:val="22"/>
          <w:szCs w:val="22"/>
          <w:lang w:val="en-US"/>
        </w:rPr>
        <w:t xml:space="preserve"> պետական քաղաքականությունը շարունակել է ուղղվել աշխատաշուկայի լարվածությունը մեղմելուն, զբաղվածության ակտիվ ծրագրերի միջոցով՝ գործազուրկ անձանց, այդ թվում՝ պատերազմի մասնակից, նաև պարտադիր զինվորական ծառայությունից զորացրված, ինչպես նաև աշխատաշուկայում անմրցունակ անձանց զբաղվածության ապահովմանը, ինչպես նաև սոցիալ-աշխատանքային հարաբերությունները կարգավորող իրավական դրույթների համապատասխանեց</w:t>
      </w:r>
      <w:r w:rsidR="00204853" w:rsidRPr="00C921DE">
        <w:rPr>
          <w:rFonts w:ascii="GHEA Grapalat" w:hAnsi="GHEA Grapalat"/>
          <w:sz w:val="22"/>
          <w:szCs w:val="22"/>
          <w:lang w:val="en-US"/>
        </w:rPr>
        <w:t>-</w:t>
      </w:r>
      <w:r w:rsidRPr="00C921DE">
        <w:rPr>
          <w:rFonts w:ascii="GHEA Grapalat" w:hAnsi="GHEA Grapalat"/>
          <w:sz w:val="22"/>
          <w:szCs w:val="22"/>
          <w:lang w:val="en-US"/>
        </w:rPr>
        <w:t>մանը ՀՀ կողմից ստանձնած միջազգային պարտավորություններին: Այս համատեքստում առանձնապես կարևորվել են`</w:t>
      </w:r>
    </w:p>
    <w:p w14:paraId="77361CCB" w14:textId="77777777" w:rsidR="00085BFC" w:rsidRPr="00C921DE" w:rsidRDefault="00085BFC" w:rsidP="00204853">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զբաղվածության կարգավորման պետական ծրագրերի հասցեականության ու արդյունավետության բարձրացումը, ըստ անհրաժեշտության՝ նոր ծրագրերի ներդրումը,</w:t>
      </w:r>
    </w:p>
    <w:p w14:paraId="71FB9998" w14:textId="77777777" w:rsidR="00085BFC" w:rsidRPr="00C921DE" w:rsidRDefault="00085BFC" w:rsidP="00204853">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արժանապատիվ աշխատանքի իրավունքի իրացման նպատակով՝ աշխատանքային հարաբերությունների կարգավորման մեխանիզմների պարզեցումը և բարելավումը՝ համապատասխանեցվելով նաև </w:t>
      </w:r>
      <w:r w:rsidR="00A81889" w:rsidRPr="00C921DE">
        <w:rPr>
          <w:rFonts w:ascii="GHEA Grapalat" w:hAnsi="GHEA Grapalat" w:cs="GHEA Grapalat"/>
          <w:bCs/>
          <w:lang w:val="af-ZA"/>
        </w:rPr>
        <w:t>ՀՀ</w:t>
      </w:r>
      <w:r w:rsidRPr="00C921DE">
        <w:rPr>
          <w:rFonts w:ascii="GHEA Grapalat" w:hAnsi="GHEA Grapalat" w:cs="GHEA Grapalat"/>
          <w:bCs/>
          <w:lang w:val="af-ZA"/>
        </w:rPr>
        <w:t xml:space="preserve"> ստանձնած </w:t>
      </w:r>
      <w:r w:rsidR="002C19A1" w:rsidRPr="00C921DE">
        <w:rPr>
          <w:rFonts w:ascii="GHEA Grapalat" w:hAnsi="GHEA Grapalat" w:cs="GHEA Grapalat"/>
          <w:bCs/>
          <w:lang w:val="af-ZA"/>
        </w:rPr>
        <w:t>միջազգային պարտավորություններին:</w:t>
      </w:r>
    </w:p>
    <w:p w14:paraId="5C40542D" w14:textId="77777777" w:rsidR="00571D8C" w:rsidRPr="00C921DE" w:rsidRDefault="00085BFC" w:rsidP="00571D8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Այս ուղղությամբ մասնավորապես՝</w:t>
      </w:r>
    </w:p>
    <w:p w14:paraId="2AEA3B35" w14:textId="77777777" w:rsidR="00085BFC" w:rsidRPr="00C921DE" w:rsidRDefault="00085BFC" w:rsidP="00997BEE">
      <w:pPr>
        <w:pStyle w:val="ListParagraph"/>
        <w:numPr>
          <w:ilvl w:val="0"/>
          <w:numId w:val="22"/>
        </w:numPr>
        <w:tabs>
          <w:tab w:val="left" w:pos="709"/>
          <w:tab w:val="left" w:pos="851"/>
        </w:tabs>
        <w:spacing w:line="360" w:lineRule="auto"/>
        <w:ind w:left="0" w:firstLine="567"/>
        <w:jc w:val="both"/>
        <w:rPr>
          <w:rFonts w:ascii="GHEA Grapalat" w:hAnsi="GHEA Grapalat"/>
          <w:lang w:val="en-US"/>
        </w:rPr>
      </w:pPr>
      <w:r w:rsidRPr="00C921DE">
        <w:rPr>
          <w:rFonts w:ascii="GHEA Grapalat" w:hAnsi="GHEA Grapalat"/>
          <w:lang w:val="en-US"/>
        </w:rPr>
        <w:t xml:space="preserve">2023 թվականի ապրիլին ՀՀ աշխատանքային օրենսգրքում կատարված լրացումներով («Հայաստանի Հանրապետության աշխատանքային օրենսգրքում լրացումներ կատարելու մասին» 2023 թ. ապրիլի 13-ի </w:t>
      </w:r>
      <w:r w:rsidR="00E0753A" w:rsidRPr="00C921DE">
        <w:rPr>
          <w:rFonts w:ascii="GHEA Grapalat" w:hAnsi="GHEA Grapalat"/>
          <w:lang w:val="en-US"/>
        </w:rPr>
        <w:t xml:space="preserve">թիվ </w:t>
      </w:r>
      <w:r w:rsidRPr="00C921DE">
        <w:rPr>
          <w:rFonts w:ascii="GHEA Grapalat" w:hAnsi="GHEA Grapalat"/>
          <w:lang w:val="en-US"/>
        </w:rPr>
        <w:t>ՀՕ-141-Ն օրենք, որով կատարված լր</w:t>
      </w:r>
      <w:r w:rsidR="007B7558" w:rsidRPr="00C921DE">
        <w:rPr>
          <w:rFonts w:ascii="GHEA Grapalat" w:hAnsi="GHEA Grapalat"/>
          <w:lang w:val="en-US"/>
        </w:rPr>
        <w:t>ացումներն ուժի մեջ են մտել 2023</w:t>
      </w:r>
      <w:r w:rsidRPr="00C921DE">
        <w:rPr>
          <w:rFonts w:ascii="GHEA Grapalat" w:hAnsi="GHEA Grapalat"/>
          <w:lang w:val="en-US"/>
        </w:rPr>
        <w:t>թ. մայիսի 21-ից) կարգավորվել են վարժական հավաքների կանչված և աշխատող պահեստազորայինների աշխատանքի վայրում աշխատավարձի պահպանման հետ կապված հարաբերությունները։ Մինչև նշված օրենսդրական փոփոխությունը վարժական հավաքներին մասնակցող աշխատողների համար վարժական հավաքի ընթացքում գործատուի կողմից աշխատավարձի պահպանման ուղիղ պահանջ ՀՀ աշխատանքային օրենսգրքով սահմանված չէր։</w:t>
      </w:r>
    </w:p>
    <w:p w14:paraId="76EE3991" w14:textId="77777777" w:rsidR="00085BFC" w:rsidRPr="00C921DE" w:rsidRDefault="00085BFC" w:rsidP="00997BEE">
      <w:pPr>
        <w:pStyle w:val="ListParagraph"/>
        <w:numPr>
          <w:ilvl w:val="0"/>
          <w:numId w:val="22"/>
        </w:numPr>
        <w:tabs>
          <w:tab w:val="left" w:pos="709"/>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lastRenderedPageBreak/>
        <w:t>2023 թվականի մայիսի 3-ին ընդունվել է «Հայաստանի Հանրապետության աշխատանքային օրենսգրքում փոփոխություններ և լրացումներ կատարելու մասին»</w:t>
      </w:r>
      <w:r w:rsidR="00E0753A" w:rsidRPr="00C921DE">
        <w:rPr>
          <w:rFonts w:ascii="GHEA Grapalat" w:hAnsi="GHEA Grapalat" w:cs="GHEA Grapalat"/>
          <w:bCs/>
          <w:lang w:val="af-ZA"/>
        </w:rPr>
        <w:t xml:space="preserve"> թիվ</w:t>
      </w:r>
      <w:r w:rsidRPr="00C921DE">
        <w:rPr>
          <w:rFonts w:ascii="GHEA Grapalat" w:hAnsi="GHEA Grapalat" w:cs="GHEA Grapalat"/>
          <w:bCs/>
          <w:lang w:val="af-ZA"/>
        </w:rPr>
        <w:t xml:space="preserve"> ՀՕ-160-Ն օրենքը (միաժամանակ փաթեթով ընդունվել են նաև «Հայաստանի Հանրապետության հարկային օրենսգրքում լրացում կատարելու մասին» </w:t>
      </w:r>
      <w:r w:rsidR="00E0753A" w:rsidRPr="00C921DE">
        <w:rPr>
          <w:rFonts w:ascii="GHEA Grapalat" w:hAnsi="GHEA Grapalat" w:cs="GHEA Grapalat"/>
          <w:bCs/>
          <w:lang w:val="af-ZA"/>
        </w:rPr>
        <w:t xml:space="preserve">թիվ </w:t>
      </w:r>
      <w:r w:rsidRPr="00C921DE">
        <w:rPr>
          <w:rFonts w:ascii="GHEA Grapalat" w:hAnsi="GHEA Grapalat" w:cs="GHEA Grapalat"/>
          <w:bCs/>
          <w:lang w:val="af-ZA"/>
        </w:rPr>
        <w:t>ՀՕ-161-Ն</w:t>
      </w:r>
      <w:r w:rsidR="007510E8" w:rsidRPr="00C921DE">
        <w:rPr>
          <w:rFonts w:ascii="GHEA Grapalat" w:hAnsi="GHEA Grapalat" w:cs="GHEA Grapalat"/>
          <w:bCs/>
          <w:lang w:val="af-ZA"/>
        </w:rPr>
        <w:t xml:space="preserve"> </w:t>
      </w:r>
      <w:r w:rsidRPr="00C921DE">
        <w:rPr>
          <w:rFonts w:ascii="GHEA Grapalat" w:hAnsi="GHEA Grapalat" w:cs="GHEA Grapalat"/>
          <w:bCs/>
          <w:lang w:val="af-ZA"/>
        </w:rPr>
        <w:t>և</w:t>
      </w:r>
      <w:r w:rsidR="007510E8" w:rsidRPr="00C921DE">
        <w:rPr>
          <w:rFonts w:ascii="GHEA Grapalat" w:hAnsi="GHEA Grapalat" w:cs="GHEA Grapalat"/>
          <w:bCs/>
          <w:lang w:val="af-ZA"/>
        </w:rPr>
        <w:t xml:space="preserve"> </w:t>
      </w:r>
      <w:r w:rsidRPr="00C921DE">
        <w:rPr>
          <w:rFonts w:ascii="GHEA Grapalat" w:hAnsi="GHEA Grapalat" w:cs="GHEA Grapalat"/>
          <w:bCs/>
          <w:lang w:val="af-ZA"/>
        </w:rPr>
        <w:t xml:space="preserve">««Եկամտային հարկի, շահութահարկի և սոցիալական վճարի անձնավորված հաշվառման մասին» օրենքում լրացում կատարելու մասին» </w:t>
      </w:r>
      <w:r w:rsidR="00563180" w:rsidRPr="00C921DE">
        <w:rPr>
          <w:rFonts w:ascii="GHEA Grapalat" w:hAnsi="GHEA Grapalat" w:cs="GHEA Grapalat"/>
          <w:bCs/>
          <w:lang w:val="af-ZA"/>
        </w:rPr>
        <w:t xml:space="preserve">թիվ </w:t>
      </w:r>
      <w:r w:rsidRPr="00C921DE">
        <w:rPr>
          <w:rFonts w:ascii="GHEA Grapalat" w:hAnsi="GHEA Grapalat" w:cs="GHEA Grapalat"/>
          <w:bCs/>
          <w:lang w:val="af-ZA"/>
        </w:rPr>
        <w:t>ՀՕ-162-Ն օրենքները), որով ՀՀ աշխատանքային օրենսգրքում կատարվել են լայնածավալ փոփոխություններ (փոփոխությունների հիմնական մասն ուժի մեջ</w:t>
      </w:r>
      <w:r w:rsidR="00563180" w:rsidRPr="00C921DE">
        <w:rPr>
          <w:rFonts w:ascii="GHEA Grapalat" w:hAnsi="GHEA Grapalat" w:cs="GHEA Grapalat"/>
          <w:bCs/>
          <w:lang w:val="af-ZA"/>
        </w:rPr>
        <w:t xml:space="preserve"> է մտել 2023 թվականի հուլիսի 31</w:t>
      </w:r>
      <w:r w:rsidR="00563180" w:rsidRPr="00C921DE">
        <w:rPr>
          <w:bCs/>
          <w:lang w:val="af-ZA"/>
        </w:rPr>
        <w:noBreakHyphen/>
      </w:r>
      <w:r w:rsidRPr="00C921DE">
        <w:rPr>
          <w:rFonts w:ascii="GHEA Grapalat" w:hAnsi="GHEA Grapalat" w:cs="GHEA Grapalat"/>
          <w:bCs/>
          <w:lang w:val="af-ZA"/>
        </w:rPr>
        <w:t>ից, իսկ մի շարք կարգավորումներ էլ</w:t>
      </w:r>
      <w:r w:rsidR="00F07AA9" w:rsidRPr="00C921DE">
        <w:rPr>
          <w:rFonts w:ascii="GHEA Grapalat" w:hAnsi="GHEA Grapalat" w:cs="GHEA Grapalat"/>
          <w:bCs/>
          <w:lang w:val="af-ZA"/>
        </w:rPr>
        <w:t>՝</w:t>
      </w:r>
      <w:r w:rsidRPr="00C921DE">
        <w:rPr>
          <w:rFonts w:ascii="GHEA Grapalat" w:hAnsi="GHEA Grapalat" w:cs="GHEA Grapalat"/>
          <w:bCs/>
          <w:lang w:val="af-ZA"/>
        </w:rPr>
        <w:t xml:space="preserve"> 2023 թվականի դեկտեմբերի 1-ից)։ Մասնավորապես</w:t>
      </w:r>
      <w:r w:rsidR="00F07AA9" w:rsidRPr="00C921DE">
        <w:rPr>
          <w:rFonts w:ascii="GHEA Grapalat" w:hAnsi="GHEA Grapalat" w:cs="GHEA Grapalat"/>
          <w:bCs/>
          <w:lang w:val="af-ZA"/>
        </w:rPr>
        <w:t>,</w:t>
      </w:r>
      <w:r w:rsidRPr="00C921DE">
        <w:rPr>
          <w:rFonts w:ascii="GHEA Grapalat" w:hAnsi="GHEA Grapalat" w:cs="GHEA Grapalat"/>
          <w:bCs/>
          <w:lang w:val="af-ZA"/>
        </w:rPr>
        <w:t xml:space="preserve"> վերանայվել է ՀՀ աշխատանքային օրենսգրքի հոդվածների ավելի քան 40%-ը։ Կատարված փոփոխություններն ու լրացումներն ուղղված են ՀՀ աշխատանքային օրենսգիրքը </w:t>
      </w:r>
      <w:r w:rsidR="00A81889" w:rsidRPr="00C921DE">
        <w:rPr>
          <w:rFonts w:ascii="GHEA Grapalat" w:hAnsi="GHEA Grapalat" w:cs="GHEA Grapalat"/>
          <w:bCs/>
          <w:lang w:val="af-ZA"/>
        </w:rPr>
        <w:t>ՀՀ</w:t>
      </w:r>
      <w:r w:rsidRPr="00C921DE">
        <w:rPr>
          <w:rFonts w:ascii="GHEA Grapalat" w:hAnsi="GHEA Grapalat" w:cs="GHEA Grapalat"/>
          <w:bCs/>
          <w:lang w:val="af-ZA"/>
        </w:rPr>
        <w:t xml:space="preserve"> միջազգային պայմանագրերով (Աշխատանքի միջազգային կազմակերպության հիմնարար կոնվենցիաներով և Վերանայված եվրոպական սոցիալական խարտիայով) նախատեսված պահանջներին առավելագույնս համապատասխանեցնելուն, օրենսդրական որոշակի բացերի ու ՀՀ աշխատանքային օրենսգրքի ներքին հակասությունների վերացմանը, ինչպես նաև տարաբնույթ ընկալման տեղիք տվող դրույթների հստակեցմանն ու իրավակիրառ պրակտիկայում ի հայտ եկած մի շարք խնդիրների լուծմանը:</w:t>
      </w:r>
    </w:p>
    <w:p w14:paraId="2C235D4C" w14:textId="77777777" w:rsidR="00085BFC" w:rsidRPr="00C921DE" w:rsidRDefault="00085BFC" w:rsidP="00571D8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«Հայաստանի Հանրապետության աշխատանքային օրենսգրքում փոփոխություններ և լրացումներ կատարելու մասին» 2023թ. մայիսի 3-ի</w:t>
      </w:r>
      <w:r w:rsidR="00563180" w:rsidRPr="00C921DE">
        <w:rPr>
          <w:rFonts w:ascii="GHEA Grapalat" w:hAnsi="GHEA Grapalat"/>
          <w:sz w:val="22"/>
          <w:szCs w:val="22"/>
          <w:lang w:val="en-US"/>
        </w:rPr>
        <w:t xml:space="preserve"> թիվ</w:t>
      </w:r>
      <w:r w:rsidRPr="00C921DE">
        <w:rPr>
          <w:rFonts w:ascii="GHEA Grapalat" w:hAnsi="GHEA Grapalat"/>
          <w:sz w:val="22"/>
          <w:szCs w:val="22"/>
          <w:lang w:val="en-US"/>
        </w:rPr>
        <w:t xml:space="preserve"> ՀՕ-160-Ն օրենքով</w:t>
      </w:r>
      <w:r w:rsidR="00563180" w:rsidRPr="00C921DE">
        <w:rPr>
          <w:rFonts w:ascii="GHEA Grapalat" w:hAnsi="GHEA Grapalat"/>
          <w:sz w:val="22"/>
          <w:szCs w:val="22"/>
          <w:lang w:val="en-US"/>
        </w:rPr>
        <w:t>,</w:t>
      </w:r>
      <w:r w:rsidRPr="00C921DE">
        <w:rPr>
          <w:rFonts w:ascii="GHEA Grapalat" w:hAnsi="GHEA Grapalat"/>
          <w:sz w:val="22"/>
          <w:szCs w:val="22"/>
          <w:lang w:val="en-US"/>
        </w:rPr>
        <w:t xml:space="preserve"> մասնավորապես</w:t>
      </w:r>
      <w:r w:rsidR="00563180" w:rsidRPr="00C921DE">
        <w:rPr>
          <w:rFonts w:ascii="GHEA Grapalat" w:hAnsi="GHEA Grapalat"/>
          <w:sz w:val="22"/>
          <w:szCs w:val="22"/>
          <w:lang w:val="en-US"/>
        </w:rPr>
        <w:t>,</w:t>
      </w:r>
      <w:r w:rsidRPr="00C921DE">
        <w:rPr>
          <w:rFonts w:ascii="GHEA Grapalat" w:hAnsi="GHEA Grapalat"/>
          <w:sz w:val="22"/>
          <w:szCs w:val="22"/>
          <w:lang w:val="en-US"/>
        </w:rPr>
        <w:t xml:space="preserve"> վերանայվել են աշխատանքի ընդունման և աշխատանքից ազատման, կենսաթոշակային տարիքում գտնվող աշխատողների աշխատանքային հարաբերություններին վերաբերող (գործատուի նախաձեռնությամբ աշխատանքային պայմանագրի լուծման հիմքերից հանվել է կենսաթոշակային տարիքը լրանալու կապակցությամբ աշխատանքային պայմանագրի լուծման հիմքը), ամենամյա արձակուրդի տրամադրման, երեխաների աշխատանքի, սոցիալական գործընկերության, արհմիությունների դերի, աշխատանքային պայմանագրերի կնքման, ինչպես նաև աշխատանքային հարաբերություն</w:t>
      </w:r>
      <w:r w:rsidR="00D26DBE" w:rsidRPr="00C921DE">
        <w:rPr>
          <w:rFonts w:ascii="GHEA Grapalat" w:hAnsi="GHEA Grapalat"/>
          <w:sz w:val="22"/>
          <w:szCs w:val="22"/>
          <w:lang w:val="en-US"/>
        </w:rPr>
        <w:t>ների մի շարք այլ կարգավորումներ</w:t>
      </w:r>
      <w:r w:rsidRPr="00C921DE">
        <w:rPr>
          <w:rFonts w:ascii="GHEA Grapalat" w:hAnsi="GHEA Grapalat"/>
          <w:sz w:val="22"/>
          <w:szCs w:val="22"/>
          <w:lang w:val="en-US"/>
        </w:rPr>
        <w:t xml:space="preserve">, ընդլայնվել են երեխա ունեցող աշխատողների իրավունքները, նախատեսվել են փորձնակության ինստիտուտի (ընդհանուր սահմանվել են գործատուի մոտ աշխատանքային փորձառություն ձեռք բերելու վերաբերյալ կարգը, փորձնակի հասկացությունը, պայմանագրային կարգավորումների շրջանակներում իրավունքների և պարտականությունների ամրագրման, փորձնակին հավաստագրի տրամադրման, փորձնակների հաշվառման, ինչպես նաև այլ ընթացակարգային կարգավորումներ), աշխատանքում բռնության կամ սեռական ոտնձգության արգելքի, նախքան անձին աշխատանքի ընդունելը գործատուի կողմից վերջինիս մասնագիտական ուսուցում կազմակերպելու վերաբերյալ կարգավորումներ, նախատեսվել </w:t>
      </w:r>
      <w:r w:rsidRPr="00C921DE">
        <w:rPr>
          <w:rFonts w:ascii="GHEA Grapalat" w:hAnsi="GHEA Grapalat"/>
          <w:sz w:val="22"/>
          <w:szCs w:val="22"/>
          <w:lang w:val="en-US"/>
        </w:rPr>
        <w:lastRenderedPageBreak/>
        <w:t>են նաև մի շարք այլ փոփոխություններ՝ ուղղված իրավակիրառ պրակտիկայից բխող մի շարք խնդիրների լուծմանը։</w:t>
      </w:r>
    </w:p>
    <w:p w14:paraId="63BEFC8E" w14:textId="77777777" w:rsidR="00085BFC" w:rsidRPr="00C921DE" w:rsidRDefault="00085BFC" w:rsidP="00997BEE">
      <w:pPr>
        <w:pStyle w:val="ListParagraph"/>
        <w:numPr>
          <w:ilvl w:val="0"/>
          <w:numId w:val="22"/>
        </w:numPr>
        <w:tabs>
          <w:tab w:val="left" w:pos="709"/>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2023 թ</w:t>
      </w:r>
      <w:r w:rsidR="00282B32" w:rsidRPr="00C921DE">
        <w:rPr>
          <w:rFonts w:ascii="GHEA Grapalat" w:hAnsi="GHEA Grapalat" w:cs="GHEA Grapalat"/>
          <w:bCs/>
          <w:lang w:val="af-ZA"/>
        </w:rPr>
        <w:t>վականի</w:t>
      </w:r>
      <w:r w:rsidRPr="00C921DE">
        <w:rPr>
          <w:rFonts w:ascii="GHEA Grapalat" w:hAnsi="GHEA Grapalat" w:cs="GHEA Grapalat"/>
          <w:bCs/>
          <w:lang w:val="af-ZA"/>
        </w:rPr>
        <w:t xml:space="preserve"> հոկտեմբերին ՀՀ աշխատանքային օրենսգրքում կատարված փոփոխություններով («Հայաստանի Հանրապետության աշխատանքային օրենսգրքում փոփոխություններ կատարելու մասին» 2023 թվականի հոկտեմբերի 25-ի </w:t>
      </w:r>
      <w:r w:rsidR="00282B32" w:rsidRPr="00C921DE">
        <w:rPr>
          <w:rFonts w:ascii="GHEA Grapalat" w:hAnsi="GHEA Grapalat" w:cs="GHEA Grapalat"/>
          <w:bCs/>
          <w:lang w:val="af-ZA"/>
        </w:rPr>
        <w:t xml:space="preserve">թիվ </w:t>
      </w:r>
      <w:r w:rsidRPr="00C921DE">
        <w:rPr>
          <w:rFonts w:ascii="GHEA Grapalat" w:hAnsi="GHEA Grapalat" w:cs="GHEA Grapalat"/>
          <w:bCs/>
          <w:lang w:val="af-ZA"/>
        </w:rPr>
        <w:t>ՀՕ-316-Ն օրենք, որն ուժի մեջ է մտել 2023 թվականի նոյեմբերի 25-ից) ՀՀ աշխատանքային օրենսգրքում նախատեսվել են այնպիսի կարգավորումներ, որոնք հնարավորություն են տալիս աշխատողների կողմից աշխատանքները կատարել նաև հեռավար եղանակով։ Այս կապակցությամբ հարկ է նշել, որ մինչ այդ փոփոխությունները գործող օրենսդրությամբ աշխատանքների կատարումը հեռավար եղանակով թույլատրվում էր միայն արտակարգ բնույթ կրող դեպքերի կանխարգելման ժամանակահատվածում, այն դեպքում, երբ այդ իրավիճակներով պայմանավորված</w:t>
      </w:r>
      <w:r w:rsidR="0035027F" w:rsidRPr="00C921DE">
        <w:rPr>
          <w:rFonts w:ascii="GHEA Grapalat" w:hAnsi="GHEA Grapalat" w:cs="GHEA Grapalat"/>
          <w:bCs/>
          <w:lang w:val="af-ZA"/>
        </w:rPr>
        <w:t>՝</w:t>
      </w:r>
      <w:r w:rsidRPr="00C921DE">
        <w:rPr>
          <w:rFonts w:ascii="GHEA Grapalat" w:hAnsi="GHEA Grapalat" w:cs="GHEA Grapalat"/>
          <w:bCs/>
          <w:lang w:val="af-ZA"/>
        </w:rPr>
        <w:t xml:space="preserve"> հնարավոր չէր ապահովել աշխատանքների իրականացումը աշխատանքի վայրում: Մինչդեռ կատարված փոփոխություններով արդեն աշխատողի և գործատուի (անկախ սեփականության ձևից և կազմակերպաիրավական տեսակից) փոխադարձ համաձայնությամբ աշխատանքը կարող է կատարվել հեռավար՝ ցանկացած պարագայում, եթե աշխատանքի բնույթը թույլ է տալիս այն կատարել նաև հեռավար եղանակով` աշխատանքային պարտականությունների հեռավար եղանակով իրականացման հնարավորությունը չպայմանավորելով միայն արտակարգ բնույթ կրող դեպքերով։ </w:t>
      </w:r>
    </w:p>
    <w:p w14:paraId="6111EA99" w14:textId="77777777" w:rsidR="003D5EA3" w:rsidRPr="00C921DE" w:rsidRDefault="00085BFC" w:rsidP="00057D7D">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2022 թվականի դեկտեմբերին կատարված փոփոխությունների արդյունքում («Նվազագույն ամսական աշխատավարձի մասին» օրենքում փոփոխություններ կատարելու մասին» 2022 թվականի դեկտեմբերի 7-ի ՀՕ-501-Ն օրենք) 2023 թվականի հունվարի 1-ից </w:t>
      </w:r>
      <w:r w:rsidR="00A81889" w:rsidRPr="00C921DE">
        <w:rPr>
          <w:rFonts w:ascii="GHEA Grapalat" w:hAnsi="GHEA Grapalat"/>
          <w:sz w:val="22"/>
          <w:szCs w:val="22"/>
          <w:lang w:val="en-US"/>
        </w:rPr>
        <w:t>ՀՀ-</w:t>
      </w:r>
      <w:r w:rsidRPr="00C921DE">
        <w:rPr>
          <w:rFonts w:ascii="GHEA Grapalat" w:hAnsi="GHEA Grapalat"/>
          <w:sz w:val="22"/>
          <w:szCs w:val="22"/>
          <w:lang w:val="en-US"/>
        </w:rPr>
        <w:t xml:space="preserve">ում նվազագույն ամսական աշխատավարձը բարձրացել է 10.3%-ով՝ 68,000 դրամի փոխարեն սահմանվելով 75,000 դրամ։ </w:t>
      </w:r>
    </w:p>
    <w:p w14:paraId="0761D916" w14:textId="77777777" w:rsidR="00085BFC" w:rsidRPr="00C921DE" w:rsidRDefault="00085BFC" w:rsidP="00057D7D">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Պետական հատվածի աշխատողների սոցիալական երաշխիքների ընդլայն</w:t>
      </w:r>
      <w:r w:rsidR="003D5EA3" w:rsidRPr="00C921DE">
        <w:rPr>
          <w:rFonts w:ascii="GHEA Grapalat" w:hAnsi="GHEA Grapalat"/>
          <w:sz w:val="22"/>
          <w:szCs w:val="22"/>
          <w:lang w:val="en-US"/>
        </w:rPr>
        <w:t>ման ուղղությամբ,</w:t>
      </w:r>
      <w:r w:rsidRPr="00C921DE">
        <w:rPr>
          <w:rFonts w:ascii="GHEA Grapalat" w:hAnsi="GHEA Grapalat"/>
          <w:sz w:val="22"/>
          <w:szCs w:val="22"/>
          <w:lang w:val="en-US"/>
        </w:rPr>
        <w:t xml:space="preserve"> մասնավորապես, 2022 թվականի դեկտեմբերին սոցփաթեթի հատկացման կարգում կատարված փոփոխություններով (ՀՀ կառավարության 2022 թվականի դեկտեմբերի 29-ի «Հայաստանի Հանրապետության կառավարության 2012 թվականի դեկտեմբերի 27-ի N 1691-Ն որոշման մեջ լրացումներ և փոփոխություններ կատարելու մասին» N 2074-Ն որոշմամբ) 2023 թվականի հունվարի 1-ից սոցփաթեթի շահառուների ցանկում լրացվել են՝</w:t>
      </w:r>
    </w:p>
    <w:p w14:paraId="4FD1CAE0" w14:textId="77777777" w:rsidR="00085BFC" w:rsidRPr="00C921DE" w:rsidRDefault="00085BFC" w:rsidP="00863950">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այն հիմնադրամների աշխատողները, ովքեր նախկինում, հանդիսանալով պետական ոչ առևտրային կազմակերպության աշխատողներ, եղել են սոցփաթեթի շահառու, սակայն այդ պետական ոչ առևտրային կազմակերպության վերակազմակերպման արդյունքում հիմնադրամ դառնալուց հետո, այլևս սոցփաթեթի շահառու չեն հանդիսացել։ Այդ հիմնադրամներն են Ծաղկունք </w:t>
      </w:r>
      <w:r w:rsidRPr="00C921DE">
        <w:rPr>
          <w:rFonts w:ascii="GHEA Grapalat" w:hAnsi="GHEA Grapalat" w:cs="GHEA Grapalat"/>
          <w:bCs/>
          <w:lang w:val="af-ZA"/>
        </w:rPr>
        <w:lastRenderedPageBreak/>
        <w:t>բաց դպրոցը, Մոնթե Մելքոնյանի անվան ռազմամարզական վարժարանը, N 182 ավագ դպրոցը, Հայ-չինական բարեկամության դպրոցը,</w:t>
      </w:r>
    </w:p>
    <w:p w14:paraId="3E60E1D2" w14:textId="77777777" w:rsidR="00085BFC" w:rsidRPr="00C921DE" w:rsidRDefault="00085BFC" w:rsidP="00863950">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նույն ոլորտում գործունեություն ծավալող նույնատիպ կազմակերպությունների՝ հանրակրթական ծրագրերով ուսուցանող դպրոցների և վարժարանի աշխատողները։</w:t>
      </w:r>
    </w:p>
    <w:p w14:paraId="25C40517" w14:textId="77777777" w:rsidR="00085BFC" w:rsidRPr="00C921DE" w:rsidRDefault="00085BFC" w:rsidP="00863950">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Միաժամանակ, կատարված փոփոխություններով առավել հստակեցվել է սոցփաթեթի հատկացման կարգը՝ այդպիսով լուծելով իրավակիրառ պրակտիկայում ի հայտ եկած մի շարք խնդիրներ։ Արդյունքում սոցփաթեթի շահառուների ցանկն ընդլայնվել է 538 շահառուով:</w:t>
      </w:r>
    </w:p>
    <w:p w14:paraId="6C0407FD" w14:textId="27558A08" w:rsidR="00085BFC" w:rsidRPr="00C921DE" w:rsidRDefault="00085BFC" w:rsidP="00863950">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ընթացքում </w:t>
      </w:r>
      <w:r w:rsidR="00E94E3A" w:rsidRPr="00C921DE">
        <w:rPr>
          <w:rFonts w:ascii="GHEA Grapalat" w:hAnsi="GHEA Grapalat"/>
          <w:sz w:val="22"/>
          <w:szCs w:val="22"/>
          <w:lang w:val="en-US"/>
        </w:rPr>
        <w:t>ՄՍԾ</w:t>
      </w:r>
      <w:r w:rsidRPr="00C921DE">
        <w:rPr>
          <w:rFonts w:ascii="GHEA Grapalat" w:hAnsi="GHEA Grapalat"/>
          <w:sz w:val="22"/>
          <w:szCs w:val="22"/>
          <w:lang w:val="en-US"/>
        </w:rPr>
        <w:t xml:space="preserve"> տարածքային կենտրոնների միջնորդությամբ աշխատանքի է տեղավորվել 10878 աշխատանք փնտրող անձ։ Իրականացվել են զբաղվածության ապահովմանն ուղղված մի շարք միջոցառումներ, որոնցում, ընդհանուր առմամբ, ընդգրկվել է 3886 գործազուրկ, ընդ որում, 3155–ը` ժամանակավոր բնույթ ունեցող՝ սեզոնային գյուղատնտեսական աշխատանքներում: Մասնավորապես, իրականացվել են աշխատանքային փորձի ձեռքբերման, մասնագիտական ուսուցման կազմակերպման, ինչպես նաև գործատուին միանվագ աջակցության տրամադրման ճանապարհով՝ աշխատանքի տեղավորման միջոցառումներ պատերազմի մասնակից, ինչպես նաև պարտադիր զինվորական ծառայությունից զորացրված 526 անձի համար։ Իրականացվել են նաև գործազուրկներին աշխատանքի ընդունելու համար գործատուին միանվագ աջակցության տրամադրման միջոցառումներ ևս 191 գործազուրկների աշխատանքի տեղավորման համար։</w:t>
      </w:r>
    </w:p>
    <w:p w14:paraId="443D7C73" w14:textId="77777777" w:rsidR="00532CC7" w:rsidRPr="00C921DE" w:rsidRDefault="00532CC7" w:rsidP="008A5E8A">
      <w:pPr>
        <w:spacing w:line="360" w:lineRule="auto"/>
        <w:ind w:firstLine="567"/>
        <w:jc w:val="both"/>
        <w:rPr>
          <w:rFonts w:ascii="GHEA Grapalat" w:hAnsi="GHEA Grapalat"/>
          <w:sz w:val="22"/>
          <w:szCs w:val="22"/>
          <w:lang w:val="en-US"/>
        </w:rPr>
      </w:pPr>
    </w:p>
    <w:p w14:paraId="09145427" w14:textId="77777777" w:rsidR="001C411D" w:rsidRPr="00C921DE" w:rsidRDefault="001C411D" w:rsidP="008A5E8A">
      <w:pPr>
        <w:spacing w:line="360" w:lineRule="auto"/>
        <w:ind w:firstLine="567"/>
        <w:jc w:val="both"/>
        <w:rPr>
          <w:rFonts w:ascii="GHEA Grapalat" w:hAnsi="GHEA Grapalat"/>
          <w:sz w:val="22"/>
          <w:szCs w:val="22"/>
          <w:u w:val="single"/>
          <w:lang w:val="af-ZA"/>
        </w:rPr>
      </w:pPr>
      <w:r w:rsidRPr="00C921DE">
        <w:rPr>
          <w:rFonts w:ascii="GHEA Grapalat" w:hAnsi="GHEA Grapalat"/>
          <w:sz w:val="22"/>
          <w:szCs w:val="22"/>
          <w:u w:val="single"/>
          <w:lang w:val="en-US"/>
        </w:rPr>
        <w:t>Սոցիալական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աջակցություն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անաշխատունակության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դեպքում</w:t>
      </w:r>
    </w:p>
    <w:p w14:paraId="6BED1423" w14:textId="77777777" w:rsidR="00085BFC" w:rsidRPr="00C921DE" w:rsidRDefault="00085BFC" w:rsidP="0083669F">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Պետական բյուջեի միջոցների հաշվին 2023 </w:t>
      </w:r>
      <w:r w:rsidR="00505CF8" w:rsidRPr="00C921DE">
        <w:rPr>
          <w:rFonts w:ascii="GHEA Grapalat" w:hAnsi="GHEA Grapalat"/>
          <w:sz w:val="22"/>
          <w:szCs w:val="22"/>
          <w:lang w:val="en-US"/>
        </w:rPr>
        <w:t>թվականի</w:t>
      </w:r>
      <w:r w:rsidR="0083669F" w:rsidRPr="00C921DE">
        <w:rPr>
          <w:rFonts w:ascii="GHEA Grapalat" w:hAnsi="GHEA Grapalat"/>
          <w:sz w:val="22"/>
          <w:szCs w:val="22"/>
          <w:lang w:val="en-US"/>
        </w:rPr>
        <w:t>ն</w:t>
      </w:r>
      <w:r w:rsidRPr="00C921DE">
        <w:rPr>
          <w:rFonts w:ascii="GHEA Grapalat" w:hAnsi="GHEA Grapalat"/>
          <w:sz w:val="22"/>
          <w:szCs w:val="22"/>
          <w:lang w:val="en-US"/>
        </w:rPr>
        <w:t xml:space="preserve"> շարունակվել է մայրության նպաստների տրամադրումը աշխատող և չաշխատող կանանց։ Ընդ որում, աշխատող կանանց դեպքում մայրության նպաստի չափը փոխկապակցված է անձի միջին աշխատավարձի չափ</w:t>
      </w:r>
      <w:r w:rsidR="0083669F" w:rsidRPr="00C921DE">
        <w:rPr>
          <w:rFonts w:ascii="GHEA Grapalat" w:hAnsi="GHEA Grapalat"/>
          <w:sz w:val="22"/>
          <w:szCs w:val="22"/>
          <w:lang w:val="en-US"/>
        </w:rPr>
        <w:t>ին, իսկ չաշխատող անձանց դեպքում</w:t>
      </w:r>
      <w:r w:rsidRPr="00C921DE">
        <w:rPr>
          <w:rFonts w:ascii="GHEA Grapalat" w:hAnsi="GHEA Grapalat"/>
          <w:sz w:val="22"/>
          <w:szCs w:val="22"/>
          <w:lang w:val="en-US"/>
        </w:rPr>
        <w:t xml:space="preserve"> նպաստը հաշվարկվում է նվազագույն ամսական աշխատավարձի 50 տոկոսից։</w:t>
      </w:r>
    </w:p>
    <w:p w14:paraId="012A76DC" w14:textId="77777777" w:rsidR="001C411D" w:rsidRPr="00C921DE" w:rsidRDefault="00085BFC" w:rsidP="00085BF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Ժամանակավոր անաշխատունակության նպաստների դեպքում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շարունակվել են գործել ոլորտը կանոնակարգող օրենսդրական նորմերը, այն է՝ անաշխատունակության առաջին հինգ օրերի համար նպաստը վճարում է գործատուն իր միջոցներից, իսկ 6-րդ օրվանից՝ պետական բյուջեի միջոցների հաշվին։</w:t>
      </w:r>
    </w:p>
    <w:p w14:paraId="551E7803" w14:textId="77777777" w:rsidR="00D826CD" w:rsidRPr="00C921DE" w:rsidRDefault="00D826CD" w:rsidP="002C0C00">
      <w:pPr>
        <w:spacing w:line="360" w:lineRule="auto"/>
        <w:ind w:firstLine="567"/>
        <w:jc w:val="both"/>
        <w:rPr>
          <w:rFonts w:ascii="GHEA Grapalat" w:hAnsi="GHEA Grapalat"/>
          <w:sz w:val="22"/>
          <w:szCs w:val="22"/>
          <w:lang w:val="en-US"/>
        </w:rPr>
      </w:pPr>
    </w:p>
    <w:p w14:paraId="0CEEFDBC" w14:textId="77777777" w:rsidR="001C411D" w:rsidRPr="00C921DE" w:rsidRDefault="001C411D" w:rsidP="008A5E8A">
      <w:pPr>
        <w:spacing w:line="360" w:lineRule="auto"/>
        <w:ind w:firstLine="567"/>
        <w:jc w:val="both"/>
        <w:rPr>
          <w:rFonts w:ascii="GHEA Grapalat" w:hAnsi="GHEA Grapalat"/>
          <w:sz w:val="22"/>
          <w:szCs w:val="22"/>
          <w:u w:val="single"/>
          <w:lang w:val="af-ZA"/>
        </w:rPr>
      </w:pPr>
      <w:r w:rsidRPr="00C921DE">
        <w:rPr>
          <w:rFonts w:ascii="GHEA Grapalat" w:hAnsi="GHEA Grapalat"/>
          <w:sz w:val="22"/>
          <w:szCs w:val="22"/>
          <w:u w:val="single"/>
          <w:lang w:val="en-US"/>
        </w:rPr>
        <w:t>Երեխաների</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հիմնահարցերի</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բնագավառ</w:t>
      </w:r>
    </w:p>
    <w:p w14:paraId="4788D0CA" w14:textId="77777777" w:rsidR="00085BFC" w:rsidRPr="00C921DE" w:rsidRDefault="00085BFC" w:rsidP="00192B82">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««Երեխայի իրավունք</w:t>
      </w:r>
      <w:r w:rsidRPr="00C921DE">
        <w:rPr>
          <w:rFonts w:ascii="GHEA Grapalat" w:hAnsi="GHEA Grapalat"/>
          <w:sz w:val="22"/>
          <w:szCs w:val="22"/>
          <w:lang w:val="en-US"/>
        </w:rPr>
        <w:softHyphen/>
        <w:t>ների մասին» ՀՀ օրենքում փոփոխու</w:t>
      </w:r>
      <w:r w:rsidRPr="00C921DE">
        <w:rPr>
          <w:rFonts w:ascii="GHEA Grapalat" w:hAnsi="GHEA Grapalat"/>
          <w:sz w:val="22"/>
          <w:szCs w:val="22"/>
          <w:lang w:val="en-US"/>
        </w:rPr>
        <w:softHyphen/>
        <w:t>թյուն</w:t>
      </w:r>
      <w:r w:rsidRPr="00C921DE">
        <w:rPr>
          <w:rFonts w:ascii="GHEA Grapalat" w:hAnsi="GHEA Grapalat"/>
          <w:sz w:val="22"/>
          <w:szCs w:val="22"/>
          <w:lang w:val="en-US"/>
        </w:rPr>
        <w:softHyphen/>
        <w:t>ներ և լրացումներ կատարելու մասին» օրենքի, «Ընտանեկան օրենսգրքում փոփո</w:t>
      </w:r>
      <w:r w:rsidRPr="00C921DE">
        <w:rPr>
          <w:rFonts w:ascii="GHEA Grapalat" w:hAnsi="GHEA Grapalat"/>
          <w:sz w:val="22"/>
          <w:szCs w:val="22"/>
          <w:lang w:val="en-US"/>
        </w:rPr>
        <w:softHyphen/>
        <w:t>խություններ և լրա</w:t>
      </w:r>
      <w:r w:rsidRPr="00C921DE">
        <w:rPr>
          <w:rFonts w:ascii="GHEA Grapalat" w:hAnsi="GHEA Grapalat"/>
          <w:sz w:val="22"/>
          <w:szCs w:val="22"/>
          <w:lang w:val="en-US"/>
        </w:rPr>
        <w:softHyphen/>
        <w:t xml:space="preserve">ցումներ կատարելու մասին» </w:t>
      </w:r>
      <w:r w:rsidRPr="00C921DE">
        <w:rPr>
          <w:rFonts w:ascii="GHEA Grapalat" w:hAnsi="GHEA Grapalat"/>
          <w:sz w:val="22"/>
          <w:szCs w:val="22"/>
          <w:lang w:val="en-US"/>
        </w:rPr>
        <w:lastRenderedPageBreak/>
        <w:t>օրենքի նախագծերի մշակում և ներկայացում ՀՀ վարչապետի աշխատակազմ» միջոցառման շրջանակում տարվա ընթացքում կազմակերպվել են մի շարք քննարկումներ՝ այդ թվում Երևանի քաղաքապետարանի, Արդարադատության նախարարության, ինչպես նաև ՔԿԱԳ ներկայացուցիչների մասնակցությամբ։</w:t>
      </w:r>
    </w:p>
    <w:p w14:paraId="66BEB7C3" w14:textId="77777777" w:rsidR="00085BFC" w:rsidRPr="00C921DE" w:rsidRDefault="00085BFC" w:rsidP="00192B82">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Որդեգրման գործընթացի բարելավման նպատակով 2023 թ</w:t>
      </w:r>
      <w:r w:rsidR="00192B82" w:rsidRPr="00C921DE">
        <w:rPr>
          <w:rFonts w:ascii="GHEA Grapalat" w:hAnsi="GHEA Grapalat"/>
          <w:sz w:val="22"/>
          <w:szCs w:val="22"/>
          <w:lang w:val="en-US"/>
        </w:rPr>
        <w:t>վականի</w:t>
      </w:r>
      <w:r w:rsidRPr="00C921DE">
        <w:rPr>
          <w:rFonts w:ascii="GHEA Grapalat" w:hAnsi="GHEA Grapalat"/>
          <w:sz w:val="22"/>
          <w:szCs w:val="22"/>
          <w:lang w:val="en-US"/>
        </w:rPr>
        <w:t xml:space="preserve"> ընթացքում գումարվել է նաև ՀՀ վարչապետի</w:t>
      </w:r>
      <w:r w:rsidR="00192B82" w:rsidRPr="00C921DE">
        <w:rPr>
          <w:rFonts w:ascii="GHEA Grapalat" w:hAnsi="GHEA Grapalat"/>
          <w:sz w:val="22"/>
          <w:szCs w:val="22"/>
          <w:lang w:val="en-US"/>
        </w:rPr>
        <w:t xml:space="preserve"> 2019</w:t>
      </w:r>
      <w:r w:rsidRPr="00C921DE">
        <w:rPr>
          <w:rFonts w:ascii="GHEA Grapalat" w:hAnsi="GHEA Grapalat"/>
          <w:sz w:val="22"/>
          <w:szCs w:val="22"/>
          <w:lang w:val="en-US"/>
        </w:rPr>
        <w:t>թ. օգոստոսի 26-ի</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N 1197-Ն որոշմամբ ստեղծված աշխատանքային խմբի 2 նիստ, որ</w:t>
      </w:r>
      <w:r w:rsidR="00192B82" w:rsidRPr="00C921DE">
        <w:rPr>
          <w:rFonts w:ascii="GHEA Grapalat" w:hAnsi="GHEA Grapalat"/>
          <w:sz w:val="22"/>
          <w:szCs w:val="22"/>
          <w:lang w:val="en-US"/>
        </w:rPr>
        <w:t>ոնց</w:t>
      </w:r>
      <w:r w:rsidRPr="00C921DE">
        <w:rPr>
          <w:rFonts w:ascii="GHEA Grapalat" w:hAnsi="GHEA Grapalat"/>
          <w:sz w:val="22"/>
          <w:szCs w:val="22"/>
          <w:lang w:val="en-US"/>
        </w:rPr>
        <w:t xml:space="preserve"> ընթացքում ևս քննար</w:t>
      </w:r>
      <w:r w:rsidR="00192B82" w:rsidRPr="00C921DE">
        <w:rPr>
          <w:rFonts w:ascii="GHEA Grapalat" w:hAnsi="GHEA Grapalat"/>
          <w:sz w:val="22"/>
          <w:szCs w:val="22"/>
          <w:lang w:val="en-US"/>
        </w:rPr>
        <w:t>կ</w:t>
      </w:r>
      <w:r w:rsidRPr="00C921DE">
        <w:rPr>
          <w:rFonts w:ascii="GHEA Grapalat" w:hAnsi="GHEA Grapalat"/>
          <w:sz w:val="22"/>
          <w:szCs w:val="22"/>
          <w:lang w:val="en-US"/>
        </w:rPr>
        <w:t>վել են գործընթացի լավարկմանն ուղղված հարցեր՝ ներառյալ իրականացվող բարեփոխումներից բխող առաջարկվող կարգավորումները։ Երեխայի որդեգրման գործընթացի իրավական մեխանիզմները կբարելավվեն ըստ նախագծում տեղ գտած փոփոխությունների։</w:t>
      </w:r>
    </w:p>
    <w:p w14:paraId="3D9CA0A3" w14:textId="77777777" w:rsidR="00085BFC" w:rsidRPr="00C921DE" w:rsidRDefault="00085BFC" w:rsidP="00192B82">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Մինչ օրենսդրական լայնածավալ բարեփոխումների ընդունումը՝ կյանքի դժվարին իրավիճակում հայտնված երեխաների և նրանց ընտանիքների կարիքների խորը գնահատման նպատակով ձեռնարկվել են մի շարք միջոցառումներ։ Իրականացվել է շուրջ 9000 երեխաների կարիքների խորքային գնահատում։ 2023 թ</w:t>
      </w:r>
      <w:r w:rsidR="00D301FB" w:rsidRPr="00C921DE">
        <w:rPr>
          <w:rFonts w:ascii="GHEA Grapalat" w:hAnsi="GHEA Grapalat"/>
          <w:sz w:val="22"/>
          <w:szCs w:val="22"/>
          <w:lang w:val="en-US"/>
        </w:rPr>
        <w:t>վականին</w:t>
      </w:r>
      <w:r w:rsidRPr="00C921DE">
        <w:rPr>
          <w:rFonts w:ascii="GHEA Grapalat" w:hAnsi="GHEA Grapalat"/>
          <w:sz w:val="22"/>
          <w:szCs w:val="22"/>
          <w:lang w:val="en-US"/>
        </w:rPr>
        <w:t xml:space="preserve"> դրամաշնորհային մրցույթի արդյունքում պետության կողմից հասարակական կազմակերպություններին պատվիրակման շրջանակում հանրապետության 24 խոշոր համայնքներում շուրջ 3500 երեխայի տրամադրվել են ցերեկային խնամքի ծառայություններ: 556 երեխաների ցերեկային խնամքի ծառայություններ են տրամադրվել նաև </w:t>
      </w:r>
      <w:r w:rsidR="00D301FB" w:rsidRPr="00C921DE">
        <w:rPr>
          <w:rFonts w:ascii="GHEA Grapalat" w:hAnsi="GHEA Grapalat"/>
          <w:sz w:val="22"/>
          <w:szCs w:val="22"/>
          <w:lang w:val="en-US"/>
        </w:rPr>
        <w:t>Աշխատանքի և սոցիալական հարցերի ն</w:t>
      </w:r>
      <w:r w:rsidRPr="00C921DE">
        <w:rPr>
          <w:rFonts w:ascii="GHEA Grapalat" w:hAnsi="GHEA Grapalat"/>
          <w:sz w:val="22"/>
          <w:szCs w:val="22"/>
          <w:lang w:val="en-US"/>
        </w:rPr>
        <w:t xml:space="preserve">ախարարության ենթակայությամբ գործող 6 հաստատությունների կողմից։ Կյանքի դժվարին իրավիճակում հայտնված երեխաների խնամքի ցերեկային կենտրոնների գործունեության կենտրոնական բաղադրիչն է համարվում ընտանիքների հետ աշխատանքը։ Նախարարության ենթակայությամբ գործող երեխաների ցերեկային խնամքի հաստատությունների կողմից ծառայություն ստացող 100 տոկոս երեխաների ծնողներին տրամադրվել է խորհրդատվություն (խորհրդատվությունների թիվը՝ 19122), պետության կողմից պատվիրակված լիազորություններ ունեցող ՀԿ-ների կողմից խնամքի ցերեկային ծառայությունների շրջանակներում այդ </w:t>
      </w:r>
      <w:r w:rsidR="009F56A4" w:rsidRPr="00C921DE">
        <w:rPr>
          <w:rFonts w:ascii="GHEA Grapalat" w:hAnsi="GHEA Grapalat"/>
          <w:sz w:val="22"/>
          <w:szCs w:val="22"/>
          <w:lang w:val="en-US"/>
        </w:rPr>
        <w:t>ցուցանիշը միջինում կազմում է 90.</w:t>
      </w:r>
      <w:r w:rsidRPr="00C921DE">
        <w:rPr>
          <w:rFonts w:ascii="GHEA Grapalat" w:hAnsi="GHEA Grapalat"/>
          <w:sz w:val="22"/>
          <w:szCs w:val="22"/>
          <w:lang w:val="en-US"/>
        </w:rPr>
        <w:t>1 տոկոս։ ՀՀ կառավարության 2014թ</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հուլիսի 17-ի N 743-Ն որոշման համաձայն դրամաշնորհային մրցույթներում հաղթող ճանաչված </w:t>
      </w:r>
      <w:r w:rsidR="009F56A4" w:rsidRPr="00C921DE">
        <w:rPr>
          <w:rFonts w:ascii="GHEA Grapalat" w:hAnsi="GHEA Grapalat"/>
          <w:sz w:val="22"/>
          <w:szCs w:val="22"/>
          <w:lang w:val="en-US"/>
        </w:rPr>
        <w:t>ն</w:t>
      </w:r>
      <w:r w:rsidRPr="00C921DE">
        <w:rPr>
          <w:rFonts w:ascii="GHEA Grapalat" w:hAnsi="GHEA Grapalat"/>
          <w:sz w:val="22"/>
          <w:szCs w:val="22"/>
          <w:lang w:val="en-US"/>
        </w:rPr>
        <w:t xml:space="preserve">ախարարության կողմից պատվիրակված ծառայություններ տրամադրող ՀԿ-ները, համագործակցելով </w:t>
      </w:r>
      <w:r w:rsidR="009F56A4" w:rsidRPr="00C921DE">
        <w:rPr>
          <w:rFonts w:ascii="GHEA Grapalat" w:hAnsi="GHEA Grapalat"/>
          <w:sz w:val="22"/>
          <w:szCs w:val="22"/>
          <w:lang w:val="en-US"/>
        </w:rPr>
        <w:t>ե</w:t>
      </w:r>
      <w:r w:rsidRPr="00C921DE">
        <w:rPr>
          <w:rFonts w:ascii="GHEA Grapalat" w:hAnsi="GHEA Grapalat"/>
          <w:sz w:val="22"/>
          <w:szCs w:val="22"/>
          <w:lang w:val="en-US"/>
        </w:rPr>
        <w:t xml:space="preserve">րեխաների շուրջօրյա խնամք և պաշտպանություն իրականացնող հաստատությունների հետ, իրականացրել են շուրջ 50 առանց ծնողական խնամքի մնացած երեխաների և նրանց ընտանիքների կարիքների գնահատում։ Ըստ գնահատման արդյունքների՝ ձեռնարկված միջոցառումների արդյունքում ընտանիքների հետ միավորվել են 8 երեխա, որոնցից 3-ը՝ մասնագիտացված մանկատնից։ Ապաինստիտուցիոնալացման </w:t>
      </w:r>
      <w:r w:rsidRPr="00C921DE">
        <w:rPr>
          <w:rFonts w:ascii="GHEA Grapalat" w:hAnsi="GHEA Grapalat"/>
          <w:sz w:val="22"/>
          <w:szCs w:val="22"/>
          <w:lang w:val="en-US"/>
        </w:rPr>
        <w:lastRenderedPageBreak/>
        <w:t>շրջանակներում 33 երեխա տեղավորվել է խնամատար ընտանիքներ, որոշ դեպքերում գործընթացը կազմակերպվել է ՀԿ-ների աջակցությամբ՝ իրականացված կարիքների գնահատման արդյունքում։</w:t>
      </w:r>
    </w:p>
    <w:p w14:paraId="3CCB5D2A" w14:textId="77777777" w:rsidR="00085BFC" w:rsidRPr="00C921DE" w:rsidRDefault="00085BFC" w:rsidP="00192B82">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w:t>
      </w:r>
      <w:r w:rsidR="009F56A4" w:rsidRPr="00C921DE">
        <w:rPr>
          <w:rFonts w:ascii="GHEA Grapalat" w:hAnsi="GHEA Grapalat"/>
          <w:sz w:val="22"/>
          <w:szCs w:val="22"/>
          <w:lang w:val="en-US"/>
        </w:rPr>
        <w:t>վականի</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ընթացքում</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ՍՕՍ</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մանկական</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գյուղեր</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ՀԲՀ</w:t>
      </w:r>
      <w:r w:rsidRPr="00C921DE">
        <w:rPr>
          <w:rFonts w:ascii="GHEA Grapalat" w:hAnsi="GHEA Grapalat"/>
          <w:sz w:val="22"/>
          <w:szCs w:val="22"/>
          <w:lang w:val="en-US"/>
        </w:rPr>
        <w:t>-</w:t>
      </w:r>
      <w:r w:rsidRPr="00C921DE">
        <w:rPr>
          <w:rFonts w:ascii="GHEA Grapalat" w:hAnsi="GHEA Grapalat" w:cs="GHEA Grapalat"/>
          <w:sz w:val="22"/>
          <w:szCs w:val="22"/>
          <w:lang w:val="en-US"/>
        </w:rPr>
        <w:t>ի</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հետ</w:t>
      </w:r>
      <w:r w:rsidRPr="00C921DE">
        <w:rPr>
          <w:rFonts w:ascii="GHEA Grapalat" w:hAnsi="GHEA Grapalat"/>
          <w:sz w:val="22"/>
          <w:szCs w:val="22"/>
          <w:lang w:val="en-US"/>
        </w:rPr>
        <w:t xml:space="preserve"> 2022</w:t>
      </w:r>
      <w:r w:rsidR="009F56A4" w:rsidRPr="00C921DE">
        <w:rPr>
          <w:rFonts w:ascii="GHEA Grapalat" w:hAnsi="GHEA Grapalat"/>
          <w:sz w:val="22"/>
          <w:szCs w:val="22"/>
          <w:lang w:val="en-US"/>
        </w:rPr>
        <w:t xml:space="preserve"> </w:t>
      </w:r>
      <w:r w:rsidRPr="00C921DE">
        <w:rPr>
          <w:rFonts w:ascii="GHEA Grapalat" w:hAnsi="GHEA Grapalat" w:cs="GHEA Grapalat"/>
          <w:sz w:val="22"/>
          <w:szCs w:val="22"/>
          <w:lang w:val="en-US"/>
        </w:rPr>
        <w:t>թ</w:t>
      </w:r>
      <w:r w:rsidR="009F56A4" w:rsidRPr="00C921DE">
        <w:rPr>
          <w:rFonts w:ascii="GHEA Grapalat" w:hAnsi="GHEA Grapalat" w:cs="GHEA Grapalat"/>
          <w:sz w:val="22"/>
          <w:szCs w:val="22"/>
          <w:lang w:val="en-US"/>
        </w:rPr>
        <w:t>վականի</w:t>
      </w:r>
      <w:r w:rsidRPr="00C921DE">
        <w:rPr>
          <w:rFonts w:ascii="GHEA Grapalat" w:hAnsi="GHEA Grapalat"/>
          <w:sz w:val="22"/>
          <w:szCs w:val="22"/>
          <w:lang w:val="en-US"/>
        </w:rPr>
        <w:t xml:space="preserve"> մարտի 17-ին կնքված փոխըմբռնման հուշագրի, ինչպես նաև Հայ օգնության ֆոնդի «Երեխաների պաշտպանության կենտրոն» հիմնադրամի հետ 2020 թվականի օգոստոսի 20-ին կնքված հուշագրում 2023 թվականին իրականացված փոփոխությունների շրջանակներում գնահատվել են «Շիրակի մարզի երեխայի և ընտանիքի աջակցության կենտրոն» ՊՈԱԿ-ի ճգնաժամային բաղադրիչում խնամվող շուրջ 60 երեխայի և նրանց ընտանիքների կարիքներ, ծնողների համար կազմակերպվել են դասընթացներ ծնողավարման, կենցաղավարման և մի շարք այլ թեմաներով, ընտանիքներին տրամադրվել են աջակցության ծառայություններ, ապահովվել է 31 երեխայի միավորում կենսաբանական ընտանիքների հետ, որ</w:t>
      </w:r>
      <w:r w:rsidR="00A7575C" w:rsidRPr="00C921DE">
        <w:rPr>
          <w:rFonts w:ascii="GHEA Grapalat" w:hAnsi="GHEA Grapalat"/>
          <w:sz w:val="22"/>
          <w:szCs w:val="22"/>
          <w:lang w:val="en-US"/>
        </w:rPr>
        <w:t>ոնց</w:t>
      </w:r>
      <w:r w:rsidRPr="00C921DE">
        <w:rPr>
          <w:rFonts w:ascii="GHEA Grapalat" w:hAnsi="GHEA Grapalat"/>
          <w:sz w:val="22"/>
          <w:szCs w:val="22"/>
          <w:lang w:val="en-US"/>
        </w:rPr>
        <w:t xml:space="preserve">ից 10-ը վերամիավորվել են նշված կազմակերպությունների հետ համագործակցությամբ։ </w:t>
      </w:r>
    </w:p>
    <w:p w14:paraId="60C1E6D4" w14:textId="77777777" w:rsidR="00085BFC" w:rsidRPr="00C921DE" w:rsidRDefault="00085BFC" w:rsidP="00192B82">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Ապահովվել է նաև կյանքի դժվարին իրավիճակում հայտնված երեխաներին ճգնաժամային աջակցության տրամադրումը, և «Շիրակի մարզի երեխայի և ընտանիքի աջակցության կենտրոն», «Սյունիքի մարզի երեխայի և ընտանիքի աջակցության կենտրոն», ինչպես նաև «Երևանի Զատիկ երեխաների աջակցության կենտրոն» ՊՈԱԿ-ներում ծառայություն են ստացել շուրջ 97 շահառուներ։ Վերոնշյալ կենտրոններից կենսաբանական ընտանիքների հետ վերամիավորման ցուցանիշը կազմում է շուրջ 53 տոկոս։ </w:t>
      </w:r>
    </w:p>
    <w:p w14:paraId="09C1334D" w14:textId="77777777" w:rsidR="001C411D" w:rsidRPr="00C921DE" w:rsidRDefault="00085BFC" w:rsidP="00085BF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Երեխայի՝ ընտանիքում ապրելու իրավունքի իրացման նպատակով ապահովվել է 155 երեխայի խնամքը խնամատար ընտանիքներում, կազմակերպվել շուրջ 83 խնամատար ծնող դառնալ ցանկացող անձանց, ինչպես նաև 146 որդեգրել ցանկացող անձանց դասընթաց։ Փոփոխություններ և լրացումներ են կատարվել ոլորտային իրավական ակտերում, որոնց համաձայն խմբագրվել են </w:t>
      </w:r>
      <w:r w:rsidR="0043366A" w:rsidRPr="00C921DE">
        <w:rPr>
          <w:rFonts w:ascii="GHEA Grapalat" w:hAnsi="GHEA Grapalat"/>
          <w:sz w:val="22"/>
          <w:szCs w:val="22"/>
          <w:lang w:val="en-US"/>
        </w:rPr>
        <w:t>ն</w:t>
      </w:r>
      <w:r w:rsidRPr="00C921DE">
        <w:rPr>
          <w:rFonts w:ascii="GHEA Grapalat" w:hAnsi="GHEA Grapalat"/>
          <w:sz w:val="22"/>
          <w:szCs w:val="22"/>
          <w:lang w:val="en-US"/>
        </w:rPr>
        <w:t>ախարարության ենթակայության</w:t>
      </w:r>
      <w:r w:rsidR="0043366A" w:rsidRPr="00C921DE">
        <w:rPr>
          <w:rFonts w:ascii="GHEA Grapalat" w:hAnsi="GHEA Grapalat"/>
          <w:sz w:val="22"/>
          <w:szCs w:val="22"/>
          <w:lang w:val="en-US"/>
        </w:rPr>
        <w:t>՝</w:t>
      </w:r>
      <w:r w:rsidRPr="00C921DE">
        <w:rPr>
          <w:rFonts w:ascii="GHEA Grapalat" w:hAnsi="GHEA Grapalat"/>
          <w:sz w:val="22"/>
          <w:szCs w:val="22"/>
          <w:lang w:val="en-US"/>
        </w:rPr>
        <w:t xml:space="preserve"> երեխաների շուրջօրյա և ցերեկային խնամքի հաստատություններում խնամվող երեխաների տարիքային սահմանաչափերը՝ նպաստելով երեխաների կրթության իրավունքի իրացմանը, նպաստելով, որ ցերեկային ծառայություններից օգտվելու հնարավորություն ընձեռվի կյանքի դժվարին իրավիճակում հայտնված երեխաներին՝ սկսած 2 տարեկանից, փոփոխվել են մանկատների ձեռնարկատիրական գործունեության տեսակները՝ դրանք դարձնելով արդիական և կիրառելի և այլն։</w:t>
      </w:r>
    </w:p>
    <w:p w14:paraId="53D9D41C" w14:textId="77777777" w:rsidR="001C411D" w:rsidRPr="00C921DE" w:rsidRDefault="001C411D" w:rsidP="002C0C00">
      <w:pPr>
        <w:spacing w:line="360" w:lineRule="auto"/>
        <w:ind w:firstLine="567"/>
        <w:jc w:val="both"/>
        <w:rPr>
          <w:rFonts w:ascii="GHEA Grapalat" w:hAnsi="GHEA Grapalat"/>
          <w:sz w:val="22"/>
          <w:szCs w:val="22"/>
          <w:lang w:val="en-US"/>
        </w:rPr>
      </w:pPr>
    </w:p>
    <w:p w14:paraId="66AB066B" w14:textId="77777777" w:rsidR="001C411D" w:rsidRPr="00C921DE" w:rsidRDefault="001C411D" w:rsidP="008A5E8A">
      <w:pPr>
        <w:spacing w:line="360" w:lineRule="auto"/>
        <w:ind w:firstLine="567"/>
        <w:jc w:val="both"/>
        <w:rPr>
          <w:rFonts w:ascii="GHEA Grapalat" w:hAnsi="GHEA Grapalat"/>
          <w:sz w:val="22"/>
          <w:szCs w:val="22"/>
          <w:u w:val="single"/>
          <w:lang w:val="en-US"/>
        </w:rPr>
      </w:pPr>
      <w:r w:rsidRPr="00C921DE">
        <w:rPr>
          <w:rFonts w:ascii="GHEA Grapalat" w:hAnsi="GHEA Grapalat"/>
          <w:sz w:val="22"/>
          <w:szCs w:val="22"/>
          <w:u w:val="single"/>
          <w:lang w:val="en-US"/>
        </w:rPr>
        <w:t>Մարդկանց թրաֆիքինգի և կանանց հիմնահարցերի բնագավառ</w:t>
      </w:r>
    </w:p>
    <w:p w14:paraId="4A222551" w14:textId="77777777"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«Ընտանիքներին, կանանց և երեխաներին աջակցություն» ծրագրի շրջանակներում շարունակվել են իրականացվել «Ընտանիքում բռնության ենթարկված անձանց </w:t>
      </w:r>
      <w:r w:rsidRPr="00C921DE">
        <w:rPr>
          <w:rFonts w:ascii="GHEA Grapalat" w:hAnsi="GHEA Grapalat"/>
          <w:sz w:val="22"/>
          <w:szCs w:val="22"/>
          <w:lang w:val="en-US"/>
        </w:rPr>
        <w:lastRenderedPageBreak/>
        <w:t>աջակցության կենտրոնների ծառայություններ», «Ընտանիքում բռնության ենթարկված անձանց ապաստարանի ծառայություններ», «Ընտանիքում բռնության ենթարկվածների ժամանակավոր աջակցություն», «Թրաֆիքինգի և շահագործման, սեռական բռնության ենթարկված անձանց սոցիալ-հոգեբանական վերականգնողական ծառայություններ», «Մարդկանց թրաֆիքինգի և/կամ շահագործման զոհերին միանվագ դրամական փոխհատուցման տրամադրում» միջոցառումները:</w:t>
      </w:r>
    </w:p>
    <w:p w14:paraId="1AFE643A" w14:textId="77777777"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«Ընտանիքում բռնության ենթարկված անձանց աջակցության կենտրոնների ծառայություններ» միջոցառմամբ ապահովվել է «Ընտանիքում բռնության կանխարգելման, ընտանիքում բռնության ենթարկված անձանց պաշտպանության և ընտանիքում համերաշխության վերականգնման մասին» ՀՀ օրենքի 19-րդ հոդվածի պահանջներին համապատասխան ծառայությունների տրամադրումը։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ընտանիքում բռնության ենթարկված անձանց աջակցության կենտրոններ են գործել բոլոր մարզերում և Երևան քաղաքում։ Ծրագրի ավարտին համապատասխան ծառայություններ է ստացել շուրջ 1800 ընտանիքում բռնության ենթարկ</w:t>
      </w:r>
      <w:r w:rsidR="0043366A" w:rsidRPr="00C921DE">
        <w:rPr>
          <w:rFonts w:ascii="GHEA Grapalat" w:hAnsi="GHEA Grapalat"/>
          <w:sz w:val="22"/>
          <w:szCs w:val="22"/>
          <w:lang w:val="en-US"/>
        </w:rPr>
        <w:t>վ</w:t>
      </w:r>
      <w:r w:rsidRPr="00C921DE">
        <w:rPr>
          <w:rFonts w:ascii="GHEA Grapalat" w:hAnsi="GHEA Grapalat"/>
          <w:sz w:val="22"/>
          <w:szCs w:val="22"/>
          <w:lang w:val="en-US"/>
        </w:rPr>
        <w:t xml:space="preserve">ած անձ։ </w:t>
      </w:r>
    </w:p>
    <w:p w14:paraId="2C57C9B5" w14:textId="77777777"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թվականից սկսած վերոգրյալ ծառայության շրջանակում 3 մարզում (Գեղարքունիք, Արագածոտն, Տավուշ) ընտանիքում բռնության ենթարկված անձանց տրամադրվել են նաև</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կանանց տնտեսական հզորացման և սեփական կյանքի ինքնուրույն կազմակերպմանն ուղղված ծառայության տեսակներ: Տնտեսական հզորացման ծառայությունների մատուցումը ներառել է մասնագիտական հմտությունների ձեռքբերման դասընթացներ և գործիքակազմի տրամադրում։ Ծրագրի ավարտին համապատասխան տնտեսական հզորացման ծառայություններ է ստացել 60 ընտանիքում</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բռնության ենթարկ</w:t>
      </w:r>
      <w:r w:rsidR="00FB4E65" w:rsidRPr="00C921DE">
        <w:rPr>
          <w:rFonts w:ascii="GHEA Grapalat" w:hAnsi="GHEA Grapalat"/>
          <w:sz w:val="22"/>
          <w:szCs w:val="22"/>
          <w:lang w:val="en-US"/>
        </w:rPr>
        <w:t>վ</w:t>
      </w:r>
      <w:r w:rsidRPr="00C921DE">
        <w:rPr>
          <w:rFonts w:ascii="GHEA Grapalat" w:hAnsi="GHEA Grapalat"/>
          <w:sz w:val="22"/>
          <w:szCs w:val="22"/>
          <w:lang w:val="en-US"/>
        </w:rPr>
        <w:t>ած անձ։</w:t>
      </w:r>
    </w:p>
    <w:p w14:paraId="3EE1E6EA" w14:textId="2E8440A6"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«Ընտանիքում բռնության ենթարկված անձանց ապաստարանի ծառայություններ» միջոցառմամբ 2023 </w:t>
      </w:r>
      <w:r w:rsidR="00505CF8" w:rsidRPr="00C921DE">
        <w:rPr>
          <w:rFonts w:ascii="GHEA Grapalat" w:hAnsi="GHEA Grapalat"/>
          <w:sz w:val="22"/>
          <w:szCs w:val="22"/>
          <w:lang w:val="en-US"/>
        </w:rPr>
        <w:t>թվականի</w:t>
      </w:r>
      <w:r w:rsidR="0005330F" w:rsidRPr="00C921DE">
        <w:rPr>
          <w:rFonts w:ascii="GHEA Grapalat" w:hAnsi="GHEA Grapalat"/>
          <w:sz w:val="22"/>
          <w:szCs w:val="22"/>
          <w:lang w:val="en-US"/>
        </w:rPr>
        <w:t>ն</w:t>
      </w:r>
      <w:r w:rsidRPr="00C921DE">
        <w:rPr>
          <w:rFonts w:ascii="GHEA Grapalat" w:hAnsi="GHEA Grapalat"/>
          <w:sz w:val="22"/>
          <w:szCs w:val="22"/>
          <w:lang w:val="en-US"/>
        </w:rPr>
        <w:t xml:space="preserve"> պետական համաֆինա</w:t>
      </w:r>
      <w:r w:rsidR="00440869" w:rsidRPr="00C921DE">
        <w:rPr>
          <w:rFonts w:ascii="GHEA Grapalat" w:hAnsi="GHEA Grapalat"/>
          <w:sz w:val="22"/>
          <w:szCs w:val="22"/>
          <w:lang w:val="en-US"/>
        </w:rPr>
        <w:t>ն</w:t>
      </w:r>
      <w:r w:rsidRPr="00C921DE">
        <w:rPr>
          <w:rFonts w:ascii="GHEA Grapalat" w:hAnsi="GHEA Grapalat"/>
          <w:sz w:val="22"/>
          <w:szCs w:val="22"/>
          <w:lang w:val="en-US"/>
        </w:rPr>
        <w:t xml:space="preserve">սավորմամբ գործել է ՀՀ կառավարության 29.03.2019թ. N 364-Ն որոշմամբ սահմանված չափորոշիչներին համապատասխան 2 ապաստարան, որտեղ ընտանիքում բռնության ենթարկվածները, անհրաժեշտության դեպքում նաև նրանց խնամքի տակ գտնվող անձինք, ապահովվել են անհատույց ապահով բնակելի տարածքով, սննդով, հագուստով, տրամադրվել է հոգեբանական, իրավաբանական օգնություն, ինչպես նաև օրենսդրությամբ սահմանված սոցիալական աջակցություն։ 2023 </w:t>
      </w:r>
      <w:r w:rsidR="00505CF8" w:rsidRPr="00C921DE">
        <w:rPr>
          <w:rFonts w:ascii="GHEA Grapalat" w:hAnsi="GHEA Grapalat"/>
          <w:sz w:val="22"/>
          <w:szCs w:val="22"/>
          <w:lang w:val="en-US"/>
        </w:rPr>
        <w:t>թվականի</w:t>
      </w:r>
      <w:r w:rsidR="0005330F" w:rsidRPr="00C921DE">
        <w:rPr>
          <w:rFonts w:ascii="GHEA Grapalat" w:hAnsi="GHEA Grapalat"/>
          <w:sz w:val="22"/>
          <w:szCs w:val="22"/>
          <w:lang w:val="en-US"/>
        </w:rPr>
        <w:t>ն</w:t>
      </w:r>
      <w:r w:rsidRPr="00C921DE">
        <w:rPr>
          <w:rFonts w:ascii="GHEA Grapalat" w:hAnsi="GHEA Grapalat"/>
          <w:sz w:val="22"/>
          <w:szCs w:val="22"/>
          <w:lang w:val="en-US"/>
        </w:rPr>
        <w:t xml:space="preserve"> ծառայություն է մատուցվել 216 ընտանեկան բռնության ենթարկված անձի։ </w:t>
      </w:r>
    </w:p>
    <w:p w14:paraId="7B6487C1" w14:textId="77777777"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«Ընտանիքում բռնության ենթարկվածների ժամանակավոր աջակցություն» միջոցառման շրջանակներում «Ընտանիքում բռնության ենթարկվածների ժամանակավոր աջակցության հաշվեհամարի տնօրինման կարգը սահմանելու մասին» ՀՀ կառավարության 29.03.2019թ. N 333-Ն որոշման հիման վրա շարունակել է իրականացվել ընտանիքում բռնության ենթարկված անձանց ֆինանսական աջակցության տրամադրման գործընթացը։ Ընտանիքում բռնության ենթարկված </w:t>
      </w:r>
      <w:r w:rsidRPr="00C921DE">
        <w:rPr>
          <w:rFonts w:ascii="GHEA Grapalat" w:hAnsi="GHEA Grapalat"/>
          <w:sz w:val="22"/>
          <w:szCs w:val="22"/>
          <w:lang w:val="en-US"/>
        </w:rPr>
        <w:lastRenderedPageBreak/>
        <w:t xml:space="preserve">անձին ֆինանսական աջակցությունը տրամադրվել է ոչ ավելի քան 150 հազ. դրամի չափով։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ավարտին ֆինանսական աջակցություն է տրամադրվել ընտանիքում բռնության ենթարկված</w:t>
      </w:r>
      <w:r w:rsidR="00FB673D" w:rsidRPr="00C921DE">
        <w:rPr>
          <w:rFonts w:ascii="GHEA Grapalat" w:hAnsi="GHEA Grapalat"/>
          <w:sz w:val="22"/>
          <w:szCs w:val="22"/>
          <w:lang w:val="en-US"/>
        </w:rPr>
        <w:t xml:space="preserve"> 117 </w:t>
      </w:r>
      <w:r w:rsidRPr="00C921DE">
        <w:rPr>
          <w:rFonts w:ascii="GHEA Grapalat" w:hAnsi="GHEA Grapalat"/>
          <w:sz w:val="22"/>
          <w:szCs w:val="22"/>
          <w:lang w:val="en-US"/>
        </w:rPr>
        <w:t>անձի։</w:t>
      </w:r>
    </w:p>
    <w:p w14:paraId="5AB8F4C4" w14:textId="77777777"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«Թրաֆիքինգի և շահագործման, սեռական բռնության ենթարկված անձանց սոցիալ-հոգեբանական վերականգնողական ծառայություններ» միջոցառմամբ՝ «Մարդկանց թրաֆիքինգի և (կամ) շահագործման ենթարկված անձանց նույնացման և աջակցության մասին» ՀՀ օրենքի հիման վրա ապահովվել է թրաֆիքինգի և շահագործման՝ սեռական բռնության ենթարկված անձանց պաշտպանությունը,</w:t>
      </w:r>
      <w:r w:rsidR="00E8108B" w:rsidRPr="00C921DE">
        <w:rPr>
          <w:rFonts w:ascii="GHEA Grapalat" w:hAnsi="GHEA Grapalat"/>
          <w:sz w:val="22"/>
          <w:szCs w:val="22"/>
          <w:lang w:val="en-US"/>
        </w:rPr>
        <w:t xml:space="preserve"> </w:t>
      </w:r>
      <w:r w:rsidRPr="00C921DE">
        <w:rPr>
          <w:rFonts w:ascii="GHEA Grapalat" w:hAnsi="GHEA Grapalat"/>
          <w:sz w:val="22"/>
          <w:szCs w:val="22"/>
          <w:lang w:val="en-US"/>
        </w:rPr>
        <w:t>բազմակողմանի ու օպերատիվ</w:t>
      </w:r>
      <w:r w:rsidR="00E8108B" w:rsidRPr="00C921DE">
        <w:rPr>
          <w:rFonts w:ascii="GHEA Grapalat" w:hAnsi="GHEA Grapalat"/>
          <w:sz w:val="22"/>
          <w:szCs w:val="22"/>
          <w:lang w:val="en-US"/>
        </w:rPr>
        <w:t xml:space="preserve"> </w:t>
      </w:r>
      <w:r w:rsidRPr="00C921DE">
        <w:rPr>
          <w:rFonts w:ascii="GHEA Grapalat" w:hAnsi="GHEA Grapalat"/>
          <w:sz w:val="22"/>
          <w:szCs w:val="22"/>
          <w:lang w:val="en-US"/>
        </w:rPr>
        <w:t>աջակցության</w:t>
      </w:r>
      <w:r w:rsidR="00E8108B" w:rsidRPr="00C921DE">
        <w:rPr>
          <w:rFonts w:ascii="GHEA Grapalat" w:hAnsi="GHEA Grapalat"/>
          <w:sz w:val="22"/>
          <w:szCs w:val="22"/>
          <w:lang w:val="en-US"/>
        </w:rPr>
        <w:t xml:space="preserve"> </w:t>
      </w:r>
      <w:r w:rsidRPr="00C921DE">
        <w:rPr>
          <w:rFonts w:ascii="GHEA Grapalat" w:hAnsi="GHEA Grapalat"/>
          <w:sz w:val="22"/>
          <w:szCs w:val="22"/>
          <w:lang w:val="en-US"/>
        </w:rPr>
        <w:t>կազմակերպումը</w:t>
      </w:r>
      <w:r w:rsidR="00E8108B" w:rsidRPr="00C921DE">
        <w:rPr>
          <w:rFonts w:ascii="GHEA Grapalat" w:hAnsi="GHEA Grapalat"/>
          <w:sz w:val="22"/>
          <w:szCs w:val="22"/>
          <w:lang w:val="en-US"/>
        </w:rPr>
        <w:t xml:space="preserve">` ուղղված </w:t>
      </w:r>
      <w:r w:rsidRPr="00C921DE">
        <w:rPr>
          <w:rFonts w:ascii="GHEA Grapalat" w:hAnsi="GHEA Grapalat"/>
          <w:sz w:val="22"/>
          <w:szCs w:val="22"/>
          <w:lang w:val="en-US"/>
        </w:rPr>
        <w:t xml:space="preserve">կյանքի բնականոն ընթացքից մարդկանց թրաֆիքինգի և շահագործման ենթարկվելու հետևանքով առաջացած շեղումների վերացմանը։ 2023 </w:t>
      </w:r>
      <w:r w:rsidR="00505CF8" w:rsidRPr="00C921DE">
        <w:rPr>
          <w:rFonts w:ascii="GHEA Grapalat" w:hAnsi="GHEA Grapalat"/>
          <w:sz w:val="22"/>
          <w:szCs w:val="22"/>
          <w:lang w:val="en-US"/>
        </w:rPr>
        <w:t>թվականի</w:t>
      </w:r>
      <w:r w:rsidR="00E8108B" w:rsidRPr="00C921DE">
        <w:rPr>
          <w:rFonts w:ascii="GHEA Grapalat" w:hAnsi="GHEA Grapalat"/>
          <w:sz w:val="22"/>
          <w:szCs w:val="22"/>
          <w:lang w:val="en-US"/>
        </w:rPr>
        <w:t>ն համապատասխան ծառայություններ են տրամադրվել</w:t>
      </w:r>
      <w:r w:rsidRPr="00C921DE">
        <w:rPr>
          <w:rFonts w:ascii="GHEA Grapalat" w:hAnsi="GHEA Grapalat"/>
          <w:sz w:val="22"/>
          <w:szCs w:val="22"/>
          <w:lang w:val="en-US"/>
        </w:rPr>
        <w:t xml:space="preserve"> թրաֆիքինգի և շահագործման, սեռական բռնության ենթարկված</w:t>
      </w:r>
      <w:r w:rsidR="00E8108B" w:rsidRPr="00C921DE">
        <w:rPr>
          <w:rFonts w:ascii="GHEA Grapalat" w:hAnsi="GHEA Grapalat"/>
          <w:sz w:val="22"/>
          <w:szCs w:val="22"/>
          <w:lang w:val="en-US"/>
        </w:rPr>
        <w:t xml:space="preserve"> 25</w:t>
      </w:r>
      <w:r w:rsidRPr="00C921DE">
        <w:rPr>
          <w:rFonts w:ascii="GHEA Grapalat" w:hAnsi="GHEA Grapalat"/>
          <w:sz w:val="22"/>
          <w:szCs w:val="22"/>
          <w:lang w:val="en-US"/>
        </w:rPr>
        <w:t xml:space="preserve"> անձի։</w:t>
      </w:r>
    </w:p>
    <w:p w14:paraId="0492F493" w14:textId="77777777" w:rsidR="00085BFC" w:rsidRPr="00C921DE" w:rsidRDefault="00085BFC" w:rsidP="0043366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«Մարդկանց թրաֆիքինգի (և/կամ) շահագործման զոհերին միանվագ դրամական փոխհատուցման տրամադրում» միջոցառմամբ՝ «Մարդկանց թրաֆիքինգի և (կամ) շահագործման ենթարկված անձանց նույնացման և աջակցության մասին» ՀՀ օրենքի և ՀՀ կառավարության 05.05.2016թ. N 492-Ն որոշման Հավելվածի 46</w:t>
      </w:r>
      <w:r w:rsidR="003F48BC" w:rsidRPr="00C921DE">
        <w:rPr>
          <w:rFonts w:ascii="GHEA Grapalat" w:hAnsi="GHEA Grapalat"/>
          <w:sz w:val="22"/>
          <w:szCs w:val="22"/>
          <w:lang w:val="en-US"/>
        </w:rPr>
        <w:t>-րդ</w:t>
      </w:r>
      <w:r w:rsidRPr="00C921DE">
        <w:rPr>
          <w:rFonts w:ascii="GHEA Grapalat" w:hAnsi="GHEA Grapalat"/>
          <w:sz w:val="22"/>
          <w:szCs w:val="22"/>
          <w:lang w:val="en-US"/>
        </w:rPr>
        <w:t xml:space="preserve"> կետի համաձայն` նախատեսվել է մասնակի փոխհատուցել թրաֆիքինգի և շահագործման ենթարկված անձանց կրած վնասները։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ավարտին միանվագ դրամա</w:t>
      </w:r>
      <w:r w:rsidR="003F48BC" w:rsidRPr="00C921DE">
        <w:rPr>
          <w:rFonts w:ascii="GHEA Grapalat" w:hAnsi="GHEA Grapalat"/>
          <w:sz w:val="22"/>
          <w:szCs w:val="22"/>
          <w:lang w:val="en-US"/>
        </w:rPr>
        <w:t xml:space="preserve">կան փոխհատուցում է տրամադրվել </w:t>
      </w:r>
      <w:r w:rsidRPr="00C921DE">
        <w:rPr>
          <w:rFonts w:ascii="GHEA Grapalat" w:hAnsi="GHEA Grapalat"/>
          <w:sz w:val="22"/>
          <w:szCs w:val="22"/>
          <w:lang w:val="en-US"/>
        </w:rPr>
        <w:t>թրաֆիքինգի և շահագործման, սեռական բռնության ենթարկված</w:t>
      </w:r>
      <w:r w:rsidR="003F48BC" w:rsidRPr="00C921DE">
        <w:rPr>
          <w:rFonts w:ascii="GHEA Grapalat" w:hAnsi="GHEA Grapalat"/>
          <w:sz w:val="22"/>
          <w:szCs w:val="22"/>
          <w:lang w:val="en-US"/>
        </w:rPr>
        <w:t xml:space="preserve"> 7</w:t>
      </w:r>
      <w:r w:rsidRPr="00C921DE">
        <w:rPr>
          <w:rFonts w:ascii="GHEA Grapalat" w:hAnsi="GHEA Grapalat"/>
          <w:sz w:val="22"/>
          <w:szCs w:val="22"/>
          <w:lang w:val="en-US"/>
        </w:rPr>
        <w:t xml:space="preserve"> անձի։</w:t>
      </w:r>
    </w:p>
    <w:p w14:paraId="14BD5810" w14:textId="77777777" w:rsidR="001C411D" w:rsidRPr="00C921DE" w:rsidRDefault="001C411D" w:rsidP="0043366A">
      <w:pPr>
        <w:spacing w:line="360" w:lineRule="auto"/>
        <w:ind w:firstLine="567"/>
        <w:jc w:val="both"/>
        <w:rPr>
          <w:rFonts w:ascii="GHEA Grapalat" w:hAnsi="GHEA Grapalat"/>
          <w:sz w:val="22"/>
          <w:szCs w:val="22"/>
          <w:lang w:val="en-US"/>
        </w:rPr>
      </w:pPr>
    </w:p>
    <w:p w14:paraId="3EE81B2E" w14:textId="77777777" w:rsidR="001C411D" w:rsidRPr="00C921DE" w:rsidRDefault="001C411D" w:rsidP="008A5E8A">
      <w:pPr>
        <w:spacing w:line="360" w:lineRule="auto"/>
        <w:ind w:firstLine="567"/>
        <w:jc w:val="both"/>
        <w:rPr>
          <w:rFonts w:ascii="GHEA Grapalat" w:hAnsi="GHEA Grapalat"/>
          <w:sz w:val="22"/>
          <w:szCs w:val="22"/>
          <w:u w:val="single"/>
          <w:lang w:val="en-US"/>
        </w:rPr>
      </w:pPr>
      <w:r w:rsidRPr="00C921DE">
        <w:rPr>
          <w:rFonts w:ascii="GHEA Grapalat" w:hAnsi="GHEA Grapalat"/>
          <w:sz w:val="22"/>
          <w:szCs w:val="22"/>
          <w:u w:val="single"/>
          <w:lang w:val="en-US"/>
        </w:rPr>
        <w:t>Հաշմանդամություն ունեցող անձանց հիմնահարցերի բնագավառ</w:t>
      </w:r>
    </w:p>
    <w:p w14:paraId="6967847B" w14:textId="77777777" w:rsidR="00085BFC" w:rsidRPr="00C921DE" w:rsidRDefault="00085BFC" w:rsidP="003F48B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00AE54EC" w:rsidRPr="00C921DE">
        <w:rPr>
          <w:rFonts w:ascii="GHEA Grapalat" w:hAnsi="GHEA Grapalat"/>
          <w:sz w:val="22"/>
          <w:szCs w:val="22"/>
          <w:lang w:val="en-US"/>
        </w:rPr>
        <w:t>ն</w:t>
      </w:r>
      <w:r w:rsidRPr="00C921DE">
        <w:rPr>
          <w:rFonts w:ascii="GHEA Grapalat" w:hAnsi="GHEA Grapalat"/>
          <w:sz w:val="22"/>
          <w:szCs w:val="22"/>
          <w:lang w:val="en-US"/>
        </w:rPr>
        <w:t xml:space="preserve"> իրականացվել են աշխատանքներ</w:t>
      </w:r>
      <w:r w:rsidR="00AE54EC" w:rsidRPr="00C921DE">
        <w:rPr>
          <w:rFonts w:ascii="GHEA Grapalat" w:hAnsi="GHEA Grapalat"/>
          <w:sz w:val="22"/>
          <w:szCs w:val="22"/>
          <w:lang w:val="en-US"/>
        </w:rPr>
        <w:t>՝</w:t>
      </w:r>
      <w:r w:rsidRPr="00C921DE">
        <w:rPr>
          <w:rFonts w:ascii="GHEA Grapalat" w:hAnsi="GHEA Grapalat"/>
          <w:sz w:val="22"/>
          <w:szCs w:val="22"/>
          <w:lang w:val="en-US"/>
        </w:rPr>
        <w:t xml:space="preserve"> ուղղված հաշմանդամություն ունեցող անձանց իրավունքների պաշտպանությանը և հավասար հնարավորությունների ապահովմանը` բնագավառի օրենսդ</w:t>
      </w:r>
      <w:r w:rsidR="00AE54EC" w:rsidRPr="00C921DE">
        <w:rPr>
          <w:rFonts w:ascii="GHEA Grapalat" w:hAnsi="GHEA Grapalat"/>
          <w:sz w:val="22"/>
          <w:szCs w:val="22"/>
          <w:lang w:val="en-US"/>
        </w:rPr>
        <w:t>րության կատարելագործման միջոցով:</w:t>
      </w:r>
    </w:p>
    <w:p w14:paraId="43525B8B" w14:textId="77777777" w:rsidR="00085BFC" w:rsidRPr="00C921DE" w:rsidRDefault="00085BFC" w:rsidP="003F48B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«Հաշմանդամություն ունեցող անձանց իրավունքների մասին» և «Անձի ֆունկցիոնալության գնահատման մասին» օրենքների ընդունումից հետո մշակվել և ընդունվել են օրենքների կիրարկումն ապահովող ենթաօրենսդրական իրավական ակտեր: Իրականացվել են աշխատանքներ անձի ֆունկցիոնալության գնահատման համակարգի ներդրման ուղղությամբ։ ՀՀ կառավարության 28.07.2022թ. N 1180-Ն, ՀՀ կառավարության 28.07.2022թ. N 1177-Ն, ՀՀ կառավարության 28.07.2022թ. N 1161-Ն որոշումների համաձայն 2023</w:t>
      </w:r>
      <w:r w:rsidR="00E4475B" w:rsidRPr="00C921DE">
        <w:rPr>
          <w:rFonts w:ascii="GHEA Grapalat" w:hAnsi="GHEA Grapalat"/>
          <w:sz w:val="22"/>
          <w:szCs w:val="22"/>
          <w:lang w:val="en-US"/>
        </w:rPr>
        <w:t xml:space="preserve"> </w:t>
      </w:r>
      <w:r w:rsidRPr="00C921DE">
        <w:rPr>
          <w:rFonts w:ascii="GHEA Grapalat" w:hAnsi="GHEA Grapalat"/>
          <w:sz w:val="22"/>
          <w:szCs w:val="22"/>
          <w:lang w:val="en-US"/>
        </w:rPr>
        <w:t>թ</w:t>
      </w:r>
      <w:r w:rsidR="00E4475B" w:rsidRPr="00C921DE">
        <w:rPr>
          <w:rFonts w:ascii="GHEA Grapalat" w:hAnsi="GHEA Grapalat"/>
          <w:sz w:val="22"/>
          <w:szCs w:val="22"/>
          <w:lang w:val="en-US"/>
        </w:rPr>
        <w:t>վականի</w:t>
      </w:r>
      <w:r w:rsidRPr="00C921DE">
        <w:rPr>
          <w:rFonts w:ascii="GHEA Grapalat" w:hAnsi="GHEA Grapalat"/>
          <w:sz w:val="22"/>
          <w:szCs w:val="22"/>
          <w:lang w:val="en-US"/>
        </w:rPr>
        <w:t xml:space="preserve"> փետրվարի 1-ից մեկնարկել է անձի ֆունկց</w:t>
      </w:r>
      <w:r w:rsidR="00E4475B" w:rsidRPr="00C921DE">
        <w:rPr>
          <w:rFonts w:ascii="GHEA Grapalat" w:hAnsi="GHEA Grapalat"/>
          <w:sz w:val="22"/>
          <w:szCs w:val="22"/>
          <w:lang w:val="en-US"/>
        </w:rPr>
        <w:t>իոնալության գնահատման գործընթացն</w:t>
      </w:r>
      <w:r w:rsidRPr="00C921DE">
        <w:rPr>
          <w:rFonts w:ascii="GHEA Grapalat" w:hAnsi="GHEA Grapalat"/>
          <w:sz w:val="22"/>
          <w:szCs w:val="22"/>
          <w:lang w:val="en-US"/>
        </w:rPr>
        <w:t xml:space="preserve"> առաջին անգամ հաշմանդամության գնահատման համար դիմող անձանց նկատմամբ, 2024 թվականից այն կիրականացվի նաև կրկնակի անգամ դիմող անձանց նկատմամբ։ Անձի ֆունկցիոնալության գնահատման համակարգը հնարավորություն </w:t>
      </w:r>
      <w:r w:rsidRPr="00C921DE">
        <w:rPr>
          <w:rFonts w:ascii="GHEA Grapalat" w:hAnsi="GHEA Grapalat"/>
          <w:sz w:val="22"/>
          <w:szCs w:val="22"/>
          <w:lang w:val="en-US"/>
        </w:rPr>
        <w:lastRenderedPageBreak/>
        <w:t>կընձեռի իրականացնել անձի կարիքների բազմակողմանի գնահատում, հաշմանդամությունը դիտարկել անձի առողջական խնդիրների, նրա կարողությունների և միջավայրային գործոնների ունեցած ազդեցության համատեքստում և որոշել յուրաքանչյուր անձի անհատական ծառայությունների փաթեթը:</w:t>
      </w:r>
    </w:p>
    <w:p w14:paraId="498EBCCF" w14:textId="77777777" w:rsidR="00085BFC" w:rsidRPr="00C921DE" w:rsidRDefault="00085BFC" w:rsidP="003F48B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00AF6349" w:rsidRPr="00C921DE">
        <w:rPr>
          <w:rFonts w:ascii="GHEA Grapalat" w:hAnsi="GHEA Grapalat"/>
          <w:sz w:val="22"/>
          <w:szCs w:val="22"/>
          <w:lang w:val="en-US"/>
        </w:rPr>
        <w:t>ն</w:t>
      </w:r>
      <w:r w:rsidRPr="00C921DE">
        <w:rPr>
          <w:rFonts w:ascii="GHEA Grapalat" w:hAnsi="GHEA Grapalat"/>
          <w:sz w:val="22"/>
          <w:szCs w:val="22"/>
          <w:lang w:val="en-US"/>
        </w:rPr>
        <w:t xml:space="preserve"> </w:t>
      </w:r>
      <w:r w:rsidR="00AF6349" w:rsidRPr="00C921DE">
        <w:rPr>
          <w:rFonts w:ascii="GHEA Grapalat" w:hAnsi="GHEA Grapalat"/>
          <w:sz w:val="22"/>
          <w:szCs w:val="22"/>
          <w:lang w:val="en-US"/>
        </w:rPr>
        <w:t>ն</w:t>
      </w:r>
      <w:r w:rsidRPr="00C921DE">
        <w:rPr>
          <w:rFonts w:ascii="GHEA Grapalat" w:hAnsi="GHEA Grapalat"/>
          <w:sz w:val="22"/>
          <w:szCs w:val="22"/>
          <w:lang w:val="en-US"/>
        </w:rPr>
        <w:t>ախարարության կողմից որակավորված շուրջ 21 կազմակերպությունների կողմից տարվա ընթացքում տրամադրվել են 25960 աջակցող միջոցներ, այդ թվում՝ վերին և ստորին վերջույթների ֆունկցիոնալ և սովորական պրոթեզներ, օրթեզներ, օրթոպեդիկ և օրթեզի կոշիկներ, լսողական սարքեր, անվասայլակներ, ձայնաստեղծ սարքեր և այլն։</w:t>
      </w:r>
    </w:p>
    <w:p w14:paraId="03EE3ED3" w14:textId="77777777" w:rsidR="00085BFC" w:rsidRPr="00C921DE" w:rsidRDefault="00085BFC" w:rsidP="003F48B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Պետական բյուջեի առանձին ծախսային միջոցառումների շրջանակներում իրականացվել են հաշմանդամություն ունեցող անձանց խնամքի և սոցիալ-վերականգնողական ծառայություններ` ուղղված հաշմանդամություն ունեցող անձանց սոցիալական ներառմանը և անկախ կյանքի հմտությունների ձևավորմանը: Ծառայությունների իրականացման նպատակով հայտարարվել են դրամաշնորհի տրամադրման մրցույթներ, որոնց մասնակցել են </w:t>
      </w:r>
      <w:r w:rsidR="00AF6349" w:rsidRPr="00C921DE">
        <w:rPr>
          <w:rFonts w:ascii="GHEA Grapalat" w:hAnsi="GHEA Grapalat"/>
          <w:sz w:val="22"/>
          <w:szCs w:val="22"/>
          <w:lang w:val="en-US"/>
        </w:rPr>
        <w:t>ն</w:t>
      </w:r>
      <w:r w:rsidRPr="00C921DE">
        <w:rPr>
          <w:rFonts w:ascii="GHEA Grapalat" w:hAnsi="GHEA Grapalat"/>
          <w:sz w:val="22"/>
          <w:szCs w:val="22"/>
          <w:lang w:val="en-US"/>
        </w:rPr>
        <w:t xml:space="preserve">ախարարության կողմից սահմանված կարգով հավաստագրված կազմակերպությունները: Մրցույթների արդյունքում հաղթող կազմակերպություններին ՀՀ պետական բյուջեից տրամադրվել են դրամաշնորհներ` ցերեկային կենտրոններում կամ խմբային փոքր տներում հաշմանդամություն ունեցող անձանց խնամքը, զբաղվածությունը, անհրաժեշտ հմտությունների ուսուցումը կազմակերպելու նպատակով: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ընթացքում ցերեկային կենտրոններում սոցիալ-վերականգնողական ծառայություններ են մատուցվել ամսական հաշմանդամություն ունեցող</w:t>
      </w:r>
      <w:r w:rsidR="00AF6349" w:rsidRPr="00C921DE">
        <w:rPr>
          <w:rFonts w:ascii="GHEA Grapalat" w:hAnsi="GHEA Grapalat"/>
          <w:sz w:val="22"/>
          <w:szCs w:val="22"/>
          <w:lang w:val="en-US"/>
        </w:rPr>
        <w:t xml:space="preserve"> 395</w:t>
      </w:r>
      <w:r w:rsidRPr="00C921DE">
        <w:rPr>
          <w:rFonts w:ascii="GHEA Grapalat" w:hAnsi="GHEA Grapalat"/>
          <w:sz w:val="22"/>
          <w:szCs w:val="22"/>
          <w:lang w:val="en-US"/>
        </w:rPr>
        <w:t xml:space="preserve"> անձի</w:t>
      </w:r>
      <w:r w:rsidR="00AF6349" w:rsidRPr="00C921DE">
        <w:rPr>
          <w:rFonts w:ascii="GHEA Grapalat" w:hAnsi="GHEA Grapalat"/>
          <w:sz w:val="22"/>
          <w:szCs w:val="22"/>
          <w:lang w:val="en-US"/>
        </w:rPr>
        <w:t>,</w:t>
      </w:r>
      <w:r w:rsidRPr="00C921DE">
        <w:rPr>
          <w:rFonts w:ascii="GHEA Grapalat" w:hAnsi="GHEA Grapalat"/>
          <w:sz w:val="22"/>
          <w:szCs w:val="22"/>
          <w:lang w:val="en-US"/>
        </w:rPr>
        <w:t xml:space="preserve"> և համայնքահենք խմբային փոքր տներում կազմակերպվել է ամսական 59 անձի շուրջօրյա խնամքը։ </w:t>
      </w:r>
    </w:p>
    <w:p w14:paraId="65ECCE29" w14:textId="77777777" w:rsidR="001C411D" w:rsidRPr="00C921DE" w:rsidRDefault="001C411D" w:rsidP="002C0C00">
      <w:pPr>
        <w:spacing w:line="360" w:lineRule="auto"/>
        <w:ind w:firstLine="567"/>
        <w:jc w:val="both"/>
        <w:rPr>
          <w:rFonts w:ascii="GHEA Grapalat" w:hAnsi="GHEA Grapalat"/>
          <w:sz w:val="22"/>
          <w:szCs w:val="22"/>
          <w:lang w:val="en-US"/>
        </w:rPr>
      </w:pPr>
    </w:p>
    <w:p w14:paraId="48ADECDC" w14:textId="77777777" w:rsidR="001C411D" w:rsidRPr="00C921DE" w:rsidRDefault="001C411D" w:rsidP="008A5E8A">
      <w:pPr>
        <w:spacing w:line="360" w:lineRule="auto"/>
        <w:ind w:firstLine="567"/>
        <w:jc w:val="both"/>
        <w:rPr>
          <w:rFonts w:ascii="GHEA Grapalat" w:hAnsi="GHEA Grapalat"/>
          <w:sz w:val="22"/>
          <w:szCs w:val="22"/>
          <w:u w:val="single"/>
          <w:lang w:val="en-US"/>
        </w:rPr>
      </w:pPr>
      <w:r w:rsidRPr="00C921DE">
        <w:rPr>
          <w:rFonts w:ascii="GHEA Grapalat" w:hAnsi="GHEA Grapalat"/>
          <w:sz w:val="22"/>
          <w:szCs w:val="22"/>
          <w:u w:val="single"/>
          <w:lang w:val="en-US"/>
        </w:rPr>
        <w:t>Տարեցների հիմնահարցերի բնագավառ</w:t>
      </w:r>
    </w:p>
    <w:p w14:paraId="53649853" w14:textId="77777777" w:rsidR="00A96047" w:rsidRPr="00C921DE" w:rsidRDefault="00A96047" w:rsidP="00AF6349">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00AF6349" w:rsidRPr="00C921DE">
        <w:rPr>
          <w:rFonts w:ascii="GHEA Grapalat" w:hAnsi="GHEA Grapalat"/>
          <w:sz w:val="22"/>
          <w:szCs w:val="22"/>
          <w:lang w:val="en-US"/>
        </w:rPr>
        <w:t>ն</w:t>
      </w:r>
      <w:r w:rsidRPr="00C921DE">
        <w:rPr>
          <w:rFonts w:ascii="GHEA Grapalat" w:hAnsi="GHEA Grapalat"/>
          <w:sz w:val="22"/>
          <w:szCs w:val="22"/>
          <w:lang w:val="en-US"/>
        </w:rPr>
        <w:t xml:space="preserve"> շարունակվել է տարեց և (կամ) հաշմանդամություն ունեցող անձանց սոցիալական պաշտպանության և սոցիալական ներառման ուղղություններով միջոցառումների և ծրագրերի մշակումն ու իրագործումը, մասնավորապես՝ պետական միջոցների շրջանակում շահառուներին մատուցվող խնամքի ծառայությունների շարունակականության ապահովումը` խրախուսելով ծառայությունների պատվիրակումը հասարակական կազմակերպություններին մրցութային եղանակով, բարելավվել է շահառուներին մատուցվող ծառայությունների որակը, խնամքի ծառայությունների մատուցման գործընթացի համատեքստում ընդլայնվել են համայնքային այլընտրանքային ծառայությունները՝ ներգրավելով նաև համայնքի ներուժը:</w:t>
      </w:r>
    </w:p>
    <w:p w14:paraId="55349147" w14:textId="77777777" w:rsidR="00A96047" w:rsidRPr="00C921DE" w:rsidRDefault="00A96047" w:rsidP="00AF6349">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Աշխատանքներ են տարվել ՀՀ կառավարության 08.04.2021թ. N 498-Լ որոշմամբ հաստատված՝ Տարեցներին մատուցվող խնամքի ծառայությունների բարելավման և համայնքահեն </w:t>
      </w:r>
      <w:r w:rsidRPr="00C921DE">
        <w:rPr>
          <w:rFonts w:ascii="GHEA Grapalat" w:hAnsi="GHEA Grapalat"/>
          <w:sz w:val="22"/>
          <w:szCs w:val="22"/>
          <w:lang w:val="en-US"/>
        </w:rPr>
        <w:lastRenderedPageBreak/>
        <w:t>ծառայություններ</w:t>
      </w:r>
      <w:r w:rsidR="00942A87" w:rsidRPr="00C921DE">
        <w:rPr>
          <w:rFonts w:ascii="GHEA Grapalat" w:hAnsi="GHEA Grapalat"/>
          <w:sz w:val="22"/>
          <w:szCs w:val="22"/>
          <w:lang w:val="en-US"/>
        </w:rPr>
        <w:t>ի ներդրման ու զարգացման ծրագրի</w:t>
      </w:r>
      <w:r w:rsidRPr="00C921DE">
        <w:rPr>
          <w:rFonts w:ascii="GHEA Grapalat" w:hAnsi="GHEA Grapalat"/>
          <w:sz w:val="22"/>
          <w:szCs w:val="22"/>
          <w:lang w:val="en-US"/>
        </w:rPr>
        <w:t xml:space="preserve">՝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համար նախատեսված միջոցառումների իրականացման ուղղությամբ: Համաձայն </w:t>
      </w:r>
      <w:r w:rsidR="00942A87" w:rsidRPr="00C921DE">
        <w:rPr>
          <w:rFonts w:ascii="GHEA Grapalat" w:hAnsi="GHEA Grapalat"/>
          <w:sz w:val="22"/>
          <w:szCs w:val="22"/>
          <w:lang w:val="en-US"/>
        </w:rPr>
        <w:t>ծ</w:t>
      </w:r>
      <w:r w:rsidRPr="00C921DE">
        <w:rPr>
          <w:rFonts w:ascii="GHEA Grapalat" w:hAnsi="GHEA Grapalat"/>
          <w:sz w:val="22"/>
          <w:szCs w:val="22"/>
          <w:lang w:val="en-US"/>
        </w:rPr>
        <w:t>րագրի</w:t>
      </w:r>
      <w:r w:rsidR="00942A87" w:rsidRPr="00C921DE">
        <w:rPr>
          <w:rFonts w:ascii="GHEA Grapalat" w:hAnsi="GHEA Grapalat"/>
          <w:sz w:val="22"/>
          <w:szCs w:val="22"/>
          <w:lang w:val="en-US"/>
        </w:rPr>
        <w:t>՝</w:t>
      </w:r>
      <w:r w:rsidRPr="00C921DE">
        <w:rPr>
          <w:rFonts w:ascii="GHEA Grapalat" w:hAnsi="GHEA Grapalat"/>
          <w:sz w:val="22"/>
          <w:szCs w:val="22"/>
          <w:lang w:val="en-US"/>
        </w:rPr>
        <w:t xml:space="preserve"> աշխատանքներ են տարվել տարեցների սոցիալական պաշտպանությանն առնչվող օրենսդրության կատարելագործման ուղղությամբ: </w:t>
      </w:r>
    </w:p>
    <w:p w14:paraId="5CB62490" w14:textId="77777777" w:rsidR="00A96047" w:rsidRPr="00C921DE" w:rsidRDefault="00A96047" w:rsidP="00AF6349">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շարունակվել են պետական բյուջեով նախատեսված միջոցների հաշվին, խնամքի տրամադրման, սննդի կազմակերպման և կացարանով ապահովման ծառայությունների տրամադրումը նույն ուղղություններով՝ 3771 շահառուի համար, մասնավորապես՝</w:t>
      </w:r>
    </w:p>
    <w:p w14:paraId="52A584FF" w14:textId="77777777" w:rsidR="00A96047" w:rsidRPr="00C921DE" w:rsidRDefault="00A96047" w:rsidP="0063490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շուրջօրյա խնամքի ծառայություններ են տրամադրվել 1257 տարեց և հաշմանդամություն ունեցող անձի (այդ թվում՝ հոգեկան առողջության խնդիրներ ունեցող)՝ շուրջօրյա խնամքի ծառայություններ մատուցող ընդհանուր տիպի և հատուկ (մասնագիտացված) 6 հաստատություններում (այդ թվում՝ 2 ոչ պետական և 4 պետական կազմակերպության կողմից)</w:t>
      </w:r>
      <w:r w:rsidR="0063490A" w:rsidRPr="00C921DE">
        <w:rPr>
          <w:rFonts w:ascii="GHEA Grapalat" w:hAnsi="GHEA Grapalat" w:cs="GHEA Grapalat"/>
          <w:bCs/>
          <w:lang w:val="af-ZA"/>
        </w:rPr>
        <w:t>.</w:t>
      </w:r>
    </w:p>
    <w:p w14:paraId="32EC1EED" w14:textId="77777777" w:rsidR="00A96047" w:rsidRPr="00C921DE" w:rsidRDefault="00A96047" w:rsidP="0063490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 xml:space="preserve">տնային պայմաններում խնամք և այլ սոցիալական ծառայություններ են տրամադրվել Երևան քաղաքում և հանրապետության մարզերում բնակվող տարեց և հաշմանդամություն ունեցող 1217 շահառուի. տնային խնամքի ծառայությունները տրամադրվում են դրամաշնորհի տրամադրման մրցույթում հաղթած 5 ոչ պետական և 1 պետական կազմակերպության կողմից։ Միաժամանակ, սկսած 2020 թվականից, տնային խնամքի ծառայություններ են տրամադրում նաև հոգեկան առողջության խնդիրներ ունեցող 50 անձի։ 2023 </w:t>
      </w:r>
      <w:r w:rsidR="00505CF8" w:rsidRPr="00C921DE">
        <w:rPr>
          <w:rFonts w:ascii="GHEA Grapalat" w:hAnsi="GHEA Grapalat" w:cs="GHEA Grapalat"/>
          <w:bCs/>
          <w:lang w:val="af-ZA"/>
        </w:rPr>
        <w:t>թվականի</w:t>
      </w:r>
      <w:r w:rsidR="0063490A" w:rsidRPr="00C921DE">
        <w:rPr>
          <w:rFonts w:ascii="GHEA Grapalat" w:hAnsi="GHEA Grapalat" w:cs="GHEA Grapalat"/>
          <w:bCs/>
          <w:lang w:val="af-ZA"/>
        </w:rPr>
        <w:t>ն</w:t>
      </w:r>
      <w:r w:rsidRPr="00C921DE">
        <w:rPr>
          <w:rFonts w:ascii="GHEA Grapalat" w:hAnsi="GHEA Grapalat" w:cs="GHEA Grapalat"/>
          <w:bCs/>
          <w:lang w:val="af-ZA"/>
        </w:rPr>
        <w:t xml:space="preserve"> Երևան և Աբովյան քաղաքներում փաստացի ծառայություններ են տրամադրվել 50 անձի</w:t>
      </w:r>
      <w:r w:rsidR="0063490A" w:rsidRPr="00C921DE">
        <w:rPr>
          <w:rFonts w:ascii="GHEA Grapalat" w:hAnsi="GHEA Grapalat" w:cs="GHEA Grapalat"/>
          <w:bCs/>
          <w:lang w:val="af-ZA"/>
        </w:rPr>
        <w:t>.</w:t>
      </w:r>
    </w:p>
    <w:p w14:paraId="276B4058" w14:textId="77777777" w:rsidR="00A96047" w:rsidRPr="00C921DE" w:rsidRDefault="00A96047" w:rsidP="0063490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ցերեկային կենտրոններում խնամքի և սննդի ծառայություններ են տրամադրվել 1182 անձի՝ (այդ թվում</w:t>
      </w:r>
      <w:r w:rsidR="004F0C1B" w:rsidRPr="00C921DE">
        <w:rPr>
          <w:rFonts w:ascii="GHEA Grapalat" w:hAnsi="GHEA Grapalat" w:cs="GHEA Grapalat"/>
          <w:bCs/>
          <w:lang w:val="af-ZA"/>
        </w:rPr>
        <w:t>՝</w:t>
      </w:r>
      <w:r w:rsidRPr="00C921DE">
        <w:rPr>
          <w:rFonts w:ascii="GHEA Grapalat" w:hAnsi="GHEA Grapalat" w:cs="GHEA Grapalat"/>
          <w:bCs/>
          <w:lang w:val="af-ZA"/>
        </w:rPr>
        <w:t xml:space="preserve"> սննդի ծառայություն՝ 886 անձի) Երևան քաղաքում և հանրապետության մարզերում: Ցերեկային խնամքի ծառայությունները տրամադրվում են դրամաշնորհի մրցույթում հաղթած 3 ոչ պետական կազմակերպությունների կողմից</w:t>
      </w:r>
      <w:r w:rsidR="004F0C1B" w:rsidRPr="00C921DE">
        <w:rPr>
          <w:rFonts w:ascii="GHEA Grapalat" w:hAnsi="GHEA Grapalat" w:cs="GHEA Grapalat"/>
          <w:bCs/>
          <w:lang w:val="af-ZA"/>
        </w:rPr>
        <w:t>.</w:t>
      </w:r>
    </w:p>
    <w:p w14:paraId="58902611" w14:textId="77777777" w:rsidR="00A96047" w:rsidRPr="00C921DE" w:rsidRDefault="00A96047" w:rsidP="0063490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որոշակի բնակության վայր չունեցող անօթևան անձանց կացարանով ապահովման և նրանց սոցիալական ներառմանն ուղղված ծառայություններ, այսպես՝ անօթևան մարդկանց ժամանակավոր օթևանում կացարան է տրամադրվել կյանքի դժվարին իրավիճակում հայտնված անօթևան 100 անձի, և իրականացվող տարբեր՝ սոցիալ-հոգեբանական և բժշկական օգնության, զբաղվածության ապահովման, իրավաբանական խորհրդատվության ծառայությունների միջոցով, փոր</w:t>
      </w:r>
      <w:r w:rsidR="004F0C1B" w:rsidRPr="00C921DE">
        <w:rPr>
          <w:rFonts w:ascii="GHEA Grapalat" w:hAnsi="GHEA Grapalat" w:cs="GHEA Grapalat"/>
          <w:bCs/>
          <w:lang w:val="af-ZA"/>
        </w:rPr>
        <w:t>ձ է արվել</w:t>
      </w:r>
      <w:r w:rsidRPr="00C921DE">
        <w:rPr>
          <w:rFonts w:ascii="GHEA Grapalat" w:hAnsi="GHEA Grapalat" w:cs="GHEA Grapalat"/>
          <w:bCs/>
          <w:lang w:val="af-ZA"/>
        </w:rPr>
        <w:t xml:space="preserve"> լուծել նրանց սոցիալական խնդիրներն ու լիարժեք կյանք վերադարձնել</w:t>
      </w:r>
      <w:r w:rsidR="004F0C1B" w:rsidRPr="00C921DE">
        <w:rPr>
          <w:rFonts w:ascii="GHEA Grapalat" w:hAnsi="GHEA Grapalat" w:cs="GHEA Grapalat"/>
          <w:bCs/>
          <w:lang w:val="af-ZA"/>
        </w:rPr>
        <w:t>.</w:t>
      </w:r>
    </w:p>
    <w:p w14:paraId="2D113990" w14:textId="77777777" w:rsidR="00A96047" w:rsidRPr="00C921DE" w:rsidRDefault="00A96047" w:rsidP="0063490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համաձայն ՀՀ կառավարության 13.05.2022թ. N 669-Ն որոշման</w:t>
      </w:r>
      <w:r w:rsidR="004F0C1B" w:rsidRPr="00C921DE">
        <w:rPr>
          <w:rFonts w:ascii="GHEA Grapalat" w:hAnsi="GHEA Grapalat" w:cs="GHEA Grapalat"/>
          <w:bCs/>
          <w:lang w:val="af-ZA"/>
        </w:rPr>
        <w:t>՝</w:t>
      </w:r>
      <w:r w:rsidRPr="00C921DE">
        <w:rPr>
          <w:rFonts w:ascii="GHEA Grapalat" w:hAnsi="GHEA Grapalat" w:cs="GHEA Grapalat"/>
          <w:bCs/>
          <w:lang w:val="af-ZA"/>
        </w:rPr>
        <w:t xml:space="preserve"> 2022 թվականից սոցիալական բնակարանային ֆոնդի կացարաններում բնակվող 110 միայնակ կենսաթոշակառուներին սպառած բնական գազի, էլեկտրական էներգիայի և ջրամատակարարման </w:t>
      </w:r>
      <w:r w:rsidRPr="00C921DE">
        <w:rPr>
          <w:rFonts w:ascii="GHEA Grapalat" w:hAnsi="GHEA Grapalat" w:cs="GHEA Grapalat"/>
          <w:bCs/>
          <w:lang w:val="af-ZA"/>
        </w:rPr>
        <w:lastRenderedPageBreak/>
        <w:t>վարձավճարների համար տրվել է դրամական փոխհատուցում՝ յու</w:t>
      </w:r>
      <w:r w:rsidR="004F0C1B" w:rsidRPr="00C921DE">
        <w:rPr>
          <w:rFonts w:ascii="GHEA Grapalat" w:hAnsi="GHEA Grapalat" w:cs="GHEA Grapalat"/>
          <w:bCs/>
          <w:lang w:val="af-ZA"/>
        </w:rPr>
        <w:t>րաքանչյուրին 12 000 դրամի չափով.</w:t>
      </w:r>
    </w:p>
    <w:p w14:paraId="08DA058F" w14:textId="77777777" w:rsidR="00A96047" w:rsidRPr="00C921DE" w:rsidRDefault="00A96047" w:rsidP="0063490A">
      <w:pPr>
        <w:pStyle w:val="ListParagraph"/>
        <w:numPr>
          <w:ilvl w:val="0"/>
          <w:numId w:val="6"/>
        </w:numPr>
        <w:tabs>
          <w:tab w:val="left" w:pos="851"/>
        </w:tabs>
        <w:spacing w:after="0" w:line="360" w:lineRule="auto"/>
        <w:ind w:left="0" w:firstLine="567"/>
        <w:jc w:val="both"/>
        <w:rPr>
          <w:rFonts w:ascii="GHEA Grapalat" w:hAnsi="GHEA Grapalat" w:cs="GHEA Grapalat"/>
          <w:bCs/>
          <w:lang w:val="af-ZA"/>
        </w:rPr>
      </w:pPr>
      <w:r w:rsidRPr="00C921DE">
        <w:rPr>
          <w:rFonts w:ascii="GHEA Grapalat" w:hAnsi="GHEA Grapalat" w:cs="GHEA Grapalat"/>
          <w:bCs/>
          <w:lang w:val="af-ZA"/>
        </w:rPr>
        <w:t>«ՀՀ վետերանների միավորում» հասարակական կազմակերպության 15 շահառուի ցուցաբերվել է աջակցություն։</w:t>
      </w:r>
    </w:p>
    <w:p w14:paraId="2F13F3ED" w14:textId="77777777" w:rsidR="001C411D" w:rsidRPr="00C921DE" w:rsidRDefault="001C411D" w:rsidP="00CC79A1">
      <w:pPr>
        <w:spacing w:line="360" w:lineRule="auto"/>
        <w:ind w:firstLine="567"/>
        <w:jc w:val="both"/>
        <w:rPr>
          <w:rFonts w:ascii="GHEA Grapalat" w:hAnsi="GHEA Grapalat"/>
          <w:sz w:val="22"/>
          <w:szCs w:val="22"/>
          <w:lang w:val="en-US"/>
        </w:rPr>
      </w:pPr>
    </w:p>
    <w:p w14:paraId="2B818EAF" w14:textId="77777777" w:rsidR="00A96047" w:rsidRPr="00C921DE" w:rsidRDefault="001C411D" w:rsidP="0019779D">
      <w:pPr>
        <w:spacing w:line="360" w:lineRule="auto"/>
        <w:ind w:firstLine="567"/>
        <w:jc w:val="both"/>
        <w:rPr>
          <w:rFonts w:ascii="GHEA Grapalat" w:hAnsi="GHEA Grapalat"/>
          <w:sz w:val="22"/>
          <w:szCs w:val="22"/>
          <w:lang w:val="en-US"/>
        </w:rPr>
      </w:pPr>
      <w:r w:rsidRPr="00C921DE">
        <w:rPr>
          <w:rFonts w:ascii="GHEA Grapalat" w:hAnsi="GHEA Grapalat"/>
          <w:sz w:val="22"/>
          <w:szCs w:val="22"/>
          <w:u w:val="single"/>
          <w:lang w:val="en-US"/>
        </w:rPr>
        <w:t>Կենսաթոշակային ապահովության</w:t>
      </w:r>
      <w:r w:rsidRPr="00C921DE">
        <w:rPr>
          <w:rFonts w:ascii="GHEA Grapalat" w:hAnsi="GHEA Grapalat"/>
          <w:sz w:val="22"/>
          <w:szCs w:val="22"/>
          <w:lang w:val="en-US"/>
        </w:rPr>
        <w:t xml:space="preserve"> բնագավառ</w:t>
      </w:r>
      <w:r w:rsidR="00A96047" w:rsidRPr="00C921DE">
        <w:rPr>
          <w:rFonts w:ascii="GHEA Grapalat" w:hAnsi="GHEA Grapalat"/>
          <w:sz w:val="22"/>
          <w:szCs w:val="22"/>
          <w:lang w:val="en-US"/>
        </w:rPr>
        <w:t>ում 2023 թվականին կենսաթոշակային հիմնական ցուցանիշներից հուլիսի 1-ից փոփոխվել են հետևյալ ցուցանիշները՝</w:t>
      </w:r>
    </w:p>
    <w:p w14:paraId="244BA345" w14:textId="77777777" w:rsidR="00A96047" w:rsidRPr="00C921DE" w:rsidRDefault="00A96047" w:rsidP="0019779D">
      <w:pPr>
        <w:numPr>
          <w:ilvl w:val="0"/>
          <w:numId w:val="12"/>
        </w:numPr>
        <w:tabs>
          <w:tab w:val="left" w:pos="851"/>
          <w:tab w:val="left" w:pos="1276"/>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աշխատանքային կենսաթոշակի չափը հաշվարկելու համար հիմնական կենսաթոշակի չափը՝</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24000 դրամ (21000 դրամի փոխարեն),</w:t>
      </w:r>
    </w:p>
    <w:p w14:paraId="04C363CA" w14:textId="77777777" w:rsidR="00A96047" w:rsidRPr="00C921DE" w:rsidRDefault="00A96047" w:rsidP="0019779D">
      <w:pPr>
        <w:numPr>
          <w:ilvl w:val="0"/>
          <w:numId w:val="12"/>
        </w:numPr>
        <w:tabs>
          <w:tab w:val="left" w:pos="851"/>
          <w:tab w:val="left" w:pos="1276"/>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նվազագույն կենսաթոշակի չափը` 36000 դրամ (31600 դրամի փոխարեն),</w:t>
      </w:r>
    </w:p>
    <w:p w14:paraId="56D7E811" w14:textId="77777777" w:rsidR="00A96047" w:rsidRPr="00C921DE" w:rsidRDefault="00A96047" w:rsidP="0019779D">
      <w:pPr>
        <w:numPr>
          <w:ilvl w:val="0"/>
          <w:numId w:val="12"/>
        </w:numPr>
        <w:tabs>
          <w:tab w:val="left" w:pos="851"/>
          <w:tab w:val="left" w:pos="1276"/>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պարտադիր ժամկետային զինվորական ծառայության շարքային կազմի զինծառայողի հաշմանդամության զինվորական կենսաթոշակի չափերը`</w:t>
      </w:r>
    </w:p>
    <w:p w14:paraId="33EEAA0B" w14:textId="77777777" w:rsidR="00A96047" w:rsidRPr="00C921DE" w:rsidRDefault="00A96047" w:rsidP="0019779D">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 առաջին խմբի հաշմանդամի համար՝</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50600 դրամ (46000 դրամի փոխարեն),</w:t>
      </w:r>
    </w:p>
    <w:p w14:paraId="65FE47FA" w14:textId="77777777" w:rsidR="00A96047" w:rsidRPr="00C921DE" w:rsidRDefault="00A96047" w:rsidP="0019779D">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բ.</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երկրորդ խմբի հաշմանդամի համար՝ 41400 դրամ (36000 դրամի փոխարեն),</w:t>
      </w:r>
    </w:p>
    <w:p w14:paraId="671C35CF" w14:textId="77777777" w:rsidR="00A96047" w:rsidRPr="00C921DE" w:rsidRDefault="00A96047" w:rsidP="0019779D">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գ.</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 xml:space="preserve">երրորդ խմբի հաշմանդամի համար՝ 38000 դրամ (36000 դրամի փոխարեն), </w:t>
      </w:r>
    </w:p>
    <w:p w14:paraId="404926EF" w14:textId="77777777" w:rsidR="00A96047" w:rsidRPr="00C921DE" w:rsidRDefault="00A96047" w:rsidP="00FA26AB">
      <w:pPr>
        <w:numPr>
          <w:ilvl w:val="0"/>
          <w:numId w:val="12"/>
        </w:numPr>
        <w:tabs>
          <w:tab w:val="left" w:pos="851"/>
          <w:tab w:val="left" w:pos="1276"/>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պարտադիր ժամկետային զինվորական ծառայության շարքային կազմի մահացած (զոհված) զինծառայողի ընտանիքի անդամի կերակրողին կորցնելու դեպքում զինվորական կենսաթոշակի չափը՝ 38000 դրամ (33000 դրամի փոխարեն),</w:t>
      </w:r>
    </w:p>
    <w:p w14:paraId="51676568" w14:textId="77777777" w:rsidR="00A96047" w:rsidRPr="00C921DE" w:rsidRDefault="00A96047" w:rsidP="00FA26AB">
      <w:pPr>
        <w:numPr>
          <w:ilvl w:val="0"/>
          <w:numId w:val="12"/>
        </w:numPr>
        <w:tabs>
          <w:tab w:val="left" w:pos="851"/>
          <w:tab w:val="left" w:pos="1276"/>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 xml:space="preserve">ծերության նպաստի չափերը՝ 36000 դրամ (31600 դրամի փոխարեն), </w:t>
      </w:r>
    </w:p>
    <w:p w14:paraId="06AA24AC" w14:textId="77777777" w:rsidR="00A96047" w:rsidRPr="00C921DE" w:rsidRDefault="00A96047" w:rsidP="00FA26AB">
      <w:pPr>
        <w:numPr>
          <w:ilvl w:val="0"/>
          <w:numId w:val="12"/>
        </w:numPr>
        <w:tabs>
          <w:tab w:val="left" w:pos="851"/>
          <w:tab w:val="left" w:pos="1276"/>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հաշմանդամության նպաստի չափերը</w:t>
      </w:r>
      <w:r w:rsidR="005130EA" w:rsidRPr="00C921DE">
        <w:rPr>
          <w:rFonts w:ascii="GHEA Grapalat" w:hAnsi="GHEA Grapalat"/>
          <w:sz w:val="22"/>
          <w:szCs w:val="22"/>
          <w:lang w:val="en-US"/>
        </w:rPr>
        <w:t>՝</w:t>
      </w:r>
      <w:r w:rsidRPr="00C921DE">
        <w:rPr>
          <w:rFonts w:ascii="GHEA Grapalat" w:hAnsi="GHEA Grapalat"/>
          <w:sz w:val="22"/>
          <w:szCs w:val="22"/>
          <w:lang w:val="en-US"/>
        </w:rPr>
        <w:t xml:space="preserve"> 31600 դրամի փոխարեն՝</w:t>
      </w:r>
    </w:p>
    <w:p w14:paraId="484D7E73" w14:textId="77777777" w:rsidR="00A96047" w:rsidRPr="00C921DE" w:rsidRDefault="00A96047"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 ֆունկցիոնալության խորը աստիճանի սահմանափակումով հաշմանդամություն ունեցող անձի համար՝ 39000 դրամ,</w:t>
      </w:r>
    </w:p>
    <w:p w14:paraId="5FF8E2CF" w14:textId="77777777" w:rsidR="00A96047" w:rsidRPr="00C921DE" w:rsidRDefault="00A96047"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բ. ֆունկցիոնալության ծանր աստիճանի սահմանափակումով հաշմանդամություն ունեցող անձի համար՝ 37500 դրամ,</w:t>
      </w:r>
    </w:p>
    <w:p w14:paraId="6A2201A7" w14:textId="77777777" w:rsidR="00A96047" w:rsidRPr="00C921DE" w:rsidRDefault="007510E8"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 </w:t>
      </w:r>
      <w:r w:rsidR="00A96047" w:rsidRPr="00C921DE">
        <w:rPr>
          <w:rFonts w:ascii="GHEA Grapalat" w:hAnsi="GHEA Grapalat"/>
          <w:sz w:val="22"/>
          <w:szCs w:val="22"/>
          <w:lang w:val="en-US"/>
        </w:rPr>
        <w:t>գ. ֆունկցիոնալության միջին աստիճանի սահմանափակումով հաշմանդամություն ունեցող անձի համար՝ 36000 դրամ։</w:t>
      </w:r>
    </w:p>
    <w:p w14:paraId="35A6576F" w14:textId="1B2A4332" w:rsidR="00A96047" w:rsidRPr="00C921DE" w:rsidRDefault="00310DE9"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թվականին</w:t>
      </w:r>
      <w:r w:rsidR="00A96047" w:rsidRPr="00C921DE">
        <w:rPr>
          <w:rFonts w:ascii="GHEA Grapalat" w:hAnsi="GHEA Grapalat"/>
          <w:sz w:val="22"/>
          <w:szCs w:val="22"/>
          <w:lang w:val="en-US"/>
        </w:rPr>
        <w:t xml:space="preserve"> Անապահով սոցիալական խմբերին աջակցություն ծրագրի վերջնական արդյունք</w:t>
      </w:r>
      <w:r w:rsidRPr="00C921DE">
        <w:rPr>
          <w:rFonts w:ascii="GHEA Grapalat" w:hAnsi="GHEA Grapalat"/>
          <w:sz w:val="22"/>
          <w:szCs w:val="22"/>
          <w:lang w:val="en-US"/>
        </w:rPr>
        <w:t>ն էր՝</w:t>
      </w:r>
      <w:r w:rsidR="00A96047" w:rsidRPr="00C921DE">
        <w:rPr>
          <w:rFonts w:ascii="GHEA Grapalat" w:hAnsi="GHEA Grapalat"/>
          <w:sz w:val="22"/>
          <w:szCs w:val="22"/>
          <w:lang w:val="en-US"/>
        </w:rPr>
        <w:t xml:space="preserve"> օժանդակել անապահով ընտանիքների կենսամակարդակի բարձրացմանը՝ դրանով մեղմելով աղքատությունը և կրճատելով ծայրահեղ աղքատությունը: 2023 </w:t>
      </w:r>
      <w:r w:rsidR="00505CF8" w:rsidRPr="00C921DE">
        <w:rPr>
          <w:rFonts w:ascii="GHEA Grapalat" w:hAnsi="GHEA Grapalat"/>
          <w:sz w:val="22"/>
          <w:szCs w:val="22"/>
          <w:lang w:val="en-US"/>
        </w:rPr>
        <w:t>թվականի</w:t>
      </w:r>
      <w:r w:rsidR="00A96047" w:rsidRPr="00C921DE">
        <w:rPr>
          <w:rFonts w:ascii="GHEA Grapalat" w:hAnsi="GHEA Grapalat"/>
          <w:sz w:val="22"/>
          <w:szCs w:val="22"/>
          <w:lang w:val="en-US"/>
        </w:rPr>
        <w:t xml:space="preserve"> փաստացի նպաստ են ստացել 74233 ընտանիքներ, որոնց նպաստի միջին ամսական չափը կազմել </w:t>
      </w:r>
      <w:r w:rsidR="00316B4B" w:rsidRPr="00C921DE">
        <w:rPr>
          <w:rFonts w:ascii="GHEA Grapalat" w:hAnsi="GHEA Grapalat"/>
          <w:sz w:val="22"/>
          <w:szCs w:val="22"/>
          <w:lang w:val="en-US"/>
        </w:rPr>
        <w:t xml:space="preserve">է </w:t>
      </w:r>
      <w:r w:rsidR="00A96047" w:rsidRPr="00C921DE">
        <w:rPr>
          <w:rFonts w:ascii="GHEA Grapalat" w:hAnsi="GHEA Grapalat"/>
          <w:sz w:val="22"/>
          <w:szCs w:val="22"/>
          <w:lang w:val="en-US"/>
        </w:rPr>
        <w:t>33,350 դրամ:</w:t>
      </w:r>
    </w:p>
    <w:p w14:paraId="49750927" w14:textId="77777777" w:rsidR="00A96047" w:rsidRPr="00C921DE" w:rsidRDefault="00A96047"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 xml:space="preserve">Ավանդների փոխհատուցում ծրագրի նպատակը «ՎՏԲ-Հայաստան» ՓԲԸ-ում ավանդատու հանդիսացող և նախկին ԽՍՀՄ Խնայբանկի ՀԽՍՀ հանրապետական բանկում մինչև 1993 թվականի հունիսի 10-ը ներդրված դրամական ավանդների փոխհատուցումն է: ՀՀ 2023 </w:t>
      </w:r>
      <w:r w:rsidR="00505CF8" w:rsidRPr="00C921DE">
        <w:rPr>
          <w:rFonts w:ascii="GHEA Grapalat" w:hAnsi="GHEA Grapalat"/>
          <w:sz w:val="22"/>
          <w:szCs w:val="22"/>
          <w:lang w:val="en-US"/>
        </w:rPr>
        <w:t>թվականի</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պետական բյուջեով</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փոխհատուցում ստանալու իրավունքը տրվել է նաև</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 xml:space="preserve">մինչև 1940թ. հունիսի 30-ը ներառյալ ծնված ավանդատուներին, իսկ ծրագրի </w:t>
      </w:r>
      <w:r w:rsidR="000F7026" w:rsidRPr="00C921DE">
        <w:rPr>
          <w:rFonts w:ascii="GHEA Grapalat" w:hAnsi="GHEA Grapalat"/>
          <w:sz w:val="22"/>
          <w:szCs w:val="22"/>
          <w:lang w:val="en-US"/>
        </w:rPr>
        <w:t>իրականացման համար հատկացվել է 1.</w:t>
      </w:r>
      <w:r w:rsidRPr="00C921DE">
        <w:rPr>
          <w:rFonts w:ascii="GHEA Grapalat" w:hAnsi="GHEA Grapalat"/>
          <w:sz w:val="22"/>
          <w:szCs w:val="22"/>
          <w:lang w:val="en-US"/>
        </w:rPr>
        <w:t xml:space="preserve">1 մլրդ դրամ: 2023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դրամական ավանդների դիմաց փոխհատուցում է ստացել 4993 ավանդատու: Ծրագրի գծով 2024</w:t>
      </w:r>
      <w:r w:rsidR="000F7026" w:rsidRPr="00C921DE">
        <w:rPr>
          <w:rFonts w:ascii="GHEA Grapalat" w:hAnsi="GHEA Grapalat"/>
          <w:sz w:val="22"/>
          <w:szCs w:val="22"/>
          <w:lang w:val="en-US"/>
        </w:rPr>
        <w:t xml:space="preserve">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համար նախատեսվել է 1</w:t>
      </w:r>
      <w:r w:rsidR="000F7026" w:rsidRPr="00C921DE">
        <w:rPr>
          <w:rFonts w:ascii="GHEA Grapalat" w:hAnsi="GHEA Grapalat"/>
          <w:sz w:val="22"/>
          <w:szCs w:val="22"/>
          <w:lang w:val="en-US"/>
        </w:rPr>
        <w:t>.</w:t>
      </w:r>
      <w:r w:rsidRPr="00C921DE">
        <w:rPr>
          <w:rFonts w:ascii="GHEA Grapalat" w:hAnsi="GHEA Grapalat"/>
          <w:sz w:val="22"/>
          <w:szCs w:val="22"/>
          <w:lang w:val="en-US"/>
        </w:rPr>
        <w:t>5 մլրդ դրամ։</w:t>
      </w:r>
    </w:p>
    <w:p w14:paraId="29ECF01E" w14:textId="77777777" w:rsidR="00A96047" w:rsidRPr="00C921DE" w:rsidRDefault="00A96047"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w:t>
      </w:r>
      <w:r w:rsidR="000F7026" w:rsidRPr="00C921DE">
        <w:rPr>
          <w:rFonts w:ascii="GHEA Grapalat" w:hAnsi="GHEA Grapalat"/>
          <w:sz w:val="22"/>
          <w:szCs w:val="22"/>
          <w:lang w:val="en-US"/>
        </w:rPr>
        <w:t xml:space="preserve"> </w:t>
      </w:r>
      <w:r w:rsidR="00505CF8" w:rsidRPr="00C921DE">
        <w:rPr>
          <w:rFonts w:ascii="GHEA Grapalat" w:hAnsi="GHEA Grapalat"/>
          <w:sz w:val="22"/>
          <w:szCs w:val="22"/>
          <w:lang w:val="en-US"/>
        </w:rPr>
        <w:t>թվականի</w:t>
      </w:r>
      <w:r w:rsidR="000F7026" w:rsidRPr="00C921DE">
        <w:rPr>
          <w:rFonts w:ascii="GHEA Grapalat" w:hAnsi="GHEA Grapalat"/>
          <w:sz w:val="22"/>
          <w:szCs w:val="22"/>
          <w:lang w:val="en-US"/>
        </w:rPr>
        <w:t>ն</w:t>
      </w:r>
      <w:r w:rsidRPr="00C921DE">
        <w:rPr>
          <w:rFonts w:ascii="GHEA Grapalat" w:hAnsi="GHEA Grapalat"/>
          <w:sz w:val="22"/>
          <w:szCs w:val="22"/>
          <w:lang w:val="en-US"/>
        </w:rPr>
        <w:t xml:space="preserve"> շարունակվել է</w:t>
      </w:r>
      <w:r w:rsidR="007510E8" w:rsidRPr="00C921DE">
        <w:rPr>
          <w:rFonts w:ascii="GHEA Grapalat" w:hAnsi="GHEA Grapalat"/>
          <w:sz w:val="22"/>
          <w:szCs w:val="22"/>
          <w:lang w:val="en-US"/>
        </w:rPr>
        <w:t xml:space="preserve"> </w:t>
      </w:r>
      <w:r w:rsidR="008D75F7" w:rsidRPr="00C921DE">
        <w:rPr>
          <w:rFonts w:ascii="GHEA Grapalat" w:hAnsi="GHEA Grapalat"/>
          <w:sz w:val="22"/>
          <w:szCs w:val="22"/>
          <w:lang w:val="en-US"/>
        </w:rPr>
        <w:t>ՀՀ</w:t>
      </w:r>
      <w:r w:rsidRPr="00C921DE">
        <w:rPr>
          <w:rFonts w:ascii="GHEA Grapalat" w:hAnsi="GHEA Grapalat"/>
          <w:sz w:val="22"/>
          <w:szCs w:val="22"/>
          <w:lang w:val="en-US"/>
        </w:rPr>
        <w:t xml:space="preserve"> կառավարության 2022 թվականի մայիսի 19-ի N</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723-Լ որոշմամբ հաստատված անկանխիկ եղանակով վճարումներից կենսաթոշակառուներին հետվճար տրամադրելու պետություն-մասնավոր սոցիալական փոխգործակցության միջոցառումը: Միջոցառման իրականացման հիմնական նպատակն է</w:t>
      </w:r>
      <w:r w:rsidR="000F7026" w:rsidRPr="00C921DE">
        <w:rPr>
          <w:rFonts w:ascii="GHEA Grapalat" w:hAnsi="GHEA Grapalat"/>
          <w:sz w:val="22"/>
          <w:szCs w:val="22"/>
          <w:lang w:val="en-US"/>
        </w:rPr>
        <w:t>՝</w:t>
      </w:r>
      <w:r w:rsidRPr="00C921DE">
        <w:rPr>
          <w:rFonts w:ascii="GHEA Grapalat" w:hAnsi="GHEA Grapalat"/>
          <w:sz w:val="22"/>
          <w:szCs w:val="22"/>
          <w:lang w:val="en-US"/>
        </w:rPr>
        <w:t xml:space="preserve"> բարձրացնել կենսաթոշակառուների գնողունակությունը՝ հատկապես առաջին անհրաժեշտության ապրանքներ և ծառայություններ ձեռք բերելիս։</w:t>
      </w:r>
    </w:p>
    <w:p w14:paraId="01C4654D" w14:textId="77777777" w:rsidR="00A96047" w:rsidRPr="00C921DE" w:rsidRDefault="00A96047" w:rsidP="005130EA">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Միջոցառման շրջանակներում ապրանքների և (կամ) ծառայությունների ձեռքբերման դիմաց կենսաթոշակային քարտի միջոցով ՊՈՍ-տերմինալներով, ինչպես նաև կենսաթոշակային քարտը թողարկած բանկի բանկոմատներում և նույն բանկի էլեկտրոնային հավելվածի միջոցով կոմունալ ծառայությունների դիմաց վճարում կատարած կենսաթոշակառուներին վերադարձվում է անկանխիկ գործարքի գումարի 10%-ը, բայց 5000 դրամից ոչ ավելի: 2023 </w:t>
      </w:r>
      <w:r w:rsidR="00505CF8" w:rsidRPr="00C921DE">
        <w:rPr>
          <w:rFonts w:ascii="GHEA Grapalat" w:hAnsi="GHEA Grapalat"/>
          <w:sz w:val="22"/>
          <w:szCs w:val="22"/>
          <w:lang w:val="en-US"/>
        </w:rPr>
        <w:t>թվականի</w:t>
      </w:r>
      <w:r w:rsidR="00BE68C5" w:rsidRPr="00C921DE">
        <w:rPr>
          <w:rFonts w:ascii="GHEA Grapalat" w:hAnsi="GHEA Grapalat"/>
          <w:sz w:val="22"/>
          <w:szCs w:val="22"/>
          <w:lang w:val="en-US"/>
        </w:rPr>
        <w:t xml:space="preserve"> ամսական միջին հաշվով գործարք է</w:t>
      </w:r>
      <w:r w:rsidRPr="00C921DE">
        <w:rPr>
          <w:rFonts w:ascii="GHEA Grapalat" w:hAnsi="GHEA Grapalat"/>
          <w:sz w:val="22"/>
          <w:szCs w:val="22"/>
          <w:lang w:val="en-US"/>
        </w:rPr>
        <w:t xml:space="preserve"> կատարել 126.875 կենսաթոշակառու</w:t>
      </w:r>
      <w:r w:rsidR="00BE68C5" w:rsidRPr="00C921DE">
        <w:rPr>
          <w:rFonts w:ascii="GHEA Grapalat" w:hAnsi="GHEA Grapalat"/>
          <w:sz w:val="22"/>
          <w:szCs w:val="22"/>
          <w:lang w:val="en-US"/>
        </w:rPr>
        <w:t>,</w:t>
      </w:r>
      <w:r w:rsidRPr="00C921DE">
        <w:rPr>
          <w:rFonts w:ascii="GHEA Grapalat" w:hAnsi="GHEA Grapalat"/>
          <w:sz w:val="22"/>
          <w:szCs w:val="22"/>
          <w:lang w:val="en-US"/>
        </w:rPr>
        <w:t xml:space="preserve"> իսկ հետվճարի տարեկան </w:t>
      </w:r>
      <w:r w:rsidR="00BE68C5" w:rsidRPr="00C921DE">
        <w:rPr>
          <w:rFonts w:ascii="GHEA Grapalat" w:hAnsi="GHEA Grapalat"/>
          <w:sz w:val="22"/>
          <w:szCs w:val="22"/>
          <w:lang w:val="en-US"/>
        </w:rPr>
        <w:t>գումարը կազմել է շուրջ 5.1 մլրդ</w:t>
      </w:r>
      <w:r w:rsidRPr="00C921DE">
        <w:rPr>
          <w:rFonts w:ascii="GHEA Grapalat" w:hAnsi="GHEA Grapalat"/>
          <w:sz w:val="22"/>
          <w:szCs w:val="22"/>
          <w:lang w:val="en-US"/>
        </w:rPr>
        <w:t xml:space="preserve"> դրամ։</w:t>
      </w:r>
    </w:p>
    <w:p w14:paraId="666EE980" w14:textId="77777777" w:rsidR="00BE68C5" w:rsidRPr="00C921DE" w:rsidRDefault="00BE68C5" w:rsidP="005130EA">
      <w:pPr>
        <w:spacing w:line="360" w:lineRule="auto"/>
        <w:ind w:firstLine="567"/>
        <w:jc w:val="both"/>
        <w:rPr>
          <w:rFonts w:ascii="GHEA Grapalat" w:hAnsi="GHEA Grapalat"/>
          <w:sz w:val="22"/>
          <w:szCs w:val="22"/>
          <w:lang w:val="en-US"/>
        </w:rPr>
      </w:pPr>
    </w:p>
    <w:p w14:paraId="4800CBFD" w14:textId="77777777" w:rsidR="001C411D" w:rsidRPr="00C921DE" w:rsidRDefault="001C411D" w:rsidP="00034CB9">
      <w:pPr>
        <w:spacing w:line="360" w:lineRule="auto"/>
        <w:ind w:firstLine="567"/>
        <w:jc w:val="both"/>
        <w:rPr>
          <w:rFonts w:ascii="GHEA Grapalat" w:hAnsi="GHEA Grapalat"/>
          <w:sz w:val="22"/>
          <w:szCs w:val="22"/>
          <w:u w:val="single"/>
          <w:lang w:val="en-US"/>
        </w:rPr>
      </w:pPr>
      <w:r w:rsidRPr="00C921DE">
        <w:rPr>
          <w:rFonts w:ascii="GHEA Grapalat" w:hAnsi="GHEA Grapalat"/>
          <w:sz w:val="22"/>
          <w:szCs w:val="22"/>
          <w:u w:val="single"/>
          <w:lang w:val="en-US"/>
        </w:rPr>
        <w:t>Պարգևավճարներ և պատվովճարներ</w:t>
      </w:r>
    </w:p>
    <w:p w14:paraId="619E7662" w14:textId="77777777" w:rsidR="00A96047" w:rsidRPr="00C921DE" w:rsidRDefault="00A96047" w:rsidP="00BE68C5">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Պետական բյուջեի միջոցների հաշվին 2023 </w:t>
      </w:r>
      <w:r w:rsidR="00505CF8" w:rsidRPr="00C921DE">
        <w:rPr>
          <w:rFonts w:ascii="GHEA Grapalat" w:hAnsi="GHEA Grapalat"/>
          <w:sz w:val="22"/>
          <w:szCs w:val="22"/>
          <w:lang w:val="en-US"/>
        </w:rPr>
        <w:t>թվականի</w:t>
      </w:r>
      <w:r w:rsidR="00BE68C5" w:rsidRPr="00C921DE">
        <w:rPr>
          <w:rFonts w:ascii="GHEA Grapalat" w:hAnsi="GHEA Grapalat"/>
          <w:sz w:val="22"/>
          <w:szCs w:val="22"/>
          <w:lang w:val="en-US"/>
        </w:rPr>
        <w:t>ն</w:t>
      </w:r>
      <w:r w:rsidRPr="00C921DE">
        <w:rPr>
          <w:rFonts w:ascii="GHEA Grapalat" w:hAnsi="GHEA Grapalat"/>
          <w:sz w:val="22"/>
          <w:szCs w:val="22"/>
          <w:lang w:val="en-US"/>
        </w:rPr>
        <w:t xml:space="preserve"> շարունակվել է պարգևավճարների տրամադրումը ՀՄՊ և այլ պետություններում մարտական գործողությունների մասնակիցներին, </w:t>
      </w:r>
      <w:r w:rsidR="008D75F7" w:rsidRPr="00C921DE">
        <w:rPr>
          <w:rFonts w:ascii="GHEA Grapalat" w:hAnsi="GHEA Grapalat"/>
          <w:sz w:val="22"/>
          <w:szCs w:val="22"/>
          <w:lang w:val="en-US"/>
        </w:rPr>
        <w:t>ՀՀ</w:t>
      </w:r>
      <w:r w:rsidRPr="00C921DE">
        <w:rPr>
          <w:rFonts w:ascii="GHEA Grapalat" w:hAnsi="GHEA Grapalat"/>
          <w:sz w:val="22"/>
          <w:szCs w:val="22"/>
          <w:lang w:val="en-US"/>
        </w:rPr>
        <w:t xml:space="preserve"> պաշտպանության ժամանակ կամ զինվորական ծառայության ընթացքում հաշմանդամ դարձած անձանց, Մարտական խաչ շքանշանով պարգևատրված անձանց, զոհված մահացած զինծառայողների ընտանիքներին, ինչպես նաև զոհված՝ ՀՀ նախագահի հրամանագրով հետմահու «Հայաստանի ազգային հերոս» բարձրագույն կոչում ստացած կամ</w:t>
      </w:r>
      <w:r w:rsidR="007510E8" w:rsidRPr="00C921DE">
        <w:rPr>
          <w:rFonts w:ascii="GHEA Grapalat" w:hAnsi="GHEA Grapalat"/>
          <w:sz w:val="22"/>
          <w:szCs w:val="22"/>
          <w:lang w:val="en-US"/>
        </w:rPr>
        <w:t xml:space="preserve"> </w:t>
      </w:r>
      <w:r w:rsidRPr="00C921DE">
        <w:rPr>
          <w:rFonts w:ascii="GHEA Grapalat" w:hAnsi="GHEA Grapalat"/>
          <w:sz w:val="22"/>
          <w:szCs w:val="22"/>
          <w:lang w:val="en-US"/>
        </w:rPr>
        <w:t xml:space="preserve">«Մարտական խաչ» շքանշանով պարգևատրված անձի ընտանիքի անդամներին: 2023 </w:t>
      </w:r>
      <w:r w:rsidR="00505CF8" w:rsidRPr="00C921DE">
        <w:rPr>
          <w:rFonts w:ascii="GHEA Grapalat" w:hAnsi="GHEA Grapalat"/>
          <w:sz w:val="22"/>
          <w:szCs w:val="22"/>
          <w:lang w:val="en-US"/>
        </w:rPr>
        <w:t>թվականի</w:t>
      </w:r>
      <w:r w:rsidR="00BE68C5" w:rsidRPr="00C921DE">
        <w:rPr>
          <w:rFonts w:ascii="GHEA Grapalat" w:hAnsi="GHEA Grapalat"/>
          <w:sz w:val="22"/>
          <w:szCs w:val="22"/>
          <w:lang w:val="en-US"/>
        </w:rPr>
        <w:t xml:space="preserve">ն </w:t>
      </w:r>
      <w:r w:rsidRPr="00C921DE">
        <w:rPr>
          <w:rFonts w:ascii="GHEA Grapalat" w:hAnsi="GHEA Grapalat"/>
          <w:sz w:val="22"/>
          <w:szCs w:val="22"/>
          <w:lang w:val="en-US"/>
        </w:rPr>
        <w:t xml:space="preserve">պահպանվել են 2022 </w:t>
      </w:r>
      <w:r w:rsidR="00505CF8" w:rsidRPr="00C921DE">
        <w:rPr>
          <w:rFonts w:ascii="GHEA Grapalat" w:hAnsi="GHEA Grapalat"/>
          <w:sz w:val="22"/>
          <w:szCs w:val="22"/>
          <w:lang w:val="en-US"/>
        </w:rPr>
        <w:t>թվականի</w:t>
      </w:r>
      <w:r w:rsidRPr="00C921DE">
        <w:rPr>
          <w:rFonts w:ascii="GHEA Grapalat" w:hAnsi="GHEA Grapalat"/>
          <w:sz w:val="22"/>
          <w:szCs w:val="22"/>
          <w:lang w:val="en-US"/>
        </w:rPr>
        <w:t xml:space="preserve"> համար սահմանված պարգևավճարի չափերը։</w:t>
      </w:r>
    </w:p>
    <w:p w14:paraId="173086C3" w14:textId="77777777" w:rsidR="004E0479" w:rsidRPr="00C921DE" w:rsidRDefault="004E0479" w:rsidP="00AC199C">
      <w:pPr>
        <w:spacing w:line="360" w:lineRule="auto"/>
        <w:ind w:firstLine="567"/>
        <w:jc w:val="both"/>
        <w:rPr>
          <w:rFonts w:ascii="GHEA Grapalat" w:hAnsi="GHEA Grapalat"/>
          <w:sz w:val="22"/>
          <w:szCs w:val="22"/>
          <w:lang w:val="en-US"/>
        </w:rPr>
      </w:pPr>
    </w:p>
    <w:p w14:paraId="3BAEB5AA" w14:textId="77777777" w:rsidR="001C411D" w:rsidRPr="00C921DE" w:rsidRDefault="001C411D" w:rsidP="00AC199C">
      <w:pPr>
        <w:pStyle w:val="Heading2"/>
        <w:spacing w:before="0"/>
      </w:pPr>
      <w:bookmarkStart w:id="52" w:name="_Toc163745439"/>
      <w:r w:rsidRPr="00C921DE">
        <w:lastRenderedPageBreak/>
        <w:t>Շրջակա միջավայր</w:t>
      </w:r>
      <w:bookmarkEnd w:id="52"/>
    </w:p>
    <w:p w14:paraId="387C17E5" w14:textId="77777777" w:rsidR="001C411D" w:rsidRPr="00C921DE" w:rsidRDefault="001C411D" w:rsidP="00AC199C">
      <w:pPr>
        <w:spacing w:line="360" w:lineRule="auto"/>
        <w:ind w:left="567"/>
        <w:jc w:val="both"/>
        <w:rPr>
          <w:rFonts w:ascii="GHEA Grapalat" w:hAnsi="GHEA Grapalat"/>
          <w:sz w:val="22"/>
          <w:szCs w:val="22"/>
          <w:u w:val="single"/>
          <w:lang w:val="en-US"/>
        </w:rPr>
      </w:pPr>
      <w:r w:rsidRPr="00C921DE">
        <w:rPr>
          <w:rFonts w:ascii="GHEA Grapalat" w:hAnsi="GHEA Grapalat"/>
          <w:sz w:val="22"/>
          <w:szCs w:val="22"/>
          <w:u w:val="single"/>
          <w:lang w:val="en-US"/>
        </w:rPr>
        <w:t>Բնական պաշարների և բնության հատուկ պահպանվող տարածքների կառավարման և պահպանման բնագավառ</w:t>
      </w:r>
    </w:p>
    <w:p w14:paraId="0BAD7D91" w14:textId="77777777" w:rsidR="003808DE" w:rsidRPr="00C921DE" w:rsidRDefault="003808DE" w:rsidP="00EF4E93">
      <w:pPr>
        <w:spacing w:line="360" w:lineRule="auto"/>
        <w:ind w:firstLine="567"/>
        <w:jc w:val="both"/>
        <w:rPr>
          <w:rFonts w:ascii="GHEA Grapalat" w:hAnsi="GHEA Grapalat"/>
          <w:sz w:val="22"/>
          <w:szCs w:val="22"/>
        </w:rPr>
      </w:pPr>
      <w:r w:rsidRPr="00C921DE">
        <w:rPr>
          <w:rFonts w:ascii="GHEA Grapalat" w:hAnsi="GHEA Grapalat"/>
          <w:sz w:val="22"/>
          <w:szCs w:val="22"/>
        </w:rPr>
        <w:t>Հաշվետու տարում իրականացվել է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w:t>
      </w:r>
      <w:r w:rsidR="00EF4E93" w:rsidRPr="00C921DE">
        <w:rPr>
          <w:rFonts w:ascii="GHEA Grapalat" w:hAnsi="GHEA Grapalat"/>
          <w:sz w:val="22"/>
          <w:szCs w:val="22"/>
        </w:rPr>
        <w:noBreakHyphen/>
      </w:r>
      <w:r w:rsidRPr="00C921DE">
        <w:rPr>
          <w:rFonts w:ascii="GHEA Grapalat" w:hAnsi="GHEA Grapalat"/>
          <w:sz w:val="22"/>
          <w:szCs w:val="22"/>
        </w:rPr>
        <w:t>ի տնօրինության ներքո գտնվող բնության հատուկ պահպանվող տարածք</w:t>
      </w:r>
      <w:r w:rsidRPr="00C921DE">
        <w:rPr>
          <w:rFonts w:ascii="GHEA Grapalat" w:hAnsi="GHEA Grapalat"/>
          <w:sz w:val="22"/>
          <w:szCs w:val="22"/>
        </w:rPr>
        <w:softHyphen/>
        <w:t>ներում բնական էկոհամակարգերի, լանդշաֆտային ու կենսաբանական բազ</w:t>
      </w:r>
      <w:r w:rsidRPr="00C921DE">
        <w:rPr>
          <w:rFonts w:ascii="GHEA Grapalat" w:hAnsi="GHEA Grapalat"/>
          <w:sz w:val="22"/>
          <w:szCs w:val="22"/>
        </w:rPr>
        <w:softHyphen/>
        <w:t>մազանության, գենոֆոնդի, բնության ժառանգության գիտական ուսումնասիրության, պահ</w:t>
      </w:r>
      <w:r w:rsidRPr="00C921DE">
        <w:rPr>
          <w:rFonts w:ascii="GHEA Grapalat" w:hAnsi="GHEA Grapalat"/>
          <w:sz w:val="22"/>
          <w:szCs w:val="22"/>
        </w:rPr>
        <w:softHyphen/>
        <w:t>պա</w:t>
      </w:r>
      <w:r w:rsidRPr="00C921DE">
        <w:rPr>
          <w:rFonts w:ascii="GHEA Grapalat" w:hAnsi="GHEA Grapalat"/>
          <w:sz w:val="22"/>
          <w:szCs w:val="22"/>
        </w:rPr>
        <w:softHyphen/>
        <w:t>նության, վերականգնման, վերարտադրության, հաշվառման, գույքագրման դիտանցի ապա</w:t>
      </w:r>
      <w:r w:rsidRPr="00C921DE">
        <w:rPr>
          <w:rFonts w:ascii="GHEA Grapalat" w:hAnsi="GHEA Grapalat"/>
          <w:sz w:val="22"/>
          <w:szCs w:val="22"/>
        </w:rPr>
        <w:softHyphen/>
        <w:t>հովում, ինչպես նաև տնկարկների պահպանություն և պաշտպանություն։ Սահմանվել են ՀՀ ջրային տարածքներում սոցիալական նպատակնե</w:t>
      </w:r>
      <w:r w:rsidR="00C61B46" w:rsidRPr="00C921DE">
        <w:rPr>
          <w:rFonts w:ascii="GHEA Grapalat" w:hAnsi="GHEA Grapalat"/>
          <w:sz w:val="22"/>
          <w:szCs w:val="22"/>
        </w:rPr>
        <w:t>րով որսի (սիրողական ձկնորսությա</w:t>
      </w:r>
      <w:r w:rsidRPr="00C921DE">
        <w:rPr>
          <w:rFonts w:ascii="GHEA Grapalat" w:hAnsi="GHEA Grapalat"/>
          <w:sz w:val="22"/>
          <w:szCs w:val="22"/>
        </w:rPr>
        <w:t>ն) համար նախատեսվող օգտագործման թույլատրելի չափաքանակները և որսի ժամկետները, ինչպես նաև որսի կենդանիների համար նախատեսվող 2023-2024 թվականների օգտագործման թույլատրելի չափաքանակները և որսի ժամկետները։ «Սևան» ԱՊ-ի տարածքում ստեղծվել է ևս 4 նոր հանրային լողափ: Առկա 12 հանրային լողափերից մրցութային կարգով պատվիրակվել են 7-ը։ Գործող լողափերը տրամադրվել են վարձակալական հիմունքներով՝ սահմանելով բարձր բնապահպանական («ecofriendly») պահանջներ, մնացած 5-ի հ</w:t>
      </w:r>
      <w:r w:rsidR="00BB7D2E" w:rsidRPr="00C921DE">
        <w:rPr>
          <w:rFonts w:ascii="GHEA Grapalat" w:hAnsi="GHEA Grapalat"/>
          <w:sz w:val="22"/>
          <w:szCs w:val="22"/>
        </w:rPr>
        <w:t>ամար հայտարարվել են մրցույթներ:</w:t>
      </w:r>
    </w:p>
    <w:p w14:paraId="19B6E132" w14:textId="62BB01F1" w:rsidR="001C411D" w:rsidRPr="00C921DE" w:rsidRDefault="001C411D" w:rsidP="00034CB9">
      <w:pPr>
        <w:spacing w:line="360" w:lineRule="auto"/>
        <w:ind w:firstLine="567"/>
        <w:jc w:val="both"/>
        <w:rPr>
          <w:rFonts w:ascii="GHEA Grapalat" w:hAnsi="GHEA Grapalat"/>
          <w:sz w:val="22"/>
          <w:szCs w:val="22"/>
        </w:rPr>
      </w:pPr>
      <w:r w:rsidRPr="00C921DE">
        <w:rPr>
          <w:rFonts w:ascii="GHEA Grapalat" w:hAnsi="GHEA Grapalat"/>
          <w:i/>
          <w:sz w:val="22"/>
          <w:szCs w:val="22"/>
          <w:lang w:val="en-US"/>
        </w:rPr>
        <w:t>«Սևանա լճում և նրա ջրհավաք ավազանում ձկան և խեցգետնի պաշարների հաշվառում»</w:t>
      </w:r>
      <w:r w:rsidRPr="00C921DE">
        <w:rPr>
          <w:rFonts w:ascii="GHEA Grapalat" w:hAnsi="GHEA Grapalat"/>
          <w:sz w:val="22"/>
          <w:szCs w:val="22"/>
          <w:lang w:val="en-US"/>
        </w:rPr>
        <w:t xml:space="preserve"> </w:t>
      </w:r>
      <w:r w:rsidRPr="00C921DE">
        <w:rPr>
          <w:rFonts w:ascii="GHEA Grapalat" w:hAnsi="GHEA Grapalat"/>
          <w:sz w:val="22"/>
          <w:szCs w:val="22"/>
        </w:rPr>
        <w:t xml:space="preserve">միջոցառման շրջանակներում </w:t>
      </w:r>
      <w:r w:rsidR="004B73B9" w:rsidRPr="00C921DE">
        <w:rPr>
          <w:rFonts w:ascii="GHEA Grapalat" w:hAnsi="GHEA Grapalat"/>
          <w:sz w:val="22"/>
          <w:szCs w:val="22"/>
        </w:rPr>
        <w:t>հետազոտվել են Սևանա լճի ձկնատեսակների և խեցգետնի կենսաբանական և պոպուլյացիոն ցուցանիշները, գնահատվել դրանց պաշարները: Սևանա լճի ձկնատեսակների և խեցգետնի արդյունագործական պաշարներն</w:t>
      </w:r>
      <w:r w:rsidR="001A1456" w:rsidRPr="00C921DE">
        <w:rPr>
          <w:rFonts w:ascii="GHEA Grapalat" w:hAnsi="GHEA Grapalat"/>
          <w:sz w:val="22"/>
          <w:szCs w:val="22"/>
          <w:lang w:val="en-US"/>
        </w:rPr>
        <w:t>,</w:t>
      </w:r>
      <w:r w:rsidR="004B73B9" w:rsidRPr="00C921DE">
        <w:rPr>
          <w:rFonts w:ascii="GHEA Grapalat" w:hAnsi="GHEA Grapalat"/>
          <w:sz w:val="22"/>
          <w:szCs w:val="22"/>
        </w:rPr>
        <w:t xml:space="preserve"> ըստ ՀՀ ԳԱԱ Հիդրոէկոլոգիայի և ձկնաբանության ինստիտուտի</w:t>
      </w:r>
      <w:r w:rsidR="001A1456" w:rsidRPr="00C921DE">
        <w:rPr>
          <w:rFonts w:ascii="GHEA Grapalat" w:hAnsi="GHEA Grapalat"/>
          <w:sz w:val="22"/>
          <w:szCs w:val="22"/>
          <w:lang w:val="en-US"/>
        </w:rPr>
        <w:t>, կազմել են</w:t>
      </w:r>
      <w:r w:rsidR="004B73B9" w:rsidRPr="00C921DE">
        <w:rPr>
          <w:rFonts w:ascii="GHEA Grapalat" w:hAnsi="GHEA Grapalat"/>
          <w:sz w:val="22"/>
          <w:szCs w:val="22"/>
        </w:rPr>
        <w:t xml:space="preserve">. </w:t>
      </w:r>
      <w:r w:rsidR="001A1456" w:rsidRPr="00C921DE">
        <w:rPr>
          <w:rFonts w:ascii="GHEA Grapalat" w:hAnsi="GHEA Grapalat"/>
          <w:sz w:val="22"/>
          <w:szCs w:val="22"/>
          <w:lang w:val="en-US"/>
        </w:rPr>
        <w:t>ս</w:t>
      </w:r>
      <w:r w:rsidR="004B73B9" w:rsidRPr="00C921DE">
        <w:rPr>
          <w:rFonts w:ascii="GHEA Grapalat" w:hAnsi="GHEA Grapalat"/>
          <w:sz w:val="22"/>
          <w:szCs w:val="22"/>
        </w:rPr>
        <w:t>իգ՝ 2023</w:t>
      </w:r>
      <w:r w:rsidR="001A1456" w:rsidRPr="00C921DE">
        <w:rPr>
          <w:rFonts w:ascii="GHEA Grapalat" w:hAnsi="GHEA Grapalat"/>
          <w:sz w:val="22"/>
          <w:szCs w:val="22"/>
        </w:rPr>
        <w:t xml:space="preserve">թ.՝ </w:t>
      </w:r>
      <w:r w:rsidR="004B73B9" w:rsidRPr="00C921DE">
        <w:rPr>
          <w:rFonts w:ascii="GHEA Grapalat" w:hAnsi="GHEA Grapalat"/>
          <w:sz w:val="22"/>
          <w:szCs w:val="22"/>
        </w:rPr>
        <w:t>513</w:t>
      </w:r>
      <w:r w:rsidR="004B73B9" w:rsidRPr="00C921DE">
        <w:rPr>
          <w:rFonts w:ascii="Cambria Math" w:hAnsi="Cambria Math" w:cs="Cambria Math"/>
          <w:sz w:val="22"/>
          <w:szCs w:val="22"/>
        </w:rPr>
        <w:t>․</w:t>
      </w:r>
      <w:r w:rsidR="004B73B9" w:rsidRPr="00C921DE">
        <w:rPr>
          <w:rFonts w:ascii="GHEA Grapalat" w:hAnsi="GHEA Grapalat"/>
          <w:sz w:val="22"/>
          <w:szCs w:val="22"/>
        </w:rPr>
        <w:t>11տ, 2022թ.</w:t>
      </w:r>
      <w:r w:rsidR="001A1456" w:rsidRPr="00C921DE">
        <w:rPr>
          <w:rFonts w:ascii="GHEA Grapalat" w:hAnsi="GHEA Grapalat"/>
          <w:sz w:val="22"/>
          <w:szCs w:val="22"/>
          <w:lang w:val="en-US"/>
        </w:rPr>
        <w:t>՝</w:t>
      </w:r>
      <w:r w:rsidR="004B73B9" w:rsidRPr="00C921DE">
        <w:rPr>
          <w:rFonts w:ascii="GHEA Grapalat" w:hAnsi="GHEA Grapalat"/>
          <w:sz w:val="22"/>
          <w:szCs w:val="22"/>
        </w:rPr>
        <w:t xml:space="preserve"> 622տ, </w:t>
      </w:r>
      <w:r w:rsidR="001A1456" w:rsidRPr="00C921DE">
        <w:rPr>
          <w:rFonts w:ascii="GHEA Grapalat" w:hAnsi="GHEA Grapalat"/>
          <w:sz w:val="22"/>
          <w:szCs w:val="22"/>
          <w:lang w:val="en-US"/>
        </w:rPr>
        <w:t>ա</w:t>
      </w:r>
      <w:r w:rsidR="001A1456" w:rsidRPr="00C921DE">
        <w:rPr>
          <w:rFonts w:ascii="GHEA Grapalat" w:hAnsi="GHEA Grapalat"/>
          <w:sz w:val="22"/>
          <w:szCs w:val="22"/>
        </w:rPr>
        <w:t>րծաթափայլ լճածածան</w:t>
      </w:r>
      <w:r w:rsidR="001A1456" w:rsidRPr="00C921DE">
        <w:rPr>
          <w:rFonts w:ascii="GHEA Grapalat" w:hAnsi="GHEA Grapalat"/>
          <w:sz w:val="22"/>
          <w:szCs w:val="22"/>
          <w:lang w:val="en-US"/>
        </w:rPr>
        <w:t xml:space="preserve"> </w:t>
      </w:r>
      <w:r w:rsidR="004B73B9" w:rsidRPr="00C921DE">
        <w:rPr>
          <w:rFonts w:ascii="GHEA Grapalat" w:hAnsi="GHEA Grapalat"/>
          <w:sz w:val="22"/>
          <w:szCs w:val="22"/>
        </w:rPr>
        <w:t>(կարաս</w:t>
      </w:r>
      <w:r w:rsidR="001A1456" w:rsidRPr="00C921DE">
        <w:rPr>
          <w:rFonts w:ascii="GHEA Grapalat" w:hAnsi="GHEA Grapalat"/>
          <w:sz w:val="22"/>
          <w:szCs w:val="22"/>
          <w:lang w:val="en-US"/>
        </w:rPr>
        <w:t>,</w:t>
      </w:r>
      <w:r w:rsidR="004B73B9" w:rsidRPr="00C921DE">
        <w:rPr>
          <w:rFonts w:ascii="GHEA Grapalat" w:hAnsi="GHEA Grapalat"/>
          <w:sz w:val="22"/>
          <w:szCs w:val="22"/>
        </w:rPr>
        <w:t xml:space="preserve"> Սևանա լճի համար հանդիսանում է անցանկալի ձկնատեսակ)</w:t>
      </w:r>
      <w:r w:rsidR="001A1456" w:rsidRPr="00C921DE">
        <w:rPr>
          <w:rFonts w:ascii="GHEA Grapalat" w:hAnsi="GHEA Grapalat"/>
          <w:sz w:val="22"/>
          <w:szCs w:val="22"/>
          <w:lang w:val="en-US"/>
        </w:rPr>
        <w:t>՝</w:t>
      </w:r>
      <w:r w:rsidR="004B73B9" w:rsidRPr="00C921DE">
        <w:rPr>
          <w:rFonts w:ascii="GHEA Grapalat" w:hAnsi="GHEA Grapalat"/>
          <w:sz w:val="22"/>
          <w:szCs w:val="22"/>
        </w:rPr>
        <w:t xml:space="preserve"> 2023թ</w:t>
      </w:r>
      <w:r w:rsidR="004B73B9" w:rsidRPr="00C921DE">
        <w:rPr>
          <w:rFonts w:ascii="Cambria Math" w:hAnsi="Cambria Math" w:cs="Cambria Math"/>
          <w:sz w:val="22"/>
          <w:szCs w:val="22"/>
        </w:rPr>
        <w:t>․</w:t>
      </w:r>
      <w:r w:rsidR="001A1456" w:rsidRPr="00C921DE">
        <w:rPr>
          <w:rFonts w:ascii="Cambria Math" w:hAnsi="Cambria Math" w:cs="Cambria Math"/>
          <w:sz w:val="22"/>
          <w:szCs w:val="22"/>
          <w:lang w:val="en-US"/>
        </w:rPr>
        <w:t>՝</w:t>
      </w:r>
      <w:r w:rsidR="004B73B9" w:rsidRPr="00C921DE">
        <w:rPr>
          <w:rFonts w:ascii="GHEA Grapalat" w:hAnsi="GHEA Grapalat"/>
          <w:sz w:val="22"/>
          <w:szCs w:val="22"/>
        </w:rPr>
        <w:t xml:space="preserve"> 19տ, 2022թ.</w:t>
      </w:r>
      <w:r w:rsidR="001A1456" w:rsidRPr="00C921DE">
        <w:rPr>
          <w:rFonts w:ascii="GHEA Grapalat" w:hAnsi="GHEA Grapalat"/>
          <w:sz w:val="22"/>
          <w:szCs w:val="22"/>
          <w:lang w:val="en-US"/>
        </w:rPr>
        <w:t>՝</w:t>
      </w:r>
      <w:r w:rsidR="004B73B9" w:rsidRPr="00C921DE">
        <w:rPr>
          <w:rFonts w:ascii="GHEA Grapalat" w:hAnsi="GHEA Grapalat"/>
          <w:sz w:val="22"/>
          <w:szCs w:val="22"/>
        </w:rPr>
        <w:t xml:space="preserve"> 20տ, Սևանի իշխան (ընդհանուր պաշարը,</w:t>
      </w:r>
      <w:r w:rsidR="001A1456" w:rsidRPr="00C921DE">
        <w:rPr>
          <w:rFonts w:ascii="GHEA Grapalat" w:hAnsi="GHEA Grapalat"/>
          <w:sz w:val="22"/>
          <w:szCs w:val="22"/>
          <w:lang w:val="en-US"/>
        </w:rPr>
        <w:t xml:space="preserve"> </w:t>
      </w:r>
      <w:r w:rsidR="004B73B9" w:rsidRPr="00C921DE">
        <w:rPr>
          <w:rFonts w:ascii="GHEA Grapalat" w:hAnsi="GHEA Grapalat"/>
          <w:sz w:val="22"/>
          <w:szCs w:val="22"/>
        </w:rPr>
        <w:t>ոչ արդյունագործական)</w:t>
      </w:r>
      <w:r w:rsidR="001A1456" w:rsidRPr="00C921DE">
        <w:rPr>
          <w:rFonts w:ascii="GHEA Grapalat" w:hAnsi="GHEA Grapalat"/>
          <w:sz w:val="22"/>
          <w:szCs w:val="22"/>
          <w:lang w:val="en-US"/>
        </w:rPr>
        <w:t>՝</w:t>
      </w:r>
      <w:r w:rsidR="004B73B9" w:rsidRPr="00C921DE">
        <w:rPr>
          <w:rFonts w:ascii="GHEA Grapalat" w:hAnsi="GHEA Grapalat"/>
          <w:sz w:val="22"/>
          <w:szCs w:val="22"/>
        </w:rPr>
        <w:t xml:space="preserve"> 2023թ.</w:t>
      </w:r>
      <w:r w:rsidR="001A1456" w:rsidRPr="00C921DE">
        <w:rPr>
          <w:rFonts w:ascii="GHEA Grapalat" w:hAnsi="GHEA Grapalat"/>
          <w:sz w:val="22"/>
          <w:szCs w:val="22"/>
          <w:lang w:val="en-US"/>
        </w:rPr>
        <w:t xml:space="preserve">՝ </w:t>
      </w:r>
      <w:r w:rsidR="004B73B9" w:rsidRPr="00C921DE">
        <w:rPr>
          <w:rFonts w:ascii="GHEA Grapalat" w:hAnsi="GHEA Grapalat"/>
          <w:sz w:val="22"/>
          <w:szCs w:val="22"/>
        </w:rPr>
        <w:t>5</w:t>
      </w:r>
      <w:r w:rsidR="004B73B9" w:rsidRPr="00C921DE">
        <w:rPr>
          <w:rFonts w:ascii="Cambria Math" w:hAnsi="Cambria Math" w:cs="Cambria Math"/>
          <w:sz w:val="22"/>
          <w:szCs w:val="22"/>
        </w:rPr>
        <w:t>․</w:t>
      </w:r>
      <w:r w:rsidR="004B73B9" w:rsidRPr="00C921DE">
        <w:rPr>
          <w:rFonts w:ascii="GHEA Grapalat" w:hAnsi="GHEA Grapalat"/>
          <w:sz w:val="22"/>
          <w:szCs w:val="22"/>
        </w:rPr>
        <w:t>11</w:t>
      </w:r>
      <w:r w:rsidR="00D42FE3" w:rsidRPr="00C921DE">
        <w:rPr>
          <w:rFonts w:ascii="GHEA Grapalat" w:hAnsi="GHEA Grapalat"/>
          <w:sz w:val="22"/>
          <w:szCs w:val="22"/>
        </w:rPr>
        <w:t>տ,</w:t>
      </w:r>
      <w:r w:rsidR="004B73B9" w:rsidRPr="00C921DE">
        <w:rPr>
          <w:rFonts w:ascii="GHEA Grapalat" w:hAnsi="GHEA Grapalat"/>
          <w:sz w:val="22"/>
          <w:szCs w:val="22"/>
        </w:rPr>
        <w:t xml:space="preserve"> 2022թ.</w:t>
      </w:r>
      <w:r w:rsidR="00D42FE3" w:rsidRPr="00C921DE">
        <w:rPr>
          <w:rFonts w:ascii="GHEA Grapalat" w:hAnsi="GHEA Grapalat"/>
          <w:sz w:val="22"/>
          <w:szCs w:val="22"/>
          <w:lang w:val="en-US"/>
        </w:rPr>
        <w:t xml:space="preserve">՝ </w:t>
      </w:r>
      <w:r w:rsidR="004B73B9" w:rsidRPr="00C921DE">
        <w:rPr>
          <w:rFonts w:ascii="GHEA Grapalat" w:hAnsi="GHEA Grapalat"/>
          <w:sz w:val="22"/>
          <w:szCs w:val="22"/>
        </w:rPr>
        <w:t>4.51</w:t>
      </w:r>
      <w:r w:rsidR="00D42FE3" w:rsidRPr="00C921DE">
        <w:rPr>
          <w:rFonts w:ascii="GHEA Grapalat" w:hAnsi="GHEA Grapalat"/>
          <w:sz w:val="22"/>
          <w:szCs w:val="22"/>
        </w:rPr>
        <w:t>տ</w:t>
      </w:r>
      <w:r w:rsidR="004B73B9" w:rsidRPr="00C921DE">
        <w:rPr>
          <w:rFonts w:ascii="GHEA Grapalat" w:hAnsi="GHEA Grapalat"/>
          <w:sz w:val="22"/>
          <w:szCs w:val="22"/>
        </w:rPr>
        <w:t xml:space="preserve">, </w:t>
      </w:r>
      <w:r w:rsidR="00D42FE3" w:rsidRPr="00C921DE">
        <w:rPr>
          <w:rFonts w:ascii="GHEA Grapalat" w:hAnsi="GHEA Grapalat"/>
          <w:sz w:val="22"/>
          <w:szCs w:val="22"/>
          <w:lang w:val="en-US"/>
        </w:rPr>
        <w:t>խ</w:t>
      </w:r>
      <w:r w:rsidR="004B73B9" w:rsidRPr="00C921DE">
        <w:rPr>
          <w:rFonts w:ascii="GHEA Grapalat" w:hAnsi="GHEA Grapalat"/>
          <w:sz w:val="22"/>
          <w:szCs w:val="22"/>
        </w:rPr>
        <w:t>եցգետին՝ 2023թ. (ընդհանուր պաշարը)</w:t>
      </w:r>
      <w:r w:rsidR="00D42FE3" w:rsidRPr="00C921DE">
        <w:rPr>
          <w:rFonts w:ascii="GHEA Grapalat" w:hAnsi="GHEA Grapalat"/>
          <w:sz w:val="22"/>
          <w:szCs w:val="22"/>
          <w:lang w:val="en-US"/>
        </w:rPr>
        <w:t>՝</w:t>
      </w:r>
      <w:r w:rsidR="004B73B9" w:rsidRPr="00C921DE">
        <w:rPr>
          <w:rFonts w:ascii="GHEA Grapalat" w:hAnsi="GHEA Grapalat"/>
          <w:sz w:val="22"/>
          <w:szCs w:val="22"/>
        </w:rPr>
        <w:t xml:space="preserve"> 95տ</w:t>
      </w:r>
      <w:r w:rsidR="00D42FE3" w:rsidRPr="00C921DE">
        <w:rPr>
          <w:rFonts w:ascii="Cambria Math" w:hAnsi="Cambria Math" w:cs="Cambria Math"/>
          <w:sz w:val="22"/>
          <w:szCs w:val="22"/>
        </w:rPr>
        <w:t>,</w:t>
      </w:r>
      <w:r w:rsidR="004B73B9" w:rsidRPr="00C921DE">
        <w:rPr>
          <w:rFonts w:ascii="GHEA Grapalat" w:hAnsi="GHEA Grapalat"/>
          <w:sz w:val="22"/>
          <w:szCs w:val="22"/>
        </w:rPr>
        <w:t xml:space="preserve"> 2022թ</w:t>
      </w:r>
      <w:r w:rsidR="004B73B9" w:rsidRPr="00C921DE">
        <w:rPr>
          <w:rFonts w:ascii="Cambria Math" w:hAnsi="Cambria Math" w:cs="Cambria Math"/>
          <w:sz w:val="22"/>
          <w:szCs w:val="22"/>
        </w:rPr>
        <w:t>․</w:t>
      </w:r>
      <w:r w:rsidR="00D42FE3" w:rsidRPr="00C921DE">
        <w:rPr>
          <w:rFonts w:ascii="Cambria Math" w:hAnsi="Cambria Math" w:cs="Cambria Math"/>
          <w:sz w:val="22"/>
          <w:szCs w:val="22"/>
          <w:lang w:val="en-US"/>
        </w:rPr>
        <w:t>՝</w:t>
      </w:r>
      <w:r w:rsidR="004B73B9" w:rsidRPr="00C921DE">
        <w:rPr>
          <w:rFonts w:ascii="GHEA Grapalat" w:hAnsi="GHEA Grapalat"/>
          <w:sz w:val="22"/>
          <w:szCs w:val="22"/>
        </w:rPr>
        <w:t xml:space="preserve"> 69տ: Սիգի արդյունագործական որսի թույլատրելի սահմանաչափը 2023 թվականին ևս սահմանվել է 600 տոն</w:t>
      </w:r>
      <w:r w:rsidR="0074496F" w:rsidRPr="00C921DE">
        <w:rPr>
          <w:rFonts w:ascii="GHEA Grapalat" w:hAnsi="GHEA Grapalat"/>
          <w:sz w:val="22"/>
          <w:szCs w:val="22"/>
        </w:rPr>
        <w:t>նա, որից փաստացի որսվել է 390.8</w:t>
      </w:r>
      <w:r w:rsidR="00440869" w:rsidRPr="00C921DE">
        <w:rPr>
          <w:rFonts w:ascii="GHEA Grapalat" w:hAnsi="GHEA Grapalat"/>
          <w:sz w:val="22"/>
          <w:szCs w:val="22"/>
          <w:lang w:val="en-US"/>
        </w:rPr>
        <w:t xml:space="preserve"> </w:t>
      </w:r>
      <w:r w:rsidR="004B73B9" w:rsidRPr="00C921DE">
        <w:rPr>
          <w:rFonts w:ascii="GHEA Grapalat" w:hAnsi="GHEA Grapalat"/>
          <w:sz w:val="22"/>
          <w:szCs w:val="22"/>
        </w:rPr>
        <w:t>տ, որի դիմաց հաշվարկված բնօգտագործման վճարը կազմե</w:t>
      </w:r>
      <w:r w:rsidR="0074496F" w:rsidRPr="00C921DE">
        <w:rPr>
          <w:rFonts w:ascii="GHEA Grapalat" w:hAnsi="GHEA Grapalat"/>
          <w:sz w:val="22"/>
          <w:szCs w:val="22"/>
        </w:rPr>
        <w:t>լ է 25.4 մլն դրամ, որը մոտ 11.4</w:t>
      </w:r>
      <w:r w:rsidR="0074496F" w:rsidRPr="00C921DE">
        <w:rPr>
          <w:rFonts w:ascii="Calibri" w:hAnsi="Calibri" w:cs="Calibri"/>
          <w:sz w:val="22"/>
          <w:szCs w:val="22"/>
          <w:lang w:val="en-US"/>
        </w:rPr>
        <w:t> </w:t>
      </w:r>
      <w:r w:rsidR="004B73B9" w:rsidRPr="00C921DE">
        <w:rPr>
          <w:rFonts w:ascii="GHEA Grapalat" w:hAnsi="GHEA Grapalat"/>
          <w:sz w:val="22"/>
          <w:szCs w:val="22"/>
        </w:rPr>
        <w:t>մլն դրամով պակաս է նախորդ տարվա նույն ցուցանիշից։ Կնքվել է 15 պայմանագիր, ներգրավվել է 965 ձկնորս</w:t>
      </w:r>
      <w:r w:rsidR="0074496F" w:rsidRPr="00C921DE">
        <w:rPr>
          <w:rFonts w:ascii="GHEA Grapalat" w:hAnsi="GHEA Grapalat"/>
          <w:sz w:val="22"/>
          <w:szCs w:val="22"/>
          <w:lang w:val="en-US"/>
        </w:rPr>
        <w:t>՝</w:t>
      </w:r>
      <w:r w:rsidR="004B73B9" w:rsidRPr="00C921DE">
        <w:rPr>
          <w:rFonts w:ascii="GHEA Grapalat" w:hAnsi="GHEA Grapalat"/>
          <w:sz w:val="22"/>
          <w:szCs w:val="22"/>
        </w:rPr>
        <w:t xml:space="preserve"> նախորդ տարվա շուրջ 800 ձկնորսի փոխարեն։ Սևանա լճի կենսապաշարի հաշվառման արդյունքում արձանագրվել է կայուն դինամիկա։ Կառավարության կողմից </w:t>
      </w:r>
      <w:r w:rsidR="004B73B9" w:rsidRPr="00C921DE">
        <w:rPr>
          <w:rFonts w:ascii="GHEA Grapalat" w:hAnsi="GHEA Grapalat"/>
          <w:sz w:val="22"/>
          <w:szCs w:val="22"/>
        </w:rPr>
        <w:lastRenderedPageBreak/>
        <w:t>հավանության է արժանացել սիգի ապօրինի որսի և վաճառքի վարչական և քրեական պատասխանատվությունը խստացնող</w:t>
      </w:r>
      <w:r w:rsidR="00EF4E93" w:rsidRPr="00C921DE">
        <w:rPr>
          <w:rFonts w:ascii="GHEA Grapalat" w:hAnsi="GHEA Grapalat"/>
          <w:sz w:val="22"/>
          <w:szCs w:val="22"/>
        </w:rPr>
        <w:t xml:space="preserve"> </w:t>
      </w:r>
      <w:r w:rsidR="004B73B9" w:rsidRPr="00C921DE">
        <w:rPr>
          <w:rFonts w:ascii="GHEA Grapalat" w:hAnsi="GHEA Grapalat"/>
          <w:sz w:val="22"/>
          <w:szCs w:val="22"/>
        </w:rPr>
        <w:t>օրինագիծը։ Երակարաձգվել է սիգի ձկնկիթի արտահանման արգելքը։ «Սևան» ԱՊ» ՊՈԱԿ-ի իրավախատումների հայտնաբերման միջոցառումների արդյունքում լճից դուրս է բերվել 919 խեցգետնորսիչ</w:t>
      </w:r>
      <w:r w:rsidR="0074496F" w:rsidRPr="00C921DE">
        <w:rPr>
          <w:rFonts w:ascii="GHEA Grapalat" w:hAnsi="GHEA Grapalat"/>
          <w:sz w:val="22"/>
          <w:szCs w:val="22"/>
          <w:lang w:val="en-US"/>
        </w:rPr>
        <w:t>,</w:t>
      </w:r>
      <w:r w:rsidR="004B73B9" w:rsidRPr="00C921DE">
        <w:rPr>
          <w:rFonts w:ascii="GHEA Grapalat" w:hAnsi="GHEA Grapalat"/>
          <w:sz w:val="22"/>
          <w:szCs w:val="22"/>
        </w:rPr>
        <w:t xml:space="preserve"> և լիճ է վերադարձվել 638 կենդանի խեցգետին։ Սևանի իշխանի պաշարների վերականգնման և ձկնաբուծության զարգացման հիմնադրամի առողջացմանն ուղղված աջակցության արդյունքում Սևանա լիճ է բաց թողնվել 231732 հատ գեղարքունի իշխանի մանրաձուկ:</w:t>
      </w:r>
    </w:p>
    <w:p w14:paraId="17E9F383" w14:textId="0D0CAB75" w:rsidR="001C411D" w:rsidRPr="00C921DE" w:rsidRDefault="001C411D" w:rsidP="00034CB9">
      <w:pPr>
        <w:spacing w:line="360" w:lineRule="auto"/>
        <w:ind w:firstLine="567"/>
        <w:jc w:val="both"/>
        <w:rPr>
          <w:rFonts w:ascii="GHEA Grapalat" w:hAnsi="GHEA Grapalat"/>
          <w:sz w:val="22"/>
          <w:szCs w:val="22"/>
        </w:rPr>
      </w:pPr>
      <w:r w:rsidRPr="00C921DE">
        <w:rPr>
          <w:rFonts w:ascii="GHEA Grapalat" w:hAnsi="GHEA Grapalat"/>
          <w:i/>
          <w:sz w:val="22"/>
          <w:szCs w:val="22"/>
          <w:lang w:val="en-US"/>
        </w:rPr>
        <w:t>«Սևանա լճի ջրածածկ անտառտնկարկների մաքրում</w:t>
      </w:r>
      <w:r w:rsidRPr="00C921DE">
        <w:rPr>
          <w:rFonts w:ascii="GHEA Grapalat" w:hAnsi="GHEA Grapalat"/>
          <w:i/>
          <w:sz w:val="22"/>
          <w:szCs w:val="22"/>
        </w:rPr>
        <w:t>»:</w:t>
      </w:r>
      <w:r w:rsidRPr="00C921DE">
        <w:rPr>
          <w:rFonts w:ascii="GHEA Grapalat" w:hAnsi="GHEA Grapalat"/>
          <w:sz w:val="22"/>
          <w:szCs w:val="22"/>
        </w:rPr>
        <w:t xml:space="preserve"> </w:t>
      </w:r>
      <w:r w:rsidR="000107A9" w:rsidRPr="00C921DE">
        <w:rPr>
          <w:rFonts w:ascii="GHEA Grapalat" w:hAnsi="GHEA Grapalat"/>
          <w:sz w:val="22"/>
          <w:szCs w:val="22"/>
        </w:rPr>
        <w:t>Սևանա լճի շրջակայքում ջրածածկ և ջրածածկման ենթակա տարածքներում անտառմաքրման աշխատանքների իրականաց</w:t>
      </w:r>
      <w:r w:rsidR="0074496F" w:rsidRPr="00C921DE">
        <w:rPr>
          <w:rFonts w:ascii="GHEA Grapalat" w:hAnsi="GHEA Grapalat"/>
          <w:sz w:val="22"/>
          <w:szCs w:val="22"/>
          <w:lang w:val="en-US"/>
        </w:rPr>
        <w:t>ու</w:t>
      </w:r>
      <w:r w:rsidR="000107A9" w:rsidRPr="00C921DE">
        <w:rPr>
          <w:rFonts w:ascii="GHEA Grapalat" w:hAnsi="GHEA Grapalat"/>
          <w:sz w:val="22"/>
          <w:szCs w:val="22"/>
        </w:rPr>
        <w:t>մ միջոցառման շրջանակներում նախատեսվել է աշխատանքներն իրականացնել և՛ կապալառու կազմակերպության, և՛ «Սևան» ազգային պարկ» ՊՈԱԿ-ի կողմից։ Կապալառու կազմակերպության հետ պ</w:t>
      </w:r>
      <w:r w:rsidR="007269AD" w:rsidRPr="00C921DE">
        <w:rPr>
          <w:rFonts w:ascii="GHEA Grapalat" w:hAnsi="GHEA Grapalat"/>
          <w:sz w:val="22"/>
          <w:szCs w:val="22"/>
        </w:rPr>
        <w:t>այման</w:t>
      </w:r>
      <w:r w:rsidR="00CF7F7B" w:rsidRPr="00C921DE">
        <w:rPr>
          <w:rFonts w:ascii="GHEA Grapalat" w:hAnsi="GHEA Grapalat"/>
          <w:sz w:val="22"/>
          <w:szCs w:val="22"/>
          <w:lang w:val="en-US"/>
        </w:rPr>
        <w:t>ա</w:t>
      </w:r>
      <w:r w:rsidR="007269AD" w:rsidRPr="00C921DE">
        <w:rPr>
          <w:rFonts w:ascii="GHEA Grapalat" w:hAnsi="GHEA Grapalat"/>
          <w:sz w:val="22"/>
          <w:szCs w:val="22"/>
        </w:rPr>
        <w:t>գիր չի կնքվել,</w:t>
      </w:r>
      <w:r w:rsidR="000107A9" w:rsidRPr="00C921DE">
        <w:rPr>
          <w:rFonts w:ascii="GHEA Grapalat" w:hAnsi="GHEA Grapalat"/>
          <w:sz w:val="22"/>
          <w:szCs w:val="22"/>
        </w:rPr>
        <w:t xml:space="preserve"> մրցույթը համարվել է չկայացած, իսկ միջոցառման գծով չծախսված գումարը, կառավարության 13</w:t>
      </w:r>
      <w:r w:rsidR="000107A9" w:rsidRPr="00C921DE">
        <w:rPr>
          <w:rFonts w:ascii="Cambria Math" w:hAnsi="Cambria Math" w:cs="Cambria Math"/>
          <w:sz w:val="22"/>
          <w:szCs w:val="22"/>
        </w:rPr>
        <w:t>․</w:t>
      </w:r>
      <w:r w:rsidR="000107A9" w:rsidRPr="00C921DE">
        <w:rPr>
          <w:rFonts w:ascii="GHEA Grapalat" w:hAnsi="GHEA Grapalat"/>
          <w:sz w:val="22"/>
          <w:szCs w:val="22"/>
        </w:rPr>
        <w:t>09</w:t>
      </w:r>
      <w:r w:rsidR="000107A9" w:rsidRPr="00C921DE">
        <w:rPr>
          <w:rFonts w:ascii="Cambria Math" w:hAnsi="Cambria Math" w:cs="Cambria Math"/>
          <w:sz w:val="22"/>
          <w:szCs w:val="22"/>
        </w:rPr>
        <w:t>․</w:t>
      </w:r>
      <w:r w:rsidR="000107A9" w:rsidRPr="00C921DE">
        <w:rPr>
          <w:rFonts w:ascii="GHEA Grapalat" w:hAnsi="GHEA Grapalat"/>
          <w:sz w:val="22"/>
          <w:szCs w:val="22"/>
        </w:rPr>
        <w:t>2023</w:t>
      </w:r>
      <w:r w:rsidR="000107A9" w:rsidRPr="00C921DE">
        <w:rPr>
          <w:rFonts w:ascii="GHEA Grapalat" w:hAnsi="GHEA Grapalat" w:cs="GHEA Grapalat"/>
          <w:sz w:val="22"/>
          <w:szCs w:val="22"/>
        </w:rPr>
        <w:t>թ</w:t>
      </w:r>
      <w:r w:rsidR="000107A9" w:rsidRPr="00C921DE">
        <w:rPr>
          <w:rFonts w:ascii="Cambria Math" w:hAnsi="Cambria Math" w:cs="Cambria Math"/>
          <w:sz w:val="22"/>
          <w:szCs w:val="22"/>
        </w:rPr>
        <w:t>․</w:t>
      </w:r>
      <w:r w:rsidR="000107A9" w:rsidRPr="00C921DE">
        <w:rPr>
          <w:rFonts w:ascii="GHEA Grapalat" w:hAnsi="GHEA Grapalat"/>
          <w:sz w:val="22"/>
          <w:szCs w:val="22"/>
        </w:rPr>
        <w:t xml:space="preserve"> N1594-Ն որոշմամբ, ուղղվել է</w:t>
      </w:r>
      <w:r w:rsidR="007269AD" w:rsidRPr="00C921DE">
        <w:rPr>
          <w:rFonts w:ascii="GHEA Grapalat" w:hAnsi="GHEA Grapalat"/>
          <w:sz w:val="22"/>
          <w:szCs w:val="22"/>
          <w:lang w:val="en-US"/>
        </w:rPr>
        <w:t xml:space="preserve"> ՀՀ</w:t>
      </w:r>
      <w:r w:rsidR="000107A9" w:rsidRPr="00C921DE">
        <w:rPr>
          <w:rFonts w:ascii="GHEA Grapalat" w:hAnsi="GHEA Grapalat"/>
          <w:sz w:val="22"/>
          <w:szCs w:val="22"/>
        </w:rPr>
        <w:t xml:space="preserve"> կառավարության պահուստային ֆոնդ։ «Սևան» ազգային պարկ» ՊՈԱԿ-ի կողմից մինչ օրս մաքրվել է 24 հա ջրածածկ անտառային տարածք։</w:t>
      </w:r>
    </w:p>
    <w:p w14:paraId="052FB2D9" w14:textId="77777777" w:rsidR="00F8652C" w:rsidRPr="00C921DE" w:rsidRDefault="00BB7D2E" w:rsidP="00BC0946">
      <w:pPr>
        <w:spacing w:line="360" w:lineRule="auto"/>
        <w:ind w:firstLine="567"/>
        <w:jc w:val="both"/>
        <w:rPr>
          <w:rFonts w:ascii="GHEA Grapalat" w:hAnsi="GHEA Grapalat"/>
          <w:sz w:val="22"/>
          <w:szCs w:val="22"/>
        </w:rPr>
      </w:pPr>
      <w:r w:rsidRPr="00C921DE">
        <w:rPr>
          <w:rFonts w:ascii="GHEA Grapalat" w:hAnsi="GHEA Grapalat"/>
          <w:i/>
          <w:sz w:val="22"/>
          <w:szCs w:val="22"/>
        </w:rPr>
        <w:t>Գերմանիայի զարգացման վարկերի բանկի (KFW) կողմից տրամադրվող դրամաշնորհային ծրագրի շրջանակներում ՀՀ Սյունիքի մարզի բնության հատուկ պահպանվող տարածքների կառավարման բարելավմանն ուղղված ծրագրերի իրականացում</w:t>
      </w:r>
      <w:r w:rsidR="001C411D" w:rsidRPr="00C921DE">
        <w:rPr>
          <w:rFonts w:ascii="GHEA Grapalat" w:hAnsi="GHEA Grapalat"/>
          <w:sz w:val="22"/>
          <w:szCs w:val="22"/>
        </w:rPr>
        <w:t xml:space="preserve"> ծրագրի շրջանակներում </w:t>
      </w:r>
      <w:r w:rsidR="000107A9" w:rsidRPr="00C921DE">
        <w:rPr>
          <w:rFonts w:ascii="GHEA Grapalat" w:hAnsi="GHEA Grapalat"/>
          <w:sz w:val="22"/>
          <w:szCs w:val="22"/>
        </w:rPr>
        <w:t xml:space="preserve">2023 թվականին իրականացվել է Շիկահող պետական արգելոցի հարակից 4 բնակավայրերի (Ծավ, Շիկահող, Սրաշեն, Ներքին Հանդ) 247 տնային տնտեսություններին </w:t>
      </w:r>
      <w:r w:rsidR="007269AD" w:rsidRPr="00C921DE">
        <w:rPr>
          <w:rFonts w:ascii="GHEA Grapalat" w:hAnsi="GHEA Grapalat"/>
          <w:sz w:val="22"/>
          <w:szCs w:val="22"/>
          <w:lang w:val="en-US"/>
        </w:rPr>
        <w:t>է</w:t>
      </w:r>
      <w:r w:rsidR="000107A9" w:rsidRPr="00C921DE">
        <w:rPr>
          <w:rFonts w:ascii="GHEA Grapalat" w:hAnsi="GHEA Grapalat"/>
          <w:sz w:val="22"/>
          <w:szCs w:val="22"/>
        </w:rPr>
        <w:t xml:space="preserve">ներգախնայող վառարանների տրամադրում։ Կազմակերպվել է Մեղրի խոշորացված համայնքի 11 գյուղական բնակավայրերի յուրաքանչյուր տնային տնտեսությունում 9 ք/մ եվրոպատուհանի տեղադրման մրցույթ։ Շրջակա միջավայրի նախարարության «Զանգեզուր» կենսոլորտային </w:t>
      </w:r>
      <w:r w:rsidR="007269AD" w:rsidRPr="00C921DE">
        <w:rPr>
          <w:rFonts w:ascii="GHEA Grapalat" w:hAnsi="GHEA Grapalat"/>
          <w:sz w:val="22"/>
          <w:szCs w:val="22"/>
        </w:rPr>
        <w:t>համալիր ՊՈԱԿ-ի, «Հայանտառ» ՊՈԱԿ</w:t>
      </w:r>
      <w:r w:rsidR="007269AD" w:rsidRPr="00C921DE">
        <w:rPr>
          <w:rFonts w:ascii="GHEA Grapalat" w:hAnsi="GHEA Grapalat"/>
          <w:sz w:val="22"/>
          <w:szCs w:val="22"/>
        </w:rPr>
        <w:noBreakHyphen/>
      </w:r>
      <w:r w:rsidR="000107A9" w:rsidRPr="00C921DE">
        <w:rPr>
          <w:rFonts w:ascii="GHEA Grapalat" w:hAnsi="GHEA Grapalat"/>
          <w:sz w:val="22"/>
          <w:szCs w:val="22"/>
        </w:rPr>
        <w:t>ի Կապանի անտառտնտեսություն մասնաճյուղի և Հարավային ջրավազանային տարածքային կառավարման բաժնի պատշաճ գործունեության նպատակով Սյունիքի մարզի Կապան քաղաքում</w:t>
      </w:r>
      <w:r w:rsidR="00562E62" w:rsidRPr="00C921DE">
        <w:rPr>
          <w:rFonts w:ascii="GHEA Grapalat" w:hAnsi="GHEA Grapalat"/>
          <w:sz w:val="22"/>
          <w:szCs w:val="22"/>
        </w:rPr>
        <w:t xml:space="preserve"> 556</w:t>
      </w:r>
      <w:r w:rsidR="00562E62" w:rsidRPr="00C921DE">
        <w:rPr>
          <w:rFonts w:ascii="Calibri" w:hAnsi="Calibri" w:cs="Calibri"/>
          <w:sz w:val="22"/>
          <w:szCs w:val="22"/>
          <w:lang w:val="en-US"/>
        </w:rPr>
        <w:t> </w:t>
      </w:r>
      <w:r w:rsidR="000107A9" w:rsidRPr="00C921DE">
        <w:rPr>
          <w:rFonts w:ascii="GHEA Grapalat" w:hAnsi="GHEA Grapalat"/>
          <w:sz w:val="22"/>
          <w:szCs w:val="22"/>
        </w:rPr>
        <w:t xml:space="preserve">ք/մ տարածքով ձեռք բերված վարչական շենքի շինարարության համար ևս հայտարարվել է մրցույթ։ Մրցույթի արդյունքները գնահատվել են գնահատող հանձնաժողովի կողմից և ստացվել են բոլոր հաստատումները։ Ներկա պահին պայմանագիրը պատրաստ է և սպասում է ստորագրության։ Ընթացքի մեջ է գտնվում նաև «Շիկահող» պետական արգելոցի, «Խուստուփ», «Զանգեզուր», «Սոսու պուրակ», «Սև լիճ», «Արևիք» և «Բողաքար» պետական արգելավայրերի կառավարման պլանների մշակումը։ Ծրագրի շրջանակներում 2023 թվականին նախատեսված աշխատանքների մեծ մասն </w:t>
      </w:r>
      <w:r w:rsidR="000107A9" w:rsidRPr="00C921DE">
        <w:rPr>
          <w:rFonts w:ascii="GHEA Grapalat" w:hAnsi="GHEA Grapalat"/>
          <w:sz w:val="22"/>
          <w:szCs w:val="22"/>
        </w:rPr>
        <w:lastRenderedPageBreak/>
        <w:t xml:space="preserve">իրականացված չէ՝ </w:t>
      </w:r>
      <w:r w:rsidR="00562E62" w:rsidRPr="00C921DE">
        <w:rPr>
          <w:rFonts w:ascii="GHEA Grapalat" w:hAnsi="GHEA Grapalat"/>
          <w:sz w:val="22"/>
          <w:szCs w:val="22"/>
          <w:lang w:val="en-US"/>
        </w:rPr>
        <w:t>պայմանավոր</w:t>
      </w:r>
      <w:r w:rsidR="000107A9" w:rsidRPr="00C921DE">
        <w:rPr>
          <w:rFonts w:ascii="GHEA Grapalat" w:hAnsi="GHEA Grapalat"/>
          <w:sz w:val="22"/>
          <w:szCs w:val="22"/>
        </w:rPr>
        <w:t>ված գերմանական խորհրդատու կազմակերպության ներքին խնդիրներով։</w:t>
      </w:r>
    </w:p>
    <w:p w14:paraId="11ECE289" w14:textId="77777777" w:rsidR="00BC0946" w:rsidRPr="00C921DE" w:rsidRDefault="00BC0946" w:rsidP="00BC0946">
      <w:pPr>
        <w:spacing w:line="360" w:lineRule="auto"/>
        <w:ind w:firstLine="567"/>
        <w:jc w:val="both"/>
        <w:rPr>
          <w:rFonts w:ascii="GHEA Grapalat" w:hAnsi="GHEA Grapalat"/>
          <w:sz w:val="22"/>
          <w:szCs w:val="22"/>
        </w:rPr>
      </w:pPr>
    </w:p>
    <w:p w14:paraId="47BB61FC" w14:textId="77777777" w:rsidR="001C411D" w:rsidRPr="00C921DE" w:rsidRDefault="001C411D" w:rsidP="00034CB9">
      <w:pPr>
        <w:spacing w:line="360" w:lineRule="auto"/>
        <w:ind w:left="567"/>
        <w:jc w:val="both"/>
        <w:rPr>
          <w:rFonts w:ascii="GHEA Grapalat" w:hAnsi="GHEA Grapalat"/>
          <w:sz w:val="22"/>
          <w:szCs w:val="22"/>
          <w:u w:val="single"/>
        </w:rPr>
      </w:pPr>
      <w:r w:rsidRPr="00C921DE">
        <w:rPr>
          <w:rFonts w:ascii="GHEA Grapalat" w:hAnsi="GHEA Grapalat"/>
          <w:sz w:val="22"/>
          <w:szCs w:val="22"/>
          <w:u w:val="single"/>
        </w:rPr>
        <w:t>Շրջակա միջավայրի վրա ազդեցության գնահատման և մոնիթորինգի բնագավառ</w:t>
      </w:r>
    </w:p>
    <w:p w14:paraId="7AAACD92" w14:textId="77777777" w:rsidR="001C411D" w:rsidRPr="00C921DE" w:rsidRDefault="001C411D" w:rsidP="00034CB9">
      <w:pPr>
        <w:spacing w:line="360" w:lineRule="auto"/>
        <w:ind w:firstLine="567"/>
        <w:jc w:val="both"/>
        <w:rPr>
          <w:rFonts w:ascii="GHEA Grapalat" w:hAnsi="GHEA Grapalat"/>
          <w:sz w:val="22"/>
          <w:szCs w:val="22"/>
          <w:lang w:val="en-US"/>
        </w:rPr>
      </w:pPr>
      <w:r w:rsidRPr="00C921DE">
        <w:rPr>
          <w:rFonts w:ascii="GHEA Grapalat" w:hAnsi="GHEA Grapalat"/>
          <w:i/>
          <w:sz w:val="22"/>
          <w:szCs w:val="22"/>
        </w:rPr>
        <w:t>Շրջակա միջավայրի վրա ազդեցության</w:t>
      </w:r>
      <w:r w:rsidR="001C3BF7" w:rsidRPr="00C921DE">
        <w:rPr>
          <w:rFonts w:ascii="GHEA Grapalat" w:hAnsi="GHEA Grapalat"/>
          <w:i/>
          <w:sz w:val="22"/>
          <w:szCs w:val="22"/>
          <w:lang w:val="en-US"/>
        </w:rPr>
        <w:t xml:space="preserve"> </w:t>
      </w:r>
      <w:r w:rsidR="001C3BF7" w:rsidRPr="00C921DE">
        <w:rPr>
          <w:rFonts w:ascii="GHEA Grapalat" w:hAnsi="GHEA Grapalat"/>
          <w:i/>
          <w:sz w:val="22"/>
          <w:szCs w:val="22"/>
        </w:rPr>
        <w:t>գնահատում և</w:t>
      </w:r>
      <w:r w:rsidRPr="00C921DE">
        <w:rPr>
          <w:rFonts w:ascii="GHEA Grapalat" w:hAnsi="GHEA Grapalat"/>
          <w:i/>
          <w:sz w:val="22"/>
          <w:szCs w:val="22"/>
        </w:rPr>
        <w:t xml:space="preserve"> փորձաքննություն:</w:t>
      </w:r>
      <w:r w:rsidRPr="00C921DE">
        <w:rPr>
          <w:rFonts w:ascii="GHEA Grapalat" w:hAnsi="GHEA Grapalat"/>
          <w:sz w:val="22"/>
          <w:szCs w:val="22"/>
        </w:rPr>
        <w:t xml:space="preserve"> </w:t>
      </w:r>
      <w:r w:rsidR="00FB4D46" w:rsidRPr="00C921DE">
        <w:rPr>
          <w:rFonts w:ascii="GHEA Grapalat" w:hAnsi="GHEA Grapalat"/>
          <w:sz w:val="22"/>
          <w:szCs w:val="22"/>
          <w:lang w:val="en-US"/>
        </w:rPr>
        <w:t xml:space="preserve">2023 թվականին միջոցառման շրջանակներում «Շրջակա միջավայրի վրա ազդեցության փորձաքննական կենտրոն» ՊՈԱԿ-ին Կառավարության 2023 թվականի հուլիսի 6-ի № 1139-Ն որոշմամբ հատկացվել </w:t>
      </w:r>
      <w:r w:rsidR="00405797" w:rsidRPr="00C921DE">
        <w:rPr>
          <w:rFonts w:ascii="GHEA Grapalat" w:hAnsi="GHEA Grapalat"/>
          <w:sz w:val="22"/>
          <w:szCs w:val="22"/>
          <w:lang w:val="en-US"/>
        </w:rPr>
        <w:t>են</w:t>
      </w:r>
      <w:r w:rsidR="00FB4D46" w:rsidRPr="00C921DE">
        <w:rPr>
          <w:rFonts w:ascii="GHEA Grapalat" w:hAnsi="GHEA Grapalat"/>
          <w:sz w:val="22"/>
          <w:szCs w:val="22"/>
          <w:lang w:val="en-US"/>
        </w:rPr>
        <w:t xml:space="preserve"> հավելյալ ֆինանսական միջոցներ։ Ավելացվել է 7 հաստիք, որն առավել արդյունավետ է դարձրել </w:t>
      </w:r>
      <w:r w:rsidR="00405797" w:rsidRPr="00C921DE">
        <w:rPr>
          <w:rFonts w:ascii="GHEA Grapalat" w:hAnsi="GHEA Grapalat"/>
          <w:sz w:val="22"/>
          <w:szCs w:val="22"/>
          <w:lang w:val="en-US"/>
        </w:rPr>
        <w:t>օ</w:t>
      </w:r>
      <w:r w:rsidR="00FB4D46" w:rsidRPr="00C921DE">
        <w:rPr>
          <w:rFonts w:ascii="GHEA Grapalat" w:hAnsi="GHEA Grapalat"/>
          <w:sz w:val="22"/>
          <w:szCs w:val="22"/>
          <w:lang w:val="en-US"/>
        </w:rPr>
        <w:t>րենքով սահմանված ժամկետներում շրջակա միջավայրի վրա ազդեցության գնահատման և փորձագիտական եզրակացությունների տրամադրման գործընթացը։</w:t>
      </w:r>
    </w:p>
    <w:p w14:paraId="059D4FC1" w14:textId="77777777" w:rsidR="00104BDC" w:rsidRPr="00C921DE" w:rsidRDefault="00104BDC" w:rsidP="00393126">
      <w:pPr>
        <w:spacing w:line="360" w:lineRule="auto"/>
        <w:ind w:firstLine="567"/>
        <w:jc w:val="both"/>
        <w:rPr>
          <w:rFonts w:ascii="GHEA Grapalat" w:hAnsi="GHEA Grapalat"/>
          <w:i/>
          <w:sz w:val="22"/>
          <w:szCs w:val="22"/>
        </w:rPr>
      </w:pPr>
    </w:p>
    <w:p w14:paraId="7F09605F" w14:textId="77777777" w:rsidR="00393126" w:rsidRPr="00C921DE" w:rsidRDefault="00393126" w:rsidP="00393126">
      <w:pPr>
        <w:spacing w:line="360" w:lineRule="auto"/>
        <w:ind w:firstLine="567"/>
        <w:jc w:val="both"/>
        <w:rPr>
          <w:rFonts w:ascii="GHEA Grapalat" w:hAnsi="GHEA Grapalat"/>
          <w:i/>
          <w:sz w:val="22"/>
          <w:szCs w:val="22"/>
          <w:lang w:val="en-US"/>
        </w:rPr>
      </w:pPr>
      <w:r w:rsidRPr="00C921DE">
        <w:rPr>
          <w:rFonts w:ascii="GHEA Grapalat" w:hAnsi="GHEA Grapalat"/>
          <w:i/>
          <w:sz w:val="22"/>
          <w:szCs w:val="22"/>
        </w:rPr>
        <w:t>Հիդրոօդերևութաբանություն, շրջակա միջավայրի մոնիթորինգ և տեղեկատվության ապահովում</w:t>
      </w:r>
    </w:p>
    <w:p w14:paraId="25C324BC" w14:textId="77777777" w:rsidR="001C411D" w:rsidRPr="00C921DE" w:rsidRDefault="00104BDC" w:rsidP="00192362">
      <w:pPr>
        <w:spacing w:line="360" w:lineRule="auto"/>
        <w:ind w:firstLine="567"/>
        <w:jc w:val="both"/>
        <w:rPr>
          <w:rFonts w:ascii="GHEA Grapalat" w:hAnsi="GHEA Grapalat"/>
          <w:sz w:val="22"/>
          <w:szCs w:val="22"/>
          <w:lang w:val="en-US"/>
        </w:rPr>
      </w:pPr>
      <w:r w:rsidRPr="00C921DE">
        <w:rPr>
          <w:rFonts w:ascii="GHEA Grapalat" w:hAnsi="GHEA Grapalat"/>
          <w:i/>
          <w:sz w:val="22"/>
          <w:szCs w:val="22"/>
          <w:lang w:val="en-US"/>
        </w:rPr>
        <w:t>Մ</w:t>
      </w:r>
      <w:r w:rsidR="001C411D" w:rsidRPr="00C921DE">
        <w:rPr>
          <w:rFonts w:ascii="GHEA Grapalat" w:hAnsi="GHEA Grapalat"/>
          <w:i/>
          <w:sz w:val="22"/>
          <w:szCs w:val="22"/>
        </w:rPr>
        <w:t>ակերևութային ջրային օբյեկտների որակի մոնիթորինգ</w:t>
      </w:r>
      <w:r w:rsidRPr="00C921DE">
        <w:rPr>
          <w:rFonts w:ascii="GHEA Grapalat" w:hAnsi="GHEA Grapalat"/>
          <w:i/>
          <w:sz w:val="22"/>
          <w:szCs w:val="22"/>
          <w:lang w:val="en-US"/>
        </w:rPr>
        <w:t>ի իրականացում</w:t>
      </w:r>
      <w:r w:rsidR="001C411D" w:rsidRPr="00C921DE">
        <w:rPr>
          <w:rFonts w:ascii="GHEA Grapalat" w:hAnsi="GHEA Grapalat"/>
          <w:i/>
          <w:sz w:val="22"/>
          <w:szCs w:val="22"/>
        </w:rPr>
        <w:t>:</w:t>
      </w:r>
      <w:r w:rsidR="001C411D" w:rsidRPr="00C921DE">
        <w:rPr>
          <w:rFonts w:ascii="GHEA Grapalat" w:hAnsi="GHEA Grapalat"/>
          <w:sz w:val="22"/>
          <w:szCs w:val="22"/>
        </w:rPr>
        <w:t xml:space="preserve"> </w:t>
      </w:r>
      <w:r w:rsidR="00FB4D46" w:rsidRPr="00C921DE">
        <w:rPr>
          <w:rFonts w:ascii="GHEA Grapalat" w:hAnsi="GHEA Grapalat"/>
          <w:sz w:val="22"/>
          <w:szCs w:val="22"/>
          <w:lang w:val="en-US"/>
        </w:rPr>
        <w:t>2023</w:t>
      </w:r>
      <w:r w:rsidR="00405797" w:rsidRPr="00C921DE">
        <w:rPr>
          <w:rFonts w:ascii="GHEA Grapalat" w:hAnsi="GHEA Grapalat"/>
          <w:sz w:val="22"/>
          <w:szCs w:val="22"/>
          <w:lang w:val="en-US"/>
        </w:rPr>
        <w:t xml:space="preserve"> </w:t>
      </w:r>
      <w:r w:rsidR="00FB4D46" w:rsidRPr="00C921DE">
        <w:rPr>
          <w:rFonts w:ascii="GHEA Grapalat" w:hAnsi="GHEA Grapalat"/>
          <w:sz w:val="22"/>
          <w:szCs w:val="22"/>
          <w:lang w:val="en-US"/>
        </w:rPr>
        <w:t>թ</w:t>
      </w:r>
      <w:r w:rsidR="00405797" w:rsidRPr="00C921DE">
        <w:rPr>
          <w:rFonts w:ascii="GHEA Grapalat" w:hAnsi="GHEA Grapalat"/>
          <w:sz w:val="22"/>
          <w:szCs w:val="22"/>
          <w:lang w:val="en-US"/>
        </w:rPr>
        <w:t>վականի</w:t>
      </w:r>
      <w:r w:rsidR="00FB4D46" w:rsidRPr="00C921DE">
        <w:rPr>
          <w:rFonts w:ascii="GHEA Grapalat" w:hAnsi="GHEA Grapalat"/>
          <w:sz w:val="22"/>
          <w:szCs w:val="22"/>
          <w:lang w:val="en-US"/>
        </w:rPr>
        <w:t xml:space="preserve"> ընթացքում մակերևութային ջրերի որակի մոնիթորինգը (ջրի նմուշառում, դաշտային հետազոտություններ, ֆիզիկաքիմիական և հիդրոկենսաբանական անալիզներ, որակի գնահատում) իրականացվել է հանրապետության ջրային օբյեկտների (գետեր, ջր</w:t>
      </w:r>
      <w:r w:rsidR="005C00C4" w:rsidRPr="00C921DE">
        <w:rPr>
          <w:rFonts w:ascii="GHEA Grapalat" w:hAnsi="GHEA Grapalat"/>
          <w:sz w:val="22"/>
          <w:szCs w:val="22"/>
          <w:lang w:val="en-US"/>
        </w:rPr>
        <w:t>ամբարներ, ջրատարներ, Սևանա լիճ)</w:t>
      </w:r>
      <w:r w:rsidR="00FB4D46" w:rsidRPr="00C921DE">
        <w:rPr>
          <w:rFonts w:ascii="GHEA Grapalat" w:hAnsi="GHEA Grapalat"/>
          <w:sz w:val="22"/>
          <w:szCs w:val="22"/>
          <w:lang w:val="en-US"/>
        </w:rPr>
        <w:t xml:space="preserve"> 142 դիտակետում: Ջրի նմուշներում դիտարկվել են ջրի որակի բնութագրական 40 ֆիզիկաքիմիական՝ հիմնական անիոններ և կատիոններ, սնուցող նյութեր, ծանր մետաղներ, և մեկ հիդրոկենսաբանական՝ մակրոանողնաշարավորներ, ցուցանիշներ: Ընդհանուր առմամբ որոշվել է 43420 ցուցանիշ (նախատեսված ցուցանիշների նվազագույն քանակ</w:t>
      </w:r>
      <w:r w:rsidR="005C00C4" w:rsidRPr="00C921DE">
        <w:rPr>
          <w:rFonts w:ascii="GHEA Grapalat" w:hAnsi="GHEA Grapalat"/>
          <w:sz w:val="22"/>
          <w:szCs w:val="22"/>
          <w:lang w:val="en-US"/>
        </w:rPr>
        <w:t>ը</w:t>
      </w:r>
      <w:r w:rsidR="00FB4D46" w:rsidRPr="00C921DE">
        <w:rPr>
          <w:rFonts w:ascii="GHEA Grapalat" w:hAnsi="GHEA Grapalat"/>
          <w:sz w:val="22"/>
          <w:szCs w:val="22"/>
          <w:lang w:val="en-US"/>
        </w:rPr>
        <w:t>՝ 43420):</w:t>
      </w:r>
    </w:p>
    <w:p w14:paraId="4A64FC77" w14:textId="77777777" w:rsidR="001C411D" w:rsidRPr="00C921DE" w:rsidRDefault="00104BDC" w:rsidP="005A76D1">
      <w:pPr>
        <w:spacing w:line="360" w:lineRule="auto"/>
        <w:ind w:firstLine="567"/>
        <w:jc w:val="both"/>
        <w:rPr>
          <w:rFonts w:ascii="GHEA Grapalat" w:hAnsi="GHEA Grapalat"/>
          <w:sz w:val="22"/>
          <w:szCs w:val="22"/>
          <w:lang w:val="en-US"/>
        </w:rPr>
      </w:pPr>
      <w:r w:rsidRPr="00C921DE">
        <w:rPr>
          <w:rFonts w:ascii="GHEA Grapalat" w:hAnsi="GHEA Grapalat"/>
          <w:i/>
          <w:sz w:val="22"/>
          <w:szCs w:val="22"/>
          <w:lang w:val="en-US"/>
        </w:rPr>
        <w:t>Մ</w:t>
      </w:r>
      <w:r w:rsidR="001C411D" w:rsidRPr="00C921DE">
        <w:rPr>
          <w:rFonts w:ascii="GHEA Grapalat" w:hAnsi="GHEA Grapalat"/>
          <w:i/>
          <w:sz w:val="22"/>
          <w:szCs w:val="22"/>
        </w:rPr>
        <w:t>թնոլորտային օդի որակի մոնիթորինգ</w:t>
      </w:r>
      <w:r w:rsidRPr="00C921DE">
        <w:rPr>
          <w:rFonts w:ascii="GHEA Grapalat" w:hAnsi="GHEA Grapalat"/>
          <w:i/>
          <w:sz w:val="22"/>
          <w:szCs w:val="22"/>
          <w:lang w:val="en-US"/>
        </w:rPr>
        <w:t>ի իրականացում</w:t>
      </w:r>
      <w:r w:rsidR="001C411D" w:rsidRPr="00C921DE">
        <w:rPr>
          <w:rFonts w:ascii="GHEA Grapalat" w:hAnsi="GHEA Grapalat"/>
          <w:i/>
          <w:sz w:val="22"/>
          <w:szCs w:val="22"/>
        </w:rPr>
        <w:t>:</w:t>
      </w:r>
      <w:r w:rsidR="001C411D" w:rsidRPr="00C921DE">
        <w:rPr>
          <w:rFonts w:ascii="GHEA Grapalat" w:hAnsi="GHEA Grapalat"/>
          <w:sz w:val="22"/>
          <w:szCs w:val="22"/>
        </w:rPr>
        <w:t xml:space="preserve"> </w:t>
      </w:r>
      <w:r w:rsidR="00FB4D46" w:rsidRPr="00C921DE">
        <w:rPr>
          <w:rFonts w:ascii="GHEA Grapalat" w:hAnsi="GHEA Grapalat"/>
          <w:sz w:val="22"/>
          <w:szCs w:val="22"/>
          <w:lang w:val="en-US"/>
        </w:rPr>
        <w:t>2023</w:t>
      </w:r>
      <w:r w:rsidR="005C00C4" w:rsidRPr="00C921DE">
        <w:rPr>
          <w:rFonts w:ascii="GHEA Grapalat" w:hAnsi="GHEA Grapalat"/>
          <w:sz w:val="22"/>
          <w:szCs w:val="22"/>
          <w:lang w:val="en-US"/>
        </w:rPr>
        <w:t xml:space="preserve"> </w:t>
      </w:r>
      <w:r w:rsidR="00FB4D46" w:rsidRPr="00C921DE">
        <w:rPr>
          <w:rFonts w:ascii="GHEA Grapalat" w:hAnsi="GHEA Grapalat"/>
          <w:sz w:val="22"/>
          <w:szCs w:val="22"/>
          <w:lang w:val="en-US"/>
        </w:rPr>
        <w:t>թ</w:t>
      </w:r>
      <w:r w:rsidR="005C00C4" w:rsidRPr="00C921DE">
        <w:rPr>
          <w:rFonts w:ascii="GHEA Grapalat" w:hAnsi="GHEA Grapalat"/>
          <w:sz w:val="22"/>
          <w:szCs w:val="22"/>
          <w:lang w:val="en-US"/>
        </w:rPr>
        <w:t>վականի</w:t>
      </w:r>
      <w:r w:rsidR="00FB4D46" w:rsidRPr="00C921DE">
        <w:rPr>
          <w:rFonts w:ascii="GHEA Grapalat" w:hAnsi="GHEA Grapalat"/>
          <w:sz w:val="22"/>
          <w:szCs w:val="22"/>
          <w:lang w:val="en-US"/>
        </w:rPr>
        <w:t xml:space="preserve"> ընթացքում մթնոլորտային օդի որակի դիտարկումներ կատարվել են հանրապետության 10 բնակավայրում օդի նմուշառման երեք եղանակով` պասիվ, ակտիվ և ավտոմատ: Մթնոլորտային օդում ուսումնասիրվել են ազոտի և ծծմբի երկօքսիդների, փոշու, փոշում պարունակող մետաղների ու գետնամերձ օզոնի պարունակությունները: Երևան, Գյումրի, Վանաձոր, Ալավերդի, Հրազդան, Արարատ և Ծաղկաձոր քաղաքներում մթնոլորտային օդի որակի դիտարկումներն իրականացվել են 15 ստացիոնար դիտակայանում՝ ակտիվ նմուշառման եղանակով: Պասիվ եղանակով նմուշառումներ իրականացվել են Երևան, Գյումրի, Վանաձոր, Ալավերդի, Հրազդան, Արարատ, Կապան, Քաջարան, Չարենցավան և Ծաղկաձոր քաղաքների 214 դիտակետում: 2023</w:t>
      </w:r>
      <w:r w:rsidR="005A76D1" w:rsidRPr="00C921DE">
        <w:rPr>
          <w:rFonts w:ascii="GHEA Grapalat" w:hAnsi="GHEA Grapalat"/>
          <w:sz w:val="22"/>
          <w:szCs w:val="22"/>
          <w:lang w:val="en-US"/>
        </w:rPr>
        <w:t xml:space="preserve"> </w:t>
      </w:r>
      <w:r w:rsidR="00FB4D46" w:rsidRPr="00C921DE">
        <w:rPr>
          <w:rFonts w:ascii="GHEA Grapalat" w:hAnsi="GHEA Grapalat"/>
          <w:sz w:val="22"/>
          <w:szCs w:val="22"/>
          <w:lang w:val="en-US"/>
        </w:rPr>
        <w:t>թ</w:t>
      </w:r>
      <w:r w:rsidR="005A76D1" w:rsidRPr="00C921DE">
        <w:rPr>
          <w:rFonts w:ascii="GHEA Grapalat" w:hAnsi="GHEA Grapalat"/>
          <w:sz w:val="22"/>
          <w:szCs w:val="22"/>
          <w:lang w:val="en-US"/>
        </w:rPr>
        <w:t>վականի</w:t>
      </w:r>
      <w:r w:rsidR="00FB4D46" w:rsidRPr="00C921DE">
        <w:rPr>
          <w:rFonts w:ascii="GHEA Grapalat" w:hAnsi="GHEA Grapalat"/>
          <w:sz w:val="22"/>
          <w:szCs w:val="22"/>
          <w:lang w:val="en-US"/>
        </w:rPr>
        <w:t xml:space="preserve"> ընթացքում ՀՀ բնակավայրերի մթնոլորտային օդի որակի մոնիթորինգի միջոցառումների շրջանակում որոշվել է 75300 ցուցանիշ (նախատեսված ցուցանիշների քանակ` 75300):</w:t>
      </w:r>
    </w:p>
    <w:p w14:paraId="1F36359A" w14:textId="77777777" w:rsidR="001C411D" w:rsidRPr="00C921DE" w:rsidRDefault="001C411D" w:rsidP="00192362">
      <w:pPr>
        <w:spacing w:line="360" w:lineRule="auto"/>
        <w:ind w:firstLine="567"/>
        <w:jc w:val="both"/>
        <w:rPr>
          <w:rFonts w:ascii="GHEA Grapalat" w:hAnsi="GHEA Grapalat"/>
          <w:sz w:val="22"/>
          <w:szCs w:val="22"/>
          <w:lang w:val="en-US"/>
        </w:rPr>
      </w:pPr>
      <w:r w:rsidRPr="00C921DE">
        <w:rPr>
          <w:rFonts w:ascii="GHEA Grapalat" w:hAnsi="GHEA Grapalat"/>
          <w:i/>
          <w:sz w:val="22"/>
          <w:szCs w:val="22"/>
        </w:rPr>
        <w:lastRenderedPageBreak/>
        <w:t xml:space="preserve">Ստորերկրյա քաղցրահամ ջրերի </w:t>
      </w:r>
      <w:r w:rsidR="00A46C5D" w:rsidRPr="00C921DE">
        <w:rPr>
          <w:rFonts w:ascii="GHEA Grapalat" w:hAnsi="GHEA Grapalat"/>
          <w:i/>
          <w:sz w:val="22"/>
          <w:szCs w:val="22"/>
          <w:lang w:val="en-US"/>
        </w:rPr>
        <w:t>որակի</w:t>
      </w:r>
      <w:r w:rsidRPr="00C921DE">
        <w:rPr>
          <w:rFonts w:ascii="GHEA Grapalat" w:hAnsi="GHEA Grapalat"/>
          <w:i/>
          <w:sz w:val="22"/>
          <w:szCs w:val="22"/>
        </w:rPr>
        <w:t xml:space="preserve"> մոնիթորինգ</w:t>
      </w:r>
      <w:r w:rsidRPr="00C921DE">
        <w:rPr>
          <w:rFonts w:ascii="GHEA Grapalat" w:hAnsi="GHEA Grapalat"/>
          <w:sz w:val="22"/>
          <w:szCs w:val="22"/>
          <w:lang w:val="en-US"/>
        </w:rPr>
        <w:t>:</w:t>
      </w:r>
      <w:r w:rsidR="00E937F8" w:rsidRPr="00C921DE">
        <w:rPr>
          <w:rFonts w:ascii="GHEA Grapalat" w:hAnsi="GHEA Grapalat"/>
          <w:sz w:val="22"/>
          <w:szCs w:val="22"/>
          <w:lang w:val="en-US"/>
        </w:rPr>
        <w:t xml:space="preserve"> 2023</w:t>
      </w:r>
      <w:r w:rsidR="005A76D1" w:rsidRPr="00C921DE">
        <w:rPr>
          <w:rFonts w:ascii="GHEA Grapalat" w:hAnsi="GHEA Grapalat"/>
          <w:sz w:val="22"/>
          <w:szCs w:val="22"/>
          <w:lang w:val="en-US"/>
        </w:rPr>
        <w:t xml:space="preserve"> </w:t>
      </w:r>
      <w:r w:rsidR="00E937F8" w:rsidRPr="00C921DE">
        <w:rPr>
          <w:rFonts w:ascii="GHEA Grapalat" w:hAnsi="GHEA Grapalat"/>
          <w:sz w:val="22"/>
          <w:szCs w:val="22"/>
          <w:lang w:val="en-US"/>
        </w:rPr>
        <w:t>թ</w:t>
      </w:r>
      <w:r w:rsidR="005A76D1" w:rsidRPr="00C921DE">
        <w:rPr>
          <w:rFonts w:ascii="GHEA Grapalat" w:hAnsi="GHEA Grapalat"/>
          <w:sz w:val="22"/>
          <w:szCs w:val="22"/>
          <w:lang w:val="en-US"/>
        </w:rPr>
        <w:t>վականի</w:t>
      </w:r>
      <w:r w:rsidR="00E937F8" w:rsidRPr="00C921DE">
        <w:rPr>
          <w:rFonts w:ascii="GHEA Grapalat" w:hAnsi="GHEA Grapalat"/>
          <w:sz w:val="22"/>
          <w:szCs w:val="22"/>
          <w:lang w:val="en-US"/>
        </w:rPr>
        <w:t xml:space="preserve"> ընթացքում ստորերկրյա քաղցրահամ ջրերի հիդրոերկրաբանական մոնիթորինգն իրականացվել է 6 ՋԿՏ-ում ընդգրկված 119 ստորերկրյա ջրաղբյուրներում: Ընդհանուր առմամբ որոշվել է 18839 ցուցանիշ (նախատեսված ցուցանիշների թիվ՝ 18839)։ Կատարվել է ստորերկրյա քաղցրահամ ջրերի որակի մոնիթորինգ, ընդհանուր առմամբ որոշվել է 4400 ցուցանիշ (նախատեսված ցուցանիշների թիվը՝ 4400):</w:t>
      </w:r>
    </w:p>
    <w:p w14:paraId="7DB31CA6" w14:textId="77777777" w:rsidR="001C411D" w:rsidRPr="00C921DE" w:rsidRDefault="00A46C5D" w:rsidP="00192362">
      <w:pPr>
        <w:spacing w:line="360" w:lineRule="auto"/>
        <w:ind w:firstLine="567"/>
        <w:jc w:val="both"/>
        <w:rPr>
          <w:rFonts w:ascii="GHEA Grapalat" w:hAnsi="GHEA Grapalat"/>
          <w:sz w:val="22"/>
          <w:szCs w:val="22"/>
          <w:lang w:val="en-US"/>
        </w:rPr>
      </w:pPr>
      <w:r w:rsidRPr="00C921DE">
        <w:rPr>
          <w:rFonts w:ascii="GHEA Grapalat" w:hAnsi="GHEA Grapalat"/>
          <w:i/>
          <w:sz w:val="22"/>
          <w:szCs w:val="22"/>
        </w:rPr>
        <w:t>Թափոնների գոյացման, վերամշակման ու օգտահանման ուսումնասիրվող օբյեկտներ և հեռացման վայրեր</w:t>
      </w:r>
      <w:r w:rsidR="001C411D" w:rsidRPr="00C921DE">
        <w:rPr>
          <w:rFonts w:ascii="GHEA Grapalat" w:hAnsi="GHEA Grapalat"/>
          <w:i/>
          <w:sz w:val="22"/>
          <w:szCs w:val="22"/>
        </w:rPr>
        <w:t>:</w:t>
      </w:r>
      <w:r w:rsidR="001C411D" w:rsidRPr="00C921DE">
        <w:rPr>
          <w:rFonts w:ascii="GHEA Grapalat" w:hAnsi="GHEA Grapalat"/>
          <w:sz w:val="22"/>
          <w:szCs w:val="22"/>
          <w:lang w:val="af-ZA"/>
        </w:rPr>
        <w:t xml:space="preserve"> </w:t>
      </w:r>
      <w:r w:rsidR="00E937F8" w:rsidRPr="00C921DE">
        <w:rPr>
          <w:rFonts w:ascii="GHEA Grapalat" w:hAnsi="GHEA Grapalat"/>
          <w:sz w:val="22"/>
          <w:szCs w:val="22"/>
          <w:lang w:val="en-US"/>
        </w:rPr>
        <w:t>Թափոնների</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պետական կադաստրի ստեղծման և վարման աշխատանքներին աջակցության շրջանակներում, թափոնների գոյացման, վերամշակման ու օգտահանման օբյեկտների ռեեստրների ստեղծմանն աջակցության նպատակով հաշվետու ժամանակահատվածում ուսումնասիրվել են թափոնների գոյացման, վերամշակման ու օգտահանման 20 օբյեկտներ</w:t>
      </w:r>
      <w:r w:rsidR="005A76D1" w:rsidRPr="00C921DE">
        <w:rPr>
          <w:rFonts w:ascii="GHEA Grapalat" w:hAnsi="GHEA Grapalat"/>
          <w:sz w:val="22"/>
          <w:szCs w:val="22"/>
          <w:lang w:val="en-US"/>
        </w:rPr>
        <w:t>,</w:t>
      </w:r>
      <w:r w:rsidR="00E937F8" w:rsidRPr="00C921DE">
        <w:rPr>
          <w:rFonts w:ascii="GHEA Grapalat" w:hAnsi="GHEA Grapalat"/>
          <w:sz w:val="22"/>
          <w:szCs w:val="22"/>
          <w:lang w:val="en-US"/>
        </w:rPr>
        <w:t xml:space="preserve"> այդ թվում</w:t>
      </w:r>
      <w:r w:rsidR="005A76D1" w:rsidRPr="00C921DE">
        <w:rPr>
          <w:rFonts w:ascii="GHEA Grapalat" w:hAnsi="GHEA Grapalat"/>
          <w:sz w:val="22"/>
          <w:szCs w:val="22"/>
          <w:lang w:val="en-US"/>
        </w:rPr>
        <w:t>՝</w:t>
      </w:r>
      <w:r w:rsidR="00E937F8" w:rsidRPr="00C921DE">
        <w:rPr>
          <w:rFonts w:ascii="GHEA Grapalat" w:hAnsi="GHEA Grapalat"/>
          <w:sz w:val="22"/>
          <w:szCs w:val="22"/>
          <w:lang w:val="en-US"/>
        </w:rPr>
        <w:t xml:space="preserve"> 13 թափոններ գոյացնող օբյեկտներ և 7 թափոններ վերամշակող և/կամ օգտահանող օբյեկտներ, ինչպես նաև իրականացվել է ուսումնասիրություն թափոնների հեռացման 11 վայրերում (նախատեսված ցուցանիշների քանակ՝ 11)։ Ուսումնասիրության ընթացքում հավաքվել է հետևյալ տեղեկատվությունը՝ թափոնագոյացնող պրոցեսները, թափոնների անվանացանկը, գոյացման ծավալները, որակական և քանակական բնութագրերը, տեղեկություններ թափոնների գործածության և դրանց գոյացման ծավալների ու վտանգավորության աստիճանի նվազեցման վերաբերյալ։</w:t>
      </w:r>
    </w:p>
    <w:p w14:paraId="5B5F05FD" w14:textId="77777777" w:rsidR="001C411D" w:rsidRPr="00C921DE" w:rsidRDefault="001C411D" w:rsidP="00192362">
      <w:pPr>
        <w:spacing w:line="360" w:lineRule="auto"/>
        <w:ind w:firstLine="567"/>
        <w:jc w:val="both"/>
        <w:rPr>
          <w:rFonts w:ascii="GHEA Grapalat" w:hAnsi="GHEA Grapalat"/>
          <w:sz w:val="22"/>
          <w:szCs w:val="22"/>
          <w:lang w:val="en-US"/>
        </w:rPr>
      </w:pPr>
      <w:r w:rsidRPr="00C921DE">
        <w:rPr>
          <w:rFonts w:ascii="GHEA Grapalat" w:hAnsi="GHEA Grapalat"/>
          <w:i/>
          <w:sz w:val="22"/>
          <w:szCs w:val="22"/>
          <w:lang w:val="en-US"/>
        </w:rPr>
        <w:t>Հիդրոօդերևութաբանական</w:t>
      </w:r>
      <w:r w:rsidRPr="00C921DE">
        <w:rPr>
          <w:rFonts w:ascii="GHEA Grapalat" w:hAnsi="GHEA Grapalat"/>
          <w:i/>
          <w:sz w:val="22"/>
          <w:szCs w:val="22"/>
          <w:lang w:val="af-ZA"/>
        </w:rPr>
        <w:t xml:space="preserve"> </w:t>
      </w:r>
      <w:r w:rsidRPr="00C921DE">
        <w:rPr>
          <w:rFonts w:ascii="GHEA Grapalat" w:hAnsi="GHEA Grapalat"/>
          <w:i/>
          <w:sz w:val="22"/>
          <w:szCs w:val="22"/>
          <w:lang w:val="en-US"/>
        </w:rPr>
        <w:t>ծառայություններ</w:t>
      </w:r>
      <w:r w:rsidRPr="00C921DE">
        <w:rPr>
          <w:rFonts w:ascii="GHEA Grapalat" w:hAnsi="GHEA Grapalat"/>
          <w:i/>
          <w:sz w:val="22"/>
          <w:szCs w:val="22"/>
          <w:lang w:val="af-ZA"/>
        </w:rPr>
        <w:t>:</w:t>
      </w:r>
      <w:r w:rsidRPr="00C921DE">
        <w:rPr>
          <w:rFonts w:ascii="GHEA Grapalat" w:hAnsi="GHEA Grapalat"/>
          <w:sz w:val="22"/>
          <w:szCs w:val="22"/>
          <w:lang w:val="af-ZA"/>
        </w:rPr>
        <w:t xml:space="preserve"> </w:t>
      </w:r>
      <w:r w:rsidR="00E937F8" w:rsidRPr="00C921DE">
        <w:rPr>
          <w:rFonts w:ascii="GHEA Grapalat" w:hAnsi="GHEA Grapalat"/>
          <w:sz w:val="22"/>
          <w:szCs w:val="22"/>
          <w:lang w:val="en-US"/>
        </w:rPr>
        <w:t xml:space="preserve">Հաշվետու ժամանակահատվածում մթնոլորտում և գետնի մակերևույթին տեղի ունեցող ֆիզիկական երևույթների ուսումնասիրման նպատակով օդերևութաբանական դիտարկումները կատարվել են </w:t>
      </w:r>
      <w:r w:rsidR="00A4091A" w:rsidRPr="00C921DE">
        <w:rPr>
          <w:rFonts w:ascii="GHEA Grapalat" w:hAnsi="GHEA Grapalat"/>
          <w:sz w:val="22"/>
          <w:szCs w:val="22"/>
          <w:lang w:val="en-US"/>
        </w:rPr>
        <w:t>հ</w:t>
      </w:r>
      <w:r w:rsidR="00E937F8" w:rsidRPr="00C921DE">
        <w:rPr>
          <w:rFonts w:ascii="GHEA Grapalat" w:hAnsi="GHEA Grapalat"/>
          <w:sz w:val="22"/>
          <w:szCs w:val="22"/>
          <w:lang w:val="en-US"/>
        </w:rPr>
        <w:t xml:space="preserve">անրապետության տարածքի 43 օդերևութաբանական (այդ թվում` 4 բարձրլեռնային դժվարամատչելի և 3 մասնագիտացված) կայաններում` լրիվ ծրագրով, իսկ 24 հիդրոլոգիական կայաններում` կրճատ </w:t>
      </w:r>
      <w:r w:rsidR="00A4091A" w:rsidRPr="00C921DE">
        <w:rPr>
          <w:rFonts w:ascii="GHEA Grapalat" w:hAnsi="GHEA Grapalat"/>
          <w:sz w:val="22"/>
          <w:szCs w:val="22"/>
          <w:lang w:val="en-US"/>
        </w:rPr>
        <w:t>ծրագրով (</w:t>
      </w:r>
      <w:r w:rsidR="00E937F8" w:rsidRPr="00C921DE">
        <w:rPr>
          <w:rFonts w:ascii="GHEA Grapalat" w:hAnsi="GHEA Grapalat"/>
          <w:sz w:val="22"/>
          <w:szCs w:val="22"/>
          <w:lang w:val="en-US"/>
        </w:rPr>
        <w:t>միայն օդի ջերմաստիճանի, տեղումների, մթնոլորտային երևույթների և ձյան ծածկի բարձրության</w:t>
      </w:r>
      <w:r w:rsidR="00A4091A" w:rsidRPr="00C921DE">
        <w:rPr>
          <w:rFonts w:ascii="GHEA Grapalat" w:hAnsi="GHEA Grapalat"/>
          <w:sz w:val="22"/>
          <w:szCs w:val="22"/>
          <w:lang w:val="en-US"/>
        </w:rPr>
        <w:t>)</w:t>
      </w:r>
      <w:r w:rsidR="00E937F8" w:rsidRPr="00C921DE">
        <w:rPr>
          <w:rFonts w:ascii="GHEA Grapalat" w:hAnsi="GHEA Grapalat"/>
          <w:sz w:val="22"/>
          <w:szCs w:val="22"/>
          <w:lang w:val="en-US"/>
        </w:rPr>
        <w:t>, Համաշխարհային օդերևութաբանական կազմակերպության կողմից</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սահմանված կարգով և միջազգային ստանդարտներին համապատասխան 3 ժամը մեկ անգամ 00 ժամից սկսած (Գրինվիչի ժամանակով), իսկ մթնոլորտային երևույթների և եղանակի վիճակի նկատմամբ` շուրջօրյա: Դիտակումներն իրականացվել են օդերևութաբանական բոլոր տարրերի նկատմամբ:</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Ամեն օր կազմվել է առաջիկա 5 օրվա եղանակի կանխատեսում, իսկ յուրաքանչյուր ամսվա վերջին՝ հաջորդ ամսվա օդերևութաբանական պայմանների խորհրդատվական կանխատեսումը։ Ընդհանուր առմամբ,</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իրականացվել</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են</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120450 օդերևութաբանական դիտարկումներ (նախա</w:t>
      </w:r>
      <w:r w:rsidR="00E937F8" w:rsidRPr="00C921DE">
        <w:rPr>
          <w:rFonts w:ascii="GHEA Grapalat" w:hAnsi="GHEA Grapalat"/>
          <w:sz w:val="22"/>
          <w:szCs w:val="22"/>
          <w:lang w:val="en-US"/>
        </w:rPr>
        <w:softHyphen/>
        <w:t>տեսված դիտարկումների քանակ՝ 129210): Սևանա լճի մակարդակը 2023 թվականի դ</w:t>
      </w:r>
      <w:r w:rsidR="00A4091A" w:rsidRPr="00C921DE">
        <w:rPr>
          <w:rFonts w:ascii="GHEA Grapalat" w:hAnsi="GHEA Grapalat"/>
          <w:sz w:val="22"/>
          <w:szCs w:val="22"/>
          <w:lang w:val="en-US"/>
        </w:rPr>
        <w:t>եկտեմբերի 30-ի դրությամբ կազմել</w:t>
      </w:r>
      <w:r w:rsidR="00E937F8" w:rsidRPr="00C921DE">
        <w:rPr>
          <w:rFonts w:ascii="GHEA Grapalat" w:hAnsi="GHEA Grapalat"/>
          <w:sz w:val="22"/>
          <w:szCs w:val="22"/>
          <w:lang w:val="en-US"/>
        </w:rPr>
        <w:t xml:space="preserve"> է 1900.17 մ, ինչը 0.11 մ-ով ցածր է նախորդ տարվա նույն օրվա համեմատ (1900.28</w:t>
      </w:r>
      <w:r w:rsidR="00A4091A" w:rsidRPr="00C921DE">
        <w:rPr>
          <w:rFonts w:ascii="Calibri" w:hAnsi="Calibri" w:cs="Calibri"/>
          <w:sz w:val="22"/>
          <w:szCs w:val="22"/>
          <w:lang w:val="en-US"/>
        </w:rPr>
        <w:t> </w:t>
      </w:r>
      <w:r w:rsidR="00E937F8" w:rsidRPr="00C921DE">
        <w:rPr>
          <w:rFonts w:ascii="GHEA Grapalat" w:hAnsi="GHEA Grapalat"/>
          <w:sz w:val="22"/>
          <w:szCs w:val="22"/>
          <w:lang w:val="en-US"/>
        </w:rPr>
        <w:t>մ), Արփա-Սևան թունելով Սևանա լիճ մուտք գործող ջրաքանակը</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31.12.2023թ</w:t>
      </w:r>
      <w:r w:rsidR="00A4091A" w:rsidRPr="00C921DE">
        <w:rPr>
          <w:rFonts w:ascii="GHEA Grapalat" w:hAnsi="GHEA Grapalat"/>
          <w:sz w:val="22"/>
          <w:szCs w:val="22"/>
          <w:lang w:val="en-US"/>
        </w:rPr>
        <w:t xml:space="preserve">. դրությամբ </w:t>
      </w:r>
      <w:r w:rsidR="00A4091A" w:rsidRPr="00C921DE">
        <w:rPr>
          <w:rFonts w:ascii="GHEA Grapalat" w:hAnsi="GHEA Grapalat"/>
          <w:sz w:val="22"/>
          <w:szCs w:val="22"/>
          <w:lang w:val="en-US"/>
        </w:rPr>
        <w:lastRenderedPageBreak/>
        <w:t>կազմել</w:t>
      </w:r>
      <w:r w:rsidR="00E937F8" w:rsidRPr="00C921DE">
        <w:rPr>
          <w:rFonts w:ascii="GHEA Grapalat" w:hAnsi="GHEA Grapalat"/>
          <w:sz w:val="22"/>
          <w:szCs w:val="22"/>
          <w:lang w:val="en-US"/>
        </w:rPr>
        <w:t xml:space="preserve"> է 114.456 մլն մ</w:t>
      </w:r>
      <w:r w:rsidR="00E937F8" w:rsidRPr="00C921DE">
        <w:rPr>
          <w:rFonts w:ascii="GHEA Grapalat" w:hAnsi="GHEA Grapalat"/>
          <w:sz w:val="22"/>
          <w:szCs w:val="22"/>
          <w:vertAlign w:val="superscript"/>
          <w:lang w:val="en-US"/>
        </w:rPr>
        <w:t>3</w:t>
      </w:r>
      <w:r w:rsidR="00E937F8" w:rsidRPr="00C921DE">
        <w:rPr>
          <w:rFonts w:ascii="GHEA Grapalat" w:hAnsi="GHEA Grapalat"/>
          <w:sz w:val="22"/>
          <w:szCs w:val="22"/>
          <w:lang w:val="en-US"/>
        </w:rPr>
        <w:t>, ինչը 48.378 մլն մ</w:t>
      </w:r>
      <w:r w:rsidR="00E937F8" w:rsidRPr="00C921DE">
        <w:rPr>
          <w:rFonts w:ascii="GHEA Grapalat" w:hAnsi="GHEA Grapalat"/>
          <w:sz w:val="22"/>
          <w:szCs w:val="22"/>
          <w:vertAlign w:val="superscript"/>
          <w:lang w:val="en-US"/>
        </w:rPr>
        <w:t>3</w:t>
      </w:r>
      <w:r w:rsidR="00E937F8" w:rsidRPr="00C921DE">
        <w:rPr>
          <w:rFonts w:ascii="GHEA Grapalat" w:hAnsi="GHEA Grapalat"/>
          <w:sz w:val="22"/>
          <w:szCs w:val="22"/>
          <w:lang w:val="en-US"/>
        </w:rPr>
        <w:t xml:space="preserve">-ով պակաս է նախորդ տարվա նույն օրվա </w:t>
      </w:r>
      <w:r w:rsidR="005D4355" w:rsidRPr="00C921DE">
        <w:rPr>
          <w:rFonts w:ascii="GHEA Grapalat" w:hAnsi="GHEA Grapalat"/>
          <w:sz w:val="22"/>
          <w:szCs w:val="22"/>
          <w:lang w:val="en-US"/>
        </w:rPr>
        <w:t>համեմատ</w:t>
      </w:r>
      <w:r w:rsidR="00E937F8" w:rsidRPr="00C921DE">
        <w:rPr>
          <w:rFonts w:ascii="GHEA Grapalat" w:hAnsi="GHEA Grapalat"/>
          <w:sz w:val="22"/>
          <w:szCs w:val="22"/>
          <w:lang w:val="en-US"/>
        </w:rPr>
        <w:t xml:space="preserve"> (162</w:t>
      </w:r>
      <w:r w:rsidR="00E937F8" w:rsidRPr="00C921DE">
        <w:rPr>
          <w:rFonts w:ascii="Cambria Math" w:hAnsi="Cambria Math" w:cs="Cambria Math"/>
          <w:sz w:val="22"/>
          <w:szCs w:val="22"/>
          <w:lang w:val="en-US"/>
        </w:rPr>
        <w:t>․</w:t>
      </w:r>
      <w:r w:rsidR="00E937F8" w:rsidRPr="00C921DE">
        <w:rPr>
          <w:rFonts w:ascii="GHEA Grapalat" w:hAnsi="GHEA Grapalat"/>
          <w:sz w:val="22"/>
          <w:szCs w:val="22"/>
          <w:lang w:val="en-US"/>
        </w:rPr>
        <w:t>834 մլն մ</w:t>
      </w:r>
      <w:r w:rsidR="00E937F8" w:rsidRPr="00C921DE">
        <w:rPr>
          <w:rFonts w:ascii="GHEA Grapalat" w:hAnsi="GHEA Grapalat"/>
          <w:sz w:val="22"/>
          <w:szCs w:val="22"/>
          <w:vertAlign w:val="superscript"/>
          <w:lang w:val="en-US"/>
        </w:rPr>
        <w:t>3</w:t>
      </w:r>
      <w:r w:rsidR="005D4355" w:rsidRPr="00C921DE">
        <w:rPr>
          <w:rFonts w:ascii="GHEA Grapalat" w:hAnsi="GHEA Grapalat"/>
          <w:sz w:val="22"/>
          <w:szCs w:val="22"/>
          <w:lang w:val="en-US"/>
        </w:rPr>
        <w:t>):</w:t>
      </w:r>
      <w:r w:rsidR="00E937F8" w:rsidRPr="00C921DE">
        <w:rPr>
          <w:rFonts w:ascii="GHEA Grapalat" w:hAnsi="GHEA Grapalat"/>
          <w:sz w:val="22"/>
          <w:szCs w:val="22"/>
          <w:lang w:val="en-US"/>
        </w:rPr>
        <w:t xml:space="preserve"> 2023 թվականին Սևանա լճից ոռոգման նպատակով ջրի բաց թողումը սկսվել է մայիսի 14-ից</w:t>
      </w:r>
      <w:r w:rsidR="005D4355" w:rsidRPr="00C921DE">
        <w:rPr>
          <w:rFonts w:ascii="GHEA Grapalat" w:hAnsi="GHEA Grapalat"/>
          <w:sz w:val="22"/>
          <w:szCs w:val="22"/>
          <w:lang w:val="en-US"/>
        </w:rPr>
        <w:t>,</w:t>
      </w:r>
      <w:r w:rsidR="00E937F8" w:rsidRPr="00C921DE">
        <w:rPr>
          <w:rFonts w:ascii="GHEA Grapalat" w:hAnsi="GHEA Grapalat"/>
          <w:sz w:val="22"/>
          <w:szCs w:val="22"/>
          <w:lang w:val="en-US"/>
        </w:rPr>
        <w:t xml:space="preserve"> և 31.12.2023թ</w:t>
      </w:r>
      <w:r w:rsidR="005D4355" w:rsidRPr="00C921DE">
        <w:rPr>
          <w:rFonts w:ascii="GHEA Grapalat" w:hAnsi="GHEA Grapalat"/>
          <w:sz w:val="22"/>
          <w:szCs w:val="22"/>
          <w:lang w:val="en-US"/>
        </w:rPr>
        <w:t>.</w:t>
      </w:r>
      <w:r w:rsidR="00E937F8" w:rsidRPr="00C921DE">
        <w:rPr>
          <w:rFonts w:ascii="GHEA Grapalat" w:hAnsi="GHEA Grapalat"/>
          <w:sz w:val="22"/>
          <w:szCs w:val="22"/>
          <w:lang w:val="en-US"/>
        </w:rPr>
        <w:t xml:space="preserve"> դրությամբ բաց է թողնվել 228.234 մլն մ</w:t>
      </w:r>
      <w:r w:rsidR="00E937F8" w:rsidRPr="00C921DE">
        <w:rPr>
          <w:rFonts w:ascii="GHEA Grapalat" w:hAnsi="GHEA Grapalat"/>
          <w:sz w:val="22"/>
          <w:szCs w:val="22"/>
          <w:vertAlign w:val="superscript"/>
          <w:lang w:val="en-US"/>
        </w:rPr>
        <w:t>3</w:t>
      </w:r>
      <w:r w:rsidR="00E937F8" w:rsidRPr="00C921DE">
        <w:rPr>
          <w:rFonts w:ascii="GHEA Grapalat" w:hAnsi="GHEA Grapalat"/>
          <w:sz w:val="22"/>
          <w:szCs w:val="22"/>
          <w:lang w:val="en-US"/>
        </w:rPr>
        <w:t xml:space="preserve"> ջուր, իսկ 2022 թվականին</w:t>
      </w:r>
      <w:r w:rsidR="00EF4E93" w:rsidRPr="00C921DE">
        <w:rPr>
          <w:rFonts w:ascii="GHEA Grapalat" w:hAnsi="GHEA Grapalat"/>
          <w:sz w:val="22"/>
          <w:szCs w:val="22"/>
          <w:lang w:val="en-US"/>
        </w:rPr>
        <w:t xml:space="preserve"> </w:t>
      </w:r>
      <w:r w:rsidR="00E937F8" w:rsidRPr="00C921DE">
        <w:rPr>
          <w:rFonts w:ascii="GHEA Grapalat" w:hAnsi="GHEA Grapalat"/>
          <w:sz w:val="22"/>
          <w:szCs w:val="22"/>
          <w:lang w:val="en-US"/>
        </w:rPr>
        <w:t>Սևանա լճից ոռոգման նպատակով ջրի բացթողումը սկս</w:t>
      </w:r>
      <w:r w:rsidR="005D4355" w:rsidRPr="00C921DE">
        <w:rPr>
          <w:rFonts w:ascii="GHEA Grapalat" w:hAnsi="GHEA Grapalat"/>
          <w:sz w:val="22"/>
          <w:szCs w:val="22"/>
          <w:lang w:val="en-US"/>
        </w:rPr>
        <w:t>վել է հունիսի 3-ից և 30.11.2022</w:t>
      </w:r>
      <w:r w:rsidR="00E937F8" w:rsidRPr="00C921DE">
        <w:rPr>
          <w:rFonts w:ascii="GHEA Grapalat" w:hAnsi="GHEA Grapalat"/>
          <w:sz w:val="22"/>
          <w:szCs w:val="22"/>
          <w:lang w:val="en-US"/>
        </w:rPr>
        <w:t>թ</w:t>
      </w:r>
      <w:r w:rsidR="005D4355" w:rsidRPr="00C921DE">
        <w:rPr>
          <w:rFonts w:ascii="GHEA Grapalat" w:hAnsi="GHEA Grapalat"/>
          <w:sz w:val="22"/>
          <w:szCs w:val="22"/>
          <w:lang w:val="en-US"/>
        </w:rPr>
        <w:t xml:space="preserve">. </w:t>
      </w:r>
      <w:r w:rsidR="00E937F8" w:rsidRPr="00C921DE">
        <w:rPr>
          <w:rFonts w:ascii="GHEA Grapalat" w:hAnsi="GHEA Grapalat"/>
          <w:sz w:val="22"/>
          <w:szCs w:val="22"/>
          <w:lang w:val="en-US"/>
        </w:rPr>
        <w:t>դրությամբ կազմել է 165.063 մլն մ</w:t>
      </w:r>
      <w:r w:rsidR="00E937F8" w:rsidRPr="00C921DE">
        <w:rPr>
          <w:rFonts w:ascii="GHEA Grapalat" w:hAnsi="GHEA Grapalat"/>
          <w:sz w:val="22"/>
          <w:szCs w:val="22"/>
          <w:vertAlign w:val="superscript"/>
          <w:lang w:val="en-US"/>
        </w:rPr>
        <w:t>3</w:t>
      </w:r>
      <w:r w:rsidR="00E937F8" w:rsidRPr="00C921DE">
        <w:rPr>
          <w:rFonts w:ascii="GHEA Grapalat" w:hAnsi="GHEA Grapalat"/>
          <w:sz w:val="22"/>
          <w:szCs w:val="22"/>
          <w:lang w:val="en-US"/>
        </w:rPr>
        <w:t>։</w:t>
      </w:r>
    </w:p>
    <w:p w14:paraId="67759426" w14:textId="77777777" w:rsidR="001C411D" w:rsidRPr="00C921DE" w:rsidRDefault="001C411D" w:rsidP="00192362">
      <w:pPr>
        <w:spacing w:line="360" w:lineRule="auto"/>
        <w:ind w:firstLine="567"/>
        <w:jc w:val="both"/>
        <w:rPr>
          <w:rFonts w:ascii="GHEA Grapalat" w:hAnsi="GHEA Grapalat"/>
          <w:sz w:val="22"/>
          <w:szCs w:val="22"/>
          <w:lang w:val="en-US"/>
        </w:rPr>
      </w:pPr>
    </w:p>
    <w:p w14:paraId="24C15C75" w14:textId="77777777" w:rsidR="001C411D" w:rsidRPr="00C921DE" w:rsidRDefault="001C411D" w:rsidP="00192362">
      <w:pPr>
        <w:spacing w:line="360" w:lineRule="auto"/>
        <w:ind w:left="567"/>
        <w:jc w:val="both"/>
        <w:rPr>
          <w:rFonts w:ascii="GHEA Grapalat" w:hAnsi="GHEA Grapalat"/>
          <w:sz w:val="22"/>
          <w:szCs w:val="22"/>
          <w:u w:val="single"/>
          <w:lang w:val="af-ZA"/>
        </w:rPr>
      </w:pPr>
      <w:r w:rsidRPr="00C921DE">
        <w:rPr>
          <w:rFonts w:ascii="GHEA Grapalat" w:hAnsi="GHEA Grapalat"/>
          <w:sz w:val="22"/>
          <w:szCs w:val="22"/>
          <w:u w:val="single"/>
          <w:lang w:val="en-US"/>
        </w:rPr>
        <w:t>Անտառների</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կառավարման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բնագավառ</w:t>
      </w:r>
    </w:p>
    <w:p w14:paraId="2904C880" w14:textId="77777777" w:rsidR="001C411D" w:rsidRPr="00C921DE" w:rsidRDefault="001C411D" w:rsidP="00192362">
      <w:pPr>
        <w:spacing w:line="360" w:lineRule="auto"/>
        <w:ind w:firstLine="567"/>
        <w:jc w:val="both"/>
        <w:rPr>
          <w:rFonts w:ascii="GHEA Grapalat" w:hAnsi="GHEA Grapalat"/>
          <w:sz w:val="22"/>
          <w:szCs w:val="22"/>
          <w:lang w:val="en-US"/>
        </w:rPr>
      </w:pPr>
      <w:r w:rsidRPr="00C921DE">
        <w:rPr>
          <w:rFonts w:ascii="GHEA Grapalat" w:hAnsi="GHEA Grapalat"/>
          <w:i/>
          <w:sz w:val="22"/>
          <w:szCs w:val="22"/>
          <w:lang w:val="en-US"/>
        </w:rPr>
        <w:t>«Անտառվերականգն</w:t>
      </w:r>
      <w:r w:rsidR="00D25059" w:rsidRPr="00C921DE">
        <w:rPr>
          <w:rFonts w:ascii="GHEA Grapalat" w:hAnsi="GHEA Grapalat"/>
          <w:i/>
          <w:sz w:val="22"/>
          <w:szCs w:val="22"/>
          <w:lang w:val="en-US"/>
        </w:rPr>
        <w:t>ման</w:t>
      </w:r>
      <w:r w:rsidRPr="00C921DE">
        <w:rPr>
          <w:rFonts w:ascii="GHEA Grapalat" w:hAnsi="GHEA Grapalat"/>
          <w:i/>
          <w:sz w:val="22"/>
          <w:szCs w:val="22"/>
          <w:lang w:val="en-US"/>
        </w:rPr>
        <w:t xml:space="preserve"> և անտառապատ</w:t>
      </w:r>
      <w:r w:rsidR="00D25059" w:rsidRPr="00C921DE">
        <w:rPr>
          <w:rFonts w:ascii="GHEA Grapalat" w:hAnsi="GHEA Grapalat"/>
          <w:i/>
          <w:sz w:val="22"/>
          <w:szCs w:val="22"/>
          <w:lang w:val="en-US"/>
        </w:rPr>
        <w:t>ման աշխատանքներ</w:t>
      </w:r>
      <w:r w:rsidRPr="00C921DE">
        <w:rPr>
          <w:rFonts w:ascii="GHEA Grapalat" w:hAnsi="GHEA Grapalat"/>
          <w:i/>
          <w:sz w:val="22"/>
          <w:szCs w:val="22"/>
          <w:lang w:val="en-US"/>
        </w:rPr>
        <w:t>» միջոցառման</w:t>
      </w:r>
      <w:r w:rsidRPr="00C921DE">
        <w:rPr>
          <w:rFonts w:ascii="GHEA Grapalat" w:hAnsi="GHEA Grapalat"/>
          <w:sz w:val="22"/>
          <w:szCs w:val="22"/>
          <w:lang w:val="en-US"/>
        </w:rPr>
        <w:t xml:space="preserve"> </w:t>
      </w:r>
      <w:r w:rsidR="007E2AC7" w:rsidRPr="00C921DE">
        <w:rPr>
          <w:rFonts w:ascii="GHEA Grapalat" w:hAnsi="GHEA Grapalat"/>
          <w:sz w:val="22"/>
          <w:szCs w:val="22"/>
          <w:lang w:val="en-US"/>
        </w:rPr>
        <w:t xml:space="preserve">շրջանակներում 2023 թվականին </w:t>
      </w:r>
      <w:r w:rsidR="00737AEC" w:rsidRPr="00C921DE">
        <w:rPr>
          <w:rFonts w:ascii="GHEA Grapalat" w:hAnsi="GHEA Grapalat"/>
          <w:sz w:val="22"/>
          <w:szCs w:val="22"/>
          <w:lang w:val="en-US"/>
        </w:rPr>
        <w:t>իրականացվել են</w:t>
      </w:r>
      <w:r w:rsidR="007E2AC7" w:rsidRPr="00C921DE">
        <w:rPr>
          <w:rFonts w:ascii="GHEA Grapalat" w:hAnsi="GHEA Grapalat"/>
          <w:sz w:val="22"/>
          <w:szCs w:val="22"/>
          <w:lang w:val="en-US"/>
        </w:rPr>
        <w:t xml:space="preserve"> 436 հա անտառվերականգնման ու անտառապատման աշխատանքներ, որից պետական բյուջեի միջոցներով` 226 հա (130 հա անտառմշակույթների հիմնում և 96 կոճղաշիվային վերաճի օժանդակում) և անտառային տնտեսությանը հասցվող վնասի հատուցման ծրագրի շրջանակներում` 210 հա: Նախորդ տարվա ցուցանիշը գերազանցվել է մոտ 200 հա-ով։ Աճեցվել է 250 հազար հատ փակ արմատային համակարգով տնկանյութ, հիմնադրվել` 8.0 հա տնկարան։</w:t>
      </w:r>
    </w:p>
    <w:p w14:paraId="378CA1BB" w14:textId="3A1A6399" w:rsidR="001C411D" w:rsidRPr="00C921DE" w:rsidRDefault="00660DF2" w:rsidP="00192362">
      <w:pPr>
        <w:spacing w:line="360" w:lineRule="auto"/>
        <w:ind w:firstLine="567"/>
        <w:jc w:val="both"/>
        <w:rPr>
          <w:rFonts w:ascii="GHEA Grapalat" w:hAnsi="GHEA Grapalat"/>
          <w:sz w:val="22"/>
          <w:szCs w:val="22"/>
          <w:lang w:val="en-US"/>
        </w:rPr>
      </w:pPr>
      <w:r w:rsidRPr="00C921DE">
        <w:rPr>
          <w:rFonts w:ascii="GHEA Grapalat" w:hAnsi="GHEA Grapalat"/>
          <w:i/>
          <w:sz w:val="22"/>
          <w:szCs w:val="22"/>
          <w:lang w:val="en-US"/>
        </w:rPr>
        <w:t>«</w:t>
      </w:r>
      <w:r w:rsidR="007E2AC7" w:rsidRPr="00C921DE">
        <w:rPr>
          <w:rFonts w:ascii="GHEA Grapalat" w:hAnsi="GHEA Grapalat"/>
          <w:i/>
          <w:sz w:val="22"/>
          <w:szCs w:val="22"/>
          <w:lang w:val="en-US"/>
        </w:rPr>
        <w:t>Անտառպա</w:t>
      </w:r>
      <w:r w:rsidR="00001511" w:rsidRPr="00C921DE">
        <w:rPr>
          <w:rFonts w:ascii="GHEA Grapalat" w:hAnsi="GHEA Grapalat"/>
          <w:i/>
          <w:sz w:val="22"/>
          <w:szCs w:val="22"/>
          <w:lang w:val="en-US"/>
        </w:rPr>
        <w:t>հպան</w:t>
      </w:r>
      <w:r w:rsidRPr="00C921DE">
        <w:rPr>
          <w:rFonts w:ascii="GHEA Grapalat" w:hAnsi="GHEA Grapalat"/>
          <w:i/>
          <w:sz w:val="22"/>
          <w:szCs w:val="22"/>
          <w:lang w:val="en-US"/>
        </w:rPr>
        <w:t>ական ծառայություններ» և</w:t>
      </w:r>
      <w:r w:rsidR="00001511" w:rsidRPr="00C921DE">
        <w:rPr>
          <w:rFonts w:ascii="GHEA Grapalat" w:hAnsi="GHEA Grapalat"/>
          <w:i/>
          <w:sz w:val="22"/>
          <w:szCs w:val="22"/>
          <w:lang w:val="en-US"/>
        </w:rPr>
        <w:t xml:space="preserve"> </w:t>
      </w:r>
      <w:r w:rsidR="002E2A49" w:rsidRPr="00C921DE">
        <w:rPr>
          <w:rFonts w:ascii="GHEA Grapalat" w:hAnsi="GHEA Grapalat"/>
          <w:i/>
          <w:sz w:val="22"/>
          <w:szCs w:val="22"/>
          <w:lang w:val="en-US"/>
        </w:rPr>
        <w:t>«Ա</w:t>
      </w:r>
      <w:r w:rsidR="007E2AC7" w:rsidRPr="00C921DE">
        <w:rPr>
          <w:rFonts w:ascii="GHEA Grapalat" w:hAnsi="GHEA Grapalat"/>
          <w:i/>
          <w:sz w:val="22"/>
          <w:szCs w:val="22"/>
          <w:lang w:val="en-US"/>
        </w:rPr>
        <w:t>նտառկառավարման պլանների կազմում</w:t>
      </w:r>
      <w:r w:rsidR="002E2A49" w:rsidRPr="00C921DE">
        <w:rPr>
          <w:rFonts w:ascii="GHEA Grapalat" w:hAnsi="GHEA Grapalat"/>
          <w:i/>
          <w:sz w:val="22"/>
          <w:szCs w:val="22"/>
          <w:lang w:val="en-US"/>
        </w:rPr>
        <w:t>»</w:t>
      </w:r>
      <w:r w:rsidR="007E2AC7" w:rsidRPr="00C921DE">
        <w:rPr>
          <w:rFonts w:ascii="GHEA Grapalat" w:hAnsi="GHEA Grapalat"/>
          <w:i/>
          <w:sz w:val="22"/>
          <w:szCs w:val="22"/>
          <w:lang w:val="en-US"/>
        </w:rPr>
        <w:t xml:space="preserve"> միջոցառումների</w:t>
      </w:r>
      <w:r w:rsidR="007E2AC7" w:rsidRPr="00C921DE">
        <w:rPr>
          <w:rFonts w:ascii="GHEA Grapalat" w:hAnsi="GHEA Grapalat"/>
          <w:sz w:val="22"/>
          <w:szCs w:val="22"/>
          <w:lang w:val="en-US"/>
        </w:rPr>
        <w:t xml:space="preserve"> շրջանակներում առաջին անգամ 4120 հա անտառածածկ տարածքներում իրականացվել են վնասատուների դեմ կենսաբանական պայքարի աշխատանքներ։ Ինչպես նախորդ տարի, 2023 թվականին ևս անտառամերձ բնակչությանն անվճար տրամադրվել է շուրջ 79.0 հազար խ/մ պահեստային թափուկ վառելափայտ։ Հաստատվել են «Հայանտառ» ՊՈԱԿ-ի 7 «անտառտնտեսություն» մասնաճյուղերի անտառկառավարման պլանները, մշակվել են ևս 4-ը։ 2024 թվականին «Հայանտառ» ՊՈԱԿ-ի բոլոր 17 մասնաճյուղերը կունենան կառավարման պլաններ։</w:t>
      </w:r>
    </w:p>
    <w:p w14:paraId="2925447F" w14:textId="116C11D6" w:rsidR="001C411D" w:rsidRPr="00C921DE" w:rsidRDefault="001C411D" w:rsidP="00192362">
      <w:pPr>
        <w:spacing w:line="360" w:lineRule="auto"/>
        <w:ind w:firstLine="567"/>
        <w:jc w:val="both"/>
        <w:rPr>
          <w:rFonts w:ascii="GHEA Grapalat" w:hAnsi="GHEA Grapalat"/>
          <w:sz w:val="22"/>
          <w:szCs w:val="22"/>
          <w:lang w:val="af-ZA"/>
        </w:rPr>
      </w:pPr>
    </w:p>
    <w:p w14:paraId="79F4FE34" w14:textId="77777777" w:rsidR="00532CC7" w:rsidRPr="00C921DE" w:rsidRDefault="00532CC7" w:rsidP="00192362">
      <w:pPr>
        <w:spacing w:line="360" w:lineRule="auto"/>
        <w:ind w:firstLine="567"/>
        <w:jc w:val="both"/>
        <w:rPr>
          <w:rFonts w:ascii="GHEA Grapalat" w:hAnsi="GHEA Grapalat"/>
          <w:sz w:val="22"/>
          <w:szCs w:val="22"/>
          <w:lang w:val="af-ZA"/>
        </w:rPr>
      </w:pPr>
    </w:p>
    <w:p w14:paraId="15C19382" w14:textId="77777777" w:rsidR="001C411D" w:rsidRPr="00C921DE" w:rsidRDefault="001C411D" w:rsidP="00461880">
      <w:pPr>
        <w:spacing w:line="360" w:lineRule="auto"/>
        <w:ind w:left="567"/>
        <w:jc w:val="both"/>
        <w:rPr>
          <w:rFonts w:ascii="GHEA Grapalat" w:hAnsi="GHEA Grapalat"/>
          <w:sz w:val="22"/>
          <w:szCs w:val="22"/>
          <w:u w:val="single"/>
          <w:lang w:val="af-ZA"/>
        </w:rPr>
      </w:pPr>
      <w:r w:rsidRPr="00C921DE">
        <w:rPr>
          <w:rFonts w:ascii="GHEA Grapalat" w:hAnsi="GHEA Grapalat"/>
          <w:sz w:val="22"/>
          <w:szCs w:val="22"/>
          <w:u w:val="single"/>
          <w:lang w:val="en-US"/>
        </w:rPr>
        <w:t>Բնագիտական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նմուշների</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պահպանության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և</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ցուցադրության</w:t>
      </w:r>
      <w:r w:rsidRPr="00C921DE">
        <w:rPr>
          <w:rFonts w:ascii="GHEA Grapalat" w:hAnsi="GHEA Grapalat"/>
          <w:sz w:val="22"/>
          <w:szCs w:val="22"/>
          <w:u w:val="single"/>
          <w:lang w:val="af-ZA"/>
        </w:rPr>
        <w:t xml:space="preserve"> </w:t>
      </w:r>
      <w:r w:rsidRPr="00C921DE">
        <w:rPr>
          <w:rFonts w:ascii="GHEA Grapalat" w:hAnsi="GHEA Grapalat"/>
          <w:sz w:val="22"/>
          <w:szCs w:val="22"/>
          <w:u w:val="single"/>
          <w:lang w:val="en-US"/>
        </w:rPr>
        <w:t>բնագավառ</w:t>
      </w:r>
    </w:p>
    <w:p w14:paraId="3E448DC3" w14:textId="4BEE21D2" w:rsidR="007E2AC7" w:rsidRPr="00C921DE" w:rsidRDefault="007E2AC7" w:rsidP="00BC415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թվականի</w:t>
      </w:r>
      <w:r w:rsidR="00BC415C" w:rsidRPr="00C921DE">
        <w:rPr>
          <w:rFonts w:ascii="GHEA Grapalat" w:hAnsi="GHEA Grapalat"/>
          <w:sz w:val="22"/>
          <w:szCs w:val="22"/>
          <w:lang w:val="en-US"/>
        </w:rPr>
        <w:t>ն</w:t>
      </w:r>
      <w:r w:rsidRPr="00C921DE">
        <w:rPr>
          <w:rFonts w:ascii="GHEA Grapalat" w:hAnsi="GHEA Grapalat"/>
          <w:sz w:val="22"/>
          <w:szCs w:val="22"/>
          <w:lang w:val="en-US"/>
        </w:rPr>
        <w:t xml:space="preserve"> թանգարանի կողմից իրականացվել է թանգարանի մշտական և ժամանակավոր պահպանությանը հանձնված 6720 նմուշների հաշվառումն ու պահպանումը, թանգարանային առարկաների և թանգարանային հավաքածուների մշտական ու ժամանակավոր հանրային ցուցադրումը: 2023</w:t>
      </w:r>
      <w:r w:rsidR="00DA32A9" w:rsidRPr="00C921DE">
        <w:rPr>
          <w:rFonts w:ascii="GHEA Grapalat" w:hAnsi="GHEA Grapalat"/>
          <w:sz w:val="22"/>
          <w:szCs w:val="22"/>
          <w:lang w:val="en-US"/>
        </w:rPr>
        <w:t xml:space="preserve"> </w:t>
      </w:r>
      <w:r w:rsidRPr="00C921DE">
        <w:rPr>
          <w:rFonts w:ascii="GHEA Grapalat" w:hAnsi="GHEA Grapalat"/>
          <w:sz w:val="22"/>
          <w:szCs w:val="22"/>
          <w:lang w:val="en-US"/>
        </w:rPr>
        <w:t>թ</w:t>
      </w:r>
      <w:r w:rsidR="00DA32A9" w:rsidRPr="00C921DE">
        <w:rPr>
          <w:rFonts w:ascii="GHEA Grapalat" w:hAnsi="GHEA Grapalat"/>
          <w:sz w:val="22"/>
          <w:szCs w:val="22"/>
          <w:lang w:val="en-US"/>
        </w:rPr>
        <w:t>վական</w:t>
      </w:r>
      <w:r w:rsidRPr="00C921DE">
        <w:rPr>
          <w:rFonts w:ascii="GHEA Grapalat" w:hAnsi="GHEA Grapalat"/>
          <w:sz w:val="22"/>
          <w:szCs w:val="22"/>
          <w:lang w:val="en-US"/>
        </w:rPr>
        <w:t>ի ծրագրով իրականացվել են</w:t>
      </w:r>
      <w:r w:rsidR="00EF4E93" w:rsidRPr="00C921DE">
        <w:rPr>
          <w:rFonts w:ascii="GHEA Grapalat" w:hAnsi="GHEA Grapalat"/>
          <w:sz w:val="22"/>
          <w:szCs w:val="22"/>
          <w:lang w:val="en-US"/>
        </w:rPr>
        <w:t xml:space="preserve"> </w:t>
      </w:r>
      <w:r w:rsidRPr="00C921DE">
        <w:rPr>
          <w:rFonts w:ascii="GHEA Grapalat" w:hAnsi="GHEA Grapalat"/>
          <w:sz w:val="22"/>
          <w:szCs w:val="22"/>
          <w:lang w:val="en-US"/>
        </w:rPr>
        <w:t>2 գիտարշավներ, հիմնական ֆոնդը համալրվել է 20 ցուցանմուշով, hամալրված</w:t>
      </w:r>
      <w:r w:rsidR="00EF4E93" w:rsidRPr="00C921DE">
        <w:rPr>
          <w:rFonts w:ascii="GHEA Grapalat" w:hAnsi="GHEA Grapalat"/>
          <w:sz w:val="22"/>
          <w:szCs w:val="22"/>
          <w:lang w:val="en-US"/>
        </w:rPr>
        <w:t xml:space="preserve"> </w:t>
      </w:r>
      <w:r w:rsidRPr="00C921DE">
        <w:rPr>
          <w:rFonts w:ascii="GHEA Grapalat" w:hAnsi="GHEA Grapalat"/>
          <w:sz w:val="22"/>
          <w:szCs w:val="22"/>
          <w:lang w:val="en-US"/>
        </w:rPr>
        <w:t>ցուցանմուշները</w:t>
      </w:r>
      <w:r w:rsidR="00EF4E93" w:rsidRPr="00C921DE">
        <w:rPr>
          <w:rFonts w:ascii="GHEA Grapalat" w:hAnsi="GHEA Grapalat"/>
          <w:sz w:val="22"/>
          <w:szCs w:val="22"/>
          <w:lang w:val="en-US"/>
        </w:rPr>
        <w:t xml:space="preserve"> </w:t>
      </w:r>
      <w:r w:rsidRPr="00C921DE">
        <w:rPr>
          <w:rFonts w:ascii="GHEA Grapalat" w:hAnsi="GHEA Grapalat"/>
          <w:sz w:val="22"/>
          <w:szCs w:val="22"/>
          <w:lang w:val="en-US"/>
        </w:rPr>
        <w:t>անձնագրավորվել, քարտագրավորվել, պիտակագրավորվել և լուսանկարահանվել են: Մշտական ցուցադրությունը համալրվել է 10 ցուցանմուշով: Մաշկաքանդակագործական արհեստանոցում վերականգնվել և վ</w:t>
      </w:r>
      <w:r w:rsidR="00DA32A9" w:rsidRPr="00C921DE">
        <w:rPr>
          <w:rFonts w:ascii="GHEA Grapalat" w:hAnsi="GHEA Grapalat"/>
          <w:sz w:val="22"/>
          <w:szCs w:val="22"/>
          <w:lang w:val="en-US"/>
        </w:rPr>
        <w:t>երանորոգվել է</w:t>
      </w:r>
      <w:r w:rsidRPr="00C921DE">
        <w:rPr>
          <w:rFonts w:ascii="GHEA Grapalat" w:hAnsi="GHEA Grapalat"/>
          <w:sz w:val="22"/>
          <w:szCs w:val="22"/>
          <w:lang w:val="en-US"/>
        </w:rPr>
        <w:t xml:space="preserve"> 20 ցուցանմուշ: </w:t>
      </w:r>
      <w:r w:rsidR="00DA32A9" w:rsidRPr="00C921DE">
        <w:rPr>
          <w:rFonts w:ascii="GHEA Grapalat" w:hAnsi="GHEA Grapalat"/>
          <w:sz w:val="22"/>
          <w:szCs w:val="22"/>
          <w:lang w:val="en-US"/>
        </w:rPr>
        <w:t>Հիմնական ֆոնդի ցուցանմուշները մ</w:t>
      </w:r>
      <w:r w:rsidRPr="00C921DE">
        <w:rPr>
          <w:rFonts w:ascii="GHEA Grapalat" w:hAnsi="GHEA Grapalat"/>
          <w:sz w:val="22"/>
          <w:szCs w:val="22"/>
          <w:lang w:val="en-US"/>
        </w:rPr>
        <w:t xml:space="preserve">իջատների դեմ պայքարող </w:t>
      </w:r>
      <w:r w:rsidRPr="00C921DE">
        <w:rPr>
          <w:rFonts w:ascii="GHEA Grapalat" w:hAnsi="GHEA Grapalat"/>
          <w:sz w:val="22"/>
          <w:szCs w:val="22"/>
          <w:lang w:val="en-US"/>
        </w:rPr>
        <w:lastRenderedPageBreak/>
        <w:t xml:space="preserve">հատուկ քիմիական նյութերով ենթարկվել են </w:t>
      </w:r>
      <w:r w:rsidR="00CD7D9F" w:rsidRPr="00C921DE">
        <w:rPr>
          <w:rFonts w:ascii="GHEA Grapalat" w:hAnsi="GHEA Grapalat"/>
          <w:sz w:val="22"/>
          <w:szCs w:val="22"/>
          <w:lang w:val="en-US"/>
        </w:rPr>
        <w:t>չորս</w:t>
      </w:r>
      <w:r w:rsidRPr="00C921DE">
        <w:rPr>
          <w:rFonts w:ascii="GHEA Grapalat" w:hAnsi="GHEA Grapalat"/>
          <w:sz w:val="22"/>
          <w:szCs w:val="22"/>
          <w:lang w:val="en-US"/>
        </w:rPr>
        <w:t>անգամյա</w:t>
      </w:r>
      <w:r w:rsidR="00EF4E93" w:rsidRPr="00C921DE">
        <w:rPr>
          <w:rFonts w:ascii="GHEA Grapalat" w:hAnsi="GHEA Grapalat"/>
          <w:sz w:val="22"/>
          <w:szCs w:val="22"/>
          <w:lang w:val="en-US"/>
        </w:rPr>
        <w:t xml:space="preserve"> </w:t>
      </w:r>
      <w:r w:rsidRPr="00C921DE">
        <w:rPr>
          <w:rFonts w:ascii="GHEA Grapalat" w:hAnsi="GHEA Grapalat"/>
          <w:sz w:val="22"/>
          <w:szCs w:val="22"/>
          <w:lang w:val="en-US"/>
        </w:rPr>
        <w:t>պրոֆիլակտիկ ախտահանման: 2023</w:t>
      </w:r>
      <w:r w:rsidR="00DA32A9" w:rsidRPr="00C921DE">
        <w:rPr>
          <w:rFonts w:ascii="GHEA Grapalat" w:hAnsi="GHEA Grapalat"/>
          <w:sz w:val="22"/>
          <w:szCs w:val="22"/>
          <w:lang w:val="en-US"/>
        </w:rPr>
        <w:t xml:space="preserve"> </w:t>
      </w:r>
      <w:r w:rsidRPr="00C921DE">
        <w:rPr>
          <w:rFonts w:ascii="GHEA Grapalat" w:hAnsi="GHEA Grapalat"/>
          <w:sz w:val="22"/>
          <w:szCs w:val="22"/>
          <w:lang w:val="en-US"/>
        </w:rPr>
        <w:t>թ</w:t>
      </w:r>
      <w:r w:rsidR="00DA32A9" w:rsidRPr="00C921DE">
        <w:rPr>
          <w:rFonts w:ascii="GHEA Grapalat" w:hAnsi="GHEA Grapalat"/>
          <w:sz w:val="22"/>
          <w:szCs w:val="22"/>
          <w:lang w:val="en-US"/>
        </w:rPr>
        <w:t>վական</w:t>
      </w:r>
      <w:r w:rsidRPr="00C921DE">
        <w:rPr>
          <w:rFonts w:ascii="GHEA Grapalat" w:hAnsi="GHEA Grapalat"/>
          <w:sz w:val="22"/>
          <w:szCs w:val="22"/>
          <w:lang w:val="en-US"/>
        </w:rPr>
        <w:t>ի ծրագրով իրականացվել են</w:t>
      </w:r>
      <w:r w:rsidR="00EF4E93" w:rsidRPr="00C921DE">
        <w:rPr>
          <w:rFonts w:ascii="GHEA Grapalat" w:hAnsi="GHEA Grapalat"/>
          <w:sz w:val="22"/>
          <w:szCs w:val="22"/>
          <w:lang w:val="en-US"/>
        </w:rPr>
        <w:t xml:space="preserve"> </w:t>
      </w:r>
      <w:r w:rsidRPr="00C921DE">
        <w:rPr>
          <w:rFonts w:ascii="GHEA Grapalat" w:hAnsi="GHEA Grapalat"/>
          <w:sz w:val="22"/>
          <w:szCs w:val="22"/>
          <w:lang w:val="en-US"/>
        </w:rPr>
        <w:t>բնապահպանական թեմաներ</w:t>
      </w:r>
      <w:r w:rsidR="00DA32A9" w:rsidRPr="00C921DE">
        <w:rPr>
          <w:rFonts w:ascii="GHEA Grapalat" w:hAnsi="GHEA Grapalat"/>
          <w:sz w:val="22"/>
          <w:szCs w:val="22"/>
          <w:lang w:val="en-US"/>
        </w:rPr>
        <w:t>ով 5 միջոցառում և 5 ցուցահանդես,</w:t>
      </w:r>
      <w:r w:rsidRPr="00C921DE">
        <w:rPr>
          <w:rFonts w:ascii="GHEA Grapalat" w:hAnsi="GHEA Grapalat"/>
          <w:sz w:val="22"/>
          <w:szCs w:val="22"/>
          <w:lang w:val="en-US"/>
        </w:rPr>
        <w:t xml:space="preserve"> </w:t>
      </w:r>
      <w:r w:rsidR="00DA32A9" w:rsidRPr="00C921DE">
        <w:rPr>
          <w:rFonts w:ascii="GHEA Grapalat" w:hAnsi="GHEA Grapalat"/>
          <w:sz w:val="22"/>
          <w:szCs w:val="22"/>
          <w:lang w:val="en-US"/>
        </w:rPr>
        <w:t>բ</w:t>
      </w:r>
      <w:r w:rsidRPr="00C921DE">
        <w:rPr>
          <w:rFonts w:ascii="GHEA Grapalat" w:hAnsi="GHEA Grapalat"/>
          <w:sz w:val="22"/>
          <w:szCs w:val="22"/>
          <w:lang w:val="en-US"/>
        </w:rPr>
        <w:t xml:space="preserve">նապահպանական թեմաներով բացիկների և բուկլետների մշակում և տպագրում: </w:t>
      </w:r>
    </w:p>
    <w:p w14:paraId="66FF39C5" w14:textId="0994520E" w:rsidR="001C411D" w:rsidRPr="00C921DE" w:rsidRDefault="007E2AC7" w:rsidP="007E2AC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թվականին «Կենդանաբանական այգու ցուցադրություններ» միջոցառման շրջանակներում «Երևանի կենդանաբանական այգի» ՀՈԱԿ-ը իրականացրել է վագրերի ազատավանդակի ցինկապատ թիթեղով տանիքի կառուցում, կիսածածկի կառուցում, գետաձիու ձմեռանոցի հատակի հարթեցում, խոտերի պահեստի տանիքի կառուցում, տանիքի շրջանակի պատրաստում, պտավոր եղնիկ</w:t>
      </w:r>
      <w:r w:rsidR="002A41AF" w:rsidRPr="00C921DE">
        <w:rPr>
          <w:rFonts w:ascii="GHEA Grapalat" w:hAnsi="GHEA Grapalat"/>
          <w:sz w:val="22"/>
          <w:szCs w:val="22"/>
          <w:lang w:val="en-US"/>
        </w:rPr>
        <w:t>ների ձմեռանոցի տանիքի կառուցում, ա</w:t>
      </w:r>
      <w:r w:rsidRPr="00C921DE">
        <w:rPr>
          <w:rFonts w:ascii="GHEA Grapalat" w:hAnsi="GHEA Grapalat"/>
          <w:sz w:val="22"/>
          <w:szCs w:val="22"/>
          <w:lang w:val="en-US"/>
        </w:rPr>
        <w:t>յգու ընթացիկ պահպանման աշխատանքներ (խողովակներով կարկասի հավաքում, ուղտի ձմեռանոցի տանիքի կառուցում, բեզոարյան այծերի կերամանի ծա</w:t>
      </w:r>
      <w:r w:rsidR="002A41AF" w:rsidRPr="00C921DE">
        <w:rPr>
          <w:rFonts w:ascii="GHEA Grapalat" w:hAnsi="GHEA Grapalat"/>
          <w:sz w:val="22"/>
          <w:szCs w:val="22"/>
          <w:lang w:val="en-US"/>
        </w:rPr>
        <w:t>ծկոց, երկաթե դետալների ներկում), Պ</w:t>
      </w:r>
      <w:r w:rsidRPr="00C921DE">
        <w:rPr>
          <w:rFonts w:ascii="GHEA Grapalat" w:hAnsi="GHEA Grapalat"/>
          <w:sz w:val="22"/>
          <w:szCs w:val="22"/>
          <w:lang w:val="en-US"/>
        </w:rPr>
        <w:t>րժևալսկու ձիերի և կուլանի ձմեռանոցի վերանորոգման աշխատանքներ</w:t>
      </w:r>
      <w:r w:rsidR="002A41AF" w:rsidRPr="00C921DE">
        <w:rPr>
          <w:rFonts w:ascii="GHEA Grapalat" w:hAnsi="GHEA Grapalat"/>
          <w:sz w:val="22"/>
          <w:szCs w:val="22"/>
          <w:lang w:val="en-US"/>
        </w:rPr>
        <w:t>,</w:t>
      </w:r>
      <w:r w:rsidRPr="00C921DE">
        <w:rPr>
          <w:rFonts w:ascii="GHEA Grapalat" w:hAnsi="GHEA Grapalat"/>
          <w:sz w:val="22"/>
          <w:szCs w:val="22"/>
          <w:lang w:val="en-US"/>
        </w:rPr>
        <w:t xml:space="preserve"> </w:t>
      </w:r>
      <w:r w:rsidR="002A41AF" w:rsidRPr="00C921DE">
        <w:rPr>
          <w:rFonts w:ascii="GHEA Grapalat" w:hAnsi="GHEA Grapalat"/>
          <w:sz w:val="22"/>
          <w:szCs w:val="22"/>
          <w:lang w:val="en-US"/>
        </w:rPr>
        <w:t>է</w:t>
      </w:r>
      <w:r w:rsidRPr="00C921DE">
        <w:rPr>
          <w:rFonts w:ascii="GHEA Grapalat" w:hAnsi="GHEA Grapalat"/>
          <w:sz w:val="22"/>
          <w:szCs w:val="22"/>
          <w:lang w:val="en-US"/>
        </w:rPr>
        <w:t>լեկտրական էներգիայի եռամիջուկ մալուխի անցկացում</w:t>
      </w:r>
      <w:r w:rsidR="002A41AF" w:rsidRPr="00C921DE">
        <w:rPr>
          <w:rFonts w:ascii="GHEA Grapalat" w:hAnsi="GHEA Grapalat"/>
          <w:sz w:val="22"/>
          <w:szCs w:val="22"/>
          <w:lang w:val="en-US"/>
        </w:rPr>
        <w:t>,</w:t>
      </w:r>
      <w:r w:rsidRPr="00C921DE">
        <w:rPr>
          <w:rFonts w:ascii="GHEA Grapalat" w:hAnsi="GHEA Grapalat"/>
          <w:sz w:val="22"/>
          <w:szCs w:val="22"/>
          <w:lang w:val="en-US"/>
        </w:rPr>
        <w:t xml:space="preserve"> </w:t>
      </w:r>
      <w:r w:rsidR="002A41AF" w:rsidRPr="00C921DE">
        <w:rPr>
          <w:rFonts w:ascii="GHEA Grapalat" w:hAnsi="GHEA Grapalat"/>
          <w:sz w:val="22"/>
          <w:szCs w:val="22"/>
          <w:lang w:val="en-US"/>
        </w:rPr>
        <w:t>վ</w:t>
      </w:r>
      <w:r w:rsidRPr="00C921DE">
        <w:rPr>
          <w:rFonts w:ascii="GHEA Grapalat" w:hAnsi="GHEA Grapalat"/>
          <w:sz w:val="22"/>
          <w:szCs w:val="22"/>
          <w:lang w:val="en-US"/>
        </w:rPr>
        <w:t>արչական շենքի վերանորոգում</w:t>
      </w:r>
      <w:r w:rsidR="002A41AF" w:rsidRPr="00C921DE">
        <w:rPr>
          <w:rFonts w:ascii="GHEA Grapalat" w:hAnsi="GHEA Grapalat"/>
          <w:sz w:val="22"/>
          <w:szCs w:val="22"/>
          <w:lang w:val="en-US"/>
        </w:rPr>
        <w:t>,</w:t>
      </w:r>
      <w:r w:rsidRPr="00C921DE">
        <w:rPr>
          <w:rFonts w:ascii="GHEA Grapalat" w:hAnsi="GHEA Grapalat"/>
          <w:sz w:val="22"/>
          <w:szCs w:val="22"/>
          <w:lang w:val="en-US"/>
        </w:rPr>
        <w:t xml:space="preserve"> </w:t>
      </w:r>
      <w:r w:rsidR="002A41AF" w:rsidRPr="00C921DE">
        <w:rPr>
          <w:rFonts w:ascii="GHEA Grapalat" w:hAnsi="GHEA Grapalat"/>
          <w:sz w:val="22"/>
          <w:szCs w:val="22"/>
          <w:lang w:val="en-US"/>
        </w:rPr>
        <w:t>պ</w:t>
      </w:r>
      <w:r w:rsidRPr="00C921DE">
        <w:rPr>
          <w:rFonts w:ascii="GHEA Grapalat" w:hAnsi="GHEA Grapalat"/>
          <w:sz w:val="22"/>
          <w:szCs w:val="22"/>
          <w:lang w:val="en-US"/>
        </w:rPr>
        <w:t>ահեստի և կերախոհանոցի ջեռուցման համակարգի տեղադրում։</w:t>
      </w:r>
    </w:p>
    <w:p w14:paraId="685822CA" w14:textId="77777777" w:rsidR="001C411D" w:rsidRPr="00C921DE" w:rsidRDefault="001C411D" w:rsidP="00AC199C">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 </w:t>
      </w:r>
    </w:p>
    <w:p w14:paraId="183B92A0" w14:textId="77777777" w:rsidR="001C411D" w:rsidRPr="00C921DE" w:rsidRDefault="001C411D" w:rsidP="00AC199C">
      <w:pPr>
        <w:pStyle w:val="Heading2"/>
        <w:spacing w:before="0"/>
      </w:pPr>
      <w:bookmarkStart w:id="53" w:name="_Toc163745440"/>
      <w:r w:rsidRPr="00C921DE">
        <w:t>Բյուջեների կազմման բնագավառ</w:t>
      </w:r>
      <w:bookmarkEnd w:id="53"/>
    </w:p>
    <w:p w14:paraId="4074C58A" w14:textId="4BDD3180" w:rsidR="006E5484" w:rsidRPr="00C921DE" w:rsidRDefault="006E5484" w:rsidP="0068748F">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Պետական կառավարման համակարգում պատասխանատվության համախմբման և ռեսուրսների դիմաց առավելագույն արդյունքի ստացման նպատակով պետական բյուջեի կազմման բնագավառում իրականացվում են մի շարք քայլեր, որոնց իրագործումը թույլ կտա ապահովել հանրային կառավարման թափանցիկության, հաշվետվողականության և հսկողության բարձրացումը, ինչպես նաև պետության կողմից մատուցվող ծառայությունների որակի բարելավումը՝ հանրային բարիքի արդյունավետ, օգտավետ և խնայողաբար, հասցեական օգտագործման հաշվին: Մասնավորապես՝</w:t>
      </w:r>
      <w:r w:rsidR="00D1751E" w:rsidRPr="00C921DE">
        <w:rPr>
          <w:rFonts w:ascii="GHEA Grapalat" w:hAnsi="GHEA Grapalat"/>
          <w:sz w:val="22"/>
          <w:szCs w:val="22"/>
          <w:lang w:val="en-US"/>
        </w:rPr>
        <w:t xml:space="preserve"> ծ</w:t>
      </w:r>
      <w:r w:rsidRPr="00C921DE">
        <w:rPr>
          <w:rFonts w:ascii="GHEA Grapalat" w:hAnsi="GHEA Grapalat"/>
          <w:sz w:val="22"/>
          <w:szCs w:val="22"/>
          <w:lang w:val="en-US"/>
        </w:rPr>
        <w:t>ախսերի նպատակայնության բարձ</w:t>
      </w:r>
      <w:r w:rsidR="00EE66FD" w:rsidRPr="00C921DE">
        <w:rPr>
          <w:rFonts w:ascii="GHEA Grapalat" w:hAnsi="GHEA Grapalat"/>
          <w:sz w:val="22"/>
          <w:szCs w:val="22"/>
          <w:lang w:val="en-US"/>
        </w:rPr>
        <w:t>ր</w:t>
      </w:r>
      <w:r w:rsidRPr="00C921DE">
        <w:rPr>
          <w:rFonts w:ascii="GHEA Grapalat" w:hAnsi="GHEA Grapalat"/>
          <w:sz w:val="22"/>
          <w:szCs w:val="22"/>
          <w:lang w:val="en-US"/>
        </w:rPr>
        <w:t>ացման առումով ռազմավարական պլանավորման, այդ թվում` առկա ռազմավարությունների, վերջիններիս և մշակվելիք բոլոր ռազմավարական փաստաթղթերի</w:t>
      </w:r>
      <w:r w:rsidR="00D1751E" w:rsidRPr="00C921DE">
        <w:rPr>
          <w:rFonts w:ascii="GHEA Grapalat" w:hAnsi="GHEA Grapalat"/>
          <w:sz w:val="22"/>
          <w:szCs w:val="22"/>
          <w:lang w:val="en-US"/>
        </w:rPr>
        <w:t>՝</w:t>
      </w:r>
      <w:r w:rsidRPr="00C921DE">
        <w:rPr>
          <w:rFonts w:ascii="GHEA Grapalat" w:hAnsi="GHEA Grapalat"/>
          <w:sz w:val="22"/>
          <w:szCs w:val="22"/>
          <w:lang w:val="en-US"/>
        </w:rPr>
        <w:t xml:space="preserve"> Կառավարության հնգամյա ծրագրի, ՄԺԾԾ և ամենամյա ծրագրային բյուջեի հետ համակցվելու նպատակով իրականացվել են ոլորտներում առկա ռազմավարական փաստաթղթերի գույքագրման և դրանցով սահմանված քաղաքականության շրջանակների (նպատակներ, արդյունքներ, թիրախներ և այլն) թարմացման աշխատանքներ։ </w:t>
      </w:r>
    </w:p>
    <w:p w14:paraId="5ACB0890" w14:textId="77777777" w:rsidR="006E5484" w:rsidRPr="00C921DE" w:rsidRDefault="006E5484" w:rsidP="0068748F">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Միաժամանակ, ծրագրերի արդյունավետության և օգտավետության բարձրացման համար ծրագրերի գնահատման կանոնավոր գործընթացի ներդրման նպատակով աշխատանքներ են տարվել բյուջետային ծրագրերի գնահատման գործընթացի ներդրման ուղղությամբ, որի շրջանակներում իրականացվել է նաև Ծրագրերի գնահատման </w:t>
      </w:r>
      <w:r w:rsidR="00D1751E" w:rsidRPr="00C921DE">
        <w:rPr>
          <w:rFonts w:ascii="GHEA Grapalat" w:hAnsi="GHEA Grapalat"/>
          <w:sz w:val="22"/>
          <w:szCs w:val="22"/>
          <w:lang w:val="en-US"/>
        </w:rPr>
        <w:t>հ</w:t>
      </w:r>
      <w:r w:rsidRPr="00C921DE">
        <w:rPr>
          <w:rFonts w:ascii="GHEA Grapalat" w:hAnsi="GHEA Grapalat"/>
          <w:sz w:val="22"/>
          <w:szCs w:val="22"/>
          <w:lang w:val="en-US"/>
        </w:rPr>
        <w:t xml:space="preserve">այեցակարգի և մեթոդաբանության փորձաքննություն/ուսումնասիրություն՝ դրանց գործնական կիրառականության և ներդրման </w:t>
      </w:r>
      <w:r w:rsidRPr="00C921DE">
        <w:rPr>
          <w:rFonts w:ascii="GHEA Grapalat" w:hAnsi="GHEA Grapalat"/>
          <w:sz w:val="22"/>
          <w:szCs w:val="22"/>
          <w:lang w:val="en-US"/>
        </w:rPr>
        <w:lastRenderedPageBreak/>
        <w:t>տեսանկյունից: Նախատեսվում է, որ փորձաքննության արդյունքում</w:t>
      </w:r>
      <w:r w:rsidR="00F06213" w:rsidRPr="00C921DE">
        <w:rPr>
          <w:rFonts w:ascii="GHEA Grapalat" w:hAnsi="GHEA Grapalat"/>
          <w:sz w:val="22"/>
          <w:szCs w:val="22"/>
          <w:lang w:val="en-US"/>
        </w:rPr>
        <w:t>,</w:t>
      </w:r>
      <w:r w:rsidRPr="00C921DE">
        <w:rPr>
          <w:rFonts w:ascii="GHEA Grapalat" w:hAnsi="GHEA Grapalat"/>
          <w:sz w:val="22"/>
          <w:szCs w:val="22"/>
          <w:lang w:val="en-US"/>
        </w:rPr>
        <w:t xml:space="preserve"> ըստ անհրաժեշտության</w:t>
      </w:r>
      <w:r w:rsidR="00F06213" w:rsidRPr="00C921DE">
        <w:rPr>
          <w:rFonts w:ascii="GHEA Grapalat" w:hAnsi="GHEA Grapalat"/>
          <w:sz w:val="22"/>
          <w:szCs w:val="22"/>
          <w:lang w:val="en-US"/>
        </w:rPr>
        <w:t>,</w:t>
      </w:r>
      <w:r w:rsidRPr="00C921DE">
        <w:rPr>
          <w:rFonts w:ascii="GHEA Grapalat" w:hAnsi="GHEA Grapalat"/>
          <w:sz w:val="22"/>
          <w:szCs w:val="22"/>
          <w:lang w:val="en-US"/>
        </w:rPr>
        <w:t xml:space="preserve"> կվերանայվեն վերոհիշյալ փաստաթղթերը և կբերվեն կիրառական տեսքի: </w:t>
      </w:r>
    </w:p>
    <w:p w14:paraId="3A145674" w14:textId="77777777" w:rsidR="006E5484" w:rsidRPr="00C921DE" w:rsidRDefault="006E5484" w:rsidP="0068748F">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ՀՀ-ում գնահատման գործառույթների ներդրման հետ կապված</w:t>
      </w:r>
      <w:r w:rsidR="00F06213" w:rsidRPr="00C921DE">
        <w:rPr>
          <w:rFonts w:ascii="GHEA Grapalat" w:hAnsi="GHEA Grapalat"/>
          <w:sz w:val="22"/>
          <w:szCs w:val="22"/>
          <w:lang w:val="en-US"/>
        </w:rPr>
        <w:t>՝</w:t>
      </w:r>
      <w:r w:rsidRPr="00C921DE">
        <w:rPr>
          <w:rFonts w:ascii="GHEA Grapalat" w:hAnsi="GHEA Grapalat"/>
          <w:sz w:val="22"/>
          <w:szCs w:val="22"/>
          <w:lang w:val="en-US"/>
        </w:rPr>
        <w:t xml:space="preserve"> կառուցվածքային և ֆունկցիոնալ պահանջների հստակեցման նպատակով մշակվել է «Հայաստանի Հանրապետության բյուջետային համակարգի մասին» օրենքում փոփոխություններ և լրացումներ կատարելու վերաբերյալ օրենքի նախագիծը, որը ներկայացվել է ՀՀ վարչապետի աշխատակազմին։</w:t>
      </w:r>
    </w:p>
    <w:p w14:paraId="39456753" w14:textId="77777777" w:rsidR="006E5484" w:rsidRPr="00C921DE" w:rsidRDefault="006E5484" w:rsidP="0068748F">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2024-2026թթ. ՄԺԾԾ և 2024թ. բյուջետային հայտերի կազմման և ներկայացման մեթոդական ցուցումներում պետության պարտադիր պարտ</w:t>
      </w:r>
      <w:r w:rsidR="00F06213" w:rsidRPr="00C921DE">
        <w:rPr>
          <w:rFonts w:ascii="GHEA Grapalat" w:hAnsi="GHEA Grapalat"/>
          <w:sz w:val="22"/>
          <w:szCs w:val="22"/>
          <w:lang w:val="en-US"/>
        </w:rPr>
        <w:t xml:space="preserve">ավորություններից բխող ծրագրերի / </w:t>
      </w:r>
      <w:r w:rsidRPr="00C921DE">
        <w:rPr>
          <w:rFonts w:ascii="GHEA Grapalat" w:hAnsi="GHEA Grapalat"/>
          <w:sz w:val="22"/>
          <w:szCs w:val="22"/>
          <w:lang w:val="en-US"/>
        </w:rPr>
        <w:t>միջոցառումների նույնականացման և հաշվառման</w:t>
      </w:r>
      <w:r w:rsidR="006A2C9F" w:rsidRPr="00C921DE">
        <w:rPr>
          <w:rFonts w:ascii="GHEA Grapalat" w:hAnsi="GHEA Grapalat"/>
          <w:sz w:val="22"/>
          <w:szCs w:val="22"/>
          <w:lang w:val="en-US"/>
        </w:rPr>
        <w:t xml:space="preserve"> </w:t>
      </w:r>
      <w:r w:rsidRPr="00C921DE">
        <w:rPr>
          <w:rFonts w:ascii="GHEA Grapalat" w:hAnsi="GHEA Grapalat"/>
          <w:sz w:val="22"/>
          <w:szCs w:val="22"/>
          <w:lang w:val="en-US"/>
        </w:rPr>
        <w:t>ռացիոնալացման նոր մեթոդաբանության մշակման նպատակով իրականացվել է պետության պարտադիր և հայեցողական պարտավորությունների գույքագրում և դրանք սահմանող իրավական ակտերի քարտեզագրում, որը 2025-2027թթ ՄԺԾԾ և 2025թ</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բյուջետային հայտերի կազմման և ներկայացման մեթոդական ցուցումների հետ միաժամանակ տրամադրվել է պետական կառավարման մարմիններին՝ ակնկալելով ստանալ դրանց վերաբերյալ թարմացված տեղեկատվություն՝ մեթոդաբանության հետագա բարելավման նպատակով։</w:t>
      </w:r>
    </w:p>
    <w:p w14:paraId="3699A40F" w14:textId="77777777" w:rsidR="001C411D" w:rsidRPr="00C921DE" w:rsidRDefault="001C411D" w:rsidP="00AC199C">
      <w:pPr>
        <w:spacing w:line="360" w:lineRule="auto"/>
        <w:ind w:firstLine="567"/>
        <w:jc w:val="both"/>
        <w:rPr>
          <w:rFonts w:ascii="GHEA Grapalat" w:hAnsi="GHEA Grapalat"/>
          <w:sz w:val="22"/>
          <w:szCs w:val="22"/>
          <w:lang w:val="en-US"/>
        </w:rPr>
      </w:pPr>
    </w:p>
    <w:p w14:paraId="3F37A32C" w14:textId="77777777" w:rsidR="001C411D" w:rsidRPr="00C921DE" w:rsidRDefault="001C411D" w:rsidP="00AC199C">
      <w:pPr>
        <w:pStyle w:val="Heading2"/>
        <w:spacing w:before="0"/>
      </w:pPr>
      <w:bookmarkStart w:id="54" w:name="_Toc163745441"/>
      <w:r w:rsidRPr="00C921DE">
        <w:t>Հաշվապահական հաշվառում և աուդիտորական գործունեություն</w:t>
      </w:r>
      <w:bookmarkEnd w:id="54"/>
    </w:p>
    <w:p w14:paraId="547BB303" w14:textId="550B2C85" w:rsidR="006E5484" w:rsidRPr="00C921DE" w:rsidRDefault="006E5484" w:rsidP="00F06213">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Հաշվապահական հաշվառման և աուդիտորական գործունեության ոլորտների կարգավորման նպատակով 2023 թվականի ընթացքում շարունակվել են ոլորտները կարգավորող օրենքներով նախատեսված կառուցակարգերի ներդրման աշխատանքներ</w:t>
      </w:r>
      <w:r w:rsidR="00261C77" w:rsidRPr="00C921DE">
        <w:rPr>
          <w:rFonts w:ascii="GHEA Grapalat" w:hAnsi="GHEA Grapalat"/>
          <w:sz w:val="22"/>
          <w:szCs w:val="22"/>
          <w:lang w:val="en-US"/>
        </w:rPr>
        <w:t>ը</w:t>
      </w:r>
      <w:r w:rsidRPr="00C921DE">
        <w:rPr>
          <w:rFonts w:ascii="GHEA Grapalat" w:hAnsi="GHEA Grapalat"/>
          <w:sz w:val="22"/>
          <w:szCs w:val="22"/>
          <w:lang w:val="en-US"/>
        </w:rPr>
        <w:t>։ Մասնավորապես, հավատարմագրված մասնագիտացված կառույցի՝ «Հայաստանի աուդիտորների և փորձագետ հաշվապահների պալատ» հասարակական կազմակերպության կողմից մշակվել են մի շարք իրավական ակտեր, որոնք ներկայացվել են Հաշվապահական հաշվառման և աուդիտորական գործունեության հանրային վերահսկողության խորհրդին՝ համաձայնեցման նպատակով։ 2023 թվականի ընթացքում տեղի է ունեցել Հանրային վերահսկողության խորհրդի 10 նիստ, որոնց արդյունքում ընդունվել են Հանրային վերահսկողության խորհրդի 10 որոշումներ։ ՀՀ ֆինանսների նախարարի 2022</w:t>
      </w:r>
      <w:r w:rsidR="00FC0676" w:rsidRPr="00C921DE">
        <w:rPr>
          <w:rFonts w:ascii="GHEA Grapalat" w:hAnsi="GHEA Grapalat"/>
          <w:sz w:val="22"/>
          <w:szCs w:val="22"/>
          <w:lang w:val="en-US"/>
        </w:rPr>
        <w:t xml:space="preserve"> թվականի</w:t>
      </w:r>
      <w:r w:rsidRPr="00C921DE">
        <w:rPr>
          <w:rFonts w:ascii="GHEA Grapalat" w:hAnsi="GHEA Grapalat"/>
          <w:sz w:val="22"/>
          <w:szCs w:val="22"/>
          <w:lang w:val="en-US"/>
        </w:rPr>
        <w:t xml:space="preserve"> հոկտեմբերի 7-ի թիվ 420-Ն հրամանով հաստատված աուդիտորական ծառայությունների որակի հսկողության պահանջների պահպանման արտաքին գնահատման ընթացակարգերի հիման վրա շարունակվել են ստուգումներ</w:t>
      </w:r>
      <w:r w:rsidR="00261C77" w:rsidRPr="00C921DE">
        <w:rPr>
          <w:rFonts w:ascii="GHEA Grapalat" w:hAnsi="GHEA Grapalat"/>
          <w:sz w:val="22"/>
          <w:szCs w:val="22"/>
          <w:lang w:val="en-US"/>
        </w:rPr>
        <w:t>ն</w:t>
      </w:r>
      <w:r w:rsidRPr="00C921DE">
        <w:rPr>
          <w:rFonts w:ascii="GHEA Grapalat" w:hAnsi="GHEA Grapalat"/>
          <w:sz w:val="22"/>
          <w:szCs w:val="22"/>
          <w:lang w:val="en-US"/>
        </w:rPr>
        <w:t xml:space="preserve"> աուդիտորական ընկերություններում։</w:t>
      </w:r>
    </w:p>
    <w:p w14:paraId="288F66BD" w14:textId="28B7C728" w:rsidR="006E5484" w:rsidRPr="00C921DE" w:rsidRDefault="006E5484" w:rsidP="00F06213">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Հանրային հատվածի </w:t>
      </w:r>
      <w:r w:rsidR="00261C77" w:rsidRPr="00C921DE">
        <w:rPr>
          <w:rFonts w:ascii="GHEA Grapalat" w:hAnsi="GHEA Grapalat"/>
          <w:sz w:val="22"/>
          <w:szCs w:val="22"/>
          <w:lang w:val="en-US"/>
        </w:rPr>
        <w:t>հաշվապահական հաշվառման ոլորտում</w:t>
      </w:r>
      <w:r w:rsidRPr="00C921DE">
        <w:rPr>
          <w:rFonts w:ascii="GHEA Grapalat" w:hAnsi="GHEA Grapalat"/>
          <w:sz w:val="22"/>
          <w:szCs w:val="22"/>
          <w:lang w:val="en-US"/>
        </w:rPr>
        <w:t xml:space="preserve"> 2023 թվականին կազմակերպվել են հանրային հատվածի հաշվապահների որակավորման 16 քննություններ, որոնց արդյունքում որակավորվել է 72 անձ։ Իրականացվել է հանրային հատվածի</w:t>
      </w:r>
      <w:r w:rsidR="006A2C9F" w:rsidRPr="00C921DE">
        <w:rPr>
          <w:rFonts w:ascii="GHEA Grapalat" w:hAnsi="GHEA Grapalat"/>
          <w:sz w:val="22"/>
          <w:szCs w:val="22"/>
          <w:lang w:val="en-US"/>
        </w:rPr>
        <w:t xml:space="preserve"> </w:t>
      </w:r>
      <w:r w:rsidRPr="00C921DE">
        <w:rPr>
          <w:rFonts w:ascii="GHEA Grapalat" w:hAnsi="GHEA Grapalat"/>
          <w:sz w:val="22"/>
          <w:szCs w:val="22"/>
          <w:lang w:val="en-US"/>
        </w:rPr>
        <w:t xml:space="preserve">կազմակերպությունների 2022 </w:t>
      </w:r>
      <w:r w:rsidRPr="00C921DE">
        <w:rPr>
          <w:rFonts w:ascii="GHEA Grapalat" w:hAnsi="GHEA Grapalat"/>
          <w:sz w:val="22"/>
          <w:szCs w:val="22"/>
          <w:lang w:val="en-US"/>
        </w:rPr>
        <w:lastRenderedPageBreak/>
        <w:t>թվականի գործառնությունների մատյանների և ֆինանսական հաշվետվությունների մշտադիտարկում, որոնց արդյունքում վեր են հանվել տեղ գտած սխալներն ու անճշտությունները և ներկայացվել են համապատասխան կազմակերպու</w:t>
      </w:r>
      <w:r w:rsidRPr="00C921DE">
        <w:rPr>
          <w:rFonts w:ascii="GHEA Grapalat" w:hAnsi="GHEA Grapalat"/>
          <w:sz w:val="22"/>
          <w:szCs w:val="22"/>
          <w:lang w:val="en-US"/>
        </w:rPr>
        <w:softHyphen/>
        <w:t>թյուններին՝ հետագայում նմանատիպ սխալներից խուսափելու նպատակով։</w:t>
      </w:r>
    </w:p>
    <w:p w14:paraId="206522AD" w14:textId="77777777" w:rsidR="001C411D" w:rsidRPr="00C921DE" w:rsidRDefault="001C411D" w:rsidP="006E5484">
      <w:pPr>
        <w:spacing w:line="360" w:lineRule="auto"/>
        <w:ind w:firstLine="567"/>
        <w:jc w:val="both"/>
        <w:rPr>
          <w:rFonts w:ascii="GHEA Grapalat" w:hAnsi="GHEA Grapalat"/>
          <w:sz w:val="22"/>
          <w:szCs w:val="22"/>
          <w:lang w:val="en-US"/>
        </w:rPr>
      </w:pPr>
    </w:p>
    <w:p w14:paraId="62EFFB4C" w14:textId="77777777" w:rsidR="001C411D" w:rsidRPr="00C921DE" w:rsidRDefault="001C411D" w:rsidP="00AC199C">
      <w:pPr>
        <w:pStyle w:val="Heading2"/>
        <w:spacing w:before="0"/>
      </w:pPr>
      <w:bookmarkStart w:id="55" w:name="_Toc163745442"/>
      <w:r w:rsidRPr="00C921DE">
        <w:t>Եկամուտների քաղաքականություն</w:t>
      </w:r>
      <w:bookmarkEnd w:id="55"/>
    </w:p>
    <w:p w14:paraId="2B887225" w14:textId="77777777" w:rsidR="00427D07" w:rsidRPr="00C921DE" w:rsidRDefault="00427D07" w:rsidP="00261C77">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w:t>
      </w:r>
      <w:r w:rsidR="00261C77" w:rsidRPr="00C921DE">
        <w:rPr>
          <w:rFonts w:ascii="GHEA Grapalat" w:hAnsi="GHEA Grapalat"/>
          <w:sz w:val="22"/>
          <w:szCs w:val="22"/>
          <w:lang w:val="en-US"/>
        </w:rPr>
        <w:t>վ</w:t>
      </w:r>
      <w:r w:rsidRPr="00C921DE">
        <w:rPr>
          <w:rFonts w:ascii="GHEA Grapalat" w:hAnsi="GHEA Grapalat"/>
          <w:sz w:val="22"/>
          <w:szCs w:val="22"/>
          <w:lang w:val="en-US"/>
        </w:rPr>
        <w:t>ականին հարկային քաղաքականությունը հիմնականում ուղղված է եղել ՀՀ կառա</w:t>
      </w:r>
      <w:r w:rsidRPr="00C921DE">
        <w:rPr>
          <w:rFonts w:ascii="GHEA Grapalat" w:hAnsi="GHEA Grapalat"/>
          <w:sz w:val="22"/>
          <w:szCs w:val="22"/>
          <w:lang w:val="en-US"/>
        </w:rPr>
        <w:softHyphen/>
      </w:r>
      <w:r w:rsidRPr="00C921DE">
        <w:rPr>
          <w:rFonts w:ascii="GHEA Grapalat" w:hAnsi="GHEA Grapalat"/>
          <w:sz w:val="22"/>
          <w:szCs w:val="22"/>
          <w:lang w:val="en-US"/>
        </w:rPr>
        <w:softHyphen/>
      </w:r>
      <w:r w:rsidRPr="00C921DE">
        <w:rPr>
          <w:rFonts w:ascii="GHEA Grapalat" w:hAnsi="GHEA Grapalat"/>
          <w:sz w:val="22"/>
          <w:szCs w:val="22"/>
          <w:lang w:val="en-US"/>
        </w:rPr>
        <w:softHyphen/>
        <w:t>վարության 2021-2026 թվականների ծրագրով հարկային քաղաքականության մասով նախա</w:t>
      </w:r>
      <w:r w:rsidRPr="00C921DE">
        <w:rPr>
          <w:rFonts w:ascii="GHEA Grapalat" w:hAnsi="GHEA Grapalat"/>
          <w:sz w:val="22"/>
          <w:szCs w:val="22"/>
          <w:lang w:val="en-US"/>
        </w:rPr>
        <w:softHyphen/>
        <w:t>տես</w:t>
      </w:r>
      <w:r w:rsidRPr="00C921DE">
        <w:rPr>
          <w:rFonts w:ascii="GHEA Grapalat" w:hAnsi="GHEA Grapalat"/>
          <w:sz w:val="22"/>
          <w:szCs w:val="22"/>
          <w:lang w:val="en-US"/>
        </w:rPr>
        <w:softHyphen/>
      </w:r>
      <w:r w:rsidRPr="00C921DE">
        <w:rPr>
          <w:rFonts w:ascii="GHEA Grapalat" w:hAnsi="GHEA Grapalat"/>
          <w:sz w:val="22"/>
          <w:szCs w:val="22"/>
          <w:lang w:val="en-US"/>
        </w:rPr>
        <w:softHyphen/>
        <w:t>ված ծրագրային դրույթներն իրականացնելուն: Մասնավորապես, հարկային քաղա</w:t>
      </w:r>
      <w:r w:rsidRPr="00C921DE">
        <w:rPr>
          <w:rFonts w:ascii="GHEA Grapalat" w:hAnsi="GHEA Grapalat"/>
          <w:sz w:val="22"/>
          <w:szCs w:val="22"/>
          <w:lang w:val="en-US"/>
        </w:rPr>
        <w:softHyphen/>
      </w:r>
      <w:r w:rsidRPr="00C921DE">
        <w:rPr>
          <w:rFonts w:ascii="GHEA Grapalat" w:hAnsi="GHEA Grapalat"/>
          <w:sz w:val="22"/>
          <w:szCs w:val="22"/>
          <w:lang w:val="en-US"/>
        </w:rPr>
        <w:softHyphen/>
        <w:t>քա</w:t>
      </w:r>
      <w:r w:rsidRPr="00C921DE">
        <w:rPr>
          <w:rFonts w:ascii="GHEA Grapalat" w:hAnsi="GHEA Grapalat"/>
          <w:sz w:val="22"/>
          <w:szCs w:val="22"/>
          <w:lang w:val="en-US"/>
        </w:rPr>
        <w:softHyphen/>
        <w:t>կա</w:t>
      </w:r>
      <w:r w:rsidRPr="00C921DE">
        <w:rPr>
          <w:rFonts w:ascii="GHEA Grapalat" w:hAnsi="GHEA Grapalat"/>
          <w:sz w:val="22"/>
          <w:szCs w:val="22"/>
          <w:lang w:val="en-US"/>
        </w:rPr>
        <w:softHyphen/>
        <w:t>նու</w:t>
      </w:r>
      <w:r w:rsidRPr="00C921DE">
        <w:rPr>
          <w:rFonts w:ascii="GHEA Grapalat" w:hAnsi="GHEA Grapalat"/>
          <w:sz w:val="22"/>
          <w:szCs w:val="22"/>
          <w:lang w:val="en-US"/>
        </w:rPr>
        <w:softHyphen/>
        <w:t>թյունն ուղղված է եղել հանրային ռեսուրսների կառավարման արդյունավե</w:t>
      </w:r>
      <w:r w:rsidRPr="00C921DE">
        <w:rPr>
          <w:rFonts w:ascii="GHEA Grapalat" w:hAnsi="GHEA Grapalat"/>
          <w:sz w:val="22"/>
          <w:szCs w:val="22"/>
          <w:lang w:val="en-US"/>
        </w:rPr>
        <w:softHyphen/>
        <w:t>տու</w:t>
      </w:r>
      <w:r w:rsidRPr="00C921DE">
        <w:rPr>
          <w:rFonts w:ascii="GHEA Grapalat" w:hAnsi="GHEA Grapalat"/>
          <w:sz w:val="22"/>
          <w:szCs w:val="22"/>
          <w:lang w:val="en-US"/>
        </w:rPr>
        <w:softHyphen/>
        <w:t>թյունն ու հաս</w:t>
      </w:r>
      <w:r w:rsidRPr="00C921DE">
        <w:rPr>
          <w:rFonts w:ascii="GHEA Grapalat" w:hAnsi="GHEA Grapalat"/>
          <w:sz w:val="22"/>
          <w:szCs w:val="22"/>
          <w:lang w:val="en-US"/>
        </w:rPr>
        <w:softHyphen/>
        <w:t>ցեա</w:t>
      </w:r>
      <w:r w:rsidRPr="00C921DE">
        <w:rPr>
          <w:rFonts w:ascii="GHEA Grapalat" w:hAnsi="GHEA Grapalat"/>
          <w:sz w:val="22"/>
          <w:szCs w:val="22"/>
          <w:lang w:val="en-US"/>
        </w:rPr>
        <w:softHyphen/>
        <w:t>կանությունը բարձրացնելու և այդ ռեսուրսները հանրօգուտ ու համապե</w:t>
      </w:r>
      <w:r w:rsidRPr="00C921DE">
        <w:rPr>
          <w:rFonts w:ascii="GHEA Grapalat" w:hAnsi="GHEA Grapalat"/>
          <w:sz w:val="22"/>
          <w:szCs w:val="22"/>
          <w:lang w:val="en-US"/>
        </w:rPr>
        <w:softHyphen/>
        <w:t>տա</w:t>
      </w:r>
      <w:r w:rsidRPr="00C921DE">
        <w:rPr>
          <w:rFonts w:ascii="GHEA Grapalat" w:hAnsi="GHEA Grapalat"/>
          <w:sz w:val="22"/>
          <w:szCs w:val="22"/>
          <w:lang w:val="en-US"/>
        </w:rPr>
        <w:softHyphen/>
        <w:t>կան նշա</w:t>
      </w:r>
      <w:r w:rsidRPr="00C921DE">
        <w:rPr>
          <w:rFonts w:ascii="GHEA Grapalat" w:hAnsi="GHEA Grapalat"/>
          <w:sz w:val="22"/>
          <w:szCs w:val="22"/>
          <w:lang w:val="en-US"/>
        </w:rPr>
        <w:softHyphen/>
        <w:t>նա</w:t>
      </w:r>
      <w:r w:rsidRPr="00C921DE">
        <w:rPr>
          <w:rFonts w:ascii="GHEA Grapalat" w:hAnsi="GHEA Grapalat"/>
          <w:sz w:val="22"/>
          <w:szCs w:val="22"/>
          <w:lang w:val="en-US"/>
        </w:rPr>
        <w:softHyphen/>
        <w:t>կու</w:t>
      </w:r>
      <w:r w:rsidRPr="00C921DE">
        <w:rPr>
          <w:rFonts w:ascii="GHEA Grapalat" w:hAnsi="GHEA Grapalat"/>
          <w:sz w:val="22"/>
          <w:szCs w:val="22"/>
          <w:lang w:val="en-US"/>
        </w:rPr>
        <w:softHyphen/>
        <w:t>թյուն ունեցող ծրագրերի վրա ծախսելու, ինչպես նաև հարկաբյուջետային կայու</w:t>
      </w:r>
      <w:r w:rsidRPr="00C921DE">
        <w:rPr>
          <w:rFonts w:ascii="GHEA Grapalat" w:hAnsi="GHEA Grapalat"/>
          <w:sz w:val="22"/>
          <w:szCs w:val="22"/>
          <w:lang w:val="en-US"/>
        </w:rPr>
        <w:softHyphen/>
        <w:t>նությունն ապա</w:t>
      </w:r>
      <w:r w:rsidRPr="00C921DE">
        <w:rPr>
          <w:rFonts w:ascii="GHEA Grapalat" w:hAnsi="GHEA Grapalat"/>
          <w:sz w:val="22"/>
          <w:szCs w:val="22"/>
          <w:lang w:val="en-US"/>
        </w:rPr>
        <w:softHyphen/>
        <w:t>հո</w:t>
      </w:r>
      <w:r w:rsidRPr="00C921DE">
        <w:rPr>
          <w:rFonts w:ascii="GHEA Grapalat" w:hAnsi="GHEA Grapalat"/>
          <w:sz w:val="22"/>
          <w:szCs w:val="22"/>
          <w:lang w:val="en-US"/>
        </w:rPr>
        <w:softHyphen/>
        <w:t>վելու նպատակով հարկային եկամուտների ընդլայնմանը և հար</w:t>
      </w:r>
      <w:r w:rsidRPr="00C921DE">
        <w:rPr>
          <w:rFonts w:ascii="GHEA Grapalat" w:hAnsi="GHEA Grapalat"/>
          <w:sz w:val="22"/>
          <w:szCs w:val="22"/>
          <w:lang w:val="en-US"/>
        </w:rPr>
        <w:softHyphen/>
        <w:t>կեր/ՀՆԱ ցուցանիշի բարե</w:t>
      </w:r>
      <w:r w:rsidRPr="00C921DE">
        <w:rPr>
          <w:rFonts w:ascii="GHEA Grapalat" w:hAnsi="GHEA Grapalat"/>
          <w:sz w:val="22"/>
          <w:szCs w:val="22"/>
          <w:lang w:val="en-US"/>
        </w:rPr>
        <w:softHyphen/>
        <w:t>լավ</w:t>
      </w:r>
      <w:r w:rsidRPr="00C921DE">
        <w:rPr>
          <w:rFonts w:ascii="GHEA Grapalat" w:hAnsi="GHEA Grapalat"/>
          <w:sz w:val="22"/>
          <w:szCs w:val="22"/>
          <w:lang w:val="en-US"/>
        </w:rPr>
        <w:softHyphen/>
        <w:t>մանը: Մյուս կողմից, հարկային քաղա</w:t>
      </w:r>
      <w:r w:rsidRPr="00C921DE">
        <w:rPr>
          <w:rFonts w:ascii="GHEA Grapalat" w:hAnsi="GHEA Grapalat"/>
          <w:sz w:val="22"/>
          <w:szCs w:val="22"/>
          <w:lang w:val="en-US"/>
        </w:rPr>
        <w:softHyphen/>
        <w:t>քա</w:t>
      </w:r>
      <w:r w:rsidRPr="00C921DE">
        <w:rPr>
          <w:rFonts w:ascii="GHEA Grapalat" w:hAnsi="GHEA Grapalat"/>
          <w:sz w:val="22"/>
          <w:szCs w:val="22"/>
          <w:lang w:val="en-US"/>
        </w:rPr>
        <w:softHyphen/>
        <w:t>կա</w:t>
      </w:r>
      <w:r w:rsidRPr="00C921DE">
        <w:rPr>
          <w:rFonts w:ascii="GHEA Grapalat" w:hAnsi="GHEA Grapalat"/>
          <w:sz w:val="22"/>
          <w:szCs w:val="22"/>
          <w:lang w:val="en-US"/>
        </w:rPr>
        <w:softHyphen/>
        <w:t>նու</w:t>
      </w:r>
      <w:r w:rsidRPr="00C921DE">
        <w:rPr>
          <w:rFonts w:ascii="GHEA Grapalat" w:hAnsi="GHEA Grapalat"/>
          <w:sz w:val="22"/>
          <w:szCs w:val="22"/>
          <w:lang w:val="en-US"/>
        </w:rPr>
        <w:softHyphen/>
        <w:t>թյունն ուղղված է եղել ներդրողների համար արդար, ընկալելի և կանխատեսելի միջավայր ձևավորելուն, հարկ</w:t>
      </w:r>
      <w:r w:rsidRPr="00C921DE">
        <w:rPr>
          <w:rFonts w:ascii="GHEA Grapalat" w:hAnsi="GHEA Grapalat"/>
          <w:sz w:val="22"/>
          <w:szCs w:val="22"/>
          <w:lang w:val="en-US"/>
        </w:rPr>
        <w:softHyphen/>
        <w:t>ման համակարգում հարկային բեռի արդարացի և հավասար բաշխմանը, տնտեսական շարժառիթների հիման վրա գործող՝ ֆիզիկական անձանց եկամուտների համընդհանուր հայ</w:t>
      </w:r>
      <w:r w:rsidRPr="00C921DE">
        <w:rPr>
          <w:rFonts w:ascii="GHEA Grapalat" w:hAnsi="GHEA Grapalat"/>
          <w:sz w:val="22"/>
          <w:szCs w:val="22"/>
          <w:lang w:val="en-US"/>
        </w:rPr>
        <w:softHyphen/>
        <w:t>տա</w:t>
      </w:r>
      <w:r w:rsidRPr="00C921DE">
        <w:rPr>
          <w:rFonts w:ascii="GHEA Grapalat" w:hAnsi="GHEA Grapalat"/>
          <w:sz w:val="22"/>
          <w:szCs w:val="22"/>
          <w:lang w:val="en-US"/>
        </w:rPr>
        <w:softHyphen/>
        <w:t>րարագրման գործուն համակարգի ներդրմանը և այլն:</w:t>
      </w:r>
    </w:p>
    <w:p w14:paraId="2C8FBF9F" w14:textId="77777777" w:rsidR="00427D07" w:rsidRPr="00C921DE" w:rsidRDefault="00427D07" w:rsidP="005023DA">
      <w:pPr>
        <w:numPr>
          <w:ilvl w:val="0"/>
          <w:numId w:val="13"/>
        </w:numPr>
        <w:tabs>
          <w:tab w:val="left" w:pos="851"/>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Հարկեր/ՀՆԱ ցուցանիշի բարելավման աշխատանքների շրջանակներում՝</w:t>
      </w:r>
    </w:p>
    <w:p w14:paraId="21B709DC" w14:textId="2D5FFF08" w:rsidR="00427D07" w:rsidRPr="00C921DE" w:rsidRDefault="00427D07" w:rsidP="005023DA">
      <w:pPr>
        <w:numPr>
          <w:ilvl w:val="0"/>
          <w:numId w:val="14"/>
        </w:numPr>
        <w:tabs>
          <w:tab w:val="left" w:pos="851"/>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փոփոխություններ են կատարվել Հարկային օրենսգրքու</w:t>
      </w:r>
      <w:r w:rsidR="008C3ED0" w:rsidRPr="00C921DE">
        <w:rPr>
          <w:rFonts w:ascii="GHEA Grapalat" w:hAnsi="GHEA Grapalat"/>
          <w:sz w:val="22"/>
          <w:szCs w:val="22"/>
          <w:lang w:val="en-US"/>
        </w:rPr>
        <w:t>մ, որի համաձայն 2024 թվա</w:t>
      </w:r>
      <w:r w:rsidR="008C3ED0" w:rsidRPr="00C921DE">
        <w:rPr>
          <w:rFonts w:ascii="GHEA Grapalat" w:hAnsi="GHEA Grapalat"/>
          <w:sz w:val="22"/>
          <w:szCs w:val="22"/>
          <w:lang w:val="en-US"/>
        </w:rPr>
        <w:softHyphen/>
        <w:t>կա</w:t>
      </w:r>
      <w:r w:rsidR="008C3ED0" w:rsidRPr="00C921DE">
        <w:rPr>
          <w:rFonts w:ascii="GHEA Grapalat" w:hAnsi="GHEA Grapalat"/>
          <w:sz w:val="22"/>
          <w:szCs w:val="22"/>
          <w:lang w:val="en-US"/>
        </w:rPr>
        <w:softHyphen/>
        <w:t>նից`</w:t>
      </w:r>
      <w:r w:rsidRPr="00C921DE">
        <w:rPr>
          <w:rFonts w:ascii="GHEA Grapalat" w:hAnsi="GHEA Grapalat"/>
          <w:sz w:val="22"/>
          <w:szCs w:val="22"/>
          <w:lang w:val="en-US"/>
        </w:rPr>
        <w:t xml:space="preserve"> առաջիկա երեք տարիների ընթաց</w:t>
      </w:r>
      <w:r w:rsidRPr="00C921DE">
        <w:rPr>
          <w:rFonts w:ascii="GHEA Grapalat" w:hAnsi="GHEA Grapalat"/>
          <w:sz w:val="22"/>
          <w:szCs w:val="22"/>
          <w:lang w:val="en-US"/>
        </w:rPr>
        <w:softHyphen/>
        <w:t>քում բարձրացվում են ակցիզային հարկի դրույ</w:t>
      </w:r>
      <w:r w:rsidRPr="00C921DE">
        <w:rPr>
          <w:rFonts w:ascii="GHEA Grapalat" w:hAnsi="GHEA Grapalat"/>
          <w:sz w:val="22"/>
          <w:szCs w:val="22"/>
          <w:lang w:val="en-US"/>
        </w:rPr>
        <w:softHyphen/>
        <w:t>քա</w:t>
      </w:r>
      <w:r w:rsidRPr="00C921DE">
        <w:rPr>
          <w:rFonts w:ascii="GHEA Grapalat" w:hAnsi="GHEA Grapalat"/>
          <w:sz w:val="22"/>
          <w:szCs w:val="22"/>
          <w:lang w:val="en-US"/>
        </w:rPr>
        <w:softHyphen/>
        <w:t>չա</w:t>
      </w:r>
      <w:r w:rsidRPr="00C921DE">
        <w:rPr>
          <w:rFonts w:ascii="GHEA Grapalat" w:hAnsi="GHEA Grapalat"/>
          <w:sz w:val="22"/>
          <w:szCs w:val="22"/>
          <w:lang w:val="en-US"/>
        </w:rPr>
        <w:softHyphen/>
        <w:t>փերը: Ընդ որում</w:t>
      </w:r>
      <w:r w:rsidR="003D5A98" w:rsidRPr="00C921DE">
        <w:rPr>
          <w:rFonts w:ascii="GHEA Grapalat" w:hAnsi="GHEA Grapalat"/>
          <w:sz w:val="22"/>
          <w:szCs w:val="22"/>
          <w:lang w:val="en-US"/>
        </w:rPr>
        <w:t>,</w:t>
      </w:r>
      <w:r w:rsidRPr="00C921DE">
        <w:rPr>
          <w:rFonts w:ascii="GHEA Grapalat" w:hAnsi="GHEA Grapalat"/>
          <w:sz w:val="22"/>
          <w:szCs w:val="22"/>
          <w:lang w:val="en-US"/>
        </w:rPr>
        <w:t xml:space="preserve"> ծխախոտային արտադրանքի դրույքաչափերը բարձրացվում են յուրա</w:t>
      </w:r>
      <w:r w:rsidRPr="00C921DE">
        <w:rPr>
          <w:rFonts w:ascii="GHEA Grapalat" w:hAnsi="GHEA Grapalat"/>
          <w:sz w:val="22"/>
          <w:szCs w:val="22"/>
          <w:lang w:val="en-US"/>
        </w:rPr>
        <w:softHyphen/>
        <w:t>քանչ</w:t>
      </w:r>
      <w:r w:rsidRPr="00C921DE">
        <w:rPr>
          <w:rFonts w:ascii="GHEA Grapalat" w:hAnsi="GHEA Grapalat"/>
          <w:sz w:val="22"/>
          <w:szCs w:val="22"/>
          <w:lang w:val="en-US"/>
        </w:rPr>
        <w:softHyphen/>
        <w:t>յուր տարի 10 տոկոսով, էլեկտրական ծխախոտների դեպքում՝ 18 և ավել տոկոսով, օղու և էթիլային սպիրտի դեպքում՝ 10 տոկո</w:t>
      </w:r>
      <w:r w:rsidRPr="00C921DE">
        <w:rPr>
          <w:rFonts w:ascii="GHEA Grapalat" w:hAnsi="GHEA Grapalat"/>
          <w:sz w:val="22"/>
          <w:szCs w:val="22"/>
          <w:lang w:val="en-US"/>
        </w:rPr>
        <w:softHyphen/>
        <w:t>սով, այլ ապրանքների դեպքում՝ 8 տոկոսով,</w:t>
      </w:r>
    </w:p>
    <w:p w14:paraId="06020143" w14:textId="77777777" w:rsidR="00427D07" w:rsidRPr="00C921DE" w:rsidRDefault="00427D07" w:rsidP="005023DA">
      <w:pPr>
        <w:numPr>
          <w:ilvl w:val="0"/>
          <w:numId w:val="14"/>
        </w:numPr>
        <w:tabs>
          <w:tab w:val="left" w:pos="851"/>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ԱՏԳ ԱԱ 8703 ծածկագրին դասվող տրանս</w:t>
      </w:r>
      <w:r w:rsidRPr="00C921DE">
        <w:rPr>
          <w:rFonts w:ascii="GHEA Grapalat" w:hAnsi="GHEA Grapalat"/>
          <w:sz w:val="22"/>
          <w:szCs w:val="22"/>
          <w:lang w:val="en-US"/>
        </w:rPr>
        <w:softHyphen/>
        <w:t>պոր</w:t>
      </w:r>
      <w:r w:rsidRPr="00C921DE">
        <w:rPr>
          <w:rFonts w:ascii="GHEA Grapalat" w:hAnsi="GHEA Grapalat"/>
          <w:sz w:val="22"/>
          <w:szCs w:val="22"/>
          <w:lang w:val="en-US"/>
        </w:rPr>
        <w:softHyphen/>
        <w:t>տա</w:t>
      </w:r>
      <w:r w:rsidRPr="00C921DE">
        <w:rPr>
          <w:rFonts w:ascii="GHEA Grapalat" w:hAnsi="GHEA Grapalat"/>
          <w:sz w:val="22"/>
          <w:szCs w:val="22"/>
          <w:lang w:val="en-US"/>
        </w:rPr>
        <w:softHyphen/>
        <w:t>յին միջոցների օտարման գոր</w:t>
      </w:r>
      <w:r w:rsidRPr="00C921DE">
        <w:rPr>
          <w:rFonts w:ascii="GHEA Grapalat" w:hAnsi="GHEA Grapalat"/>
          <w:sz w:val="22"/>
          <w:szCs w:val="22"/>
          <w:lang w:val="en-US"/>
        </w:rPr>
        <w:softHyphen/>
        <w:t>ծարք</w:t>
      </w:r>
      <w:r w:rsidRPr="00C921DE">
        <w:rPr>
          <w:rFonts w:ascii="GHEA Grapalat" w:hAnsi="GHEA Grapalat"/>
          <w:sz w:val="22"/>
          <w:szCs w:val="22"/>
          <w:lang w:val="en-US"/>
        </w:rPr>
        <w:softHyphen/>
      </w:r>
      <w:r w:rsidRPr="00C921DE">
        <w:rPr>
          <w:rFonts w:ascii="GHEA Grapalat" w:hAnsi="GHEA Grapalat"/>
          <w:sz w:val="22"/>
          <w:szCs w:val="22"/>
          <w:lang w:val="en-US"/>
        </w:rPr>
        <w:softHyphen/>
        <w:t>ներն արդյունավետորեն հարկելու նպատակով սահմանվել է, որ նշյալ տրանս</w:t>
      </w:r>
      <w:r w:rsidRPr="00C921DE">
        <w:rPr>
          <w:rFonts w:ascii="GHEA Grapalat" w:hAnsi="GHEA Grapalat"/>
          <w:sz w:val="22"/>
          <w:szCs w:val="22"/>
          <w:lang w:val="en-US"/>
        </w:rPr>
        <w:softHyphen/>
        <w:t>պոր</w:t>
      </w:r>
      <w:r w:rsidRPr="00C921DE">
        <w:rPr>
          <w:rFonts w:ascii="GHEA Grapalat" w:hAnsi="GHEA Grapalat"/>
          <w:sz w:val="22"/>
          <w:szCs w:val="22"/>
          <w:lang w:val="en-US"/>
        </w:rPr>
        <w:softHyphen/>
        <w:t>տա</w:t>
      </w:r>
      <w:r w:rsidRPr="00C921DE">
        <w:rPr>
          <w:rFonts w:ascii="GHEA Grapalat" w:hAnsi="GHEA Grapalat"/>
          <w:sz w:val="22"/>
          <w:szCs w:val="22"/>
          <w:lang w:val="en-US"/>
        </w:rPr>
        <w:softHyphen/>
        <w:t>յին միջոց</w:t>
      </w:r>
      <w:r w:rsidRPr="00C921DE">
        <w:rPr>
          <w:rFonts w:ascii="GHEA Grapalat" w:hAnsi="GHEA Grapalat"/>
          <w:sz w:val="22"/>
          <w:szCs w:val="22"/>
          <w:lang w:val="en-US"/>
        </w:rPr>
        <w:softHyphen/>
        <w:t>ների</w:t>
      </w:r>
      <w:r w:rsidR="00CE75A9" w:rsidRPr="00C921DE">
        <w:rPr>
          <w:rFonts w:ascii="GHEA Grapalat" w:hAnsi="GHEA Grapalat"/>
          <w:sz w:val="22"/>
          <w:szCs w:val="22"/>
          <w:lang w:val="en-US"/>
        </w:rPr>
        <w:t>`</w:t>
      </w:r>
      <w:r w:rsidRPr="00C921DE">
        <w:rPr>
          <w:rFonts w:ascii="GHEA Grapalat" w:hAnsi="GHEA Grapalat"/>
          <w:sz w:val="22"/>
          <w:szCs w:val="22"/>
          <w:lang w:val="en-US"/>
        </w:rPr>
        <w:t xml:space="preserve"> </w:t>
      </w:r>
      <w:r w:rsidR="008D75F7" w:rsidRPr="00C921DE">
        <w:rPr>
          <w:rFonts w:ascii="GHEA Grapalat" w:hAnsi="GHEA Grapalat"/>
          <w:sz w:val="22"/>
          <w:szCs w:val="22"/>
          <w:lang w:val="en-US"/>
        </w:rPr>
        <w:t>ՀՀ</w:t>
      </w:r>
      <w:r w:rsidR="008D75F7" w:rsidRPr="00C921DE">
        <w:rPr>
          <w:rFonts w:ascii="GHEA Grapalat" w:hAnsi="GHEA Grapalat"/>
          <w:sz w:val="22"/>
          <w:szCs w:val="22"/>
          <w:lang w:val="en-US"/>
        </w:rPr>
        <w:noBreakHyphen/>
      </w:r>
      <w:r w:rsidRPr="00C921DE">
        <w:rPr>
          <w:rFonts w:ascii="GHEA Grapalat" w:hAnsi="GHEA Grapalat"/>
          <w:sz w:val="22"/>
          <w:szCs w:val="22"/>
          <w:lang w:val="en-US"/>
        </w:rPr>
        <w:t>ում մատակարարման մասով հաշվարկված ԱԱՀ-ի գումարի և այդ տրանսպորտային միջոցի համար հաշվանցման (պակասեցման) ենթակա ԱԱՀ-ի գումարի միջև առաջացող ԱԱՀ-ի բացասական տարբերությունը ենթակա չէ հաշ</w:t>
      </w:r>
      <w:r w:rsidRPr="00C921DE">
        <w:rPr>
          <w:rFonts w:ascii="GHEA Grapalat" w:hAnsi="GHEA Grapalat"/>
          <w:sz w:val="22"/>
          <w:szCs w:val="22"/>
          <w:lang w:val="en-US"/>
        </w:rPr>
        <w:softHyphen/>
        <w:t>վանցման (պակասեցման)։ Բացի այդ, սահմանվել է, որ իրացման նպատակով ներ</w:t>
      </w:r>
      <w:r w:rsidRPr="00C921DE">
        <w:rPr>
          <w:rFonts w:ascii="GHEA Grapalat" w:hAnsi="GHEA Grapalat"/>
          <w:sz w:val="22"/>
          <w:szCs w:val="22"/>
          <w:lang w:val="en-US"/>
        </w:rPr>
        <w:softHyphen/>
        <w:t>մուծ</w:t>
      </w:r>
      <w:r w:rsidRPr="00C921DE">
        <w:rPr>
          <w:rFonts w:ascii="GHEA Grapalat" w:hAnsi="GHEA Grapalat"/>
          <w:sz w:val="22"/>
          <w:szCs w:val="22"/>
          <w:lang w:val="en-US"/>
        </w:rPr>
        <w:softHyphen/>
        <w:t>ված տրանսպոր</w:t>
      </w:r>
      <w:r w:rsidRPr="00C921DE">
        <w:rPr>
          <w:rFonts w:ascii="GHEA Grapalat" w:hAnsi="GHEA Grapalat"/>
          <w:sz w:val="22"/>
          <w:szCs w:val="22"/>
          <w:lang w:val="en-US"/>
        </w:rPr>
        <w:softHyphen/>
        <w:t>տա</w:t>
      </w:r>
      <w:r w:rsidRPr="00C921DE">
        <w:rPr>
          <w:rFonts w:ascii="GHEA Grapalat" w:hAnsi="GHEA Grapalat"/>
          <w:sz w:val="22"/>
          <w:szCs w:val="22"/>
          <w:lang w:val="en-US"/>
        </w:rPr>
        <w:softHyphen/>
        <w:t>յին միջոցի՝ ներմուծողի կողմից օտարումից շահութահարկով հարկման առու</w:t>
      </w:r>
      <w:r w:rsidRPr="00C921DE">
        <w:rPr>
          <w:rFonts w:ascii="GHEA Grapalat" w:hAnsi="GHEA Grapalat"/>
          <w:sz w:val="22"/>
          <w:szCs w:val="22"/>
          <w:lang w:val="en-US"/>
        </w:rPr>
        <w:softHyphen/>
        <w:t>մով եկամուտը հաշվարկվում է հաշվարկված՝ ԱԱՀ-ով հարկման բազայի և տվյալ տրանս</w:t>
      </w:r>
      <w:r w:rsidRPr="00C921DE">
        <w:rPr>
          <w:rFonts w:ascii="GHEA Grapalat" w:hAnsi="GHEA Grapalat"/>
          <w:sz w:val="22"/>
          <w:szCs w:val="22"/>
          <w:lang w:val="en-US"/>
        </w:rPr>
        <w:softHyphen/>
        <w:t>պորտային միջոցի ներ</w:t>
      </w:r>
      <w:r w:rsidRPr="00C921DE">
        <w:rPr>
          <w:rFonts w:ascii="GHEA Grapalat" w:hAnsi="GHEA Grapalat"/>
          <w:sz w:val="22"/>
          <w:szCs w:val="22"/>
          <w:lang w:val="en-US"/>
        </w:rPr>
        <w:softHyphen/>
      </w:r>
      <w:r w:rsidRPr="00C921DE">
        <w:rPr>
          <w:rFonts w:ascii="GHEA Grapalat" w:hAnsi="GHEA Grapalat"/>
          <w:sz w:val="22"/>
          <w:szCs w:val="22"/>
          <w:lang w:val="en-US"/>
        </w:rPr>
        <w:softHyphen/>
      </w:r>
      <w:r w:rsidRPr="00C921DE">
        <w:rPr>
          <w:rFonts w:ascii="GHEA Grapalat" w:hAnsi="GHEA Grapalat"/>
          <w:sz w:val="22"/>
          <w:szCs w:val="22"/>
          <w:lang w:val="en-US"/>
        </w:rPr>
        <w:softHyphen/>
        <w:t>մուծման համար վճարված բնապահպանական հարկի հանրա</w:t>
      </w:r>
      <w:r w:rsidRPr="00C921DE">
        <w:rPr>
          <w:rFonts w:ascii="GHEA Grapalat" w:hAnsi="GHEA Grapalat"/>
          <w:sz w:val="22"/>
          <w:szCs w:val="22"/>
          <w:lang w:val="en-US"/>
        </w:rPr>
        <w:softHyphen/>
        <w:t>գու</w:t>
      </w:r>
      <w:r w:rsidRPr="00C921DE">
        <w:rPr>
          <w:rFonts w:ascii="GHEA Grapalat" w:hAnsi="GHEA Grapalat"/>
          <w:sz w:val="22"/>
          <w:szCs w:val="22"/>
          <w:lang w:val="en-US"/>
        </w:rPr>
        <w:softHyphen/>
        <w:t xml:space="preserve">մարի </w:t>
      </w:r>
      <w:r w:rsidRPr="00C921DE">
        <w:rPr>
          <w:rFonts w:ascii="GHEA Grapalat" w:hAnsi="GHEA Grapalat"/>
          <w:sz w:val="22"/>
          <w:szCs w:val="22"/>
          <w:lang w:val="en-US"/>
        </w:rPr>
        <w:lastRenderedPageBreak/>
        <w:t>և 1.2 գործակցի արտադրյալից ոչ պակաս չափով, իսկ ոչ իրացման նպատակով ներ</w:t>
      </w:r>
      <w:r w:rsidRPr="00C921DE">
        <w:rPr>
          <w:rFonts w:ascii="GHEA Grapalat" w:hAnsi="GHEA Grapalat"/>
          <w:sz w:val="22"/>
          <w:szCs w:val="22"/>
          <w:lang w:val="en-US"/>
        </w:rPr>
        <w:softHyphen/>
        <w:t>մուծման դեպքում՝ հաշ</w:t>
      </w:r>
      <w:r w:rsidRPr="00C921DE">
        <w:rPr>
          <w:rFonts w:ascii="GHEA Grapalat" w:hAnsi="GHEA Grapalat"/>
          <w:sz w:val="22"/>
          <w:szCs w:val="22"/>
          <w:lang w:val="en-US"/>
        </w:rPr>
        <w:softHyphen/>
        <w:t>վե</w:t>
      </w:r>
      <w:r w:rsidRPr="00C921DE">
        <w:rPr>
          <w:rFonts w:ascii="GHEA Grapalat" w:hAnsi="GHEA Grapalat"/>
          <w:sz w:val="22"/>
          <w:szCs w:val="22"/>
          <w:lang w:val="en-US"/>
        </w:rPr>
        <w:softHyphen/>
        <w:t>կշ</w:t>
      </w:r>
      <w:r w:rsidRPr="00C921DE">
        <w:rPr>
          <w:rFonts w:ascii="GHEA Grapalat" w:hAnsi="GHEA Grapalat"/>
          <w:sz w:val="22"/>
          <w:szCs w:val="22"/>
          <w:lang w:val="en-US"/>
        </w:rPr>
        <w:softHyphen/>
        <w:t>ռա</w:t>
      </w:r>
      <w:r w:rsidRPr="00C921DE">
        <w:rPr>
          <w:rFonts w:ascii="GHEA Grapalat" w:hAnsi="GHEA Grapalat"/>
          <w:sz w:val="22"/>
          <w:szCs w:val="22"/>
          <w:lang w:val="en-US"/>
        </w:rPr>
        <w:softHyphen/>
      </w:r>
      <w:r w:rsidRPr="00C921DE">
        <w:rPr>
          <w:rFonts w:ascii="GHEA Grapalat" w:hAnsi="GHEA Grapalat"/>
          <w:sz w:val="22"/>
          <w:szCs w:val="22"/>
          <w:lang w:val="en-US"/>
        </w:rPr>
        <w:softHyphen/>
        <w:t>յին արժեքի և 1.2 գործակցի արտադրյալից ոչ պակաս չափով։</w:t>
      </w:r>
    </w:p>
    <w:p w14:paraId="15F70DA2" w14:textId="77777777" w:rsidR="00427D07" w:rsidRPr="00C921DE" w:rsidRDefault="00427D07" w:rsidP="005023DA">
      <w:pPr>
        <w:numPr>
          <w:ilvl w:val="0"/>
          <w:numId w:val="13"/>
        </w:numPr>
        <w:tabs>
          <w:tab w:val="left" w:pos="851"/>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Հարկային օրենսդրության բարելավման միջոցով ներդրողների համար արդար, ընկա</w:t>
      </w:r>
      <w:r w:rsidRPr="00C921DE">
        <w:rPr>
          <w:rFonts w:ascii="GHEA Grapalat" w:hAnsi="GHEA Grapalat"/>
          <w:sz w:val="22"/>
          <w:szCs w:val="22"/>
          <w:lang w:val="en-US"/>
        </w:rPr>
        <w:softHyphen/>
      </w:r>
      <w:r w:rsidRPr="00C921DE">
        <w:rPr>
          <w:rFonts w:ascii="GHEA Grapalat" w:hAnsi="GHEA Grapalat"/>
          <w:sz w:val="22"/>
          <w:szCs w:val="22"/>
          <w:lang w:val="en-US"/>
        </w:rPr>
        <w:softHyphen/>
      </w:r>
      <w:r w:rsidRPr="00C921DE">
        <w:rPr>
          <w:rFonts w:ascii="GHEA Grapalat" w:hAnsi="GHEA Grapalat"/>
          <w:sz w:val="22"/>
          <w:szCs w:val="22"/>
          <w:lang w:val="en-US"/>
        </w:rPr>
        <w:softHyphen/>
      </w:r>
      <w:r w:rsidRPr="00C921DE">
        <w:rPr>
          <w:rFonts w:ascii="GHEA Grapalat" w:hAnsi="GHEA Grapalat"/>
          <w:sz w:val="22"/>
          <w:szCs w:val="22"/>
          <w:lang w:val="en-US"/>
        </w:rPr>
        <w:softHyphen/>
        <w:t>լելի և կանխատեսելի միջավայրի ձևավորման ծրագրային դրույթի իրագործման աշխա</w:t>
      </w:r>
      <w:r w:rsidRPr="00C921DE">
        <w:rPr>
          <w:rFonts w:ascii="GHEA Grapalat" w:hAnsi="GHEA Grapalat"/>
          <w:sz w:val="22"/>
          <w:szCs w:val="22"/>
          <w:lang w:val="en-US"/>
        </w:rPr>
        <w:softHyphen/>
        <w:t>տանք</w:t>
      </w:r>
      <w:r w:rsidRPr="00C921DE">
        <w:rPr>
          <w:rFonts w:ascii="GHEA Grapalat" w:hAnsi="GHEA Grapalat"/>
          <w:sz w:val="22"/>
          <w:szCs w:val="22"/>
          <w:lang w:val="en-US"/>
        </w:rPr>
        <w:softHyphen/>
      </w:r>
      <w:r w:rsidRPr="00C921DE">
        <w:rPr>
          <w:rFonts w:ascii="GHEA Grapalat" w:hAnsi="GHEA Grapalat"/>
          <w:sz w:val="22"/>
          <w:szCs w:val="22"/>
          <w:lang w:val="en-US"/>
        </w:rPr>
        <w:softHyphen/>
        <w:t>ների շրջա</w:t>
      </w:r>
      <w:r w:rsidRPr="00C921DE">
        <w:rPr>
          <w:rFonts w:ascii="GHEA Grapalat" w:hAnsi="GHEA Grapalat"/>
          <w:sz w:val="22"/>
          <w:szCs w:val="22"/>
          <w:lang w:val="en-US"/>
        </w:rPr>
        <w:softHyphen/>
        <w:t>նակ</w:t>
      </w:r>
      <w:r w:rsidRPr="00C921DE">
        <w:rPr>
          <w:rFonts w:ascii="GHEA Grapalat" w:hAnsi="GHEA Grapalat"/>
          <w:sz w:val="22"/>
          <w:szCs w:val="22"/>
          <w:lang w:val="en-US"/>
        </w:rPr>
        <w:softHyphen/>
      </w:r>
      <w:r w:rsidRPr="00C921DE">
        <w:rPr>
          <w:rFonts w:ascii="GHEA Grapalat" w:hAnsi="GHEA Grapalat"/>
          <w:sz w:val="22"/>
          <w:szCs w:val="22"/>
          <w:lang w:val="en-US"/>
        </w:rPr>
        <w:softHyphen/>
        <w:t>ներում հնարավորություն է ընձեռվել, որպեսզի ԱՏԳ ԱԱ 7108 խմբի ԱՏԳ ԱԱ 7108 12 000 9 ծածկագրին դասվող թանկարժեք մետաղների օտարման գործարքների դեպ</w:t>
      </w:r>
      <w:r w:rsidRPr="00C921DE">
        <w:rPr>
          <w:rFonts w:ascii="GHEA Grapalat" w:hAnsi="GHEA Grapalat"/>
          <w:sz w:val="22"/>
          <w:szCs w:val="22"/>
          <w:lang w:val="en-US"/>
        </w:rPr>
        <w:softHyphen/>
        <w:t>քում տնտե</w:t>
      </w:r>
      <w:r w:rsidRPr="00C921DE">
        <w:rPr>
          <w:rFonts w:ascii="GHEA Grapalat" w:hAnsi="GHEA Grapalat"/>
          <w:sz w:val="22"/>
          <w:szCs w:val="22"/>
          <w:lang w:val="en-US"/>
        </w:rPr>
        <w:softHyphen/>
      </w:r>
      <w:r w:rsidRPr="00C921DE">
        <w:rPr>
          <w:rFonts w:ascii="GHEA Grapalat" w:hAnsi="GHEA Grapalat"/>
          <w:sz w:val="22"/>
          <w:szCs w:val="22"/>
          <w:lang w:val="en-US"/>
        </w:rPr>
        <w:softHyphen/>
      </w:r>
      <w:r w:rsidRPr="00C921DE">
        <w:rPr>
          <w:rFonts w:ascii="GHEA Grapalat" w:hAnsi="GHEA Grapalat"/>
          <w:sz w:val="22"/>
          <w:szCs w:val="22"/>
          <w:lang w:val="en-US"/>
        </w:rPr>
        <w:softHyphen/>
      </w:r>
      <w:r w:rsidRPr="00C921DE">
        <w:rPr>
          <w:rFonts w:ascii="GHEA Grapalat" w:hAnsi="GHEA Grapalat"/>
          <w:sz w:val="22"/>
          <w:szCs w:val="22"/>
          <w:lang w:val="en-US"/>
        </w:rPr>
        <w:softHyphen/>
        <w:t>սավարող սուբյեկտներն ԱԱՀ-ի հաշվանցումներ (պակասեցումներ) կատա</w:t>
      </w:r>
      <w:r w:rsidRPr="00C921DE">
        <w:rPr>
          <w:rFonts w:ascii="GHEA Grapalat" w:hAnsi="GHEA Grapalat"/>
          <w:sz w:val="22"/>
          <w:szCs w:val="22"/>
          <w:lang w:val="en-US"/>
        </w:rPr>
        <w:softHyphen/>
        <w:t xml:space="preserve">րեն: Բացի այդ, </w:t>
      </w:r>
      <w:r w:rsidR="008D75F7" w:rsidRPr="00C921DE">
        <w:rPr>
          <w:rFonts w:ascii="GHEA Grapalat" w:hAnsi="GHEA Grapalat"/>
          <w:sz w:val="22"/>
          <w:szCs w:val="22"/>
          <w:lang w:val="en-US"/>
        </w:rPr>
        <w:t>ՀՀ</w:t>
      </w:r>
      <w:r w:rsidRPr="00C921DE">
        <w:rPr>
          <w:rFonts w:ascii="GHEA Grapalat" w:hAnsi="GHEA Grapalat"/>
          <w:sz w:val="22"/>
          <w:szCs w:val="22"/>
          <w:lang w:val="en-US"/>
        </w:rPr>
        <w:t xml:space="preserve"> ներ</w:t>
      </w:r>
      <w:r w:rsidRPr="00C921DE">
        <w:rPr>
          <w:rFonts w:ascii="GHEA Grapalat" w:hAnsi="GHEA Grapalat"/>
          <w:sz w:val="22"/>
          <w:szCs w:val="22"/>
          <w:lang w:val="en-US"/>
        </w:rPr>
        <w:softHyphen/>
        <w:t>մուծման և հետա</w:t>
      </w:r>
      <w:r w:rsidRPr="00C921DE">
        <w:rPr>
          <w:rFonts w:ascii="GHEA Grapalat" w:hAnsi="GHEA Grapalat"/>
          <w:sz w:val="22"/>
          <w:szCs w:val="22"/>
          <w:lang w:val="en-US"/>
        </w:rPr>
        <w:softHyphen/>
        <w:t>գա</w:t>
      </w:r>
      <w:r w:rsidRPr="00C921DE">
        <w:rPr>
          <w:rFonts w:ascii="GHEA Grapalat" w:hAnsi="GHEA Grapalat"/>
          <w:sz w:val="22"/>
          <w:szCs w:val="22"/>
          <w:lang w:val="en-US"/>
        </w:rPr>
        <w:softHyphen/>
        <w:t>յում արտահանման դեպ</w:t>
      </w:r>
      <w:r w:rsidRPr="00C921DE">
        <w:rPr>
          <w:rFonts w:ascii="GHEA Grapalat" w:hAnsi="GHEA Grapalat"/>
          <w:sz w:val="22"/>
          <w:szCs w:val="22"/>
          <w:lang w:val="en-US"/>
        </w:rPr>
        <w:softHyphen/>
        <w:t>քերում ներմուծման ժամանակ վճարված ակցի</w:t>
      </w:r>
      <w:r w:rsidRPr="00C921DE">
        <w:rPr>
          <w:rFonts w:ascii="GHEA Grapalat" w:hAnsi="GHEA Grapalat"/>
          <w:sz w:val="22"/>
          <w:szCs w:val="22"/>
          <w:lang w:val="en-US"/>
        </w:rPr>
        <w:softHyphen/>
      </w:r>
      <w:r w:rsidRPr="00C921DE">
        <w:rPr>
          <w:rFonts w:ascii="GHEA Grapalat" w:hAnsi="GHEA Grapalat"/>
          <w:sz w:val="22"/>
          <w:szCs w:val="22"/>
          <w:lang w:val="en-US"/>
        </w:rPr>
        <w:softHyphen/>
        <w:t>զային հարկի գումար</w:t>
      </w:r>
      <w:r w:rsidRPr="00C921DE">
        <w:rPr>
          <w:rFonts w:ascii="GHEA Grapalat" w:hAnsi="GHEA Grapalat"/>
          <w:sz w:val="22"/>
          <w:szCs w:val="22"/>
          <w:lang w:val="en-US"/>
        </w:rPr>
        <w:softHyphen/>
        <w:t>ները տնտեսավարող սուբյեկտներին վերադարձնելու նպա</w:t>
      </w:r>
      <w:r w:rsidRPr="00C921DE">
        <w:rPr>
          <w:rFonts w:ascii="GHEA Grapalat" w:hAnsi="GHEA Grapalat"/>
          <w:sz w:val="22"/>
          <w:szCs w:val="22"/>
          <w:lang w:val="en-US"/>
        </w:rPr>
        <w:softHyphen/>
        <w:t>տա</w:t>
      </w:r>
      <w:r w:rsidRPr="00C921DE">
        <w:rPr>
          <w:rFonts w:ascii="GHEA Grapalat" w:hAnsi="GHEA Grapalat"/>
          <w:sz w:val="22"/>
          <w:szCs w:val="22"/>
          <w:lang w:val="en-US"/>
        </w:rPr>
        <w:softHyphen/>
        <w:t>կով Կառավարության որոշմամբ սահմանվել են ներ</w:t>
      </w:r>
      <w:r w:rsidRPr="00C921DE">
        <w:rPr>
          <w:rFonts w:ascii="GHEA Grapalat" w:hAnsi="GHEA Grapalat"/>
          <w:sz w:val="22"/>
          <w:szCs w:val="22"/>
          <w:lang w:val="en-US"/>
        </w:rPr>
        <w:softHyphen/>
        <w:t>մուծ</w:t>
      </w:r>
      <w:r w:rsidRPr="00C921DE">
        <w:rPr>
          <w:rFonts w:ascii="GHEA Grapalat" w:hAnsi="GHEA Grapalat"/>
          <w:sz w:val="22"/>
          <w:szCs w:val="22"/>
          <w:lang w:val="en-US"/>
        </w:rPr>
        <w:softHyphen/>
        <w:t>ված</w:t>
      </w:r>
      <w:r w:rsidR="004A07B6" w:rsidRPr="00C921DE">
        <w:rPr>
          <w:rFonts w:ascii="GHEA Grapalat" w:hAnsi="GHEA Grapalat"/>
          <w:sz w:val="22"/>
          <w:szCs w:val="22"/>
          <w:lang w:val="en-US"/>
        </w:rPr>
        <w:t>`</w:t>
      </w:r>
      <w:r w:rsidRPr="00C921DE">
        <w:rPr>
          <w:rFonts w:ascii="GHEA Grapalat" w:hAnsi="GHEA Grapalat"/>
          <w:sz w:val="22"/>
          <w:szCs w:val="22"/>
          <w:lang w:val="en-US"/>
        </w:rPr>
        <w:t xml:space="preserve"> ակցիզային հարկով հարկման ենթակա ապրանքներն արտահանելու դեպքում ներ</w:t>
      </w:r>
      <w:r w:rsidRPr="00C921DE">
        <w:rPr>
          <w:rFonts w:ascii="GHEA Grapalat" w:hAnsi="GHEA Grapalat"/>
          <w:sz w:val="22"/>
          <w:szCs w:val="22"/>
          <w:lang w:val="en-US"/>
        </w:rPr>
        <w:softHyphen/>
        <w:t>մուծ</w:t>
      </w:r>
      <w:r w:rsidRPr="00C921DE">
        <w:rPr>
          <w:rFonts w:ascii="GHEA Grapalat" w:hAnsi="GHEA Grapalat"/>
          <w:sz w:val="22"/>
          <w:szCs w:val="22"/>
          <w:lang w:val="en-US"/>
        </w:rPr>
        <w:softHyphen/>
        <w:t>ման ժամանակ վճարված ակցիզային հարկի գումարի փոխհատուցման կարգը, չափը և ժամկետները։ Մասնավորապես, սահմանվել է, որ հարկ վճարողներին փոխհատուցվում է արտա</w:t>
      </w:r>
      <w:r w:rsidRPr="00C921DE">
        <w:rPr>
          <w:rFonts w:ascii="GHEA Grapalat" w:hAnsi="GHEA Grapalat"/>
          <w:sz w:val="22"/>
          <w:szCs w:val="22"/>
          <w:lang w:val="en-US"/>
        </w:rPr>
        <w:softHyphen/>
        <w:t>հանվող ապրանքների համար ներմուծման ժամանակ վճարված ակցիզային հարկի ամբողջ գումարը:</w:t>
      </w:r>
    </w:p>
    <w:p w14:paraId="41D2AC5C" w14:textId="56C7A3E8" w:rsidR="00427D07" w:rsidRPr="00C921DE" w:rsidRDefault="00427D07" w:rsidP="005023DA">
      <w:pPr>
        <w:numPr>
          <w:ilvl w:val="0"/>
          <w:numId w:val="13"/>
        </w:numPr>
        <w:tabs>
          <w:tab w:val="left" w:pos="851"/>
        </w:tabs>
        <w:spacing w:line="360" w:lineRule="auto"/>
        <w:ind w:left="0" w:firstLine="567"/>
        <w:jc w:val="both"/>
        <w:rPr>
          <w:rFonts w:ascii="GHEA Grapalat" w:hAnsi="GHEA Grapalat"/>
          <w:sz w:val="22"/>
          <w:szCs w:val="22"/>
          <w:lang w:val="en-US"/>
        </w:rPr>
      </w:pPr>
      <w:r w:rsidRPr="00C921DE">
        <w:rPr>
          <w:rFonts w:ascii="GHEA Grapalat" w:hAnsi="GHEA Grapalat"/>
          <w:sz w:val="22"/>
          <w:szCs w:val="22"/>
          <w:lang w:val="en-US"/>
        </w:rPr>
        <w:t>Տնտեսական շարժառիթների հիման վրա գործող՝ եկամուտների հայտարարագրման համակարգի ներդրման նպատակով Կառավարության որոշմամբ սահմանվել են սոցիա</w:t>
      </w:r>
      <w:r w:rsidRPr="00C921DE">
        <w:rPr>
          <w:rFonts w:ascii="GHEA Grapalat" w:hAnsi="GHEA Grapalat"/>
          <w:sz w:val="22"/>
          <w:szCs w:val="22"/>
          <w:lang w:val="en-US"/>
        </w:rPr>
        <w:softHyphen/>
        <w:t>լա</w:t>
      </w:r>
      <w:r w:rsidRPr="00C921DE">
        <w:rPr>
          <w:rFonts w:ascii="GHEA Grapalat" w:hAnsi="GHEA Grapalat"/>
          <w:sz w:val="22"/>
          <w:szCs w:val="22"/>
          <w:lang w:val="en-US"/>
        </w:rPr>
        <w:softHyphen/>
        <w:t>կան ծախսերի տեսակների առանձին ուղղությունները, ընտանիքի անդամների շրջանակը և փոխ</w:t>
      </w:r>
      <w:r w:rsidRPr="00C921DE">
        <w:rPr>
          <w:rFonts w:ascii="GHEA Grapalat" w:hAnsi="GHEA Grapalat"/>
          <w:sz w:val="22"/>
          <w:szCs w:val="22"/>
          <w:lang w:val="en-US"/>
        </w:rPr>
        <w:softHyphen/>
      </w:r>
      <w:r w:rsidRPr="00C921DE">
        <w:rPr>
          <w:rFonts w:ascii="GHEA Grapalat" w:hAnsi="GHEA Grapalat"/>
          <w:sz w:val="22"/>
          <w:szCs w:val="22"/>
          <w:lang w:val="en-US"/>
        </w:rPr>
        <w:softHyphen/>
        <w:t>հա</w:t>
      </w:r>
      <w:r w:rsidRPr="00C921DE">
        <w:rPr>
          <w:rFonts w:ascii="GHEA Grapalat" w:hAnsi="GHEA Grapalat"/>
          <w:sz w:val="22"/>
          <w:szCs w:val="22"/>
          <w:lang w:val="en-US"/>
        </w:rPr>
        <w:softHyphen/>
        <w:t>տուց</w:t>
      </w:r>
      <w:r w:rsidRPr="00C921DE">
        <w:rPr>
          <w:rFonts w:ascii="GHEA Grapalat" w:hAnsi="GHEA Grapalat"/>
          <w:sz w:val="22"/>
          <w:szCs w:val="22"/>
          <w:lang w:val="en-US"/>
        </w:rPr>
        <w:softHyphen/>
        <w:t>ման առավելագույն չափերը։ Մասնավորապես, սահմանվել է, որ սոցիալական ծախ</w:t>
      </w:r>
      <w:r w:rsidRPr="00C921DE">
        <w:rPr>
          <w:rFonts w:ascii="GHEA Grapalat" w:hAnsi="GHEA Grapalat"/>
          <w:sz w:val="22"/>
          <w:szCs w:val="22"/>
          <w:lang w:val="en-US"/>
        </w:rPr>
        <w:softHyphen/>
        <w:t>սեր են համարվում առողջապահության և կրթության գծով ծախսերը, իսկ առավելագույն չափերն են՝ առողջապահության գծով՝ 50.000 դրամը և կրթության գծով՝ 100.000 դրամը, ընդ որում</w:t>
      </w:r>
      <w:r w:rsidR="003D5A98" w:rsidRPr="00C921DE">
        <w:rPr>
          <w:rFonts w:ascii="GHEA Grapalat" w:hAnsi="GHEA Grapalat"/>
          <w:sz w:val="22"/>
          <w:szCs w:val="22"/>
          <w:lang w:val="en-US"/>
        </w:rPr>
        <w:t>,</w:t>
      </w:r>
      <w:r w:rsidRPr="00C921DE">
        <w:rPr>
          <w:rFonts w:ascii="GHEA Grapalat" w:hAnsi="GHEA Grapalat"/>
          <w:sz w:val="22"/>
          <w:szCs w:val="22"/>
          <w:lang w:val="en-US"/>
        </w:rPr>
        <w:t xml:space="preserve"> այս երկու ուղղություններով սոցիալական ծախսերի առավելագույն չափը կազ</w:t>
      </w:r>
      <w:r w:rsidRPr="00C921DE">
        <w:rPr>
          <w:rFonts w:ascii="GHEA Grapalat" w:hAnsi="GHEA Grapalat"/>
          <w:sz w:val="22"/>
          <w:szCs w:val="22"/>
          <w:lang w:val="en-US"/>
        </w:rPr>
        <w:softHyphen/>
        <w:t>մում է տարե</w:t>
      </w:r>
      <w:r w:rsidRPr="00C921DE">
        <w:rPr>
          <w:rFonts w:ascii="GHEA Grapalat" w:hAnsi="GHEA Grapalat"/>
          <w:sz w:val="22"/>
          <w:szCs w:val="22"/>
          <w:lang w:val="en-US"/>
        </w:rPr>
        <w:softHyphen/>
        <w:t>կան 100.000 դրամ։</w:t>
      </w:r>
    </w:p>
    <w:p w14:paraId="4A2B1B37" w14:textId="77777777" w:rsidR="001C411D" w:rsidRPr="00C921DE" w:rsidRDefault="001C411D" w:rsidP="00BE1499">
      <w:pPr>
        <w:spacing w:line="360" w:lineRule="auto"/>
        <w:ind w:firstLine="567"/>
        <w:jc w:val="both"/>
        <w:rPr>
          <w:rFonts w:ascii="GHEA Grapalat" w:hAnsi="GHEA Grapalat"/>
          <w:sz w:val="22"/>
          <w:szCs w:val="22"/>
          <w:lang w:val="en-US"/>
        </w:rPr>
      </w:pPr>
    </w:p>
    <w:p w14:paraId="72BFE5FE" w14:textId="77777777" w:rsidR="001C411D" w:rsidRPr="00C921DE" w:rsidRDefault="001C411D" w:rsidP="00AC199C">
      <w:pPr>
        <w:pStyle w:val="Heading2"/>
        <w:spacing w:before="0"/>
      </w:pPr>
      <w:bookmarkStart w:id="56" w:name="_Toc6389307"/>
      <w:bookmarkStart w:id="57" w:name="_Toc163745443"/>
      <w:r w:rsidRPr="00C921DE">
        <w:t>Պետական եկամուտների վարչարարություն</w:t>
      </w:r>
      <w:bookmarkEnd w:id="56"/>
      <w:bookmarkEnd w:id="57"/>
    </w:p>
    <w:p w14:paraId="46E73962" w14:textId="43E7D87E" w:rsidR="00837F8D" w:rsidRPr="00C921DE" w:rsidRDefault="00837F8D" w:rsidP="00837F8D">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Պետական եկամուտների վարչարարության ոլորտում իրականացված միջոցառումները բխել են ՀՀ կառավարության 2021 թվականի օգոստոսի 18-ի N 1363-Ա որոշմամբ հաստատված ՀՀ կառավարության հնգամյա (2021-2026թթ.) ծրագրից, ՀՀ կառավարության 2021 թվականի նոյեմբերի 18-ի N 1902-Ա որոշմամբ հաստատված ՀՀ կառավարության 2021-2026 թվականների գործունեության միջոցառումների ծրագրից, ՀՀ կառավարության 2019 թվականի դեկտեմբերի 12-ի N 1830-Լ որոշմամբ հաստատված</w:t>
      </w:r>
      <w:r w:rsidR="008D75F7" w:rsidRPr="00C921DE">
        <w:rPr>
          <w:rFonts w:ascii="GHEA Grapalat" w:hAnsi="GHEA Grapalat"/>
          <w:sz w:val="22"/>
          <w:szCs w:val="22"/>
          <w:lang w:val="en-US"/>
        </w:rPr>
        <w:t>՝</w:t>
      </w:r>
      <w:r w:rsidRPr="00C921DE">
        <w:rPr>
          <w:rFonts w:ascii="GHEA Grapalat" w:hAnsi="GHEA Grapalat"/>
          <w:sz w:val="22"/>
          <w:szCs w:val="22"/>
          <w:lang w:val="en-US"/>
        </w:rPr>
        <w:t xml:space="preserve"> </w:t>
      </w:r>
      <w:r w:rsidR="008D75F7" w:rsidRPr="00C921DE">
        <w:rPr>
          <w:rFonts w:ascii="GHEA Grapalat" w:hAnsi="GHEA Grapalat"/>
          <w:sz w:val="22"/>
          <w:szCs w:val="22"/>
          <w:lang w:val="en-US"/>
        </w:rPr>
        <w:t>ՀՀ</w:t>
      </w:r>
      <w:r w:rsidRPr="00C921DE">
        <w:rPr>
          <w:rFonts w:ascii="GHEA Grapalat" w:hAnsi="GHEA Grapalat"/>
          <w:sz w:val="22"/>
          <w:szCs w:val="22"/>
          <w:lang w:val="en-US"/>
        </w:rPr>
        <w:t xml:space="preserve"> պետական եկամուտների կոմիտեի զարգացման և վարչարարության բարելավման ռազմավարական ծրագրից, ինչպես նաև </w:t>
      </w:r>
      <w:r w:rsidR="00F33D10" w:rsidRPr="00C921DE">
        <w:rPr>
          <w:rFonts w:ascii="GHEA Grapalat" w:hAnsi="GHEA Grapalat"/>
          <w:sz w:val="22"/>
          <w:szCs w:val="22"/>
          <w:lang w:val="en-US"/>
        </w:rPr>
        <w:t>Կ</w:t>
      </w:r>
      <w:r w:rsidRPr="00C921DE">
        <w:rPr>
          <w:rFonts w:ascii="GHEA Grapalat" w:hAnsi="GHEA Grapalat"/>
          <w:sz w:val="22"/>
          <w:szCs w:val="22"/>
          <w:lang w:val="en-US"/>
        </w:rPr>
        <w:t xml:space="preserve">առավարության </w:t>
      </w:r>
      <w:r w:rsidR="002E2782" w:rsidRPr="00C921DE">
        <w:rPr>
          <w:rFonts w:ascii="GHEA Grapalat" w:hAnsi="GHEA Grapalat"/>
          <w:sz w:val="22"/>
          <w:szCs w:val="22"/>
          <w:lang w:val="en-US"/>
        </w:rPr>
        <w:t>կողմից հաստատված այլ ծրագրերից:</w:t>
      </w:r>
    </w:p>
    <w:p w14:paraId="2F914509" w14:textId="77777777" w:rsidR="00837F8D" w:rsidRPr="00C921DE" w:rsidRDefault="00837F8D" w:rsidP="002E2782">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Ինչպես և նախորդ տարիներին, 2023</w:t>
      </w:r>
      <w:r w:rsidR="002E2782" w:rsidRPr="00C921DE">
        <w:rPr>
          <w:rFonts w:ascii="GHEA Grapalat" w:hAnsi="GHEA Grapalat"/>
          <w:sz w:val="22"/>
          <w:szCs w:val="22"/>
          <w:lang w:val="en-US"/>
        </w:rPr>
        <w:t xml:space="preserve"> </w:t>
      </w:r>
      <w:r w:rsidRPr="00C921DE">
        <w:rPr>
          <w:rFonts w:ascii="GHEA Grapalat" w:hAnsi="GHEA Grapalat"/>
          <w:sz w:val="22"/>
          <w:szCs w:val="22"/>
          <w:lang w:val="en-US"/>
        </w:rPr>
        <w:t>թ</w:t>
      </w:r>
      <w:r w:rsidR="002E2782" w:rsidRPr="00C921DE">
        <w:rPr>
          <w:rFonts w:ascii="GHEA Grapalat" w:hAnsi="GHEA Grapalat"/>
          <w:sz w:val="22"/>
          <w:szCs w:val="22"/>
          <w:lang w:val="en-US"/>
        </w:rPr>
        <w:t>վականի</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ընթացքում</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ևս</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ՊԵԿ</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կողմից</w:t>
      </w:r>
      <w:r w:rsidRPr="00C921DE">
        <w:rPr>
          <w:rFonts w:ascii="GHEA Grapalat" w:hAnsi="GHEA Grapalat"/>
          <w:sz w:val="22"/>
          <w:szCs w:val="22"/>
          <w:lang w:val="en-US"/>
        </w:rPr>
        <w:t xml:space="preserve"> կարևորվել են հարկ վճարողների սպասարկման և որակյալ ծառայությունների մատուցման աշխատանքները՝ դրանք համարելով հանրային հատվածի հետ փոխգործակցության լավագույն հիմքը։ Այս ուղղությամբ իրականացված աշխատանքների շրջանակներում գրանցվել են հետևյալ արդյունքները</w:t>
      </w:r>
      <w:r w:rsidRPr="00C921DE">
        <w:rPr>
          <w:rFonts w:ascii="Cambria Math" w:hAnsi="Cambria Math" w:cs="Cambria Math"/>
          <w:sz w:val="22"/>
          <w:szCs w:val="22"/>
          <w:lang w:val="en-US"/>
        </w:rPr>
        <w:t>․</w:t>
      </w:r>
    </w:p>
    <w:p w14:paraId="73123B57" w14:textId="77777777"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Տնտեսավարող սուբյեկտներին 2023</w:t>
      </w:r>
      <w:r w:rsidR="0006064A" w:rsidRPr="00C921DE">
        <w:rPr>
          <w:rFonts w:ascii="GHEA Grapalat" w:hAnsi="GHEA Grapalat"/>
          <w:lang w:val="en-US"/>
        </w:rPr>
        <w:t xml:space="preserve"> </w:t>
      </w:r>
      <w:r w:rsidRPr="00C921DE">
        <w:rPr>
          <w:rFonts w:ascii="GHEA Grapalat" w:hAnsi="GHEA Grapalat"/>
          <w:lang w:val="en-US"/>
        </w:rPr>
        <w:t>թ</w:t>
      </w:r>
      <w:r w:rsidR="0006064A" w:rsidRPr="00C921DE">
        <w:rPr>
          <w:rFonts w:ascii="GHEA Grapalat" w:hAnsi="GHEA Grapalat"/>
          <w:lang w:val="en-US"/>
        </w:rPr>
        <w:t>վականի</w:t>
      </w:r>
      <w:r w:rsidRPr="00C921DE">
        <w:rPr>
          <w:rFonts w:ascii="GHEA Grapalat" w:hAnsi="GHEA Grapalat"/>
          <w:lang w:val="en-US"/>
        </w:rPr>
        <w:t xml:space="preserve"> ընթացքում ընդհանուր առմամբ հետ է վերադարձվել 362.9 մլրդ դրամի հարկ (նախորդ տարվա համեմատ աճը կազմել է 38.1%): Միաժամանակ ավտոմատացվել է մի քանի աղբյուրից ստացման ենթակա (ստացված) եկամտից հաշվարկված և փոխանցված (գանձված) սոցիալական վճարների առավելագույն չափը գերազանցող գումարները ֆիզիկական անձանց վերադարձնելու գործընթացը, որն իրականացվում է ամբողջությամբ ինքնաշատ եղանակով` արդյունքում էականորեն կրճատելով գո</w:t>
      </w:r>
      <w:r w:rsidR="007470C9" w:rsidRPr="00C921DE">
        <w:rPr>
          <w:rFonts w:ascii="GHEA Grapalat" w:hAnsi="GHEA Grapalat"/>
          <w:lang w:val="en-US"/>
        </w:rPr>
        <w:t>ւմարների վերադարձման ժամկետները.</w:t>
      </w:r>
    </w:p>
    <w:p w14:paraId="1D7B66FA" w14:textId="3DAC67D6"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 xml:space="preserve">Արդիականացվել են մաքսային սահմանի անցման կետերը, մասնավորապես՝ կառուցվել է Մարգարայի անցման կետը, </w:t>
      </w:r>
      <w:r w:rsidR="00071E65" w:rsidRPr="00C921DE">
        <w:rPr>
          <w:rFonts w:ascii="GHEA Grapalat" w:hAnsi="GHEA Grapalat"/>
          <w:lang w:val="en-US"/>
        </w:rPr>
        <w:t xml:space="preserve">ՎԶԵԲ-ի աջակցությամբ իրականացվում են </w:t>
      </w:r>
      <w:r w:rsidR="00071E65" w:rsidRPr="00C921DE">
        <w:rPr>
          <w:rFonts w:ascii="GHEA Grapalat" w:hAnsi="GHEA Grapalat"/>
          <w:lang w:val="hy-AM"/>
        </w:rPr>
        <w:t>Մեղրիի սահ</w:t>
      </w:r>
      <w:r w:rsidR="00071E65" w:rsidRPr="00C921DE">
        <w:rPr>
          <w:rFonts w:ascii="GHEA Grapalat" w:hAnsi="GHEA Grapalat"/>
          <w:lang w:val="hy-AM"/>
        </w:rPr>
        <w:softHyphen/>
        <w:t>մա</w:t>
      </w:r>
      <w:r w:rsidR="00071E65" w:rsidRPr="00C921DE">
        <w:rPr>
          <w:rFonts w:ascii="GHEA Grapalat" w:hAnsi="GHEA Grapalat"/>
          <w:lang w:val="hy-AM"/>
        </w:rPr>
        <w:softHyphen/>
        <w:t xml:space="preserve">նային անցման կետի վերակառուցման և արդիականացման աշխատանքները, </w:t>
      </w:r>
      <w:r w:rsidRPr="00C921DE">
        <w:rPr>
          <w:rFonts w:ascii="GHEA Grapalat" w:hAnsi="GHEA Grapalat"/>
          <w:lang w:val="en-US"/>
        </w:rPr>
        <w:t xml:space="preserve">իրականացվել է Գոգավանի անցման կետի ընթացիկ նորոգում, </w:t>
      </w:r>
      <w:r w:rsidR="00C4503F" w:rsidRPr="00C921DE">
        <w:rPr>
          <w:rFonts w:ascii="GHEA Grapalat" w:hAnsi="GHEA Grapalat"/>
          <w:lang w:val="en-US"/>
        </w:rPr>
        <w:t>և շարունակվում են Բագրատաշենի անցման կետի ընդլայնման և արդիականացման աշխատանքները</w:t>
      </w:r>
      <w:r w:rsidR="007470C9" w:rsidRPr="00C921DE">
        <w:rPr>
          <w:rFonts w:ascii="GHEA Grapalat" w:hAnsi="GHEA Grapalat"/>
          <w:lang w:val="en-US"/>
        </w:rPr>
        <w:t>.</w:t>
      </w:r>
    </w:p>
    <w:p w14:paraId="222A4DBA" w14:textId="77777777"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Նախնական մաքսային հայտարարագրման գործընթացի շնորհիվ մաքսային ձևակերպումների ժամանակահատվածը երկիր մուտք գործելուց մինչև ապրանքի բացթողումը 2-3</w:t>
      </w:r>
      <w:r w:rsidR="007470C9" w:rsidRPr="00C921DE">
        <w:rPr>
          <w:rFonts w:ascii="GHEA Grapalat" w:hAnsi="GHEA Grapalat"/>
          <w:lang w:val="en-US"/>
        </w:rPr>
        <w:t xml:space="preserve"> օրվա փոխարեն դարձել է 2-3 ժամ.</w:t>
      </w:r>
    </w:p>
    <w:p w14:paraId="4BF4A84B" w14:textId="77777777"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Էականորեն պարզեցվել է տարանցման հայտարարագրման գործընթացը, մասնավորապես՝ հավաքական բեռների յուրաքանչյուր միավորի համար տարանցման հայտարարագիր ներկայացնելու փոխարեն հնարավորություն է ստեղծվել ամբողջ բեռի համար ներկայացնել մեկ հայտարարագիր: Իրականացված պարզեցման արդյունքում տարանցման հայտարարագրի կազմման վրա ծախսվող ժամանակահատվածը կրճատվել է շուրջ 40%-ով, նվազել են հերթերը և բեռնատար տրանսպ</w:t>
      </w:r>
      <w:r w:rsidR="007470C9" w:rsidRPr="00C921DE">
        <w:rPr>
          <w:rFonts w:ascii="GHEA Grapalat" w:hAnsi="GHEA Grapalat"/>
          <w:lang w:val="en-US"/>
        </w:rPr>
        <w:t>որտային միջոցների կուտակումները.</w:t>
      </w:r>
    </w:p>
    <w:p w14:paraId="03E92948" w14:textId="3069321D"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2023</w:t>
      </w:r>
      <w:r w:rsidR="007470C9" w:rsidRPr="00C921DE">
        <w:rPr>
          <w:rFonts w:ascii="GHEA Grapalat" w:hAnsi="GHEA Grapalat"/>
          <w:lang w:val="en-US"/>
        </w:rPr>
        <w:t xml:space="preserve"> </w:t>
      </w:r>
      <w:r w:rsidRPr="00C921DE">
        <w:rPr>
          <w:rFonts w:ascii="GHEA Grapalat" w:hAnsi="GHEA Grapalat"/>
          <w:lang w:val="en-US"/>
        </w:rPr>
        <w:t>թ</w:t>
      </w:r>
      <w:r w:rsidR="007470C9" w:rsidRPr="00C921DE">
        <w:rPr>
          <w:rFonts w:ascii="GHEA Grapalat" w:hAnsi="GHEA Grapalat"/>
          <w:lang w:val="en-US"/>
        </w:rPr>
        <w:t>վականի</w:t>
      </w:r>
      <w:r w:rsidRPr="00C921DE">
        <w:rPr>
          <w:rFonts w:ascii="GHEA Grapalat" w:hAnsi="GHEA Grapalat"/>
          <w:lang w:val="en-US"/>
        </w:rPr>
        <w:t xml:space="preserve"> նոյեմբերին ՀՀ կառավարության կողմից ընդունված Ժամանակավորապես ՀՀ ներմուծվող անձնական օգտագործման տրանսպորտային միջոցների համար մաքսատուրքերի և հարկերի վճարման պարտավորությունների ապահովման որոշակի միջոց սահմանելու մասին և Եվրասիական տնտեսական միության անդամ չհանդիսացող պետություններից ՀՀ ֆիզիկական անձանց կողմից անձնական օգտագործման համար ժամանակավոր ներմուծված՝ ԱՏԳ ԱԱ 8703 ապրանքային դիրքին դասվող թեթև մարդատար տրանսպորտային միջոցների ազատ շրջանառության համար ներմուծման դեպքում պետական աջակցության ծրագիրը հաստատելու </w:t>
      </w:r>
      <w:r w:rsidRPr="00C921DE">
        <w:rPr>
          <w:rFonts w:ascii="GHEA Grapalat" w:hAnsi="GHEA Grapalat"/>
          <w:lang w:val="en-US"/>
        </w:rPr>
        <w:lastRenderedPageBreak/>
        <w:t>մասին որոշումների համաձայն 2023</w:t>
      </w:r>
      <w:r w:rsidR="00FE6944" w:rsidRPr="00C921DE">
        <w:rPr>
          <w:rFonts w:ascii="GHEA Grapalat" w:hAnsi="GHEA Grapalat"/>
          <w:lang w:val="en-US"/>
        </w:rPr>
        <w:t xml:space="preserve"> </w:t>
      </w:r>
      <w:r w:rsidRPr="00C921DE">
        <w:rPr>
          <w:rFonts w:ascii="GHEA Grapalat" w:hAnsi="GHEA Grapalat"/>
          <w:lang w:val="en-US"/>
        </w:rPr>
        <w:t>թ</w:t>
      </w:r>
      <w:r w:rsidR="00FE6944" w:rsidRPr="00C921DE">
        <w:rPr>
          <w:rFonts w:ascii="GHEA Grapalat" w:hAnsi="GHEA Grapalat"/>
          <w:lang w:val="en-US"/>
        </w:rPr>
        <w:t>վականի</w:t>
      </w:r>
      <w:r w:rsidRPr="00C921DE">
        <w:rPr>
          <w:rFonts w:ascii="GHEA Grapalat" w:hAnsi="GHEA Grapalat"/>
          <w:lang w:val="en-US"/>
        </w:rPr>
        <w:t xml:space="preserve"> դեկտեմբերի 5-ից 30-ն ընկած ժամանակահատվածում մաքսային ձևակերպում է ստացել ՀՀ ժամանակավոր ներմուծված 2648 տրանսպորտային միջոց։</w:t>
      </w:r>
    </w:p>
    <w:p w14:paraId="22E14F14" w14:textId="4EB4624B"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«Օրինապահ հարկ վճարող» համարվելու չափանիշների և օրինապահ հարկ վճարողի հավաստագրի տրամադրման կարգի համաձայն 2023</w:t>
      </w:r>
      <w:r w:rsidR="007470C9" w:rsidRPr="00C921DE">
        <w:rPr>
          <w:rFonts w:ascii="GHEA Grapalat" w:hAnsi="GHEA Grapalat"/>
          <w:lang w:val="en-US"/>
        </w:rPr>
        <w:t xml:space="preserve"> </w:t>
      </w:r>
      <w:r w:rsidRPr="00C921DE">
        <w:rPr>
          <w:rFonts w:ascii="GHEA Grapalat" w:hAnsi="GHEA Grapalat"/>
          <w:lang w:val="en-US"/>
        </w:rPr>
        <w:t>թ</w:t>
      </w:r>
      <w:r w:rsidR="007470C9" w:rsidRPr="00C921DE">
        <w:rPr>
          <w:rFonts w:ascii="GHEA Grapalat" w:hAnsi="GHEA Grapalat"/>
          <w:lang w:val="en-US"/>
        </w:rPr>
        <w:t>վականին</w:t>
      </w:r>
      <w:r w:rsidRPr="00C921DE">
        <w:rPr>
          <w:rFonts w:ascii="GHEA Grapalat" w:hAnsi="GHEA Grapalat"/>
          <w:lang w:val="en-US"/>
        </w:rPr>
        <w:t xml:space="preserve"> օրինապահ հարկ վճարողի հավաստագիր ստանալու համար ներկայացվել է 178 դիմում, որոնցից հավաստագիր է ստացել 81 տնտեսավարող</w:t>
      </w:r>
      <w:r w:rsidR="007470C9" w:rsidRPr="00C921DE">
        <w:rPr>
          <w:rFonts w:ascii="GHEA Grapalat" w:hAnsi="GHEA Grapalat"/>
          <w:lang w:val="en-US"/>
        </w:rPr>
        <w:t xml:space="preserve"> սուբյեկտ.</w:t>
      </w:r>
    </w:p>
    <w:p w14:paraId="38A37447" w14:textId="77777777"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Հարկ վճարողների իրազեկվածության բարձրացման նպատակով 2023</w:t>
      </w:r>
      <w:r w:rsidR="007470C9" w:rsidRPr="00C921DE">
        <w:rPr>
          <w:rFonts w:ascii="GHEA Grapalat" w:hAnsi="GHEA Grapalat"/>
          <w:lang w:val="en-US"/>
        </w:rPr>
        <w:t xml:space="preserve"> </w:t>
      </w:r>
      <w:r w:rsidRPr="00C921DE">
        <w:rPr>
          <w:rFonts w:ascii="GHEA Grapalat" w:hAnsi="GHEA Grapalat"/>
          <w:lang w:val="en-US"/>
        </w:rPr>
        <w:t>թ</w:t>
      </w:r>
      <w:r w:rsidR="007470C9" w:rsidRPr="00C921DE">
        <w:rPr>
          <w:rFonts w:ascii="GHEA Grapalat" w:hAnsi="GHEA Grapalat"/>
          <w:lang w:val="en-US"/>
        </w:rPr>
        <w:t>վականին</w:t>
      </w:r>
      <w:r w:rsidRPr="00C921DE">
        <w:rPr>
          <w:rFonts w:ascii="GHEA Grapalat" w:hAnsi="GHEA Grapalat"/>
          <w:lang w:val="en-US"/>
        </w:rPr>
        <w:t xml:space="preserve"> հարկ վճարողների համար անցկացվել է 82 ուսումնական միջոցառում, 1030 ակ/ժամ ընդհանուր տևողությամբ, որոնց մասնակցել են 1665 հարկ վճարողներ և (կամ) նրանց ներկայացուցիչներ: 2023</w:t>
      </w:r>
      <w:r w:rsidR="00837DC1" w:rsidRPr="00C921DE">
        <w:rPr>
          <w:rFonts w:ascii="GHEA Grapalat" w:hAnsi="GHEA Grapalat"/>
          <w:lang w:val="en-US"/>
        </w:rPr>
        <w:t xml:space="preserve"> </w:t>
      </w:r>
      <w:r w:rsidRPr="00C921DE">
        <w:rPr>
          <w:rFonts w:ascii="GHEA Grapalat" w:hAnsi="GHEA Grapalat"/>
          <w:lang w:val="en-US"/>
        </w:rPr>
        <w:t>թ</w:t>
      </w:r>
      <w:r w:rsidR="00837DC1" w:rsidRPr="00C921DE">
        <w:rPr>
          <w:rFonts w:ascii="GHEA Grapalat" w:hAnsi="GHEA Grapalat"/>
          <w:lang w:val="en-US"/>
        </w:rPr>
        <w:t>վականի</w:t>
      </w:r>
      <w:r w:rsidRPr="00C921DE">
        <w:rPr>
          <w:rFonts w:ascii="GHEA Grapalat" w:hAnsi="GHEA Grapalat"/>
          <w:lang w:val="en-US"/>
        </w:rPr>
        <w:t xml:space="preserve"> ընթացքում ԶԼՄ-ներով, ՊԵԿ պաշտոնական կայքով, սոցիալական հարթակներով կամ այլ եղանակներով իրականացվել է հանրային իրազեկման 60 միջոցառում</w:t>
      </w:r>
      <w:r w:rsidR="00837DC1" w:rsidRPr="00C921DE">
        <w:rPr>
          <w:rFonts w:ascii="GHEA Grapalat" w:hAnsi="GHEA Grapalat"/>
          <w:lang w:val="en-US"/>
        </w:rPr>
        <w:t>.</w:t>
      </w:r>
    </w:p>
    <w:p w14:paraId="71B0A29A" w14:textId="77777777" w:rsidR="00837F8D" w:rsidRPr="00C921DE" w:rsidRDefault="00837F8D" w:rsidP="00997BEE">
      <w:pPr>
        <w:pStyle w:val="ListParagraph"/>
        <w:numPr>
          <w:ilvl w:val="0"/>
          <w:numId w:val="17"/>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2023</w:t>
      </w:r>
      <w:r w:rsidR="00837DC1" w:rsidRPr="00C921DE">
        <w:rPr>
          <w:rFonts w:ascii="GHEA Grapalat" w:hAnsi="GHEA Grapalat"/>
          <w:lang w:val="en-US"/>
        </w:rPr>
        <w:t xml:space="preserve"> </w:t>
      </w:r>
      <w:r w:rsidRPr="00C921DE">
        <w:rPr>
          <w:rFonts w:ascii="GHEA Grapalat" w:hAnsi="GHEA Grapalat"/>
          <w:lang w:val="en-US"/>
        </w:rPr>
        <w:t>թ</w:t>
      </w:r>
      <w:r w:rsidR="00837DC1" w:rsidRPr="00C921DE">
        <w:rPr>
          <w:rFonts w:ascii="GHEA Grapalat" w:hAnsi="GHEA Grapalat"/>
          <w:lang w:val="en-US"/>
        </w:rPr>
        <w:t>վականի</w:t>
      </w:r>
      <w:r w:rsidRPr="00C921DE">
        <w:rPr>
          <w:rFonts w:ascii="GHEA Grapalat" w:hAnsi="GHEA Grapalat"/>
          <w:lang w:val="en-US"/>
        </w:rPr>
        <w:t xml:space="preserve"> ապրիլի 1-ից մայիսի 1-ն ընկած ժամանակահատվածում ՀՀ ՊԵԿ կողմից իրականացվել է ՊԵԿ գործունեության վերաբերյալ գոհունակության գնահատման հարցում: Վերջինիս արդյունքներով </w:t>
      </w:r>
      <w:r w:rsidR="00837DC1" w:rsidRPr="00C921DE">
        <w:rPr>
          <w:rFonts w:ascii="GHEA Grapalat" w:hAnsi="GHEA Grapalat"/>
          <w:lang w:val="en-US"/>
        </w:rPr>
        <w:t>ՊԵԿ գործունեությունը դրական է</w:t>
      </w:r>
      <w:r w:rsidRPr="00C921DE">
        <w:rPr>
          <w:rFonts w:ascii="GHEA Grapalat" w:hAnsi="GHEA Grapalat"/>
          <w:lang w:val="en-US"/>
        </w:rPr>
        <w:t xml:space="preserve"> գնահատել հարկային մարմնի մասով հարցման մասնակիցների 87.2%-ը, մաքսային մարմնի մասով` 78.0%-ը, իսկ ընդհանուր հարցման մասնակիցների՝ 84.4%-ը: Բացի վերը նշված հարցում</w:t>
      </w:r>
      <w:r w:rsidR="00837DC1" w:rsidRPr="00C921DE">
        <w:rPr>
          <w:rFonts w:ascii="GHEA Grapalat" w:hAnsi="GHEA Grapalat"/>
          <w:lang w:val="en-US"/>
        </w:rPr>
        <w:t>ից</w:t>
      </w:r>
      <w:r w:rsidRPr="00C921DE">
        <w:rPr>
          <w:rFonts w:ascii="GHEA Grapalat" w:hAnsi="GHEA Grapalat"/>
          <w:lang w:val="en-US"/>
        </w:rPr>
        <w:t>, Հետազոտական ռեսուրսների կովկասյան կենտրոն-Հայաստան հիմնադրամի կողմից Համաշխարհային բանկի «Հարկային և մաքսային վարչարարության արդիականացման» ծրագրի շրջանակում ևս իրականացվել է նմանատիպ հարցում, որի համաձայն վերջին երեք տարիների ընթացքում հարկային մարմնի կողմից ձեռնարկված հարկային վարչարարության բարելավման միջոց</w:t>
      </w:r>
      <w:r w:rsidR="00837DC1" w:rsidRPr="00C921DE">
        <w:rPr>
          <w:rFonts w:ascii="GHEA Grapalat" w:hAnsi="GHEA Grapalat"/>
          <w:lang w:val="en-US"/>
        </w:rPr>
        <w:t>առումները դրական և խիստ դրական է</w:t>
      </w:r>
      <w:r w:rsidRPr="00C921DE">
        <w:rPr>
          <w:rFonts w:ascii="GHEA Grapalat" w:hAnsi="GHEA Grapalat"/>
          <w:lang w:val="en-US"/>
        </w:rPr>
        <w:t xml:space="preserve"> գնահատել հարցվածների 72.2%-ը:</w:t>
      </w:r>
    </w:p>
    <w:p w14:paraId="205AF3D8" w14:textId="77777777" w:rsidR="00837F8D" w:rsidRPr="00C921DE" w:rsidRDefault="00837F8D" w:rsidP="000F002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Շարունակական բնույթ են կրել նաև էլեկտրոնային համակարգերի կատարելագործման աշխատանքները, որոնք նպատակ են ունեցել բարձրացնել տեղեկատվության փոխանակման անվտանգությունը և տեղեկատվության մշակման արդյունավետությունը։ Մասնավորապես</w:t>
      </w:r>
      <w:r w:rsidRPr="00C921DE">
        <w:rPr>
          <w:rFonts w:ascii="Cambria Math" w:hAnsi="Cambria Math" w:cs="Cambria Math"/>
          <w:sz w:val="22"/>
          <w:szCs w:val="22"/>
          <w:lang w:val="en-US"/>
        </w:rPr>
        <w:t>․</w:t>
      </w:r>
    </w:p>
    <w:p w14:paraId="5C496FB9" w14:textId="77777777" w:rsidR="00837F8D" w:rsidRPr="00C921DE" w:rsidRDefault="00837F8D" w:rsidP="00997BEE">
      <w:pPr>
        <w:pStyle w:val="ListParagraph"/>
        <w:numPr>
          <w:ilvl w:val="0"/>
          <w:numId w:val="18"/>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2023</w:t>
      </w:r>
      <w:r w:rsidR="000F002C" w:rsidRPr="00C921DE">
        <w:rPr>
          <w:rFonts w:ascii="GHEA Grapalat" w:hAnsi="GHEA Grapalat"/>
          <w:lang w:val="en-US"/>
        </w:rPr>
        <w:t xml:space="preserve"> </w:t>
      </w:r>
      <w:r w:rsidRPr="00C921DE">
        <w:rPr>
          <w:rFonts w:ascii="GHEA Grapalat" w:hAnsi="GHEA Grapalat"/>
          <w:lang w:val="en-US"/>
        </w:rPr>
        <w:t>թ</w:t>
      </w:r>
      <w:r w:rsidR="000F002C" w:rsidRPr="00C921DE">
        <w:rPr>
          <w:rFonts w:ascii="GHEA Grapalat" w:hAnsi="GHEA Grapalat"/>
          <w:lang w:val="en-US"/>
        </w:rPr>
        <w:t>վականի</w:t>
      </w:r>
      <w:r w:rsidRPr="00C921DE">
        <w:rPr>
          <w:rFonts w:ascii="GHEA Grapalat" w:hAnsi="GHEA Grapalat"/>
          <w:lang w:val="en-US"/>
        </w:rPr>
        <w:t xml:space="preserve"> ընթացքում կատարելագործվել և արդիականացվել են էլեկտրոնային համակարգերը, ինչպես նաև ներդրվել են նորերը։ Մշակվել և ներդրվել է «e-VAT» էլեկտրոնային համակարգը, որը հնարավորություն է տալիս ՀՀ-ում մշտական հաստատություն չունեցող, էլեկտրոնային հարթակի միջոցով ապրանքների իրացման ծառայություն մատուցող կազմակերպություններին ներկայացնել ԱԱՀ-ի հաշվետվություններ և կատարել հարկերի վճարումներ։ 2023 թվականին «e-VAT» համակարգից օգտվել է 50 խոշոր միջազգային կազմակերպություն։ Google, Facebook, TikTok, Spotify, Amazon, Netflix, Ebay և այլ խոշոր </w:t>
      </w:r>
      <w:r w:rsidRPr="00C921DE">
        <w:rPr>
          <w:rFonts w:ascii="GHEA Grapalat" w:hAnsi="GHEA Grapalat"/>
          <w:lang w:val="en-US"/>
        </w:rPr>
        <w:lastRenderedPageBreak/>
        <w:t>կազմակերպություններ արդեն հաշվառվել և կատարում են իրենց հարկային պարտավորությունները։ Արդյունքում հավաքագրվել է շուրջ 2.7 մլրդ դրամ ԱԱՀ: Բացի այդ</w:t>
      </w:r>
      <w:r w:rsidR="00B233C5" w:rsidRPr="00C921DE">
        <w:rPr>
          <w:rFonts w:ascii="GHEA Grapalat" w:hAnsi="GHEA Grapalat"/>
          <w:lang w:val="en-US"/>
        </w:rPr>
        <w:t>,</w:t>
      </w:r>
      <w:r w:rsidRPr="00C921DE">
        <w:rPr>
          <w:rFonts w:ascii="GHEA Grapalat" w:hAnsi="GHEA Grapalat"/>
          <w:lang w:val="en-US"/>
        </w:rPr>
        <w:t xml:space="preserve"> մեկնարկել են համատարած հայտարարագրման և տաքսի ծառայությունների ոլորտի կարգավորման համակարգերը, ներդրվել է e-invoicing համակարգի «վեբ» տարբերակը, մաքսային հսկողության գոտիներում ապրանքների </w:t>
      </w:r>
      <w:r w:rsidR="00B233C5" w:rsidRPr="00C921DE">
        <w:rPr>
          <w:rFonts w:ascii="GHEA Grapalat" w:hAnsi="GHEA Grapalat"/>
          <w:lang w:val="en-US"/>
        </w:rPr>
        <w:t>հաշվառման համակարգերը և այլն.</w:t>
      </w:r>
    </w:p>
    <w:p w14:paraId="084FE646" w14:textId="77777777" w:rsidR="00837F8D" w:rsidRPr="00C921DE" w:rsidRDefault="00837F8D" w:rsidP="00997BEE">
      <w:pPr>
        <w:pStyle w:val="ListParagraph"/>
        <w:numPr>
          <w:ilvl w:val="0"/>
          <w:numId w:val="18"/>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Ստուգումների և ուսումնասիրությունների փաստաթղթերի էլեկտրոնային եղանակով փոխանակման համակարգի ներդրման շրջանակներում իրականացվել է շուրջ 170,000 փաստաթղթի փոխանակում «Անձնական գրասենյակ»–ներին ուղարկելու միջոցով, ինչը հանգեցրել է փաստաթղթերի ստացման հասցեականության ապահովմանը, փոստային ծախսերի տնտեսմանն ու վա</w:t>
      </w:r>
      <w:r w:rsidR="00B233C5" w:rsidRPr="00C921DE">
        <w:rPr>
          <w:rFonts w:ascii="GHEA Grapalat" w:hAnsi="GHEA Grapalat"/>
          <w:lang w:val="en-US"/>
        </w:rPr>
        <w:t>րչարարության ժամանակի կրճատմանը.</w:t>
      </w:r>
    </w:p>
    <w:p w14:paraId="7C41CBA4" w14:textId="3B059A71" w:rsidR="00837F8D" w:rsidRPr="00C921DE" w:rsidRDefault="00837F8D" w:rsidP="00997BEE">
      <w:pPr>
        <w:pStyle w:val="ListParagraph"/>
        <w:numPr>
          <w:ilvl w:val="0"/>
          <w:numId w:val="18"/>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 xml:space="preserve">Ներդրվել է ՀՀ արդարադատության նախարարության պրոբացիայի ծառայությանը տեղեկությունների տրամադրման էլեկտրոնային կառավարման համակարգը։ Ներկայումս ընթանում են ՀՀ առողջապահության նախարարության, ՀՀ պետական եկամուտների կոմիտեի և ՀՀ </w:t>
      </w:r>
      <w:r w:rsidR="0040752A" w:rsidRPr="00C921DE">
        <w:rPr>
          <w:rFonts w:ascii="GHEA Grapalat" w:hAnsi="GHEA Grapalat"/>
          <w:lang w:val="en-US"/>
        </w:rPr>
        <w:t xml:space="preserve">միասնական </w:t>
      </w:r>
      <w:r w:rsidRPr="00C921DE">
        <w:rPr>
          <w:rFonts w:ascii="GHEA Grapalat" w:hAnsi="GHEA Grapalat"/>
          <w:lang w:val="en-US"/>
        </w:rPr>
        <w:t>սոցիալական ծառայության միջև նպաստների գծով տեղեկատվության փոխանակման էլեկտրոնայի</w:t>
      </w:r>
      <w:r w:rsidR="00B233C5" w:rsidRPr="00C921DE">
        <w:rPr>
          <w:rFonts w:ascii="GHEA Grapalat" w:hAnsi="GHEA Grapalat"/>
          <w:lang w:val="en-US"/>
        </w:rPr>
        <w:t>ն հարթակի ստեղծման աշխատանքները.</w:t>
      </w:r>
    </w:p>
    <w:p w14:paraId="032E45F9" w14:textId="77777777" w:rsidR="00837F8D" w:rsidRPr="00C921DE" w:rsidRDefault="00837F8D" w:rsidP="00997BEE">
      <w:pPr>
        <w:pStyle w:val="ListParagraph"/>
        <w:numPr>
          <w:ilvl w:val="0"/>
          <w:numId w:val="18"/>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Ընդունվել են Հայաստանի Հանրապետության հարկային օրենսգրքում փոփոխություններ և լրացումներ կատարելու մասին (01.03.2023թ. ՀՕ-101-Ն) և «Կուտակային կենսաթոշակների մասին» օրենքում փոփոխություններ կատարելու մասին» (01.03.2023թ. ՀՕ-102-Ն) օրենքները, ինչի արդյունքում մշակվել է հարկ վճարողների անձնական հաշվի քարտերում առկա պարտավորությունների և դեբետային գումարների մարման հաջորդականության նոր մեթոդաբանություն</w:t>
      </w:r>
      <w:r w:rsidR="00B233C5" w:rsidRPr="00C921DE">
        <w:rPr>
          <w:rFonts w:ascii="GHEA Grapalat" w:hAnsi="GHEA Grapalat"/>
          <w:lang w:val="en-US"/>
        </w:rPr>
        <w:t>.</w:t>
      </w:r>
    </w:p>
    <w:p w14:paraId="213F0A72" w14:textId="562579A5" w:rsidR="00837F8D" w:rsidRPr="00C921DE" w:rsidRDefault="00837F8D" w:rsidP="00997BEE">
      <w:pPr>
        <w:pStyle w:val="ListParagraph"/>
        <w:numPr>
          <w:ilvl w:val="0"/>
          <w:numId w:val="18"/>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Անշարժ գույքը վարձակալությամբ տրամ</w:t>
      </w:r>
      <w:r w:rsidR="00EE66FD" w:rsidRPr="00C921DE">
        <w:rPr>
          <w:rFonts w:ascii="GHEA Grapalat" w:hAnsi="GHEA Grapalat"/>
          <w:lang w:val="en-US"/>
        </w:rPr>
        <w:t>ա</w:t>
      </w:r>
      <w:r w:rsidRPr="00C921DE">
        <w:rPr>
          <w:rFonts w:ascii="GHEA Grapalat" w:hAnsi="GHEA Grapalat"/>
          <w:lang w:val="en-US"/>
        </w:rPr>
        <w:t>դրելու հետ կապված իրավահարաբերությունները կանոնակարգելու և հնարավոր չարաշահումները կանխելու նպատակով հարկային օրենսգրքում կատարվել են համապատասխան լրացումներ` սահմանելով անշարժ գույքի հետ կապված եկամտի ստացման իրավունքի վերաբերյալ հարկային մարմին հայտարարություն ներկայացնելու պարտադիր պահանջ, ինչպես նաև ապահովվել է նշված հայտարարությունն էլեկտրոնային եղանակով</w:t>
      </w:r>
      <w:r w:rsidR="0012206D" w:rsidRPr="00C921DE">
        <w:rPr>
          <w:rFonts w:ascii="GHEA Grapalat" w:hAnsi="GHEA Grapalat"/>
          <w:lang w:val="en-US"/>
        </w:rPr>
        <w:t xml:space="preserve"> ներկայացնելու հնարավորությունը.</w:t>
      </w:r>
    </w:p>
    <w:p w14:paraId="0A80789C" w14:textId="77777777" w:rsidR="00837F8D" w:rsidRPr="00C921DE" w:rsidRDefault="00837F8D" w:rsidP="00997BEE">
      <w:pPr>
        <w:pStyle w:val="ListParagraph"/>
        <w:numPr>
          <w:ilvl w:val="0"/>
          <w:numId w:val="18"/>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Հաշվետու տարվա ընթացքում ՊԵԿ-ը հաջողությամբ անցել է տեղեկատվական անվտանգության ISO-27001-2013 միջազգային ստանդարտի հավաստագրման աուդիտը և ս</w:t>
      </w:r>
      <w:r w:rsidR="0012206D" w:rsidRPr="00C921DE">
        <w:rPr>
          <w:rFonts w:ascii="GHEA Grapalat" w:hAnsi="GHEA Grapalat"/>
          <w:lang w:val="en-US"/>
        </w:rPr>
        <w:t>տացել համապատասխան հավաստագիրը։</w:t>
      </w:r>
    </w:p>
    <w:p w14:paraId="7D9F9DD5" w14:textId="77777777" w:rsidR="00837F8D" w:rsidRPr="00C921DE" w:rsidRDefault="00837F8D" w:rsidP="0012206D">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Հարկային և մաքսային հսկողության, վարչարարության արդյունավետության բարձրացման, հարկային վարչարարական ճեղքի կրճատման, ինչպես նաև կամավոր կարգապահության </w:t>
      </w:r>
      <w:r w:rsidRPr="00C921DE">
        <w:rPr>
          <w:rFonts w:ascii="GHEA Grapalat" w:hAnsi="GHEA Grapalat"/>
          <w:sz w:val="22"/>
          <w:szCs w:val="22"/>
          <w:lang w:val="en-US"/>
        </w:rPr>
        <w:lastRenderedPageBreak/>
        <w:t>բարձրացման նպատակով կատարված աշխատանքների շրջանակներում արձանագրվել են հետևյալ արդյունքները</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w:t>
      </w:r>
    </w:p>
    <w:p w14:paraId="6F76F82D" w14:textId="792BB654"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cs="Times New Roman"/>
          <w:lang w:val="en-US"/>
        </w:rPr>
      </w:pPr>
      <w:r w:rsidRPr="00C921DE">
        <w:rPr>
          <w:rFonts w:ascii="GHEA Grapalat" w:hAnsi="GHEA Grapalat"/>
          <w:lang w:val="en-US"/>
        </w:rPr>
        <w:t>Վերլուծական գործիքների կատարելագործման և ավտոմատացման շրջանակներում 2023</w:t>
      </w:r>
      <w:r w:rsidR="00B34CE1" w:rsidRPr="00C921DE">
        <w:rPr>
          <w:rFonts w:ascii="GHEA Grapalat" w:hAnsi="GHEA Grapalat"/>
          <w:lang w:val="en-US"/>
        </w:rPr>
        <w:t xml:space="preserve"> </w:t>
      </w:r>
      <w:r w:rsidRPr="00C921DE">
        <w:rPr>
          <w:rFonts w:ascii="GHEA Grapalat" w:hAnsi="GHEA Grapalat"/>
          <w:lang w:val="en-US"/>
        </w:rPr>
        <w:t>թ</w:t>
      </w:r>
      <w:r w:rsidR="00B34CE1" w:rsidRPr="00C921DE">
        <w:rPr>
          <w:rFonts w:ascii="GHEA Grapalat" w:hAnsi="GHEA Grapalat"/>
          <w:lang w:val="en-US"/>
        </w:rPr>
        <w:t>վականին</w:t>
      </w:r>
      <w:r w:rsidRPr="00C921DE">
        <w:rPr>
          <w:rFonts w:ascii="GHEA Grapalat" w:hAnsi="GHEA Grapalat"/>
          <w:lang w:val="en-US"/>
        </w:rPr>
        <w:t xml:space="preserve"> գործել են 49 ստանդարտ վերլուծական հաշվետվակա</w:t>
      </w:r>
      <w:r w:rsidR="009F6C9E" w:rsidRPr="00C921DE">
        <w:rPr>
          <w:rFonts w:ascii="GHEA Grapalat" w:hAnsi="GHEA Grapalat"/>
          <w:lang w:val="en-US"/>
        </w:rPr>
        <w:t>ն ձևեր և 66 ռիսկային չափանիշներ.</w:t>
      </w:r>
    </w:p>
    <w:p w14:paraId="421BC3AB"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2023</w:t>
      </w:r>
      <w:r w:rsidR="00B34CE1" w:rsidRPr="00C921DE">
        <w:rPr>
          <w:rFonts w:ascii="GHEA Grapalat" w:hAnsi="GHEA Grapalat"/>
          <w:lang w:val="en-US"/>
        </w:rPr>
        <w:t xml:space="preserve"> </w:t>
      </w:r>
      <w:r w:rsidRPr="00C921DE">
        <w:rPr>
          <w:rFonts w:ascii="GHEA Grapalat" w:hAnsi="GHEA Grapalat"/>
          <w:lang w:val="en-US"/>
        </w:rPr>
        <w:t>թ</w:t>
      </w:r>
      <w:r w:rsidR="00B34CE1" w:rsidRPr="00C921DE">
        <w:rPr>
          <w:rFonts w:ascii="GHEA Grapalat" w:hAnsi="GHEA Grapalat"/>
          <w:lang w:val="en-US"/>
        </w:rPr>
        <w:t>վականին</w:t>
      </w:r>
      <w:r w:rsidRPr="00C921DE">
        <w:rPr>
          <w:rFonts w:ascii="GHEA Grapalat" w:hAnsi="GHEA Grapalat"/>
          <w:lang w:val="en-US"/>
        </w:rPr>
        <w:t xml:space="preserve"> իրականացվել են 2022</w:t>
      </w:r>
      <w:r w:rsidR="00B34CE1" w:rsidRPr="00C921DE">
        <w:rPr>
          <w:rFonts w:ascii="GHEA Grapalat" w:hAnsi="GHEA Grapalat"/>
          <w:lang w:val="en-US"/>
        </w:rPr>
        <w:t xml:space="preserve"> </w:t>
      </w:r>
      <w:r w:rsidRPr="00C921DE">
        <w:rPr>
          <w:rFonts w:ascii="GHEA Grapalat" w:hAnsi="GHEA Grapalat"/>
          <w:lang w:val="en-US"/>
        </w:rPr>
        <w:t>թ</w:t>
      </w:r>
      <w:r w:rsidR="00B34CE1" w:rsidRPr="00C921DE">
        <w:rPr>
          <w:rFonts w:ascii="GHEA Grapalat" w:hAnsi="GHEA Grapalat"/>
          <w:lang w:val="en-US"/>
        </w:rPr>
        <w:t>վականի</w:t>
      </w:r>
      <w:r w:rsidRPr="00C921DE">
        <w:rPr>
          <w:rFonts w:ascii="GHEA Grapalat" w:hAnsi="GHEA Grapalat"/>
          <w:lang w:val="en-US"/>
        </w:rPr>
        <w:t xml:space="preserve"> ԱԱՀ-ի, շահութահարկի և եկամտային հարկի հարկային ճեղքերի գնահատման աշխատանքներ։ Գնահատման արդյունքների համաձայն` ԱԱՀ-ի, շահութահարկի և եկամտային հարկի գծով ընդհանուր հարկային ճեղքը կազմել է ՀՆԱ-ի 3.06%-ը, ինչը նախորդ տարվա նկատմամբ բ</w:t>
      </w:r>
      <w:r w:rsidR="00B34CE1" w:rsidRPr="00C921DE">
        <w:rPr>
          <w:rFonts w:ascii="GHEA Grapalat" w:hAnsi="GHEA Grapalat"/>
          <w:lang w:val="en-US"/>
        </w:rPr>
        <w:t>արելավվել է 0.5 տոկոսային կետով.</w:t>
      </w:r>
    </w:p>
    <w:p w14:paraId="3E2E518F"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 xml:space="preserve">Ներդրված Հարկային և մաքսային կարգապահության բարելավման ռազմավարության ծրագրի շրջանակներում գնահատվել են արդեն իսկ գործող ոլորտային կարգապահության բարելավման ծրագրերի իրականացման արդյունքները, ինչպես նաև հաստատվել են </w:t>
      </w:r>
      <w:r w:rsidR="007A2D8C" w:rsidRPr="00C921DE">
        <w:rPr>
          <w:rFonts w:ascii="GHEA Grapalat" w:hAnsi="GHEA Grapalat"/>
          <w:lang w:val="en-US"/>
        </w:rPr>
        <w:t xml:space="preserve">3 </w:t>
      </w:r>
      <w:r w:rsidRPr="00C921DE">
        <w:rPr>
          <w:rFonts w:ascii="GHEA Grapalat" w:hAnsi="GHEA Grapalat"/>
          <w:lang w:val="en-US"/>
        </w:rPr>
        <w:t>նոր</w:t>
      </w:r>
      <w:r w:rsidR="007A2D8C" w:rsidRPr="00C921DE">
        <w:rPr>
          <w:rFonts w:ascii="GHEA Grapalat" w:hAnsi="GHEA Grapalat"/>
          <w:lang w:val="en-US"/>
        </w:rPr>
        <w:t xml:space="preserve"> </w:t>
      </w:r>
      <w:r w:rsidRPr="00C921DE">
        <w:rPr>
          <w:rFonts w:ascii="GHEA Grapalat" w:hAnsi="GHEA Grapalat"/>
          <w:lang w:val="en-US"/>
        </w:rPr>
        <w:t>ծրագրեր: Ընդհանուր առմամբ</w:t>
      </w:r>
      <w:r w:rsidR="007A2D8C" w:rsidRPr="00C921DE">
        <w:rPr>
          <w:rFonts w:ascii="GHEA Grapalat" w:hAnsi="GHEA Grapalat"/>
          <w:lang w:val="en-US"/>
        </w:rPr>
        <w:t>,</w:t>
      </w:r>
      <w:r w:rsidRPr="00C921DE">
        <w:rPr>
          <w:rFonts w:ascii="GHEA Grapalat" w:hAnsi="GHEA Grapalat"/>
          <w:lang w:val="en-US"/>
        </w:rPr>
        <w:t xml:space="preserve"> 2023</w:t>
      </w:r>
      <w:r w:rsidR="007A2D8C" w:rsidRPr="00C921DE">
        <w:rPr>
          <w:rFonts w:ascii="GHEA Grapalat" w:hAnsi="GHEA Grapalat"/>
          <w:lang w:val="en-US"/>
        </w:rPr>
        <w:t xml:space="preserve"> </w:t>
      </w:r>
      <w:r w:rsidRPr="00C921DE">
        <w:rPr>
          <w:rFonts w:ascii="GHEA Grapalat" w:hAnsi="GHEA Grapalat"/>
          <w:lang w:val="en-US"/>
        </w:rPr>
        <w:t>թ</w:t>
      </w:r>
      <w:r w:rsidR="007A2D8C" w:rsidRPr="00C921DE">
        <w:rPr>
          <w:rFonts w:ascii="GHEA Grapalat" w:hAnsi="GHEA Grapalat"/>
          <w:lang w:val="en-US"/>
        </w:rPr>
        <w:t>վականի</w:t>
      </w:r>
      <w:r w:rsidRPr="00C921DE">
        <w:rPr>
          <w:rFonts w:ascii="GHEA Grapalat" w:hAnsi="GHEA Grapalat"/>
          <w:lang w:val="en-US"/>
        </w:rPr>
        <w:t xml:space="preserve"> ը</w:t>
      </w:r>
      <w:r w:rsidR="009F6C9E" w:rsidRPr="00C921DE">
        <w:rPr>
          <w:rFonts w:ascii="GHEA Grapalat" w:hAnsi="GHEA Grapalat"/>
          <w:lang w:val="en-US"/>
        </w:rPr>
        <w:t>նթացքում իրագործվել է 6 ծրագիր.</w:t>
      </w:r>
    </w:p>
    <w:p w14:paraId="11FBBE02" w14:textId="6F8AC97E"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Ռիսկերի վերհանման և ստվերի կրճատման նպատակով 2023</w:t>
      </w:r>
      <w:r w:rsidR="007A2D8C" w:rsidRPr="00C921DE">
        <w:rPr>
          <w:rFonts w:ascii="GHEA Grapalat" w:hAnsi="GHEA Grapalat"/>
          <w:lang w:val="en-US"/>
        </w:rPr>
        <w:t xml:space="preserve"> թվականին</w:t>
      </w:r>
      <w:r w:rsidRPr="00C921DE">
        <w:rPr>
          <w:rFonts w:ascii="GHEA Grapalat" w:hAnsi="GHEA Grapalat"/>
          <w:lang w:val="en-US"/>
        </w:rPr>
        <w:t xml:space="preserve"> հարկային մարմնի կողմից հսկողական աշխատանքների շրջանակներում ընդհանուր առմամբ իրականացվել են 31,4</w:t>
      </w:r>
      <w:r w:rsidR="0049333B" w:rsidRPr="00C921DE">
        <w:rPr>
          <w:rFonts w:ascii="GHEA Grapalat" w:hAnsi="GHEA Grapalat"/>
          <w:lang w:val="en-US"/>
        </w:rPr>
        <w:t>63</w:t>
      </w:r>
      <w:r w:rsidRPr="00C921DE">
        <w:rPr>
          <w:rFonts w:ascii="GHEA Grapalat" w:hAnsi="GHEA Grapalat"/>
          <w:lang w:val="en-US"/>
        </w:rPr>
        <w:t xml:space="preserve"> ստուգումներ (ուսումնասիրություններ), որի արդյունքում առաջադրվել է 52.2 մլրդ դրամ, որը նախորդ տարվա համեմատ աճել է 43%-ով (առանց ԶՊՄԿ ակտի): Նշված արդյունքային ցուցանիշներում ներառված </w:t>
      </w:r>
      <w:r w:rsidR="009F6C9E" w:rsidRPr="00C921DE">
        <w:rPr>
          <w:rFonts w:ascii="GHEA Grapalat" w:hAnsi="GHEA Grapalat"/>
          <w:lang w:val="en-US"/>
        </w:rPr>
        <w:t>են</w:t>
      </w:r>
      <w:r w:rsidRPr="00C921DE">
        <w:rPr>
          <w:rFonts w:ascii="GHEA Grapalat" w:hAnsi="GHEA Grapalat"/>
          <w:lang w:val="en-US"/>
        </w:rPr>
        <w:t xml:space="preserve"> նաև ՊԵԿ կողմից ներդրված նոր` համալիր ստուգման այլընտրանք հանդիսացող և կարգազանց հարկ վճարողների ավելի մեծ քանակի ծածկույթ ապահովող «թեմատիկ ուսումնասիրություն» հսկողության տեսակով գրանցված արդյունքները` 29</w:t>
      </w:r>
      <w:r w:rsidR="0049333B" w:rsidRPr="00C921DE">
        <w:rPr>
          <w:rFonts w:ascii="GHEA Grapalat" w:hAnsi="GHEA Grapalat"/>
          <w:lang w:val="en-US"/>
        </w:rPr>
        <w:t>5</w:t>
      </w:r>
      <w:r w:rsidRPr="00C921DE">
        <w:rPr>
          <w:rFonts w:ascii="GHEA Grapalat" w:hAnsi="GHEA Grapalat"/>
          <w:lang w:val="en-US"/>
        </w:rPr>
        <w:t xml:space="preserve"> ուսումնասիրություն, որոնցով առաջադրվել է 9.4 մլրդ դրամի</w:t>
      </w:r>
      <w:r w:rsidR="009F6C9E" w:rsidRPr="00C921DE">
        <w:rPr>
          <w:rFonts w:ascii="GHEA Grapalat" w:hAnsi="GHEA Grapalat"/>
          <w:lang w:val="en-US"/>
        </w:rPr>
        <w:t xml:space="preserve"> լրացուցիչ պարտավորություն.</w:t>
      </w:r>
    </w:p>
    <w:p w14:paraId="01B50B27"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Հարկ վճարողների կողմից դուրս</w:t>
      </w:r>
      <w:r w:rsidR="009F6C9E" w:rsidRPr="00C921DE">
        <w:rPr>
          <w:rFonts w:ascii="GHEA Grapalat" w:hAnsi="GHEA Grapalat"/>
          <w:lang w:val="en-US"/>
        </w:rPr>
        <w:t xml:space="preserve"> </w:t>
      </w:r>
      <w:r w:rsidRPr="00C921DE">
        <w:rPr>
          <w:rFonts w:ascii="GHEA Grapalat" w:hAnsi="GHEA Grapalat"/>
          <w:lang w:val="en-US"/>
        </w:rPr>
        <w:t>գրված հաշվարկային փաստաթղթերի քանակը (ներառյալ ՀԴՄ կտրոնները) կազմել է 648.7 մլն</w:t>
      </w:r>
      <w:r w:rsidR="009C17EE" w:rsidRPr="00C921DE">
        <w:rPr>
          <w:rFonts w:ascii="GHEA Grapalat" w:hAnsi="GHEA Grapalat"/>
          <w:lang w:val="en-US"/>
        </w:rPr>
        <w:t xml:space="preserve"> դրամ</w:t>
      </w:r>
      <w:r w:rsidRPr="00C921DE">
        <w:rPr>
          <w:rFonts w:ascii="GHEA Grapalat" w:hAnsi="GHEA Grapalat"/>
          <w:lang w:val="en-US"/>
        </w:rPr>
        <w:t>, որոնցով արտացոլվել է 12.2 տրլն դրամի իրացման շրջանառություն. վերջինիս աճը նախո</w:t>
      </w:r>
      <w:r w:rsidR="009F6C9E" w:rsidRPr="00C921DE">
        <w:rPr>
          <w:rFonts w:ascii="GHEA Grapalat" w:hAnsi="GHEA Grapalat"/>
          <w:lang w:val="en-US"/>
        </w:rPr>
        <w:t>րդ տարվա համեմատ կազմել է 20.9%.</w:t>
      </w:r>
    </w:p>
    <w:p w14:paraId="19798208"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2023</w:t>
      </w:r>
      <w:r w:rsidR="007A2D8C" w:rsidRPr="00C921DE">
        <w:rPr>
          <w:rFonts w:ascii="GHEA Grapalat" w:hAnsi="GHEA Grapalat"/>
          <w:lang w:val="en-US"/>
        </w:rPr>
        <w:t xml:space="preserve"> թվականին</w:t>
      </w:r>
      <w:r w:rsidRPr="00C921DE">
        <w:rPr>
          <w:rFonts w:ascii="GHEA Grapalat" w:hAnsi="GHEA Grapalat"/>
          <w:lang w:val="en-US"/>
        </w:rPr>
        <w:t xml:space="preserve"> տարեվերջին եկամուտ ստացող աշխատատեղերի թվաքանակը կազմել է 741,726, որը գերազանցել է նախորդ տարվա ցուցանիշը</w:t>
      </w:r>
      <w:r w:rsidR="009F6C9E" w:rsidRPr="00C921DE">
        <w:rPr>
          <w:rFonts w:ascii="GHEA Grapalat" w:hAnsi="GHEA Grapalat"/>
          <w:lang w:val="en-US"/>
        </w:rPr>
        <w:t xml:space="preserve"> 37,306-ով կամ 5.3%-ով.</w:t>
      </w:r>
    </w:p>
    <w:p w14:paraId="657E1C7C"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Ներդրվել և գործում է «ՀՀ արտաքին առևտրի ազգային մեկ պատուհան և ՍԷԿՏ համակարգերի ինտեգրումն ապահովող միջանկյալ ավտոմատացված տեղեկատվական համակարգը» («ՀՀ արտաքին առևտրի ազգային մեկ պատուհան» համակարգի «Սահմանահատման ինտեգ</w:t>
      </w:r>
      <w:r w:rsidR="00631F53" w:rsidRPr="00C921DE">
        <w:rPr>
          <w:rFonts w:ascii="GHEA Grapalat" w:hAnsi="GHEA Grapalat"/>
          <w:lang w:val="en-US"/>
        </w:rPr>
        <w:t>րված վերահսկողության համակարգ»).</w:t>
      </w:r>
    </w:p>
    <w:p w14:paraId="3217BF01"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 xml:space="preserve"> «ՀՀ արտաքին առևտրի ազգային մեկ պատուհան» հարթակի «Թույլատվական փաստաթղթեր» համակարգի բոլոր ենթահամակարգերը գործարկվել են։ Թվայնացվել են նաև </w:t>
      </w:r>
      <w:r w:rsidRPr="00C921DE">
        <w:rPr>
          <w:rFonts w:ascii="GHEA Grapalat" w:hAnsi="GHEA Grapalat"/>
          <w:lang w:val="en-US"/>
        </w:rPr>
        <w:lastRenderedPageBreak/>
        <w:t>պետական մարմինների կողմից տրամադրվող մի շարք նոր և Համակարգի ներդրման ծավալներով չնախատեսված թույլատվական փաստաթղթեր՝ այդպիսով ամբողջականացնելով ԱՏԳ ոչ սակագնային հսկողության շրջանակներում կիրառվող պարտադիր ներկայացման ենթակա թույլատվական փաստա</w:t>
      </w:r>
      <w:r w:rsidR="00631F53" w:rsidRPr="00C921DE">
        <w:rPr>
          <w:rFonts w:ascii="GHEA Grapalat" w:hAnsi="GHEA Grapalat"/>
          <w:lang w:val="en-US"/>
        </w:rPr>
        <w:t>թղթերի ցանկը.</w:t>
      </w:r>
    </w:p>
    <w:p w14:paraId="540749CD" w14:textId="77777777" w:rsidR="00837F8D" w:rsidRPr="00C921DE" w:rsidRDefault="00837F8D" w:rsidP="00997BEE">
      <w:pPr>
        <w:pStyle w:val="ListParagraph"/>
        <w:numPr>
          <w:ilvl w:val="0"/>
          <w:numId w:val="19"/>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Փոստային (սուրհանդակային) առաքանիների հետ կապված մաքսային գործառնությունների կանոնակարգման նպատակով մշակվել են ռիսկի ցուցիչներ և կիրառվել են «ՀՀ արտաքին առևտրի ազգային մեկ պատուհան» համակարգի «Սահմանահատման ինտեգրված վերահսկողության համակարգո</w:t>
      </w:r>
      <w:r w:rsidR="00631F53" w:rsidRPr="00C921DE">
        <w:rPr>
          <w:rFonts w:ascii="GHEA Grapalat" w:hAnsi="GHEA Grapalat"/>
          <w:lang w:val="en-US"/>
        </w:rPr>
        <w:t>ւմ».</w:t>
      </w:r>
    </w:p>
    <w:p w14:paraId="36A71F68" w14:textId="77777777" w:rsidR="00837F8D" w:rsidRPr="00C921DE" w:rsidRDefault="00837F8D" w:rsidP="00997BEE">
      <w:pPr>
        <w:pStyle w:val="ListParagraph"/>
        <w:numPr>
          <w:ilvl w:val="0"/>
          <w:numId w:val="19"/>
        </w:numPr>
        <w:tabs>
          <w:tab w:val="left" w:pos="851"/>
          <w:tab w:val="left" w:pos="993"/>
        </w:tabs>
        <w:spacing w:after="0" w:line="360" w:lineRule="auto"/>
        <w:ind w:left="0" w:firstLine="567"/>
        <w:jc w:val="both"/>
        <w:rPr>
          <w:rFonts w:ascii="GHEA Grapalat" w:hAnsi="GHEA Grapalat"/>
          <w:lang w:val="en-US"/>
        </w:rPr>
      </w:pPr>
      <w:r w:rsidRPr="00C921DE">
        <w:rPr>
          <w:rFonts w:ascii="GHEA Grapalat" w:hAnsi="GHEA Grapalat"/>
          <w:lang w:val="en-US"/>
        </w:rPr>
        <w:t>Միջազգային համագործակցության ամրապնդման և վարչարարության արդյունավետության բարձրացման շրջանակներում կնքվել են մի շարք երկկողմ և բազմակողմ միջազգային պայմանագրեր։ Տնտեսական համագործակցության զարգացման կազմակերպության Հարկման նպատակով թափանցիկության և տեղեկությունների փոխանակման Գլոբալ ֆորումի Ասիայի նախաձեռնության 5-րդ բարձրաստիճան հանդիպման ժամանակ ՀՀ-ն ստանձնել է 2024-2025թթ. Ասիայի նախաձեռնության համանախագահությունը։</w:t>
      </w:r>
    </w:p>
    <w:p w14:paraId="446C9BC4" w14:textId="77777777" w:rsidR="00837F8D" w:rsidRPr="00C921DE" w:rsidRDefault="00837F8D" w:rsidP="00631F5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Կարևորելով հարկային և մաքսային համակարգում բանիմաց, մասնագիտական և անձնային հատկանիշներով օժտված անձնակազմի առկայությունը՝ շարունակվել են այդ ուղղությամբ տարվող աշխատանքները՝</w:t>
      </w:r>
      <w:r w:rsidR="006B5113" w:rsidRPr="00C921DE">
        <w:rPr>
          <w:rFonts w:ascii="GHEA Grapalat" w:hAnsi="GHEA Grapalat"/>
          <w:sz w:val="22"/>
          <w:szCs w:val="22"/>
          <w:lang w:val="en-US"/>
        </w:rPr>
        <w:t xml:space="preserve"> </w:t>
      </w:r>
      <w:r w:rsidRPr="00C921DE">
        <w:rPr>
          <w:rFonts w:ascii="GHEA Grapalat" w:hAnsi="GHEA Grapalat"/>
          <w:sz w:val="22"/>
          <w:szCs w:val="22"/>
          <w:lang w:val="en-US"/>
        </w:rPr>
        <w:t>արձանագրելով հետևյալ արդյունքները</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w:t>
      </w:r>
    </w:p>
    <w:p w14:paraId="15A096E1" w14:textId="77777777" w:rsidR="00837F8D" w:rsidRPr="00C921DE" w:rsidRDefault="00837F8D" w:rsidP="00997BEE">
      <w:pPr>
        <w:pStyle w:val="ListParagraph"/>
        <w:numPr>
          <w:ilvl w:val="0"/>
          <w:numId w:val="20"/>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Շարունակվել են մաքսային ծառայությունը նոր կադրերով համալրելու աշխատանքները, որի շրջանակներում իրականացվել է մաքսային ծառայության ընդունելության նոր դիմորդների և գործող մաքսային ծառայողների բարեվարքության ստուգում։ Մասնավորապես</w:t>
      </w:r>
      <w:r w:rsidR="006019AC" w:rsidRPr="00C921DE">
        <w:rPr>
          <w:rFonts w:ascii="GHEA Grapalat" w:hAnsi="GHEA Grapalat"/>
          <w:lang w:val="en-US"/>
        </w:rPr>
        <w:t>՝</w:t>
      </w:r>
      <w:r w:rsidRPr="00C921DE">
        <w:rPr>
          <w:rFonts w:ascii="GHEA Grapalat" w:hAnsi="GHEA Grapalat"/>
          <w:lang w:val="en-US"/>
        </w:rPr>
        <w:t xml:space="preserve"> ուսումնասիրության է ենթարկվել 928 անձ, որից գործող մաքսային ծառայողներ՝ 636-ը։ 77 մաքսային ծառայող բարեվարքության ուսումնասիրության արդյունքում ստացել է բացասական եզրակացություն</w:t>
      </w:r>
      <w:r w:rsidR="006019AC" w:rsidRPr="00C921DE">
        <w:rPr>
          <w:rFonts w:ascii="GHEA Grapalat" w:hAnsi="GHEA Grapalat"/>
          <w:lang w:val="en-US"/>
        </w:rPr>
        <w:t>.</w:t>
      </w:r>
    </w:p>
    <w:p w14:paraId="4CC90610" w14:textId="77777777" w:rsidR="00837F8D" w:rsidRPr="00C921DE" w:rsidRDefault="00837F8D" w:rsidP="00997BEE">
      <w:pPr>
        <w:pStyle w:val="ListParagraph"/>
        <w:numPr>
          <w:ilvl w:val="0"/>
          <w:numId w:val="20"/>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Շարունակվել են աշխատանքները հարկային և մաքսային մարմիններում կոռուպցիոն ռիսկերի և երևույթների բացահայտման և կանխարգելման ուղղությամբ: Մասնավորապես</w:t>
      </w:r>
      <w:r w:rsidR="006019AC" w:rsidRPr="00C921DE">
        <w:rPr>
          <w:rFonts w:ascii="GHEA Grapalat" w:hAnsi="GHEA Grapalat"/>
          <w:lang w:val="en-US"/>
        </w:rPr>
        <w:t>՝</w:t>
      </w:r>
      <w:r w:rsidRPr="00C921DE">
        <w:rPr>
          <w:rFonts w:ascii="GHEA Grapalat" w:hAnsi="GHEA Grapalat"/>
          <w:lang w:val="en-US"/>
        </w:rPr>
        <w:t xml:space="preserve"> 2023</w:t>
      </w:r>
      <w:r w:rsidR="006019AC" w:rsidRPr="00C921DE">
        <w:rPr>
          <w:rFonts w:ascii="GHEA Grapalat" w:hAnsi="GHEA Grapalat"/>
          <w:lang w:val="en-US"/>
        </w:rPr>
        <w:t xml:space="preserve"> </w:t>
      </w:r>
      <w:r w:rsidRPr="00C921DE">
        <w:rPr>
          <w:rFonts w:ascii="GHEA Grapalat" w:hAnsi="GHEA Grapalat"/>
          <w:lang w:val="en-US"/>
        </w:rPr>
        <w:t>թ</w:t>
      </w:r>
      <w:r w:rsidR="006019AC" w:rsidRPr="00C921DE">
        <w:rPr>
          <w:rFonts w:ascii="GHEA Grapalat" w:hAnsi="GHEA Grapalat"/>
          <w:lang w:val="en-US"/>
        </w:rPr>
        <w:t>վականին</w:t>
      </w:r>
      <w:r w:rsidRPr="00C921DE">
        <w:rPr>
          <w:rFonts w:ascii="GHEA Grapalat" w:hAnsi="GHEA Grapalat"/>
          <w:lang w:val="en-US"/>
        </w:rPr>
        <w:t xml:space="preserve"> իրականացվել է 56 ծառայողական քննություն, որոնց արդյունքներով ՊԵԿ հարկային և մաքսային մարմինների ծառայողական քննություն անցկացնող հանձնաժողովի կողմից 55 ծառայող ենթարկվել է տարբեր կարգապահական պատասխանատվության, այդ թվում՝ 4 աշխատակից ազատվել է աշխատանքից։ </w:t>
      </w:r>
    </w:p>
    <w:p w14:paraId="56FA62DC" w14:textId="77777777" w:rsidR="00837F8D" w:rsidRPr="00C921DE" w:rsidRDefault="00837F8D" w:rsidP="00E0077D">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ՊԵԿ կողմից 2023</w:t>
      </w:r>
      <w:r w:rsidR="00E0077D" w:rsidRPr="00C921DE">
        <w:rPr>
          <w:rFonts w:ascii="GHEA Grapalat" w:hAnsi="GHEA Grapalat"/>
          <w:sz w:val="22"/>
          <w:szCs w:val="22"/>
          <w:lang w:val="en-US"/>
        </w:rPr>
        <w:t xml:space="preserve"> </w:t>
      </w:r>
      <w:r w:rsidRPr="00C921DE">
        <w:rPr>
          <w:rFonts w:ascii="GHEA Grapalat" w:hAnsi="GHEA Grapalat"/>
          <w:sz w:val="22"/>
          <w:szCs w:val="22"/>
          <w:lang w:val="en-US"/>
        </w:rPr>
        <w:t>թ</w:t>
      </w:r>
      <w:r w:rsidR="00E0077D" w:rsidRPr="00C921DE">
        <w:rPr>
          <w:rFonts w:ascii="GHEA Grapalat" w:hAnsi="GHEA Grapalat"/>
          <w:sz w:val="22"/>
          <w:szCs w:val="22"/>
          <w:lang w:val="en-US"/>
        </w:rPr>
        <w:t>վականին</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իրականացված</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հարկային</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և</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մաքսային</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արդյունավետ</w:t>
      </w:r>
      <w:r w:rsidRPr="00C921DE">
        <w:rPr>
          <w:rFonts w:ascii="GHEA Grapalat" w:hAnsi="GHEA Grapalat"/>
          <w:sz w:val="22"/>
          <w:szCs w:val="22"/>
          <w:lang w:val="en-US"/>
        </w:rPr>
        <w:t xml:space="preserve"> </w:t>
      </w:r>
      <w:r w:rsidRPr="00C921DE">
        <w:rPr>
          <w:rFonts w:ascii="GHEA Grapalat" w:hAnsi="GHEA Grapalat" w:cs="GHEA Grapalat"/>
          <w:sz w:val="22"/>
          <w:szCs w:val="22"/>
          <w:lang w:val="en-US"/>
        </w:rPr>
        <w:t>վարչարարությունն</w:t>
      </w:r>
      <w:r w:rsidRPr="00C921DE">
        <w:rPr>
          <w:rFonts w:ascii="GHEA Grapalat" w:hAnsi="GHEA Grapalat"/>
          <w:sz w:val="22"/>
          <w:szCs w:val="22"/>
          <w:lang w:val="en-US"/>
        </w:rPr>
        <w:t xml:space="preserve"> իր դրական ազդեցությունն է ունեցել տնտեսական աճից առաջանցիկ տեմպերով ՀՀ պետական բյուջեով նախատեսված հարկային եկամուտների և պետական տուրքի հավաքագրման </w:t>
      </w:r>
      <w:r w:rsidRPr="00C921DE">
        <w:rPr>
          <w:rFonts w:ascii="GHEA Grapalat" w:hAnsi="GHEA Grapalat"/>
          <w:sz w:val="22"/>
          <w:szCs w:val="22"/>
          <w:lang w:val="en-US"/>
        </w:rPr>
        <w:lastRenderedPageBreak/>
        <w:t>գործընթացում՝ հիմք հանդիսանալով հետագա բարեփոխումների և թիրախային ցուցանիշների ապահովման համար։</w:t>
      </w:r>
    </w:p>
    <w:p w14:paraId="5EAF83F6" w14:textId="77777777" w:rsidR="001C411D" w:rsidRPr="00C921DE" w:rsidRDefault="001C411D" w:rsidP="00F10703">
      <w:pPr>
        <w:spacing w:line="360" w:lineRule="auto"/>
        <w:ind w:firstLine="567"/>
        <w:jc w:val="both"/>
        <w:rPr>
          <w:rFonts w:ascii="GHEA Grapalat" w:hAnsi="GHEA Grapalat"/>
          <w:sz w:val="22"/>
          <w:szCs w:val="22"/>
          <w:u w:val="single"/>
          <w:lang w:val="en-US"/>
        </w:rPr>
      </w:pPr>
    </w:p>
    <w:p w14:paraId="0E665FBE" w14:textId="77777777" w:rsidR="000B3623" w:rsidRPr="00C921DE" w:rsidRDefault="000B3623" w:rsidP="000B3623">
      <w:pPr>
        <w:pStyle w:val="Heading2"/>
        <w:spacing w:before="0"/>
      </w:pPr>
      <w:bookmarkStart w:id="58" w:name="_Toc163745444"/>
      <w:r w:rsidRPr="00C921DE">
        <w:t>Անշարժ գույքի կադաստր</w:t>
      </w:r>
      <w:bookmarkEnd w:id="58"/>
    </w:p>
    <w:p w14:paraId="0873BAAB" w14:textId="77777777" w:rsidR="000B3623" w:rsidRPr="00C921DE" w:rsidRDefault="000B3623" w:rsidP="000B3623">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թվականին </w:t>
      </w:r>
      <w:r w:rsidR="008D75F7" w:rsidRPr="00C921DE">
        <w:rPr>
          <w:rFonts w:ascii="GHEA Grapalat" w:hAnsi="GHEA Grapalat"/>
          <w:sz w:val="22"/>
          <w:szCs w:val="22"/>
          <w:lang w:val="en-US"/>
        </w:rPr>
        <w:t>ՀՀ</w:t>
      </w:r>
      <w:r w:rsidRPr="00C921DE">
        <w:rPr>
          <w:rFonts w:ascii="GHEA Grapalat" w:hAnsi="GHEA Grapalat"/>
          <w:sz w:val="22"/>
          <w:szCs w:val="22"/>
          <w:lang w:val="en-US"/>
        </w:rPr>
        <w:t xml:space="preserve"> կադաստրի կոմիտեի կողմից իրականացվել են հետևյալ աշխատանքները:</w:t>
      </w:r>
    </w:p>
    <w:p w14:paraId="5ACCDFE7" w14:textId="77777777" w:rsidR="000B3623" w:rsidRPr="00C921DE" w:rsidRDefault="008D75F7" w:rsidP="000B3623">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ՀՀ-</w:t>
      </w:r>
      <w:r w:rsidR="000B3623" w:rsidRPr="00C921DE">
        <w:rPr>
          <w:rFonts w:ascii="GHEA Grapalat" w:hAnsi="GHEA Grapalat"/>
          <w:sz w:val="22"/>
          <w:szCs w:val="22"/>
          <w:lang w:val="en-US"/>
        </w:rPr>
        <w:t>ում անշարժ գույքի պետական միասնական կադաստրի վարման համակարգի արդիականացման և զարգացման, հասարակության պահանջները բավարարելու նպատակով կոմիտեն 2023 թվականին թվայնացրել է մատուցվող ծառայությունների որոշակի մասը: «Գույքի</w:t>
      </w:r>
      <w:r w:rsidR="000B3623" w:rsidRPr="00C921DE">
        <w:rPr>
          <w:rFonts w:ascii="Calibri" w:hAnsi="Calibri" w:cs="Calibri"/>
          <w:sz w:val="22"/>
          <w:szCs w:val="22"/>
          <w:lang w:val="en-US"/>
        </w:rPr>
        <w:t xml:space="preserve"> </w:t>
      </w:r>
      <w:r w:rsidR="000B3623" w:rsidRPr="00C921DE">
        <w:rPr>
          <w:rFonts w:ascii="GHEA Grapalat" w:hAnsi="GHEA Grapalat"/>
          <w:sz w:val="22"/>
          <w:szCs w:val="22"/>
          <w:lang w:val="en-US"/>
        </w:rPr>
        <w:t>նկատմամբ իրավունքների պետական</w:t>
      </w:r>
      <w:r w:rsidR="000B3623" w:rsidRPr="00C921DE">
        <w:rPr>
          <w:rFonts w:ascii="Calibri" w:hAnsi="Calibri" w:cs="Calibri"/>
          <w:sz w:val="22"/>
          <w:szCs w:val="22"/>
          <w:lang w:val="en-US"/>
        </w:rPr>
        <w:t xml:space="preserve"> </w:t>
      </w:r>
      <w:r w:rsidR="000B3623" w:rsidRPr="00C921DE">
        <w:rPr>
          <w:rFonts w:ascii="GHEA Grapalat" w:hAnsi="GHEA Grapalat"/>
          <w:sz w:val="22"/>
          <w:szCs w:val="22"/>
          <w:lang w:val="en-US"/>
        </w:rPr>
        <w:t>գրանցման մասին»</w:t>
      </w:r>
      <w:r w:rsidR="000B3623" w:rsidRPr="00C921DE">
        <w:rPr>
          <w:rFonts w:ascii="Calibri" w:hAnsi="Calibri" w:cs="Calibri"/>
          <w:sz w:val="22"/>
          <w:szCs w:val="22"/>
          <w:lang w:val="en-US"/>
        </w:rPr>
        <w:t xml:space="preserve"> </w:t>
      </w:r>
      <w:r w:rsidR="000B3623" w:rsidRPr="00C921DE">
        <w:rPr>
          <w:rFonts w:ascii="GHEA Grapalat" w:hAnsi="GHEA Grapalat"/>
          <w:sz w:val="22"/>
          <w:szCs w:val="22"/>
          <w:lang w:val="en-US"/>
        </w:rPr>
        <w:t>օրենքում կատարվել են լրացումներ և փոփոխություններ, ինչն էականորեն ավելացրել է էլեկտրոնային եղանակով ներկայացվող դիմումների քանակը: Օրենքի համաձայն գույքի նկատմամբ իրավունքների պետական գրանցման դիմումը և դիմումին կից ներկայացման ենթակա փաստաթղթերը պետական կամ տեղական ինքնակառավարման մարմինների և իրավաբանական անձանց կողմից պետք է ներկայացվեն էլեկտրոնային եղանակով։ Նույն օրենքի համաձայն անշարժ գույքի պետական միասնական կադաստրի տվյալների վերաբերյալ տեղեկություններ ստանալու նպատակով տեղական ինքնակառավարման մարմինները և իրավաբանական անձինք, ինչպես նաև ֆիզիկական անձինք սահմանափակված մատչելիությամբ տեղեկություն չպարունակող և վճարովի հիմունքներով տրամադրվող տեղեկությունների վերաբերյալ դիմումները ներկայացնում են բացառապես էլեկտրոնային եղանակով՝ անշարժ գույքի պետական ռեգիստրի պաշտոնական կայք-էջի էլեկտրոնային համակարգի միջոցով։</w:t>
      </w:r>
    </w:p>
    <w:p w14:paraId="00B67A16" w14:textId="77777777" w:rsidR="000B3623" w:rsidRPr="00C921DE" w:rsidRDefault="000B3623" w:rsidP="000B3623">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թվականի ապրիլի 21-ին ընդունված ՀՀ վարչապետի ««Գեոդեզիական և քարտեզագրական գործունեության մասին», «Տարածական տվյալների մասին» օրենքների կիրառումն ապահովող միջոցառումները հաստատելու մասին» N 440-Ա որոշման պահանջներն ապահովելու նպատակով ընդունվել են ՀՀ կառավարության 2023 թվականի նոյեմբերի 2-ի «Հայաստանի Հանրապետության կառավարության 2009 թվականի հուլիսի 16-ի N 791-ն որոշման մեջ փոփոխություն կատարելու մասին» N 1891-Ն, 2023 դեկտեմբերի 7-ի «Հայաստանի Հանրապետության կառավարության 2011 թվականի ապրիլի 7-ի N 434-ն որոշման մեջ փոփոխություն կատարելու մասին» N 2119-Ն և «Հայաստանի Հանրապետության կառավարության 2001 թվականի նոյեմբերի 20-ի N 1134 որոշման մեջ փոփոխություններ կատարելու մասին» N 2113-Ն որոշումները։ 2023 թվականի սեպտեմբերի 18-ին ընդունվել է Կադաստրի կոմիտեի ղեկավարի «Գեոդեզիական և </w:t>
      </w:r>
      <w:r w:rsidRPr="00C921DE">
        <w:rPr>
          <w:rFonts w:ascii="GHEA Grapalat" w:hAnsi="GHEA Grapalat"/>
          <w:sz w:val="22"/>
          <w:szCs w:val="22"/>
          <w:lang w:val="en-US"/>
        </w:rPr>
        <w:lastRenderedPageBreak/>
        <w:t>քարտեզագրական գործիքների և սարքավորումների հաշվառման կարգը սահմանելու մասին» N</w:t>
      </w:r>
      <w:r w:rsidRPr="00C921DE">
        <w:rPr>
          <w:rFonts w:ascii="Calibri" w:hAnsi="Calibri" w:cs="Calibri"/>
          <w:sz w:val="22"/>
          <w:szCs w:val="22"/>
          <w:lang w:val="en-US"/>
        </w:rPr>
        <w:t> </w:t>
      </w:r>
      <w:r w:rsidRPr="00C921DE">
        <w:rPr>
          <w:rFonts w:ascii="GHEA Grapalat" w:hAnsi="GHEA Grapalat"/>
          <w:sz w:val="22"/>
          <w:szCs w:val="22"/>
          <w:lang w:val="en-US"/>
        </w:rPr>
        <w:t>416</w:t>
      </w:r>
      <w:r w:rsidRPr="00C921DE">
        <w:rPr>
          <w:rFonts w:ascii="GHEA Grapalat" w:hAnsi="GHEA Grapalat"/>
          <w:sz w:val="22"/>
          <w:szCs w:val="22"/>
          <w:lang w:val="en-US"/>
        </w:rPr>
        <w:noBreakHyphen/>
        <w:t>Ն հրամանը։</w:t>
      </w:r>
    </w:p>
    <w:p w14:paraId="7376574F" w14:textId="77777777" w:rsidR="000B3623" w:rsidRPr="00C921DE" w:rsidRDefault="000B3623" w:rsidP="000B3623">
      <w:pPr>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Ասիական զարգացման բանկի աջակցությամբ իրականացվող «Հայաստան. աջակցություն ազգային ստանդարտացված տարածական տվյալների ենթակառուցվածքի ստեղծմանը» ծրագրի շրջանակներում “LX Korea” ընկերության կողմից մշակված տարածական 12 ազգային ստանդարտները ներկայացվել են համապատասխան գերատեսչությանը՝ խմբագրման, մշակման և հաստատման նպատակով։</w:t>
      </w:r>
    </w:p>
    <w:p w14:paraId="1E00702F"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Ազգային գեոպորտալ մուտքագրելու նպատակով գրասենյակային պայմաններում իրականացվել են ՀՀ Արարատի (1,075 քառ</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կմ) և Շիրակի (2,015 քառ</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կմ) մարզերի բազային քարտեզագրական շերտերի (շենք-շինություններ, ջրագրություն, ճանապարհային ցանց) թվայնացման աշխատանքներ՝ հիմք ընդունելով 2014 և 2021 թվականների օրթոֆոտոհատակագծերը։ Իրականացվել են նաև ՀՀ Արմավիրի մարզի արդեն իսկ թվայնացված շերտերը ՀՀ կառավարության 2022 թվականի հոկտեմբերի 6-ի «Հայաստանի Հանրապետությունում ազգային տարածական տվյալների ենթակառուցվածքում բազային և թեմատիկ տարածական տվյալների ցանկը և դրանց ստանդարտացման ուղեցույցները հաստատելու մասին» N 1569-Ն որոշման պահանջներին համապատասխանեցնելու աշխատանքները։</w:t>
      </w:r>
    </w:p>
    <w:p w14:paraId="11DC6B1B"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ՀՀ օրթոֆոտոհատակագծերով ծածկված համայնքների կադաստրային քարտեզների ճշգրտման աշխատանքների իրականացման շրջանակներում կատարվում են բնակավայրերի կադաստրային քարտեզների թաղամասերի սահմանների և համայնքների վարչական շրջանների սահմանների ուղղման աշխատանքներ։ Այս պահի դրությամբ արդեն իսկ առցանց միջավայր մուտք են եղել 344 բնակավայրերի ուղղված կադաստրային քարտեզներ։ Ընթացքի մեջ են 18 բնակավայրերի կադաստրային քարտեզների թաղամասերի սահմանների ուղղման և հաստատման աշխատանքները։ Կադաստրային քարտեզում չտեղադրված գույքերի նույնականացման աշխատանքների շրջանակներում Կադաստրի կոմիտեի մասնագետների կողմից 2023 թվականի ընթացքում ուսումնասիրվել է շուրջ 19,000 անշարժ գույքի կադաստրային գործ, որի արդյունքում նույնականացվել են շուրջ 9,500-ը և ըստ անհրաժեշտության արտացոլվել են կադաստրային քարտեզում։ </w:t>
      </w:r>
    </w:p>
    <w:p w14:paraId="5005AED8" w14:textId="7A008614"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Կադա</w:t>
      </w:r>
      <w:r w:rsidR="00EE66FD" w:rsidRPr="00C921DE">
        <w:rPr>
          <w:rFonts w:ascii="GHEA Grapalat" w:hAnsi="GHEA Grapalat"/>
          <w:sz w:val="22"/>
          <w:szCs w:val="22"/>
          <w:lang w:val="en-US"/>
        </w:rPr>
        <w:t>ս</w:t>
      </w:r>
      <w:r w:rsidRPr="00C921DE">
        <w:rPr>
          <w:rFonts w:ascii="GHEA Grapalat" w:hAnsi="GHEA Grapalat"/>
          <w:sz w:val="22"/>
          <w:szCs w:val="22"/>
          <w:lang w:val="en-US"/>
        </w:rPr>
        <w:t>տրի կոմիտեն վարում է միջազգային ստանդարտներին համապատասխան մշտական գործող 12 ռեֆերենց կայաններից բաղկացած ցանց, որը հնարավորություն է տալիս իրական ժամանակում օգտատերերին ապահովել ճշգրիտ տվյալներով։ Ներկա պահին բաժանորդագրված են 355 օգտատեր, որից 73-ը՝ 2023 թվականին։</w:t>
      </w:r>
    </w:p>
    <w:p w14:paraId="05116B9D"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Կատարվել են ՀՀ աշխարհագրական օբյեկտների անվանումների աշխարհատեղեկատվական համակարգի (ԱՏՀ) ստեղծման աշխատանքներ: Գրասենյակային պայմաններում իրականացվել են շուրջ 35650 ՀՀ աշխարհագրական օբյեկտների ուսումնասիրություն, տեղադիրքի ճշգրտում, տվյալների բազայի ստեղծում և ստանդարտացում` համաձայն ՀՀ կառավարության 2022 թվականի հոկտեմբերի 6-ի «Հայաստանի Հանրապետությունում ազգային տարածական տվյալների ենթակառուցվածքում բազային և թեմատիկ տարածական տվյալների ցանկը և դրանց ստանդարտացման ուղեցույցները հաստատելու մասին» N 1569-Ն որոշման: Նշված բազաները մուտքագրվել են ազգային գեոպորտալ</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114 աշխարհագրական օբյեկտների տեսակների համար մշակվել են պայմանական նշաններ։ ՀՀ աշխարհագրական անվանումների քարտադարանի վարման աշխատանքների շրջանակում իրականացվել են նաև ընթացիկ թարմացման աշխատանքներ։</w:t>
      </w:r>
    </w:p>
    <w:p w14:paraId="085A2308"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ՀՀ և աշխարհի աշխարհագրական անվանումների փոփոխված և վերականգնված հայերեն տպագիր բառարանների և տեղեկատուների ստեղծման աշխատանքների իրականացման շրջանակներում հրատարակվել են «Ասիայի խոշոր ֆիզաշխարհագրական օբյեկտների տեղեկատու-բառարանը», «Աֆրիկայի խոշոր ֆիզաշխարհագրական օբյեկտների տեղեկատու-բառարանը», «Հյուսիսային Ամերիկայի խոշոր ֆիզաշխարհագրական օբյեկտների տեղեկատու-բառարանը», «Հարավային Ամերիկայի խոշոր ֆիզաշխարհագրական օբյեկտների տեղեկատու-բառարանը», «Աշխարհի ստորջրյա ֆիզաշխարհագրական օբյեկտների տեղեկատու-բառարանը»։ Ավարտվել են «Ավստրալիայի և Օվկիանիայի խոշոր ֆիզաշխարհագրական օբյեկտների տեղեկատու-բառարանի», «Անտարկտիկայի խոշոր ֆիզաշխարհագրական օբյեկտների տեղեկատու-բառարանի», «Կապան քաղաքի հասցեավորման օբյեկտների տեղեկատու-բառարանի» էլեկտրոնային տարբերակների ստեղծման, ինչպես նաև «Աշխարհի աշխարհագրական անվանումների շտեմարանի» թարմացման և աշխարհագրական կապակցման (87249 անուն) աշխատանքները։ Ընթացքի մեջ են «ՀՀ վարչատարածքային բաժանման տեղեկատուի (10 մարզ և Երևան քաղաք)» նախապատրաստման աշխատանքները, ինչպես նաև Հայկական լեռնաշխարհի և Հարավային Կովկասի աշխարհագրական օբյեկտների աշխարհագրական անվանումների հավաքագրման աշխատանքները:</w:t>
      </w:r>
    </w:p>
    <w:p w14:paraId="04FE97D7"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Կադաստրի կոմիտեն ՀՀ էկոնոմիկայի նախարարության զբոսաշրջության կոմիտեի հետ համատեղ իրականացնում է ՀՀ մարզերի զբոսաշրջային քարտեզ-բուկլետների և թեմատիկ քարտեզների ստեղծման աշխատանքներ՝ հայերեն, ռուսերեն, անգլերեն տարբերակներով։ Ներկա պահին ՀՀ Տավուշի մարզի տուրիստական բուկլետի ստեղծման աշխատանքներն ավարտված են։ Ընթացքի մեջ են ՀՀ Լոռու, Արագածոտնի և Շիրակի մարզերի տուրիստական բուկլետների ստեղծման աշխատանքները։</w:t>
      </w:r>
    </w:p>
    <w:p w14:paraId="3613D3D8"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Կադաստրի կոմիտեի հատուկ էլեկտրոնային հարթակի (e-cadastre.am) միջոցով ՀՀ բոլոր համայնքներ է ուղարկվել այդ համայնքների բնակավայրերի հասցեավորված գույքերի՝ կոմիտեում առկա հասցեների ցանկը՝ դրանցում առկա տվյալները համայնքների տվյալների հետ համեմատելու համար։ Արդյունքում՝ շուրջ 1,073,000 միավոր ստանդարտացված հասցեներ մուտքագրվել են հասցեների ռեեստրի տեղեկատվական բազա։ Կադաստրի կոմիտեի աշխատակիցները համայնքապետարանների ներկայացուցիչներին հեռավար եղանակով պարբերաբար ներկայացնում են հասցեների ռեեստրի համակարգից օգտվելու կարգը։</w:t>
      </w:r>
    </w:p>
    <w:p w14:paraId="31B2DCE9"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Իրականացվել է Երևան քաղաքում հաշվառված ինքնակամ շինությունների տեղափոխում ԱՏՀ միջավայր</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12</w:t>
      </w:r>
      <w:r w:rsidRPr="00C921DE">
        <w:rPr>
          <w:rFonts w:ascii="Cambria Math" w:hAnsi="Cambria Math" w:cs="Cambria Math"/>
          <w:sz w:val="22"/>
          <w:szCs w:val="22"/>
          <w:lang w:val="en-US"/>
        </w:rPr>
        <w:t>․</w:t>
      </w:r>
      <w:r w:rsidRPr="00C921DE">
        <w:rPr>
          <w:rFonts w:ascii="GHEA Grapalat" w:hAnsi="GHEA Grapalat"/>
          <w:sz w:val="22"/>
          <w:szCs w:val="22"/>
          <w:lang w:val="en-US"/>
        </w:rPr>
        <w:t>500 միավորի համար ստեղծվել է տեղեկատվական բազա։</w:t>
      </w:r>
    </w:p>
    <w:p w14:paraId="35D1AF83"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Ապահովվել է մասնակցություն միջազգային մի շարք կոնֆերանսներին, մասնավորապես՝ Եվրոգեոգրաֆիքսի կողմից կազմակերպված վեբինարներին։</w:t>
      </w:r>
    </w:p>
    <w:p w14:paraId="4846F866"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Ի կատարումն ՀՀ վարչապետի 2023 թվականի հունվարի 9-ի N 02/08.1/431-2023 հանձնարարականի և ՀՀ կառավարության 2000 թվականի հոկտեմբերի 23-ի N 656 որոշմամբ հաստատված կարգի 11-րդ և ՀՀ կառավարության 2021 թվականի նոյեմբերի 18-ի «Հայաստանի Հանրապետության կառավարության 2021-2026 թվականների գործունեության միջոցառումների ծրագիրը հաստատելու մասին» N 1902-Լ որոշմամբ հաստատված N 1 հավելվածի «Կադաստրի կոմիտե» բաժնի 16-րդ կետի պահանջների՝ մշակվել է «Հայաստանի Հանրապետության հողային ֆոնդի առկայության և բաշխման վերաբերյալ 2023 թվականի հաշվետվությունը (հողային հաշվեկշիռը) հաստատելու մասին» ՀՀ կառավարության որոշման նախագիծը:</w:t>
      </w:r>
    </w:p>
    <w:p w14:paraId="65B449A7"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ՀՀ Ազգային ժողովի կողմից 2023 թվականի հունվարի 17-ին երկրորդ ընթերցմամբ և ամբողջությամբ ընդունվել է «Գեոդեզիական և քարտեզագրական գործունեության մասին», «Տարածական տվյալների մասին» օրենքում փոփոխություններ կատարելու մասին» ՀՀ օրենքների փաթեթը:</w:t>
      </w:r>
    </w:p>
    <w:p w14:paraId="507A7B63"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Կադաստրի կոմիտեի կողմից 2023 թվականի հուլիսի 1-ի դրությամբ հաշվառված տվյալներով իրականացվել է անշարժ գույքի հարկով հարկման օբյեկտ համարվող անշարժ գույքի գնահատումներ (վերագնահատումներ) և ձևավորել </w:t>
      </w:r>
      <w:r w:rsidR="00C423D7" w:rsidRPr="00C921DE">
        <w:rPr>
          <w:rFonts w:ascii="GHEA Grapalat" w:hAnsi="GHEA Grapalat"/>
          <w:sz w:val="22"/>
          <w:szCs w:val="22"/>
          <w:lang w:val="en-US"/>
        </w:rPr>
        <w:t>ՀՀ-</w:t>
      </w:r>
      <w:r w:rsidRPr="00C921DE">
        <w:rPr>
          <w:rFonts w:ascii="GHEA Grapalat" w:hAnsi="GHEA Grapalat"/>
          <w:sz w:val="22"/>
          <w:szCs w:val="22"/>
          <w:lang w:val="en-US"/>
        </w:rPr>
        <w:t>ում անշարժ գույքի 2024-2026 թվականների հարկման բազաները, որոնց վերաբերյալ տեղեկությունները տվյալների փոխանակման փոխգործելիության հարթակի միջոցով ինքնաշխատ եղանակով տրամադրվել են ՀՀ տեղական ինքնակառավարման մարմիններին՝ անշարժ գույքի հարկի վճարումների ընդունում իրականացնելու համար։</w:t>
      </w:r>
    </w:p>
    <w:p w14:paraId="05DC5824"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Կադաստրի կոմիտեի կողմից մատուցվող ծառայությունները հանրության լայն շրջանակին հասանելի դարձնելու համար գործարկվել է բջջային հավելված։ Այն հնարավոր է անվճար ներբեռնել App Store և Google Store առցանց խանութներից։</w:t>
      </w:r>
    </w:p>
    <w:p w14:paraId="712E0204"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Իրականացվել է ՀՀ բոլոր համայնքների կադաստրային քարտեզների տեղափոխում կենտրոնացված քարտեզագրական համակարգ։ Դա հնարավորություն է ընձեռել հանրության համար հասանելի դարձնել ինքնաշխատ թարմացվող քարտեզագրական տվյալներ, ինչպես նաև Հայաստանի անշարժ գույքի տեղեկատվական համակարգ (ARPIS) մուտքագրված տեքստային տվյալները կապակցել քարտեզագրական տվյալների հետ և կատարել տարատեսակ վերլուծություններ։ ARPIS-ում կատարվող բիզնես պրոցեսներում ավելացել է նաև գործառույթ քարտեզում։</w:t>
      </w:r>
    </w:p>
    <w:p w14:paraId="0D10425A"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Շարունակվել են աշխատանքները ՊԵԿ-ին տրամադրված WEB սերվիսների արդիականացման ուղղությամբ։</w:t>
      </w:r>
    </w:p>
    <w:p w14:paraId="43CE2394" w14:textId="3A60CF39"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Ստեղծվել է հասցեների միասնական ռեգիստրի տվյալների շտեմարանը, և ստանդարտացված հասցեները մուտքագրվել են այդ համակարգ։</w:t>
      </w:r>
    </w:p>
    <w:p w14:paraId="5637B709" w14:textId="77777777" w:rsidR="000B3623" w:rsidRPr="00C921DE" w:rsidRDefault="000B3623" w:rsidP="000B362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2023 թվականի ընթացքում իրականացվել է էլեկտրոնային համակարգի տեքստային տվյալների բազայում (ARPIS) գործող և դադարած իրավունքների սուբյեկտների ճշգրտում, որի շրջանակներում 2023 թվականի ընթացքում ամբողջությամբ նույնականացվել է շուրջ 428000 սուբյեկտ:</w:t>
      </w:r>
    </w:p>
    <w:p w14:paraId="3275BF0B" w14:textId="77777777" w:rsidR="000B3623" w:rsidRPr="00C921DE" w:rsidRDefault="000B3623" w:rsidP="000B3623">
      <w:pPr>
        <w:spacing w:line="360" w:lineRule="auto"/>
        <w:ind w:firstLine="567"/>
        <w:jc w:val="both"/>
        <w:rPr>
          <w:rFonts w:ascii="GHEA Grapalat" w:hAnsi="GHEA Grapalat"/>
          <w:sz w:val="22"/>
          <w:szCs w:val="22"/>
          <w:lang w:val="en-US"/>
        </w:rPr>
      </w:pPr>
    </w:p>
    <w:p w14:paraId="6A2EDC9D" w14:textId="77777777" w:rsidR="000B3623" w:rsidRPr="00C921DE" w:rsidRDefault="000B3623" w:rsidP="000B3623">
      <w:pPr>
        <w:pStyle w:val="Heading2"/>
        <w:spacing w:before="0"/>
      </w:pPr>
      <w:bookmarkStart w:id="59" w:name="_Toc163745445"/>
      <w:r w:rsidRPr="00C921DE">
        <w:t>Հասարակական կարգի պահպանություն</w:t>
      </w:r>
      <w:bookmarkEnd w:id="59"/>
    </w:p>
    <w:p w14:paraId="22D26826" w14:textId="2EFA9FA4" w:rsidR="00E82215" w:rsidRPr="00C921DE" w:rsidRDefault="00CC4F98" w:rsidP="00E82215">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Կ</w:t>
      </w:r>
      <w:r w:rsidR="00E82215" w:rsidRPr="00C921DE">
        <w:rPr>
          <w:rFonts w:ascii="GHEA Grapalat" w:hAnsi="GHEA Grapalat"/>
          <w:sz w:val="22"/>
          <w:szCs w:val="22"/>
          <w:lang w:val="en-US"/>
        </w:rPr>
        <w:t>առավարության գործունեության հիմնարար ուղենիշ</w:t>
      </w:r>
      <w:r w:rsidR="009720BA" w:rsidRPr="00C921DE">
        <w:rPr>
          <w:rFonts w:ascii="GHEA Grapalat" w:hAnsi="GHEA Grapalat"/>
          <w:sz w:val="22"/>
          <w:szCs w:val="22"/>
          <w:lang w:val="en-US"/>
        </w:rPr>
        <w:t>ն</w:t>
      </w:r>
      <w:r w:rsidR="00E82215" w:rsidRPr="00C921DE">
        <w:rPr>
          <w:rFonts w:ascii="GHEA Grapalat" w:hAnsi="GHEA Grapalat"/>
          <w:sz w:val="22"/>
          <w:szCs w:val="22"/>
          <w:lang w:val="en-US"/>
        </w:rPr>
        <w:t>երին համահունչ Ներքին գործերի նախարարության ոստիկանության կարևորագույն հայեցակարգային խնդիրը, ոստիկանությունում մեկնարկած բարեփոխումների նպատակը ժամանակակից մարտահրավերներին դիմակայող, մասնագիտացված ու տեխնիկապես հագեցած, բարեվարք և հարգանքի արժանի ոստիկանության վերափոխումն ու ժողովրդավարական իրավակարգին բնորոշ նոր ոստիկանի կերպարի ստեղծումն է։</w:t>
      </w:r>
      <w:r w:rsidR="00E82215" w:rsidRPr="00C921DE">
        <w:rPr>
          <w:rFonts w:ascii="Calibri" w:hAnsi="Calibri" w:cs="Calibri"/>
          <w:sz w:val="22"/>
          <w:szCs w:val="22"/>
          <w:lang w:val="en-US"/>
        </w:rPr>
        <w:t> </w:t>
      </w:r>
    </w:p>
    <w:p w14:paraId="7CF24FF8" w14:textId="77777777" w:rsidR="00E82215" w:rsidRPr="00C921DE" w:rsidRDefault="00E82215" w:rsidP="00E82215">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Նշված նպատակադրումների իրականացմանն ուղղված միջոցառումները, որոնք ներառվել են ՀՀ կառավարության 23</w:t>
      </w:r>
      <w:r w:rsidRPr="00C921DE">
        <w:rPr>
          <w:rFonts w:ascii="Cambria Math" w:hAnsi="Cambria Math" w:cs="Cambria Math"/>
          <w:sz w:val="22"/>
          <w:szCs w:val="22"/>
          <w:lang w:val="en-US"/>
        </w:rPr>
        <w:t>․</w:t>
      </w:r>
      <w:r w:rsidRPr="00C921DE">
        <w:rPr>
          <w:rFonts w:ascii="GHEA Grapalat" w:hAnsi="GHEA Grapalat"/>
          <w:sz w:val="22"/>
          <w:szCs w:val="22"/>
          <w:lang w:val="en-US"/>
        </w:rPr>
        <w:t>04</w:t>
      </w:r>
      <w:r w:rsidRPr="00C921DE">
        <w:rPr>
          <w:rFonts w:ascii="Cambria Math" w:hAnsi="Cambria Math" w:cs="Cambria Math"/>
          <w:sz w:val="22"/>
          <w:szCs w:val="22"/>
          <w:lang w:val="en-US"/>
        </w:rPr>
        <w:t>․</w:t>
      </w:r>
      <w:r w:rsidRPr="00C921DE">
        <w:rPr>
          <w:rFonts w:ascii="GHEA Grapalat" w:hAnsi="GHEA Grapalat"/>
          <w:sz w:val="22"/>
          <w:szCs w:val="22"/>
          <w:lang w:val="en-US"/>
        </w:rPr>
        <w:t>2020թ</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«Ոստիկանության բարեփոխումների ռազմավարությունը և դրանից բխող գործողությունների ծրագիրը հաստատելու մասին» թիվ 638-Լ և 18</w:t>
      </w:r>
      <w:r w:rsidRPr="00C921DE">
        <w:rPr>
          <w:rFonts w:ascii="Cambria Math" w:hAnsi="Cambria Math" w:cs="Cambria Math"/>
          <w:sz w:val="22"/>
          <w:szCs w:val="22"/>
          <w:lang w:val="en-US"/>
        </w:rPr>
        <w:t>․</w:t>
      </w:r>
      <w:r w:rsidRPr="00C921DE">
        <w:rPr>
          <w:rFonts w:ascii="GHEA Grapalat" w:hAnsi="GHEA Grapalat"/>
          <w:sz w:val="22"/>
          <w:szCs w:val="22"/>
          <w:lang w:val="en-US"/>
        </w:rPr>
        <w:t>11</w:t>
      </w:r>
      <w:r w:rsidRPr="00C921DE">
        <w:rPr>
          <w:rFonts w:ascii="Cambria Math" w:hAnsi="Cambria Math" w:cs="Cambria Math"/>
          <w:sz w:val="22"/>
          <w:szCs w:val="22"/>
          <w:lang w:val="en-US"/>
        </w:rPr>
        <w:t>․</w:t>
      </w:r>
      <w:r w:rsidRPr="00C921DE">
        <w:rPr>
          <w:rFonts w:ascii="GHEA Grapalat" w:hAnsi="GHEA Grapalat"/>
          <w:sz w:val="22"/>
          <w:szCs w:val="22"/>
          <w:lang w:val="en-US"/>
        </w:rPr>
        <w:t>2021թ</w:t>
      </w:r>
      <w:r w:rsidRPr="00C921DE">
        <w:rPr>
          <w:rFonts w:ascii="Cambria Math" w:hAnsi="Cambria Math" w:cs="Cambria Math"/>
          <w:sz w:val="22"/>
          <w:szCs w:val="22"/>
          <w:lang w:val="en-US"/>
        </w:rPr>
        <w:t>․</w:t>
      </w:r>
      <w:r w:rsidRPr="00C921DE">
        <w:rPr>
          <w:rFonts w:ascii="GHEA Grapalat" w:hAnsi="GHEA Grapalat"/>
          <w:sz w:val="22"/>
          <w:szCs w:val="22"/>
          <w:lang w:val="en-US"/>
        </w:rPr>
        <w:t xml:space="preserve"> «Հայաստանի Հանրապետության կառավարության 2021-2026 թվականների գործունեության միջոցառումների ծրագիրը հաստատելու մասին» թիվ 1902-Լ որոշումների մեջ, հանդիսանում են ոստիկանության գործունեության ոլորտում առաջիկա տարիներին նախատեսվող</w:t>
      </w:r>
      <w:r w:rsidR="00843C3C" w:rsidRPr="00C921DE">
        <w:rPr>
          <w:rFonts w:ascii="GHEA Grapalat" w:hAnsi="GHEA Grapalat"/>
          <w:sz w:val="22"/>
          <w:szCs w:val="22"/>
          <w:lang w:val="en-US"/>
        </w:rPr>
        <w:t xml:space="preserve"> </w:t>
      </w:r>
      <w:r w:rsidRPr="00C921DE">
        <w:rPr>
          <w:rFonts w:ascii="GHEA Grapalat" w:hAnsi="GHEA Grapalat"/>
          <w:sz w:val="22"/>
          <w:szCs w:val="22"/>
          <w:lang w:val="en-US"/>
        </w:rPr>
        <w:t>բարեփոխումների հիմքը: ՆԳՆ ոստիկանության բարեփոխումներ</w:t>
      </w:r>
      <w:r w:rsidR="00143522" w:rsidRPr="00C921DE">
        <w:rPr>
          <w:rFonts w:ascii="GHEA Grapalat" w:hAnsi="GHEA Grapalat"/>
          <w:sz w:val="22"/>
          <w:szCs w:val="22"/>
          <w:lang w:val="en-US"/>
        </w:rPr>
        <w:t>ն</w:t>
      </w:r>
      <w:r w:rsidRPr="00C921DE">
        <w:rPr>
          <w:rFonts w:ascii="GHEA Grapalat" w:hAnsi="GHEA Grapalat"/>
          <w:sz w:val="22"/>
          <w:szCs w:val="22"/>
          <w:lang w:val="en-US"/>
        </w:rPr>
        <w:t xml:space="preserve"> ընթանալու են 4 հիմնական հենասյունային ուղղություններով՝ Պարեկային ծառայություն, Համայնքային ոստիկանություն, Քրեական ոստիկանություն և Ոստիկանության գվարդիա։</w:t>
      </w:r>
    </w:p>
    <w:p w14:paraId="76F2D8F2" w14:textId="77777777" w:rsidR="00E82215" w:rsidRPr="00C921DE" w:rsidRDefault="00E82215" w:rsidP="00E82215">
      <w:pPr>
        <w:tabs>
          <w:tab w:val="left" w:pos="2835"/>
        </w:tabs>
        <w:spacing w:line="360" w:lineRule="auto"/>
        <w:ind w:firstLine="567"/>
        <w:jc w:val="both"/>
        <w:rPr>
          <w:rFonts w:ascii="GHEA Grapalat" w:hAnsi="GHEA Grapalat"/>
          <w:sz w:val="22"/>
          <w:szCs w:val="22"/>
          <w:lang w:val="en-US"/>
        </w:rPr>
      </w:pPr>
    </w:p>
    <w:p w14:paraId="5D79C5DB" w14:textId="77777777" w:rsidR="00E82215" w:rsidRPr="00C921DE" w:rsidRDefault="00E82215" w:rsidP="00843C3C">
      <w:pPr>
        <w:spacing w:line="360" w:lineRule="auto"/>
        <w:ind w:left="567"/>
        <w:jc w:val="both"/>
        <w:rPr>
          <w:rFonts w:ascii="GHEA Grapalat" w:hAnsi="GHEA Grapalat"/>
          <w:sz w:val="22"/>
          <w:szCs w:val="22"/>
          <w:u w:val="single"/>
          <w:lang w:val="en-US"/>
        </w:rPr>
      </w:pPr>
      <w:r w:rsidRPr="00C921DE">
        <w:rPr>
          <w:rFonts w:ascii="GHEA Grapalat" w:hAnsi="GHEA Grapalat"/>
          <w:sz w:val="22"/>
          <w:szCs w:val="22"/>
          <w:u w:val="single"/>
          <w:lang w:val="en-US"/>
        </w:rPr>
        <w:t>Պարեկային ծառայության և Օպերատիվ կառավարման կենտրոնի ստեղծում</w:t>
      </w:r>
    </w:p>
    <w:p w14:paraId="23A84BD6" w14:textId="77777777" w:rsidR="00E82215" w:rsidRPr="00C921DE" w:rsidRDefault="00E82215" w:rsidP="00843C3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Ոստիկանության բարեփոխումների հենասյունային ուղղություններից Պարեկային ծառայությունը՝ որպես արտաքին ծառայության նոր և ժամանակակից մոդել, ամբողջությամբ ներդրվել է ողջ հանրապետության տարածքում</w:t>
      </w:r>
      <w:r w:rsidR="009720BA" w:rsidRPr="00C921DE">
        <w:rPr>
          <w:rFonts w:ascii="GHEA Grapalat" w:hAnsi="GHEA Grapalat"/>
          <w:sz w:val="22"/>
          <w:szCs w:val="22"/>
          <w:lang w:val="en-US"/>
        </w:rPr>
        <w:t>՝</w:t>
      </w:r>
      <w:r w:rsidRPr="00C921DE">
        <w:rPr>
          <w:rFonts w:ascii="GHEA Grapalat" w:hAnsi="GHEA Grapalat"/>
          <w:sz w:val="22"/>
          <w:szCs w:val="22"/>
          <w:lang w:val="en-US"/>
        </w:rPr>
        <w:t xml:space="preserve"> </w:t>
      </w:r>
      <w:r w:rsidR="009720BA" w:rsidRPr="00C921DE">
        <w:rPr>
          <w:rFonts w:ascii="GHEA Grapalat" w:hAnsi="GHEA Grapalat"/>
          <w:sz w:val="22"/>
          <w:szCs w:val="22"/>
          <w:lang w:val="en-US"/>
        </w:rPr>
        <w:t>ի</w:t>
      </w:r>
      <w:r w:rsidRPr="00C921DE">
        <w:rPr>
          <w:rFonts w:ascii="GHEA Grapalat" w:hAnsi="GHEA Grapalat"/>
          <w:sz w:val="22"/>
          <w:szCs w:val="22"/>
          <w:lang w:val="en-US"/>
        </w:rPr>
        <w:t>րավունքների և օրինական շահերի առավել արդյունավետ պաշտպանությամբ, իրավախախտումներին և հանրորեն վտանգավոր դեպքերին արագ (օպերատիվ) արձագանքմամբ, երթևեկության կազմակերպմամբ, հանցագործությունների և պատահարների վերաբերյալ հաղորդումների հավաքագրման ժամանակակից համակարգի ստեղծմամբ, ոստիկանական ուժերի ու միջոցների առավել օպերատիվ կառավարմամբ, իրավախախտումների արդյունավետ կանխարգելմամբ: Պարեկային ծառայության հիմնական խնդիրներից է ցանկացած դժվարին իրավիճակում հայտնված քաղաքացուն գործնական աջակցության ցուցաբերումը:</w:t>
      </w:r>
    </w:p>
    <w:p w14:paraId="0A720C17" w14:textId="5FCB1990" w:rsidR="00E82215" w:rsidRPr="00C921DE" w:rsidRDefault="00E82215" w:rsidP="00843C3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Պարեկային ծառայության համար ձեռք են բերվել</w:t>
      </w:r>
      <w:r w:rsidR="00843C3C" w:rsidRPr="00C921DE">
        <w:rPr>
          <w:rFonts w:ascii="GHEA Grapalat" w:hAnsi="GHEA Grapalat"/>
          <w:sz w:val="22"/>
          <w:szCs w:val="22"/>
          <w:lang w:val="en-US"/>
        </w:rPr>
        <w:t xml:space="preserve"> </w:t>
      </w:r>
      <w:r w:rsidRPr="00C921DE">
        <w:rPr>
          <w:rFonts w:ascii="GHEA Grapalat" w:hAnsi="GHEA Grapalat"/>
          <w:sz w:val="22"/>
          <w:szCs w:val="22"/>
          <w:lang w:val="en-US"/>
        </w:rPr>
        <w:t>անհրաժեշտ պահանջարկին համապատասխան, ամբողջությամբ նոր տրանսպորտային միջոցներ` ընդհանուր 631 հատ, որոնցից 75-ը տրամադրվել է ԵՄ գործընկերների կողմից, ռադիոկապ, իրավախախտումների հայտնաբերման և ամրագրման, վարչական վարույթն էլեկտրոնային կարգով իրականաց</w:t>
      </w:r>
      <w:r w:rsidR="00FC598B" w:rsidRPr="00C921DE">
        <w:rPr>
          <w:rFonts w:ascii="GHEA Grapalat" w:hAnsi="GHEA Grapalat"/>
          <w:sz w:val="22"/>
          <w:szCs w:val="22"/>
          <w:lang w:val="en-US"/>
        </w:rPr>
        <w:t>նելու</w:t>
      </w:r>
      <w:r w:rsidRPr="00C921DE">
        <w:rPr>
          <w:rFonts w:ascii="GHEA Grapalat" w:hAnsi="GHEA Grapalat"/>
          <w:sz w:val="22"/>
          <w:szCs w:val="22"/>
          <w:lang w:val="en-US"/>
        </w:rPr>
        <w:t xml:space="preserve"> համար անհրաժեշտ տեխնիկական միջոցներ, սահմանված նմուշի համազգեստ, հրազեն, ինչպես նաև Պարեկային ծառայության կանոնագրքով նախատեսված սպառազինային և հատուկ միջոցներ։ 2023 թվականի դեկտեմբեր ամսին գործարկվել է նաև պարեկային ծառայության ջրային ստորաբաժանումը, որը ջրային միջոցներով իրականացնելու է պարեկություն Սևանա լճում, միաժամանակ, հասարակական կարգի պահպանության գործառույթ է իրականացնելու առափնյա հատվածում: Ծառայության գործառույթների շրջանակում է նաև Սևանա լճում լողամիջոցների շահագործման</w:t>
      </w:r>
      <w:r w:rsidR="00CC7D62" w:rsidRPr="00C921DE">
        <w:rPr>
          <w:rFonts w:ascii="GHEA Grapalat" w:hAnsi="GHEA Grapalat"/>
          <w:sz w:val="22"/>
          <w:szCs w:val="22"/>
          <w:lang w:val="en-US"/>
        </w:rPr>
        <w:t>՝</w:t>
      </w:r>
      <w:r w:rsidRPr="00C921DE">
        <w:rPr>
          <w:rFonts w:ascii="GHEA Grapalat" w:hAnsi="GHEA Grapalat"/>
          <w:sz w:val="22"/>
          <w:szCs w:val="22"/>
          <w:lang w:val="en-US"/>
        </w:rPr>
        <w:t xml:space="preserve"> օրենսդրությամբ սահմանված պահանջների նկատմամբ հսկողությունը, ինչպես նաև ապօրինի որսի և ձկնորսության կանխարգելումը, հայտնաբերումը և բացահայտումը: Ծառայությունը հագեցված է տարատեսակ ջրային տեխնիկական միջոցներով և համալրված է ջրային տրանսպորտային միջոցներով՝ 12 սկուտեր և 2 նավ, որոնք տրամադրվել են ՌԴ գործընկերների կողմից, ևս 2 նավ ձեռք են բերվել և կմատակարարվեն առաջիկայում:</w:t>
      </w:r>
    </w:p>
    <w:p w14:paraId="54467C6F" w14:textId="3E02A7A2" w:rsidR="00E82215" w:rsidRPr="00C921DE" w:rsidRDefault="00E82215" w:rsidP="00843C3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Պարեկային ծառայությունը համալրվել է միջազգային չափանիշներին համապատա</w:t>
      </w:r>
      <w:r w:rsidR="00CD3F75" w:rsidRPr="00C921DE">
        <w:rPr>
          <w:rFonts w:ascii="GHEA Grapalat" w:hAnsi="GHEA Grapalat"/>
          <w:sz w:val="22"/>
          <w:szCs w:val="22"/>
          <w:lang w:val="en-US"/>
        </w:rPr>
        <w:t>ս</w:t>
      </w:r>
      <w:r w:rsidRPr="00C921DE">
        <w:rPr>
          <w:rFonts w:ascii="GHEA Grapalat" w:hAnsi="GHEA Grapalat"/>
          <w:sz w:val="22"/>
          <w:szCs w:val="22"/>
          <w:lang w:val="en-US"/>
        </w:rPr>
        <w:t>խանող, ամբողջովին նոր կրթական ծրագրով վերապատրաստում անցած անձնակազմով, որ</w:t>
      </w:r>
      <w:r w:rsidR="004072CB" w:rsidRPr="00C921DE">
        <w:rPr>
          <w:rFonts w:ascii="GHEA Grapalat" w:hAnsi="GHEA Grapalat"/>
          <w:sz w:val="22"/>
          <w:szCs w:val="22"/>
          <w:lang w:val="en-US"/>
        </w:rPr>
        <w:t>ի</w:t>
      </w:r>
      <w:r w:rsidRPr="00C921DE">
        <w:rPr>
          <w:rFonts w:ascii="GHEA Grapalat" w:hAnsi="GHEA Grapalat"/>
          <w:sz w:val="22"/>
          <w:szCs w:val="22"/>
          <w:lang w:val="en-US"/>
        </w:rPr>
        <w:t xml:space="preserve"> ուսուցումը կազմակերպվել է մրցութային կարգով ընտրված,</w:t>
      </w:r>
      <w:r w:rsidR="00843C3C" w:rsidRPr="00C921DE">
        <w:rPr>
          <w:rFonts w:ascii="GHEA Grapalat" w:hAnsi="GHEA Grapalat"/>
          <w:sz w:val="22"/>
          <w:szCs w:val="22"/>
          <w:lang w:val="en-US"/>
        </w:rPr>
        <w:t xml:space="preserve"> </w:t>
      </w:r>
      <w:r w:rsidRPr="00C921DE">
        <w:rPr>
          <w:rFonts w:ascii="GHEA Grapalat" w:hAnsi="GHEA Grapalat"/>
          <w:sz w:val="22"/>
          <w:szCs w:val="22"/>
          <w:lang w:val="en-US"/>
        </w:rPr>
        <w:t>բարձր որակավորում ու</w:t>
      </w:r>
      <w:r w:rsidR="00843C3C" w:rsidRPr="00C921DE">
        <w:rPr>
          <w:rFonts w:ascii="GHEA Grapalat" w:hAnsi="GHEA Grapalat"/>
          <w:sz w:val="22"/>
          <w:szCs w:val="22"/>
          <w:lang w:val="en-US"/>
        </w:rPr>
        <w:t>նեցող դասախոսական կազմի կողմից:</w:t>
      </w:r>
    </w:p>
    <w:p w14:paraId="2F20A35D" w14:textId="77777777" w:rsidR="00E82215" w:rsidRPr="00C921DE" w:rsidRDefault="00E82215" w:rsidP="00843C3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lastRenderedPageBreak/>
        <w:t>Միաժամանակ, յուրաքանչյուր մարզում</w:t>
      </w:r>
      <w:r w:rsidR="004072CB" w:rsidRPr="00C921DE">
        <w:rPr>
          <w:rFonts w:ascii="GHEA Grapalat" w:hAnsi="GHEA Grapalat"/>
          <w:sz w:val="22"/>
          <w:szCs w:val="22"/>
          <w:lang w:val="en-US"/>
        </w:rPr>
        <w:t>,</w:t>
      </w:r>
      <w:r w:rsidRPr="00C921DE">
        <w:rPr>
          <w:rFonts w:ascii="GHEA Grapalat" w:hAnsi="GHEA Grapalat"/>
          <w:sz w:val="22"/>
          <w:szCs w:val="22"/>
          <w:lang w:val="en-US"/>
        </w:rPr>
        <w:t xml:space="preserve"> Պարեկային ծառայությանը զուգահեռ, ձևավորվել են նաև դրանց գործունեությանն օժանդակող Օպերատիվ կառավարման կենտրոններ, որոնք հանդիսանում են քաղաքացիներից ահազանգերի ընդունման կենտրոն և րոպեների ընթացքում տալիս են անհրաժեշտ խորհրդատվություն, իսկ անհրաժեշտության դեպքում մոտեցնում պարեկային կարգախումբը՝ ապահովելով դժվարին իրավիճակում հայտնված անձանց</w:t>
      </w:r>
      <w:r w:rsidR="004072CB" w:rsidRPr="00C921DE">
        <w:rPr>
          <w:rFonts w:ascii="GHEA Grapalat" w:hAnsi="GHEA Grapalat"/>
          <w:sz w:val="22"/>
          <w:szCs w:val="22"/>
          <w:lang w:val="en-US"/>
        </w:rPr>
        <w:t>՝</w:t>
      </w:r>
      <w:r w:rsidRPr="00C921DE">
        <w:rPr>
          <w:rFonts w:ascii="GHEA Grapalat" w:hAnsi="GHEA Grapalat"/>
          <w:sz w:val="22"/>
          <w:szCs w:val="22"/>
          <w:lang w:val="en-US"/>
        </w:rPr>
        <w:t xml:space="preserve"> կարճ ժամանակահատվածում Ոստիկանության աջակցության ցուցաբերումը:</w:t>
      </w:r>
    </w:p>
    <w:p w14:paraId="1227F5FD" w14:textId="77777777" w:rsidR="00E82215" w:rsidRPr="00C921DE" w:rsidRDefault="00E82215" w:rsidP="00843C3C">
      <w:pPr>
        <w:tabs>
          <w:tab w:val="left" w:pos="2835"/>
        </w:tabs>
        <w:spacing w:line="360" w:lineRule="auto"/>
        <w:ind w:firstLine="567"/>
        <w:jc w:val="both"/>
        <w:rPr>
          <w:rFonts w:ascii="GHEA Grapalat" w:hAnsi="GHEA Grapalat"/>
          <w:sz w:val="22"/>
          <w:szCs w:val="22"/>
          <w:lang w:val="en-US"/>
        </w:rPr>
      </w:pPr>
    </w:p>
    <w:p w14:paraId="22149E2A" w14:textId="77777777" w:rsidR="00E82215" w:rsidRPr="00C921DE" w:rsidRDefault="00E82215" w:rsidP="00843C3C">
      <w:pPr>
        <w:spacing w:line="360" w:lineRule="auto"/>
        <w:ind w:left="567"/>
        <w:jc w:val="both"/>
        <w:rPr>
          <w:rFonts w:ascii="GHEA Grapalat" w:hAnsi="GHEA Grapalat"/>
          <w:sz w:val="22"/>
          <w:szCs w:val="22"/>
          <w:u w:val="single"/>
          <w:lang w:val="en-US"/>
        </w:rPr>
      </w:pPr>
      <w:r w:rsidRPr="00C921DE">
        <w:rPr>
          <w:rFonts w:ascii="GHEA Grapalat" w:hAnsi="GHEA Grapalat"/>
          <w:sz w:val="22"/>
          <w:szCs w:val="22"/>
          <w:u w:val="single"/>
          <w:lang w:val="en-US"/>
        </w:rPr>
        <w:t>Հասարակական կարգի պահպանություն</w:t>
      </w:r>
    </w:p>
    <w:p w14:paraId="0C046E07" w14:textId="77777777" w:rsidR="00E82215" w:rsidRPr="00C921DE" w:rsidRDefault="009F1479" w:rsidP="009A23D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Հասարակական կարգի պահպանության ոլորտում բարեփոխումների ուղղություններ են հանդիսացել </w:t>
      </w:r>
      <w:r w:rsidR="00E82215" w:rsidRPr="00C921DE">
        <w:rPr>
          <w:rFonts w:ascii="GHEA Grapalat" w:hAnsi="GHEA Grapalat"/>
          <w:sz w:val="22"/>
          <w:szCs w:val="22"/>
          <w:lang w:val="en-US"/>
        </w:rPr>
        <w:t>Ոստիկանության հասարակական կարգը պահպանող ծառայությունների հատուկ կարողությունների զարգացում</w:t>
      </w:r>
      <w:r w:rsidRPr="00C921DE">
        <w:rPr>
          <w:rFonts w:ascii="GHEA Grapalat" w:hAnsi="GHEA Grapalat"/>
          <w:sz w:val="22"/>
          <w:szCs w:val="22"/>
          <w:lang w:val="en-US"/>
        </w:rPr>
        <w:t>ն</w:t>
      </w:r>
      <w:r w:rsidR="00E82215" w:rsidRPr="00C921DE">
        <w:rPr>
          <w:rFonts w:ascii="GHEA Grapalat" w:hAnsi="GHEA Grapalat"/>
          <w:sz w:val="22"/>
          <w:szCs w:val="22"/>
          <w:lang w:val="en-US"/>
        </w:rPr>
        <w:t xml:space="preserve"> ու տակտիկական արդյունավետ լուծումների ներդրում</w:t>
      </w:r>
      <w:r w:rsidRPr="00C921DE">
        <w:rPr>
          <w:rFonts w:ascii="GHEA Grapalat" w:hAnsi="GHEA Grapalat"/>
          <w:sz w:val="22"/>
          <w:szCs w:val="22"/>
          <w:lang w:val="en-US"/>
        </w:rPr>
        <w:t>ը</w:t>
      </w:r>
      <w:r w:rsidR="00E82215" w:rsidRPr="00C921DE">
        <w:rPr>
          <w:rFonts w:ascii="GHEA Grapalat" w:hAnsi="GHEA Grapalat"/>
          <w:sz w:val="22"/>
          <w:szCs w:val="22"/>
          <w:lang w:val="en-US"/>
        </w:rPr>
        <w:t>, բանակցային ու հաղորդակցության կարողությունների զարգացում</w:t>
      </w:r>
      <w:r w:rsidRPr="00C921DE">
        <w:rPr>
          <w:rFonts w:ascii="GHEA Grapalat" w:hAnsi="GHEA Grapalat"/>
          <w:sz w:val="22"/>
          <w:szCs w:val="22"/>
          <w:lang w:val="en-US"/>
        </w:rPr>
        <w:t>ը</w:t>
      </w:r>
      <w:r w:rsidR="00E82215" w:rsidRPr="00C921DE">
        <w:rPr>
          <w:rFonts w:ascii="GHEA Grapalat" w:hAnsi="GHEA Grapalat"/>
          <w:sz w:val="22"/>
          <w:szCs w:val="22"/>
          <w:lang w:val="en-US"/>
        </w:rPr>
        <w:t>, իրավապահ համակարգում մարդու իրավունքների ստանդարտների վերաբերյալ վերապատրաստում</w:t>
      </w:r>
      <w:r w:rsidRPr="00C921DE">
        <w:rPr>
          <w:rFonts w:ascii="GHEA Grapalat" w:hAnsi="GHEA Grapalat"/>
          <w:sz w:val="22"/>
          <w:szCs w:val="22"/>
          <w:lang w:val="en-US"/>
        </w:rPr>
        <w:t>ը</w:t>
      </w:r>
      <w:r w:rsidR="00E82215" w:rsidRPr="00C921DE">
        <w:rPr>
          <w:rFonts w:ascii="GHEA Grapalat" w:hAnsi="GHEA Grapalat"/>
          <w:sz w:val="22"/>
          <w:szCs w:val="22"/>
          <w:lang w:val="en-US"/>
        </w:rPr>
        <w:t>, ինչպես նաև տեխնիկական հագեցվածության և սպառազինության բարելավում</w:t>
      </w:r>
      <w:r w:rsidRPr="00C921DE">
        <w:rPr>
          <w:rFonts w:ascii="GHEA Grapalat" w:hAnsi="GHEA Grapalat"/>
          <w:sz w:val="22"/>
          <w:szCs w:val="22"/>
          <w:lang w:val="en-US"/>
        </w:rPr>
        <w:t>ը</w:t>
      </w:r>
      <w:r w:rsidR="00E82215" w:rsidRPr="00C921DE">
        <w:rPr>
          <w:rFonts w:ascii="GHEA Grapalat" w:hAnsi="GHEA Grapalat"/>
          <w:sz w:val="22"/>
          <w:szCs w:val="22"/>
          <w:lang w:val="en-US"/>
        </w:rPr>
        <w:t>։</w:t>
      </w:r>
    </w:p>
    <w:p w14:paraId="20FDC1EF" w14:textId="77777777" w:rsidR="00E82215" w:rsidRPr="00C921DE" w:rsidRDefault="00E82215" w:rsidP="009A23D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Զանգվածային միջոցառումների ընթացքում ոստիկանական գործունեության արդյունավետության բարձրացման և ոստիկանություն-հասարակություն համագործակցության ու վստահության մթնոլորտի ամրապնդման, ինչպես նաև հասարակական անվտանգության արդյունավետ կառավարման նպատակով «Հայաստանում ոստիկանություն-հասարակության համագործակցության ամրապնդում» ծրագրի շրջանակներում ԵԱՀԿ կողմից աջակցություն կցուցաբերվի Ոստիկանությանը՝ բանակցային ոստիկանության ներդրման գործում։</w:t>
      </w:r>
    </w:p>
    <w:p w14:paraId="4205BAED" w14:textId="77777777" w:rsidR="0043791D" w:rsidRPr="00C921DE" w:rsidRDefault="0043791D" w:rsidP="009A23D3">
      <w:pPr>
        <w:tabs>
          <w:tab w:val="left" w:pos="2835"/>
        </w:tabs>
        <w:spacing w:line="360" w:lineRule="auto"/>
        <w:ind w:firstLine="567"/>
        <w:jc w:val="both"/>
        <w:rPr>
          <w:rFonts w:ascii="GHEA Grapalat" w:hAnsi="GHEA Grapalat"/>
          <w:sz w:val="22"/>
          <w:szCs w:val="22"/>
          <w:lang w:val="en-US"/>
        </w:rPr>
      </w:pPr>
    </w:p>
    <w:p w14:paraId="70E0EC6A" w14:textId="77777777" w:rsidR="00E82215" w:rsidRPr="00C921DE" w:rsidRDefault="00E82215" w:rsidP="0043791D">
      <w:pPr>
        <w:spacing w:line="360" w:lineRule="auto"/>
        <w:ind w:left="567"/>
        <w:jc w:val="both"/>
        <w:rPr>
          <w:rFonts w:ascii="GHEA Grapalat" w:hAnsi="GHEA Grapalat"/>
          <w:sz w:val="22"/>
          <w:szCs w:val="22"/>
          <w:u w:val="single"/>
          <w:lang w:val="en-US"/>
        </w:rPr>
      </w:pPr>
      <w:r w:rsidRPr="00C921DE">
        <w:rPr>
          <w:rFonts w:ascii="GHEA Grapalat" w:hAnsi="GHEA Grapalat"/>
          <w:sz w:val="22"/>
          <w:szCs w:val="22"/>
          <w:u w:val="single"/>
          <w:lang w:val="en-US"/>
        </w:rPr>
        <w:t>Համայնքային ոստիկանության վերաիմաստավորում</w:t>
      </w:r>
    </w:p>
    <w:p w14:paraId="7FDA81EF" w14:textId="77777777" w:rsidR="00E82215" w:rsidRPr="00C921DE" w:rsidRDefault="00E82215" w:rsidP="00757D7F">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Ոստիկանության բարեփոխումների հենասյունային ուղղություններից է նաև Համայնքային ոստիկանության գործառույթների վերանայումը (օրենսդրական և կառուցվածքային առումներով)։ </w:t>
      </w:r>
    </w:p>
    <w:p w14:paraId="7CB7AF86" w14:textId="640D673B" w:rsidR="00E82215" w:rsidRPr="00C921DE" w:rsidRDefault="00E82215" w:rsidP="00757D7F">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Համայնքային ոստիկանության ստեղծման համար անհրաժեշտ օրենսդրական փաթեթը հաշվետու տարում ընդունվել է Ազգային ժողովի կողմից: Համայնքային ոստիկանությունը ոստիկանության կենտրոնական ապարատի գլխադասային ծառայության ուղղաձիգ</w:t>
      </w:r>
      <w:r w:rsidR="00843C3C" w:rsidRPr="00C921DE">
        <w:rPr>
          <w:rFonts w:ascii="GHEA Grapalat" w:hAnsi="GHEA Grapalat"/>
          <w:sz w:val="22"/>
          <w:szCs w:val="22"/>
          <w:lang w:val="en-US"/>
        </w:rPr>
        <w:t xml:space="preserve"> </w:t>
      </w:r>
      <w:r w:rsidRPr="00C921DE">
        <w:rPr>
          <w:rFonts w:ascii="GHEA Grapalat" w:hAnsi="GHEA Grapalat"/>
          <w:sz w:val="22"/>
          <w:szCs w:val="22"/>
          <w:lang w:val="en-US"/>
        </w:rPr>
        <w:t>համակարգ</w:t>
      </w:r>
      <w:r w:rsidR="00757D7F" w:rsidRPr="00C921DE">
        <w:rPr>
          <w:rFonts w:ascii="GHEA Grapalat" w:hAnsi="GHEA Grapalat"/>
          <w:sz w:val="22"/>
          <w:szCs w:val="22"/>
          <w:lang w:val="en-US"/>
        </w:rPr>
        <w:t>ման ներքո գործելու է շրջանային (</w:t>
      </w:r>
      <w:r w:rsidRPr="00C921DE">
        <w:rPr>
          <w:rFonts w:ascii="GHEA Grapalat" w:hAnsi="GHEA Grapalat"/>
          <w:sz w:val="22"/>
          <w:szCs w:val="22"/>
          <w:lang w:val="en-US"/>
        </w:rPr>
        <w:t>համայնքային</w:t>
      </w:r>
      <w:r w:rsidR="00757D7F" w:rsidRPr="00C921DE">
        <w:rPr>
          <w:rFonts w:ascii="GHEA Grapalat" w:hAnsi="GHEA Grapalat"/>
          <w:sz w:val="22"/>
          <w:szCs w:val="22"/>
          <w:lang w:val="en-US"/>
        </w:rPr>
        <w:t>)</w:t>
      </w:r>
      <w:r w:rsidRPr="00C921DE">
        <w:rPr>
          <w:rFonts w:ascii="GHEA Grapalat" w:hAnsi="GHEA Grapalat"/>
          <w:sz w:val="22"/>
          <w:szCs w:val="22"/>
          <w:lang w:val="en-US"/>
        </w:rPr>
        <w:t xml:space="preserve"> մակարդակում և իրականացնելու է բոլոր ուղղություններով հանցագործությունների կանխարգելում, մասնավորապես՝ ընտանեկան բռնության դեպքերին հակազդելը, անչափահասներին հանցավորությունից զերծ պահելը, ինչպես նաև համայնքների հետ աշխատանքը։ Բացի այդ, տվյալ ստորաբաժանումներին կվերապահվի նաև ոչ մեծ ու միջին ծանրության հանցագործությունների դեպքերով օպերատիվ-հետախուզական </w:t>
      </w:r>
      <w:r w:rsidRPr="00C921DE">
        <w:rPr>
          <w:rFonts w:ascii="GHEA Grapalat" w:hAnsi="GHEA Grapalat"/>
          <w:sz w:val="22"/>
          <w:szCs w:val="22"/>
          <w:lang w:val="en-US"/>
        </w:rPr>
        <w:lastRenderedPageBreak/>
        <w:t>միջոցառումների իրականացումը: Միաժամանակ, Համայնքային ոստիկանության վերաիմաստավորման համատեքստում, ծառայության գործառույթների շրջանակից դուրս են բերվելու նաև ոստիկանության խնդիրներին ոչ բնորոշ այլ լիազորությունները, հաստատվելու են համայնքային ոստիկանին ներկայացվող հմտություններին ու կարողություններին վերաբերող պահանջները (կոմպետենցիանները), ներդրվելու է համայնքային ոստիկանի աշխատանքի գնահատման և մշտադիտարկման համակարգ: Բացի այդ, ներդրվելու է համայնքային ոստիկանների և հիմնական այլ շահագրգիռ կողմերի միջև տեղեկությունների թվային փոխանցման համակարգ՝ աշխատանքների օպերատիվությունը և արդյունավետությունը բարձրացնելու միտումով: Ապահովվելու է նաև տարբեր տվյալների էլեկտրոնային շտեմարանների և համակարգերի միավորումը ու փոխկապակցվածու</w:t>
      </w:r>
      <w:r w:rsidR="00757D7F" w:rsidRPr="00C921DE">
        <w:rPr>
          <w:rFonts w:ascii="GHEA Grapalat" w:hAnsi="GHEA Grapalat"/>
          <w:sz w:val="22"/>
          <w:szCs w:val="22"/>
          <w:lang w:val="en-US"/>
        </w:rPr>
        <w:t>-</w:t>
      </w:r>
      <w:r w:rsidRPr="00C921DE">
        <w:rPr>
          <w:rFonts w:ascii="GHEA Grapalat" w:hAnsi="GHEA Grapalat"/>
          <w:sz w:val="22"/>
          <w:szCs w:val="22"/>
          <w:lang w:val="en-US"/>
        </w:rPr>
        <w:t>թյունը: Համաշխարհային բանկի հետ ձեռք է բերվել պայմանավորվածություն՝ նոր ձևավորվող Համայնքային ոստիկանության ծառայողների համար 500 ռադիոկապի համակարգ ձեռք բերելու ուղղությամբ, որոնք միաժամանակ հնարավոր է նաև գործածել որպես համազգեստի վրա կրվող տեսախցիկներ։</w:t>
      </w:r>
    </w:p>
    <w:p w14:paraId="2DD591B4" w14:textId="77777777" w:rsidR="00757D7F" w:rsidRPr="00C921DE" w:rsidRDefault="00757D7F" w:rsidP="00757D7F">
      <w:pPr>
        <w:tabs>
          <w:tab w:val="left" w:pos="2835"/>
        </w:tabs>
        <w:spacing w:line="360" w:lineRule="auto"/>
        <w:ind w:firstLine="567"/>
        <w:jc w:val="both"/>
        <w:rPr>
          <w:rFonts w:ascii="GHEA Grapalat" w:hAnsi="GHEA Grapalat"/>
          <w:sz w:val="22"/>
          <w:szCs w:val="22"/>
          <w:lang w:val="en-US"/>
        </w:rPr>
      </w:pPr>
    </w:p>
    <w:p w14:paraId="75438120" w14:textId="77777777" w:rsidR="00E82215" w:rsidRPr="00C921DE" w:rsidRDefault="00E82215" w:rsidP="00757D7F">
      <w:pPr>
        <w:spacing w:line="360" w:lineRule="auto"/>
        <w:ind w:left="567"/>
        <w:jc w:val="both"/>
        <w:rPr>
          <w:rFonts w:ascii="GHEA Grapalat" w:hAnsi="GHEA Grapalat"/>
          <w:sz w:val="22"/>
          <w:szCs w:val="22"/>
          <w:u w:val="single"/>
          <w:lang w:val="en-US"/>
        </w:rPr>
      </w:pPr>
      <w:r w:rsidRPr="00C921DE">
        <w:rPr>
          <w:rFonts w:ascii="GHEA Grapalat" w:hAnsi="GHEA Grapalat"/>
          <w:sz w:val="22"/>
          <w:szCs w:val="22"/>
          <w:u w:val="single"/>
          <w:lang w:val="en-US"/>
        </w:rPr>
        <w:t>Քրեական ոստիկանության ձևավորում</w:t>
      </w:r>
    </w:p>
    <w:p w14:paraId="39BDA78E" w14:textId="77777777" w:rsidR="00E82215" w:rsidRPr="00C921DE" w:rsidRDefault="00E82215" w:rsidP="00757D7F">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Հենասյունային ուղղություն հանդիսացող Քրեական ոստիկանությունը ոստիկանության կենտրոնական ապարատի գլխադասային ծառայության ուղղաձիգ համակարգման ներքո գործելու է Երևան քաղաքի ու մարզային մակարդակում և ապահովելու է ծանր և առանձնապես ծանր հանցագործությունների բացահայտման նպատակով օպերատիվ-հետախուզական միջոցառումների իրականացումը: Քրեական ոստիկանության ստեղծմանն ուղղված օրենսդրական փաթեթը հաշվետու տարում ևս ընդունվել է Ազգային ժողովի կողմից: Նոր Քրեական ոստիկանության տարածքային ստորաբաժանումների ձևավորման մեկնարկը տրված է, սկսվել է ծառայության շարքերը համալրել ցանկացող դիմորդների դիմումների ընդունման գործընթացը: Ընդ որում, Քրեական ոստիկանության տարածքային ստորաբաժանումների համալրման 1-ին փուլն իրականացվում է բաց մրցույթի ձևաչափով, ինչը ենթադրում է, որ նշված ստորաբաժանումներում ծառայության անցնելու համար կարող են դիմել ինչպես Ոստիկանության գործող քրեական հետախուզության ու այլ ծառայողները, այնպես էլ՝ քաղաքացիները:</w:t>
      </w:r>
    </w:p>
    <w:p w14:paraId="3BD1C109" w14:textId="77777777" w:rsidR="00E82215" w:rsidRPr="00C921DE" w:rsidRDefault="00E82215" w:rsidP="00757D7F">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Քրեական ոստիկանության ստորաբաժանումների տեխնիկական և թվային տեխնոլոգիաների զինանոցը ներառելու է՝</w:t>
      </w:r>
    </w:p>
    <w:p w14:paraId="78E756ED" w14:textId="77777777" w:rsidR="00E82215" w:rsidRPr="00C921DE" w:rsidRDefault="00E82215" w:rsidP="00547F60">
      <w:pPr>
        <w:pStyle w:val="ListParagraph"/>
        <w:numPr>
          <w:ilvl w:val="0"/>
          <w:numId w:val="24"/>
        </w:numPr>
        <w:tabs>
          <w:tab w:val="left" w:pos="851"/>
          <w:tab w:val="left" w:pos="2835"/>
        </w:tabs>
        <w:spacing w:line="360" w:lineRule="auto"/>
        <w:ind w:left="0" w:firstLine="567"/>
        <w:jc w:val="both"/>
        <w:rPr>
          <w:rFonts w:ascii="GHEA Grapalat" w:hAnsi="GHEA Grapalat"/>
          <w:lang w:val="en-US"/>
        </w:rPr>
      </w:pPr>
      <w:r w:rsidRPr="00C921DE">
        <w:rPr>
          <w:rFonts w:ascii="GHEA Grapalat" w:hAnsi="GHEA Grapalat"/>
          <w:lang w:val="en-US"/>
        </w:rPr>
        <w:t>հատուկ սարքավորումներով հագեցած տրանսպորտային միջոցներ,</w:t>
      </w:r>
    </w:p>
    <w:p w14:paraId="5DFEA813" w14:textId="77777777" w:rsidR="00E82215" w:rsidRPr="00C921DE" w:rsidRDefault="00E82215" w:rsidP="00547F60">
      <w:pPr>
        <w:pStyle w:val="ListParagraph"/>
        <w:numPr>
          <w:ilvl w:val="0"/>
          <w:numId w:val="24"/>
        </w:numPr>
        <w:tabs>
          <w:tab w:val="left" w:pos="851"/>
          <w:tab w:val="left" w:pos="2835"/>
        </w:tabs>
        <w:spacing w:line="360" w:lineRule="auto"/>
        <w:ind w:left="0" w:firstLine="567"/>
        <w:jc w:val="both"/>
        <w:rPr>
          <w:rFonts w:ascii="GHEA Grapalat" w:hAnsi="GHEA Grapalat"/>
          <w:lang w:val="en-US"/>
        </w:rPr>
      </w:pPr>
      <w:r w:rsidRPr="00C921DE">
        <w:rPr>
          <w:rFonts w:ascii="GHEA Grapalat" w:hAnsi="GHEA Grapalat"/>
          <w:lang w:val="en-US"/>
        </w:rPr>
        <w:t>ստացիոնար կիրառման և</w:t>
      </w:r>
      <w:r w:rsidR="00920BC3" w:rsidRPr="00C921DE">
        <w:rPr>
          <w:rFonts w:ascii="GHEA Grapalat" w:hAnsi="GHEA Grapalat"/>
          <w:lang w:val="en-US"/>
        </w:rPr>
        <w:t xml:space="preserve"> դյուրակիր տեխնիկական միջոցներ (</w:t>
      </w:r>
      <w:r w:rsidRPr="00C921DE">
        <w:rPr>
          <w:rFonts w:ascii="GHEA Grapalat" w:hAnsi="GHEA Grapalat"/>
          <w:lang w:val="en-US"/>
        </w:rPr>
        <w:t>ռադիոկապ, պլանշետներ, GPS սարքավորումներ և այլն</w:t>
      </w:r>
      <w:r w:rsidR="00920BC3" w:rsidRPr="00C921DE">
        <w:rPr>
          <w:rFonts w:ascii="GHEA Grapalat" w:hAnsi="GHEA Grapalat"/>
          <w:lang w:val="en-US"/>
        </w:rPr>
        <w:t>)</w:t>
      </w:r>
      <w:r w:rsidRPr="00C921DE">
        <w:rPr>
          <w:rFonts w:ascii="GHEA Grapalat" w:hAnsi="GHEA Grapalat"/>
          <w:lang w:val="en-US"/>
        </w:rPr>
        <w:t>,</w:t>
      </w:r>
    </w:p>
    <w:p w14:paraId="0D82C2FD" w14:textId="77777777" w:rsidR="00E82215" w:rsidRPr="00C921DE" w:rsidRDefault="00E82215" w:rsidP="00547F60">
      <w:pPr>
        <w:pStyle w:val="ListParagraph"/>
        <w:numPr>
          <w:ilvl w:val="0"/>
          <w:numId w:val="24"/>
        </w:numPr>
        <w:tabs>
          <w:tab w:val="left" w:pos="851"/>
          <w:tab w:val="left" w:pos="2835"/>
        </w:tabs>
        <w:spacing w:line="360" w:lineRule="auto"/>
        <w:ind w:left="0" w:firstLine="567"/>
        <w:jc w:val="both"/>
        <w:rPr>
          <w:rFonts w:ascii="GHEA Grapalat" w:hAnsi="GHEA Grapalat"/>
          <w:lang w:val="en-US"/>
        </w:rPr>
      </w:pPr>
      <w:r w:rsidRPr="00C921DE">
        <w:rPr>
          <w:rFonts w:ascii="GHEA Grapalat" w:hAnsi="GHEA Grapalat"/>
          <w:lang w:val="en-US"/>
        </w:rPr>
        <w:lastRenderedPageBreak/>
        <w:t>տեղեկատվական շտեմարաններում օպերատիվ հետաքրքրություն ներկայացնող տվյալների կուտակման գործուն մեխանիզմների ներդրման հնարավորություն և այլն,</w:t>
      </w:r>
    </w:p>
    <w:p w14:paraId="6C7F0E78" w14:textId="77777777" w:rsidR="00E82215" w:rsidRPr="00C921DE" w:rsidRDefault="00E82215" w:rsidP="00547F60">
      <w:pPr>
        <w:pStyle w:val="ListParagraph"/>
        <w:numPr>
          <w:ilvl w:val="0"/>
          <w:numId w:val="24"/>
        </w:numPr>
        <w:tabs>
          <w:tab w:val="left" w:pos="851"/>
          <w:tab w:val="left" w:pos="2835"/>
        </w:tabs>
        <w:spacing w:line="360" w:lineRule="auto"/>
        <w:ind w:left="0" w:firstLine="567"/>
        <w:jc w:val="both"/>
        <w:rPr>
          <w:rFonts w:ascii="GHEA Grapalat" w:hAnsi="GHEA Grapalat"/>
          <w:lang w:val="en-US"/>
        </w:rPr>
      </w:pPr>
      <w:r w:rsidRPr="00C921DE">
        <w:rPr>
          <w:rFonts w:ascii="GHEA Grapalat" w:hAnsi="GHEA Grapalat"/>
          <w:lang w:val="en-US"/>
        </w:rPr>
        <w:t>փոխկապակցված տեղեկատվական շտեմարաններին մատչելի հասանելիության հնարավորություն,</w:t>
      </w:r>
    </w:p>
    <w:p w14:paraId="615AF206" w14:textId="77777777" w:rsidR="00E82215" w:rsidRPr="00C921DE" w:rsidRDefault="00E82215" w:rsidP="00547F60">
      <w:pPr>
        <w:pStyle w:val="ListParagraph"/>
        <w:numPr>
          <w:ilvl w:val="0"/>
          <w:numId w:val="24"/>
        </w:numPr>
        <w:tabs>
          <w:tab w:val="left" w:pos="851"/>
          <w:tab w:val="left" w:pos="2835"/>
        </w:tabs>
        <w:spacing w:line="360" w:lineRule="auto"/>
        <w:ind w:left="0" w:firstLine="567"/>
        <w:jc w:val="both"/>
        <w:rPr>
          <w:rFonts w:ascii="GHEA Grapalat" w:hAnsi="GHEA Grapalat"/>
          <w:lang w:val="en-US"/>
        </w:rPr>
      </w:pPr>
      <w:r w:rsidRPr="00C921DE">
        <w:rPr>
          <w:rFonts w:ascii="GHEA Grapalat" w:hAnsi="GHEA Grapalat"/>
          <w:lang w:val="en-US"/>
        </w:rPr>
        <w:t>քրեաբանական վերլուծություն իրականացնող ծրագրային համակարգեր,</w:t>
      </w:r>
    </w:p>
    <w:p w14:paraId="7903C7B0" w14:textId="77777777" w:rsidR="00E82215" w:rsidRPr="00C921DE" w:rsidRDefault="00E82215" w:rsidP="001706D2">
      <w:pPr>
        <w:pStyle w:val="ListParagraph"/>
        <w:numPr>
          <w:ilvl w:val="0"/>
          <w:numId w:val="24"/>
        </w:numPr>
        <w:tabs>
          <w:tab w:val="left" w:pos="851"/>
          <w:tab w:val="left" w:pos="2835"/>
        </w:tabs>
        <w:spacing w:after="0" w:line="360" w:lineRule="auto"/>
        <w:ind w:left="0" w:firstLine="567"/>
        <w:jc w:val="both"/>
        <w:rPr>
          <w:rFonts w:ascii="GHEA Grapalat" w:hAnsi="GHEA Grapalat"/>
          <w:lang w:val="en-US"/>
        </w:rPr>
      </w:pPr>
      <w:r w:rsidRPr="00C921DE">
        <w:rPr>
          <w:rFonts w:ascii="GHEA Grapalat" w:hAnsi="GHEA Grapalat"/>
          <w:lang w:val="en-US"/>
        </w:rPr>
        <w:t xml:space="preserve">օպերատիվ-հետախուզական միջոցառումների արդյունավետ իրականացման համար անհրաժեշտ այլ տեխնիկական միջոցներ </w:t>
      </w:r>
      <w:r w:rsidR="00920BC3" w:rsidRPr="00C921DE">
        <w:rPr>
          <w:rFonts w:ascii="GHEA Grapalat" w:hAnsi="GHEA Grapalat"/>
          <w:lang w:val="en-US"/>
        </w:rPr>
        <w:t>(</w:t>
      </w:r>
      <w:r w:rsidRPr="00C921DE">
        <w:rPr>
          <w:rFonts w:ascii="GHEA Grapalat" w:hAnsi="GHEA Grapalat"/>
          <w:lang w:val="en-US"/>
        </w:rPr>
        <w:t>միջազգայի</w:t>
      </w:r>
      <w:r w:rsidR="00920BC3" w:rsidRPr="00C921DE">
        <w:rPr>
          <w:rFonts w:ascii="GHEA Grapalat" w:hAnsi="GHEA Grapalat"/>
          <w:lang w:val="en-US"/>
        </w:rPr>
        <w:t>ն լավագույն փորձին համապատասխան)</w:t>
      </w:r>
      <w:r w:rsidRPr="00C921DE">
        <w:rPr>
          <w:rFonts w:ascii="GHEA Grapalat" w:hAnsi="GHEA Grapalat"/>
          <w:lang w:val="en-US"/>
        </w:rPr>
        <w:t>:</w:t>
      </w:r>
    </w:p>
    <w:p w14:paraId="2110A047" w14:textId="77777777" w:rsidR="00E82215" w:rsidRPr="00C921DE" w:rsidRDefault="00E82215" w:rsidP="00920BC3">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Հատկանշական է, որ Քրեական ոստիկանության տարածքային ստորաբաժանումների ձևավորումից հետո ներկայիս մարզային վարչությունները լուծարվելու են: Այս ուղղությամբ ևս մշակվել է հայեցակարգ:</w:t>
      </w:r>
    </w:p>
    <w:p w14:paraId="15E188A8" w14:textId="77777777" w:rsidR="00920BC3" w:rsidRPr="00C921DE" w:rsidRDefault="00920BC3" w:rsidP="00920BC3">
      <w:pPr>
        <w:tabs>
          <w:tab w:val="left" w:pos="2835"/>
        </w:tabs>
        <w:spacing w:line="360" w:lineRule="auto"/>
        <w:ind w:firstLine="567"/>
        <w:jc w:val="both"/>
        <w:rPr>
          <w:rFonts w:ascii="GHEA Grapalat" w:hAnsi="GHEA Grapalat"/>
          <w:sz w:val="22"/>
          <w:szCs w:val="22"/>
          <w:lang w:val="en-US"/>
        </w:rPr>
      </w:pPr>
    </w:p>
    <w:p w14:paraId="084445BD" w14:textId="77777777" w:rsidR="00E82215" w:rsidRPr="00C921DE" w:rsidRDefault="00E82215" w:rsidP="00730C5C">
      <w:pPr>
        <w:spacing w:line="360" w:lineRule="auto"/>
        <w:ind w:left="567"/>
        <w:jc w:val="both"/>
        <w:rPr>
          <w:rFonts w:ascii="GHEA Grapalat" w:hAnsi="GHEA Grapalat"/>
          <w:sz w:val="22"/>
          <w:szCs w:val="22"/>
          <w:u w:val="single"/>
          <w:lang w:val="en-US"/>
        </w:rPr>
      </w:pPr>
      <w:r w:rsidRPr="00C921DE">
        <w:rPr>
          <w:rFonts w:ascii="GHEA Grapalat" w:hAnsi="GHEA Grapalat"/>
          <w:sz w:val="22"/>
          <w:szCs w:val="22"/>
          <w:u w:val="single"/>
          <w:lang w:val="en-US"/>
        </w:rPr>
        <w:t>Ոստիկանության զորքերի վերակազմավորում</w:t>
      </w:r>
    </w:p>
    <w:p w14:paraId="3E3419AF" w14:textId="77777777" w:rsidR="00E82215" w:rsidRPr="00C921DE" w:rsidRDefault="00E82215" w:rsidP="00730C5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Ոստիկանության զորքերի կարգավիճակի վերանայման, խնդիրների և գործառույթների վերաիմաստավորման, ֆունկցիոնալ և ռազմավարական խնդիրները սպասարկելու ունակ և ՀՀ-ին համապատասխանող մոդելների վերհանման նպատակով՝ Ոստիկանության զորքերի ծառայության կազմակերպաիրավական նոր ձևի սահմանման շրջանակներում ուսումնասիրվել է միջազգային առաջավոր փորձը։</w:t>
      </w:r>
    </w:p>
    <w:p w14:paraId="6FCA26FD" w14:textId="77777777" w:rsidR="00E82215" w:rsidRPr="00C921DE" w:rsidRDefault="00E82215" w:rsidP="00730C5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Ոստիկանության զորքեր</w:t>
      </w:r>
      <w:r w:rsidR="002548F7" w:rsidRPr="00C921DE">
        <w:rPr>
          <w:rFonts w:ascii="GHEA Grapalat" w:hAnsi="GHEA Grapalat"/>
          <w:sz w:val="22"/>
          <w:szCs w:val="22"/>
          <w:lang w:val="en-US"/>
        </w:rPr>
        <w:t>ի վերաիմաստավորման համատեքստում</w:t>
      </w:r>
      <w:r w:rsidRPr="00C921DE">
        <w:rPr>
          <w:rFonts w:ascii="GHEA Grapalat" w:hAnsi="GHEA Grapalat"/>
          <w:sz w:val="22"/>
          <w:szCs w:val="22"/>
          <w:lang w:val="en-US"/>
        </w:rPr>
        <w:t xml:space="preserve"> ձևավորման փուլում են գտնվում նաև Ոստիկանության գվարդիայի ստեղծման աշխատանքները:</w:t>
      </w:r>
    </w:p>
    <w:p w14:paraId="39469EA3" w14:textId="77777777" w:rsidR="00E82215" w:rsidRPr="00C921DE" w:rsidRDefault="002548F7" w:rsidP="00730C5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Այս համատեքստում</w:t>
      </w:r>
      <w:r w:rsidR="00E82215" w:rsidRPr="00C921DE">
        <w:rPr>
          <w:rFonts w:ascii="GHEA Grapalat" w:hAnsi="GHEA Grapalat"/>
          <w:sz w:val="22"/>
          <w:szCs w:val="22"/>
          <w:lang w:val="en-US"/>
        </w:rPr>
        <w:t xml:space="preserve"> Ներքին գործերի նախարարի հրամանով հաստատվել է «Ոստիկանության գվարդիայի մասին» օրենքի հայեցակարգը, որին համահունչ՝ մշակվել է «Ոստիկանության գվարդիայի մասին» նոր օրենքի և հարակից օրենքներում փոփոխություններ կատարելու մասին նախագծերի փաթեթը, որը գտնվում է ավարտական փուլում։</w:t>
      </w:r>
    </w:p>
    <w:p w14:paraId="6540AE40" w14:textId="77777777" w:rsidR="00E82215" w:rsidRPr="00C921DE" w:rsidRDefault="00E82215" w:rsidP="00730C5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Հարկ է նշել, որ նոր օրենքի համաձայն՝ Ոստիկանության գվարդիայի ձևավորման և գործունեության կարգը, ինչպես նաև դրանում իրականացվող ծառայության առանձնահատկությունները կարգավորվելու են բացառապես Ոստիկանությանը վերաբերող օրենսդրությամբ և չեն գտնվելու ռազմական կամ զինվորական բնույթ ունեցող նորմատիվ իրավական ակտերի կանոնակարգման տիրույթում:</w:t>
      </w:r>
    </w:p>
    <w:p w14:paraId="7D69C1AF" w14:textId="77777777" w:rsidR="00E82215" w:rsidRPr="00C921DE" w:rsidRDefault="00E82215" w:rsidP="00730C5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«Ոստիկանության գվարդիայի մասին» նոր օրենքի և հարակից օրենքներում փոփոխություններ կատարելու մասին նախագծերի փաթեթում ներառված է նաև «Հավաքների ազատության մասին» օրենքում փոփոխություններ կատարելու մասին նախագիծը, որի շրջանակներում իրացվել են </w:t>
      </w:r>
      <w:r w:rsidRPr="00C921DE">
        <w:rPr>
          <w:rFonts w:ascii="GHEA Grapalat" w:hAnsi="GHEA Grapalat"/>
          <w:sz w:val="22"/>
          <w:szCs w:val="22"/>
          <w:lang w:val="en-US"/>
        </w:rPr>
        <w:lastRenderedPageBreak/>
        <w:t>հավաքներ իրականացնելու քաղաքացիների իրավունքի արդյունավետ ապահովմանն ուղղված</w:t>
      </w:r>
      <w:r w:rsidR="00606BA7" w:rsidRPr="00C921DE">
        <w:rPr>
          <w:rFonts w:ascii="GHEA Grapalat" w:hAnsi="GHEA Grapalat"/>
          <w:sz w:val="22"/>
          <w:szCs w:val="22"/>
          <w:lang w:val="en-US"/>
        </w:rPr>
        <w:t>՝</w:t>
      </w:r>
      <w:r w:rsidRPr="00C921DE">
        <w:rPr>
          <w:rFonts w:ascii="GHEA Grapalat" w:hAnsi="GHEA Grapalat"/>
          <w:sz w:val="22"/>
          <w:szCs w:val="22"/>
          <w:lang w:val="en-US"/>
        </w:rPr>
        <w:t xml:space="preserve"> Եվրոպայի խորհրդի Վենետիկի հանձնաժողովի և ԵԱՀԿ/ԺՀՄԻԳ կարծիքները:</w:t>
      </w:r>
    </w:p>
    <w:p w14:paraId="5D38611D" w14:textId="77777777" w:rsidR="00E82215" w:rsidRPr="00C921DE" w:rsidRDefault="00E82215" w:rsidP="00730C5C">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 </w:t>
      </w:r>
    </w:p>
    <w:p w14:paraId="56F29031" w14:textId="77777777" w:rsidR="00E82215" w:rsidRPr="00C921DE" w:rsidRDefault="00E82215" w:rsidP="00C47A38">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u w:val="single"/>
          <w:lang w:val="en-US"/>
        </w:rPr>
        <w:t>Թափանցիկություն և հանրային հաշվետվողականություն.</w:t>
      </w:r>
      <w:r w:rsidR="00C47A38" w:rsidRPr="00C921DE">
        <w:rPr>
          <w:rFonts w:ascii="GHEA Grapalat" w:hAnsi="GHEA Grapalat"/>
          <w:sz w:val="22"/>
          <w:szCs w:val="22"/>
          <w:lang w:val="en-US"/>
        </w:rPr>
        <w:t xml:space="preserve"> </w:t>
      </w:r>
      <w:r w:rsidRPr="00C921DE">
        <w:rPr>
          <w:rFonts w:ascii="GHEA Grapalat" w:hAnsi="GHEA Grapalat"/>
          <w:sz w:val="22"/>
          <w:szCs w:val="22"/>
          <w:lang w:val="en-US"/>
        </w:rPr>
        <w:t xml:space="preserve">Ոստիկանության աշխատանքի թափանցիկության բարելավում՝ առավել հաճախակի ու մատչելի տեղեկությունների, հաշվետվությունների և ուսումնասիրությունների վերաբերյալ տեղեկատվության տարածում, պարբերական մեդիա բրիֆինգների և հասարակայնության հետ կապերի առավել նոր ու ժամանակակից միջոցների արդյունավետ օգտագործում, ինչն առաջնային նշանակություն </w:t>
      </w:r>
      <w:r w:rsidR="00C47A38" w:rsidRPr="00C921DE">
        <w:rPr>
          <w:rFonts w:ascii="GHEA Grapalat" w:hAnsi="GHEA Grapalat"/>
          <w:sz w:val="22"/>
          <w:szCs w:val="22"/>
          <w:lang w:val="en-US"/>
        </w:rPr>
        <w:t>ունի</w:t>
      </w:r>
      <w:r w:rsidRPr="00C921DE">
        <w:rPr>
          <w:rFonts w:ascii="GHEA Grapalat" w:hAnsi="GHEA Grapalat"/>
          <w:sz w:val="22"/>
          <w:szCs w:val="22"/>
          <w:lang w:val="en-US"/>
        </w:rPr>
        <w:t xml:space="preserve"> ոստիկանության հանդեպ հանրային դրական կարծիքի ձևավորման հարցում: </w:t>
      </w:r>
    </w:p>
    <w:p w14:paraId="32928EE7" w14:textId="77777777" w:rsidR="00E82215" w:rsidRPr="00C921DE" w:rsidRDefault="00E82215" w:rsidP="00C47A38">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Ոստիկանության գործունեության թափանցիկության, հանրության իրազեկվածության և հանրային վերահսկողության մակարդակի բարձրացման նպատակով՝ ավարտին </w:t>
      </w:r>
      <w:r w:rsidR="00C47A38" w:rsidRPr="00C921DE">
        <w:rPr>
          <w:rFonts w:ascii="GHEA Grapalat" w:hAnsi="GHEA Grapalat"/>
          <w:sz w:val="22"/>
          <w:szCs w:val="22"/>
          <w:lang w:val="en-US"/>
        </w:rPr>
        <w:t>է հասցվում</w:t>
      </w:r>
      <w:r w:rsidRPr="00C921DE">
        <w:rPr>
          <w:rFonts w:ascii="GHEA Grapalat" w:hAnsi="GHEA Grapalat"/>
          <w:sz w:val="22"/>
          <w:szCs w:val="22"/>
          <w:lang w:val="en-US"/>
        </w:rPr>
        <w:t xml:space="preserve"> ոստիկանության համակարգում քաղաքացիական ծառայության ամբողջական ներդրման աշխատանքները: </w:t>
      </w:r>
      <w:r w:rsidR="00C47A38" w:rsidRPr="00C921DE">
        <w:rPr>
          <w:rFonts w:ascii="GHEA Grapalat" w:hAnsi="GHEA Grapalat"/>
          <w:sz w:val="22"/>
          <w:szCs w:val="22"/>
          <w:lang w:val="en-US"/>
        </w:rPr>
        <w:t>Ա</w:t>
      </w:r>
      <w:r w:rsidRPr="00C921DE">
        <w:rPr>
          <w:rFonts w:ascii="GHEA Grapalat" w:hAnsi="GHEA Grapalat"/>
          <w:sz w:val="22"/>
          <w:szCs w:val="22"/>
          <w:lang w:val="en-US"/>
        </w:rPr>
        <w:t>պահով</w:t>
      </w:r>
      <w:r w:rsidR="00C47A38" w:rsidRPr="00C921DE">
        <w:rPr>
          <w:rFonts w:ascii="GHEA Grapalat" w:hAnsi="GHEA Grapalat"/>
          <w:sz w:val="22"/>
          <w:szCs w:val="22"/>
          <w:lang w:val="en-US"/>
        </w:rPr>
        <w:t>վ</w:t>
      </w:r>
      <w:r w:rsidRPr="00C921DE">
        <w:rPr>
          <w:rFonts w:ascii="GHEA Grapalat" w:hAnsi="GHEA Grapalat"/>
          <w:sz w:val="22"/>
          <w:szCs w:val="22"/>
          <w:lang w:val="en-US"/>
        </w:rPr>
        <w:t>ել</w:t>
      </w:r>
      <w:r w:rsidR="00C47A38" w:rsidRPr="00C921DE">
        <w:rPr>
          <w:rFonts w:ascii="GHEA Grapalat" w:hAnsi="GHEA Grapalat"/>
          <w:sz w:val="22"/>
          <w:szCs w:val="22"/>
          <w:lang w:val="en-US"/>
        </w:rPr>
        <w:t xml:space="preserve"> է</w:t>
      </w:r>
      <w:r w:rsidRPr="00C921DE">
        <w:rPr>
          <w:rFonts w:ascii="GHEA Grapalat" w:hAnsi="GHEA Grapalat"/>
          <w:sz w:val="22"/>
          <w:szCs w:val="22"/>
          <w:lang w:val="en-US"/>
        </w:rPr>
        <w:t xml:space="preserve"> ոչ ոստիկանական գործառույթներ իրականացնող ոստիկանական պաշտոնների անցումը քաղծառայության: Արդյունքում</w:t>
      </w:r>
      <w:r w:rsidR="00843C3C" w:rsidRPr="00C921DE">
        <w:rPr>
          <w:rFonts w:ascii="GHEA Grapalat" w:hAnsi="GHEA Grapalat"/>
          <w:sz w:val="22"/>
          <w:szCs w:val="22"/>
          <w:lang w:val="en-US"/>
        </w:rPr>
        <w:t xml:space="preserve"> </w:t>
      </w:r>
      <w:r w:rsidRPr="00C921DE">
        <w:rPr>
          <w:rFonts w:ascii="GHEA Grapalat" w:hAnsi="GHEA Grapalat"/>
          <w:sz w:val="22"/>
          <w:szCs w:val="22"/>
          <w:lang w:val="en-US"/>
        </w:rPr>
        <w:t xml:space="preserve">հնարավորություն </w:t>
      </w:r>
      <w:r w:rsidR="00C47A38" w:rsidRPr="00C921DE">
        <w:rPr>
          <w:rFonts w:ascii="GHEA Grapalat" w:hAnsi="GHEA Grapalat"/>
          <w:sz w:val="22"/>
          <w:szCs w:val="22"/>
          <w:lang w:val="en-US"/>
        </w:rPr>
        <w:t xml:space="preserve">է </w:t>
      </w:r>
      <w:r w:rsidRPr="00C921DE">
        <w:rPr>
          <w:rFonts w:ascii="GHEA Grapalat" w:hAnsi="GHEA Grapalat"/>
          <w:sz w:val="22"/>
          <w:szCs w:val="22"/>
          <w:lang w:val="en-US"/>
        </w:rPr>
        <w:t>ընձեռվ</w:t>
      </w:r>
      <w:r w:rsidR="00C47A38" w:rsidRPr="00C921DE">
        <w:rPr>
          <w:rFonts w:ascii="GHEA Grapalat" w:hAnsi="GHEA Grapalat"/>
          <w:sz w:val="22"/>
          <w:szCs w:val="22"/>
          <w:lang w:val="en-US"/>
        </w:rPr>
        <w:t>ել</w:t>
      </w:r>
      <w:r w:rsidRPr="00C921DE">
        <w:rPr>
          <w:rFonts w:ascii="GHEA Grapalat" w:hAnsi="GHEA Grapalat"/>
          <w:sz w:val="22"/>
          <w:szCs w:val="22"/>
          <w:lang w:val="en-US"/>
        </w:rPr>
        <w:t xml:space="preserve"> նաև սահմանել հիմնական և օժանդակ ծառայությունների թվաքանակների օպտիմալ հարաբերակցությունը:</w:t>
      </w:r>
    </w:p>
    <w:p w14:paraId="3B810B5C" w14:textId="77777777" w:rsidR="001C411D" w:rsidRPr="00C921DE" w:rsidRDefault="00E82215" w:rsidP="00C47A38">
      <w:pPr>
        <w:tabs>
          <w:tab w:val="left" w:pos="2835"/>
        </w:tabs>
        <w:spacing w:line="360" w:lineRule="auto"/>
        <w:ind w:firstLine="567"/>
        <w:jc w:val="both"/>
        <w:rPr>
          <w:rFonts w:ascii="GHEA Grapalat" w:hAnsi="GHEA Grapalat"/>
          <w:sz w:val="22"/>
          <w:szCs w:val="22"/>
          <w:lang w:val="en-US"/>
        </w:rPr>
        <w:sectPr w:rsidR="001C411D" w:rsidRPr="00C921DE" w:rsidSect="00A41AD1">
          <w:headerReference w:type="default" r:id="rId19"/>
          <w:pgSz w:w="11909" w:h="16834" w:code="9"/>
          <w:pgMar w:top="1134" w:right="567" w:bottom="567" w:left="1134" w:header="720" w:footer="397" w:gutter="0"/>
          <w:cols w:space="720"/>
          <w:docGrid w:linePitch="360"/>
        </w:sectPr>
      </w:pPr>
      <w:r w:rsidRPr="00C921DE">
        <w:rPr>
          <w:rFonts w:ascii="GHEA Grapalat" w:hAnsi="GHEA Grapalat"/>
          <w:sz w:val="22"/>
          <w:szCs w:val="22"/>
          <w:lang w:val="en-US"/>
        </w:rPr>
        <w:t>Այսպիսով, օրենսդրական և կազմակերպչական նշված փոփոխություններն էական նշանակություն ունեն ժողովրդավարական պետություններին հարիր արդյունավետ կառավարվող, ժամանակակից ու մոբիլ ոստիկանություն ունենալու համար</w:t>
      </w:r>
      <w:r w:rsidR="00114A5E" w:rsidRPr="00C921DE">
        <w:rPr>
          <w:rFonts w:ascii="GHEA Grapalat" w:hAnsi="GHEA Grapalat"/>
          <w:sz w:val="22"/>
          <w:szCs w:val="22"/>
          <w:lang w:val="en-US"/>
        </w:rPr>
        <w:t>:</w:t>
      </w:r>
    </w:p>
    <w:p w14:paraId="609DA149" w14:textId="77777777" w:rsidR="001C411D" w:rsidRPr="00C921DE" w:rsidRDefault="001C411D" w:rsidP="00EA4DFC">
      <w:pPr>
        <w:pStyle w:val="Heading1"/>
        <w:rPr>
          <w:rFonts w:ascii="GHEA Grapalat" w:hAnsi="GHEA Grapalat" w:cs="Sylfaen"/>
          <w:sz w:val="22"/>
          <w:szCs w:val="22"/>
        </w:rPr>
      </w:pPr>
      <w:bookmarkStart w:id="60" w:name="_Toc511744957"/>
      <w:bookmarkStart w:id="61" w:name="_Toc6389317"/>
      <w:bookmarkStart w:id="62" w:name="_Toc69232221"/>
      <w:bookmarkStart w:id="63" w:name="_Toc163745446"/>
      <w:r w:rsidRPr="00C921DE">
        <w:rPr>
          <w:rFonts w:ascii="GHEA Grapalat" w:hAnsi="GHEA Grapalat" w:cs="Sylfaen"/>
          <w:sz w:val="22"/>
          <w:szCs w:val="22"/>
        </w:rPr>
        <w:lastRenderedPageBreak/>
        <w:t xml:space="preserve">ՀԱՅԱՍՏԱՆԻ ՀԱՆՐԱՊԵՏՈՒԹՅԱՆ </w:t>
      </w:r>
      <w:bookmarkStart w:id="64" w:name="_Toc322445708"/>
      <w:bookmarkStart w:id="65" w:name="_Toc322445786"/>
      <w:bookmarkStart w:id="66" w:name="_Toc353882534"/>
      <w:bookmarkStart w:id="67" w:name="_Toc354657491"/>
      <w:bookmarkStart w:id="68" w:name="_Toc354658845"/>
      <w:bookmarkStart w:id="69" w:name="_Toc385937080"/>
      <w:bookmarkStart w:id="70" w:name="_Toc417292092"/>
      <w:bookmarkStart w:id="71" w:name="_Toc448908371"/>
      <w:bookmarkStart w:id="72" w:name="_Toc448912548"/>
      <w:bookmarkStart w:id="73" w:name="_Toc448913277"/>
      <w:bookmarkStart w:id="74" w:name="_Toc511744958"/>
      <w:bookmarkStart w:id="75" w:name="_Toc6389318"/>
      <w:bookmarkStart w:id="76" w:name="_Toc290409638"/>
      <w:bookmarkEnd w:id="60"/>
      <w:bookmarkEnd w:id="61"/>
      <w:r w:rsidRPr="00C921DE">
        <w:rPr>
          <w:rFonts w:ascii="GHEA Grapalat" w:hAnsi="GHEA Grapalat" w:cs="Sylfaen"/>
          <w:sz w:val="22"/>
          <w:szCs w:val="22"/>
        </w:rPr>
        <w:t>ՄԱԿՐՈՏՆՏԵՍԱԿԱՆ ԵՎ ՀԱՐԿԱԲՅՈՒՋԵՏԱՅԻՆ ԶԱՐԳԱՑՈՒՄՆԵՐԸ 202</w:t>
      </w:r>
      <w:r w:rsidR="00E0077D" w:rsidRPr="00C921DE">
        <w:rPr>
          <w:rFonts w:ascii="GHEA Grapalat" w:hAnsi="GHEA Grapalat" w:cs="Sylfaen"/>
          <w:sz w:val="22"/>
          <w:szCs w:val="22"/>
          <w:lang w:val="en-US"/>
        </w:rPr>
        <w:t>3</w:t>
      </w:r>
      <w:r w:rsidRPr="00C921DE">
        <w:rPr>
          <w:rFonts w:ascii="GHEA Grapalat" w:hAnsi="GHEA Grapalat" w:cs="Sylfaen"/>
          <w:sz w:val="22"/>
          <w:szCs w:val="22"/>
        </w:rPr>
        <w:t xml:space="preserve"> ԹՎԱԿԱՆԻՆ</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1A4157B2" w14:textId="77777777" w:rsidR="001C411D" w:rsidRPr="00C921DE" w:rsidRDefault="001C411D" w:rsidP="002073E2">
      <w:pPr>
        <w:ind w:firstLine="540"/>
        <w:jc w:val="both"/>
        <w:rPr>
          <w:rFonts w:ascii="GHEA Grapalat" w:hAnsi="GHEA Grapalat"/>
          <w:sz w:val="22"/>
          <w:szCs w:val="22"/>
          <w:lang w:val="af-ZA"/>
        </w:rPr>
      </w:pPr>
    </w:p>
    <w:p w14:paraId="57CE09E6" w14:textId="77777777" w:rsidR="001C411D" w:rsidRPr="00C921DE" w:rsidRDefault="001C411D" w:rsidP="00F65EA5">
      <w:pPr>
        <w:pStyle w:val="Heading2"/>
        <w:spacing w:before="0"/>
        <w:ind w:firstLine="0"/>
      </w:pPr>
      <w:bookmarkStart w:id="77" w:name="_Toc100315618"/>
      <w:bookmarkStart w:id="78" w:name="_Toc163745447"/>
      <w:r w:rsidRPr="00C921DE">
        <w:t>ՄԱԿՐՈՏՆՏԵՍԱԿԱՆ ԶԱՐԳԱՑՈՒՄՆԵՐ</w:t>
      </w:r>
      <w:bookmarkEnd w:id="77"/>
      <w:bookmarkEnd w:id="78"/>
    </w:p>
    <w:p w14:paraId="165EAC47" w14:textId="77777777" w:rsidR="001C411D" w:rsidRPr="00C921DE" w:rsidRDefault="001C411D" w:rsidP="00F65EA5">
      <w:pPr>
        <w:pStyle w:val="Heading2"/>
        <w:ind w:firstLine="0"/>
        <w:rPr>
          <w:bCs/>
        </w:rPr>
      </w:pPr>
      <w:bookmarkStart w:id="79" w:name="_Toc100315619"/>
      <w:bookmarkStart w:id="80" w:name="_Toc163745448"/>
      <w:r w:rsidRPr="00C921DE">
        <w:rPr>
          <w:bCs/>
        </w:rPr>
        <w:t>Արտաքին միջավայրի զարգացումներ</w:t>
      </w:r>
      <w:bookmarkEnd w:id="79"/>
      <w:bookmarkEnd w:id="80"/>
    </w:p>
    <w:p w14:paraId="54B0AA09" w14:textId="00270DA7" w:rsidR="00D74E95" w:rsidRPr="00C921DE" w:rsidRDefault="001C411D" w:rsidP="00270D45">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cs="GHEA Grapalat"/>
          <w:b/>
          <w:i/>
          <w:sz w:val="22"/>
          <w:szCs w:val="22"/>
        </w:rPr>
        <w:t>Տնտեսական զարգացումներ</w:t>
      </w:r>
      <w:r w:rsidRPr="00C921DE">
        <w:rPr>
          <w:rFonts w:ascii="GHEA Grapalat" w:hAnsi="GHEA Grapalat"/>
          <w:b/>
          <w:i/>
          <w:sz w:val="22"/>
          <w:szCs w:val="22"/>
          <w:lang w:val="en-US"/>
        </w:rPr>
        <w:t>:</w:t>
      </w:r>
      <w:r w:rsidRPr="00C921DE">
        <w:rPr>
          <w:rFonts w:ascii="GHEA Grapalat" w:hAnsi="GHEA Grapalat"/>
          <w:sz w:val="22"/>
          <w:szCs w:val="22"/>
          <w:lang w:val="en-US"/>
        </w:rPr>
        <w:t xml:space="preserve"> </w:t>
      </w:r>
      <w:r w:rsidR="00D74E95" w:rsidRPr="00C921DE">
        <w:rPr>
          <w:rFonts w:ascii="GHEA Grapalat" w:hAnsi="GHEA Grapalat"/>
          <w:sz w:val="22"/>
          <w:szCs w:val="22"/>
          <w:lang w:val="en-US"/>
        </w:rPr>
        <w:t>2023 թվականին, չնայած շարունակվող դրամավարկային խստացման և աշխարհաքաղաքական անորոշություններ</w:t>
      </w:r>
      <w:r w:rsidR="002607D7" w:rsidRPr="00C921DE">
        <w:rPr>
          <w:rFonts w:ascii="GHEA Grapalat" w:hAnsi="GHEA Grapalat"/>
          <w:sz w:val="22"/>
          <w:szCs w:val="22"/>
          <w:lang w:val="en-US"/>
        </w:rPr>
        <w:t>ի</w:t>
      </w:r>
      <w:r w:rsidR="00D74E95" w:rsidRPr="00C921DE">
        <w:rPr>
          <w:rFonts w:ascii="GHEA Grapalat" w:hAnsi="GHEA Grapalat"/>
          <w:sz w:val="22"/>
          <w:szCs w:val="22"/>
          <w:lang w:val="en-US"/>
        </w:rPr>
        <w:t>ն, համաշխարհային տնտեսությունում և ՀՀ հիմնական գործընկեր երկրներում</w:t>
      </w:r>
      <w:r w:rsidR="002607D7" w:rsidRPr="00C921DE">
        <w:rPr>
          <w:rFonts w:ascii="GHEA Grapalat" w:hAnsi="GHEA Grapalat"/>
          <w:sz w:val="22"/>
          <w:szCs w:val="22"/>
          <w:lang w:val="en-US"/>
        </w:rPr>
        <w:t>,</w:t>
      </w:r>
      <w:r w:rsidR="00D74E95" w:rsidRPr="00C921DE">
        <w:rPr>
          <w:rFonts w:ascii="GHEA Grapalat" w:hAnsi="GHEA Grapalat"/>
          <w:sz w:val="22"/>
          <w:szCs w:val="22"/>
          <w:lang w:val="en-US"/>
        </w:rPr>
        <w:t xml:space="preserve"> բացառությամբ Եվրագոտու, նախորդ տարվա նկատմամբ դիտվել է տնտեսական աճի տեմպերի արագացում: Տնտեսական աճի արագացմանը նպաստել են պետական ու մասնավոր սպառման աճը, իսկ Եվրագոտում արձանագրված թույլ աճ</w:t>
      </w:r>
      <w:r w:rsidR="002607D7" w:rsidRPr="00C921DE">
        <w:rPr>
          <w:rFonts w:ascii="GHEA Grapalat" w:hAnsi="GHEA Grapalat"/>
          <w:sz w:val="22"/>
          <w:szCs w:val="22"/>
          <w:lang w:val="en-US"/>
        </w:rPr>
        <w:t>ն</w:t>
      </w:r>
      <w:r w:rsidR="00D74E95" w:rsidRPr="00C921DE">
        <w:rPr>
          <w:rFonts w:ascii="GHEA Grapalat" w:hAnsi="GHEA Grapalat"/>
          <w:sz w:val="22"/>
          <w:szCs w:val="22"/>
          <w:lang w:val="en-US"/>
        </w:rPr>
        <w:t xml:space="preserve"> արտացոլում էր սպառողական թույլ տրամադրությունները, էներգակիրների բարձր գների երկարաձգված ազդեցությունը, ինչպես նաև մշակող արդյունաբերության և գործարար թույլ ակտիվությունը: 2023 թվականին համաշխարհային տնտեսական աճը կազմել է 3.1%` նախորդ տարվա 3.5%-ի դիմաց: 2023 թվականին ԱՄՆ տնտեսությունը գրանցել է 2.5% աճ</w:t>
      </w:r>
      <w:r w:rsidR="00D74E95" w:rsidRPr="00C921DE">
        <w:rPr>
          <w:rFonts w:ascii="GHEA Grapalat" w:hAnsi="GHEA Grapalat"/>
          <w:sz w:val="22"/>
          <w:szCs w:val="22"/>
          <w:vertAlign w:val="superscript"/>
          <w:lang w:val="en-US"/>
        </w:rPr>
        <w:footnoteReference w:id="6"/>
      </w:r>
      <w:r w:rsidR="00D74E95" w:rsidRPr="00C921DE">
        <w:rPr>
          <w:rFonts w:ascii="GHEA Grapalat" w:hAnsi="GHEA Grapalat"/>
          <w:sz w:val="22"/>
          <w:szCs w:val="22"/>
          <w:lang w:val="en-US"/>
        </w:rPr>
        <w:t xml:space="preserve"> նախորդ տարվա 1.9% աճի դիմաց, ընդ որում, առաջին եռամսյակում աճը կազմել է 1.7%, հաջորդ եռամսյակներում արագացել է՝ երկրորդ եռամսյակում կազմելով 2.4%, երրորդ եռամսյակում՝ 2.9%, չորրորդ եռամսյակում` 3.1%: Աճն առավելապես պայմանավորող գործոններն են եղել մասնավոր սպառման և մասնավոր ներդրումների աճերը, ինչպես նաև հարկաբյուջետային քաղաքականության խթանող ազդակը: </w:t>
      </w:r>
    </w:p>
    <w:p w14:paraId="1877FEA1" w14:textId="713E37D8" w:rsidR="00D74E95" w:rsidRPr="00C921DE" w:rsidRDefault="00D74E95" w:rsidP="00270D45">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Էներգետիկ խնդիրների և բարձր գնաճի պայմաններում Եվրագոտու տնտեսությունն աճել է 0.4%</w:t>
      </w:r>
      <w:r w:rsidRPr="00C921DE">
        <w:rPr>
          <w:rFonts w:ascii="GHEA Grapalat" w:hAnsi="GHEA Grapalat"/>
          <w:sz w:val="22"/>
          <w:szCs w:val="22"/>
          <w:lang w:val="en-US"/>
        </w:rPr>
        <w:noBreakHyphen/>
        <w:t>ով</w:t>
      </w:r>
      <w:r w:rsidRPr="00C921DE">
        <w:rPr>
          <w:rFonts w:ascii="GHEA Grapalat" w:hAnsi="GHEA Grapalat"/>
          <w:sz w:val="22"/>
          <w:szCs w:val="22"/>
          <w:vertAlign w:val="superscript"/>
          <w:lang w:val="en-US"/>
        </w:rPr>
        <w:footnoteReference w:id="7"/>
      </w:r>
      <w:r w:rsidRPr="00C921DE">
        <w:rPr>
          <w:rFonts w:ascii="GHEA Grapalat" w:hAnsi="GHEA Grapalat"/>
          <w:sz w:val="22"/>
          <w:szCs w:val="22"/>
          <w:lang w:val="en-US"/>
        </w:rPr>
        <w:t>, ընդ որում</w:t>
      </w:r>
      <w:r w:rsidR="003D5A98" w:rsidRPr="00C921DE">
        <w:rPr>
          <w:rFonts w:ascii="GHEA Grapalat" w:hAnsi="GHEA Grapalat"/>
          <w:sz w:val="22"/>
          <w:szCs w:val="22"/>
          <w:lang w:val="en-US"/>
        </w:rPr>
        <w:t>,</w:t>
      </w:r>
      <w:r w:rsidRPr="00C921DE">
        <w:rPr>
          <w:rFonts w:ascii="GHEA Grapalat" w:hAnsi="GHEA Grapalat"/>
          <w:sz w:val="22"/>
          <w:szCs w:val="22"/>
          <w:lang w:val="en-US"/>
        </w:rPr>
        <w:t xml:space="preserve"> առաջին եռամսյակում տնտեսական աճը կազմել է 1.3%, իսկ հաջորդ եռամսյակներում՝ աստիճանաբար դանդաղել՝ 4-րդ եռամսյակում հասնելով 0.1%-ի: Աճի դանդաղումը պայմանավորված էր հիմնականում էներգատար արդյունաբերության ոլորտում արտադրության անկմամբ, իսկ վերջին երկու եռամսյակներում արդյունաբերության ոլորտի անկմանը գումարվեց նաև ծառայությունների ոլորտի աճի տեմպի դանդաղումը: Սա մասամբ պայմանավորված էր արտահանման շարունակական անկմամբ՝ արտահանման գների մրցունակության վատթարացման և արտաքին պահանջարկի նվազման պայմաններում: </w:t>
      </w:r>
    </w:p>
    <w:p w14:paraId="4E70146B" w14:textId="350B2801" w:rsidR="00D74E95" w:rsidRPr="00C921DE" w:rsidRDefault="00D74E95" w:rsidP="00270D45">
      <w:pPr>
        <w:tabs>
          <w:tab w:val="left" w:pos="2835"/>
        </w:tabs>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Չինաստանի տնտեսական ակտիվությունը, ընդհանուր առմամբ, 2023 թվականին թույլ էր՝ անշարժ գույքի ոլորտում ներդրումների կրճատ</w:t>
      </w:r>
      <w:r w:rsidR="006B4B3F" w:rsidRPr="00C921DE">
        <w:rPr>
          <w:rFonts w:ascii="GHEA Grapalat" w:hAnsi="GHEA Grapalat"/>
          <w:sz w:val="22"/>
          <w:szCs w:val="22"/>
          <w:lang w:val="en-US"/>
        </w:rPr>
        <w:t>մամբ պայմանավորված: Արդյունքում</w:t>
      </w:r>
      <w:r w:rsidRPr="00C921DE">
        <w:rPr>
          <w:rFonts w:ascii="GHEA Grapalat" w:hAnsi="GHEA Grapalat"/>
          <w:sz w:val="22"/>
          <w:szCs w:val="22"/>
          <w:lang w:val="en-US"/>
        </w:rPr>
        <w:t xml:space="preserve"> 2023</w:t>
      </w:r>
      <w:r w:rsidR="006B4B3F" w:rsidRPr="00C921DE">
        <w:rPr>
          <w:rFonts w:ascii="GHEA Grapalat" w:hAnsi="GHEA Grapalat"/>
          <w:sz w:val="22"/>
          <w:szCs w:val="22"/>
          <w:lang w:val="en-US"/>
        </w:rPr>
        <w:t xml:space="preserve"> </w:t>
      </w:r>
      <w:r w:rsidRPr="00C921DE">
        <w:rPr>
          <w:rFonts w:ascii="GHEA Grapalat" w:hAnsi="GHEA Grapalat"/>
          <w:sz w:val="22"/>
          <w:szCs w:val="22"/>
          <w:lang w:val="en-US"/>
        </w:rPr>
        <w:t>թ</w:t>
      </w:r>
      <w:r w:rsidR="006B4B3F" w:rsidRPr="00C921DE">
        <w:rPr>
          <w:rFonts w:ascii="GHEA Grapalat" w:hAnsi="GHEA Grapalat"/>
          <w:sz w:val="22"/>
          <w:szCs w:val="22"/>
          <w:lang w:val="en-US"/>
        </w:rPr>
        <w:t>վականին</w:t>
      </w:r>
      <w:r w:rsidRPr="00C921DE">
        <w:rPr>
          <w:rFonts w:ascii="GHEA Grapalat" w:hAnsi="GHEA Grapalat"/>
          <w:sz w:val="22"/>
          <w:szCs w:val="22"/>
          <w:lang w:val="en-US"/>
        </w:rPr>
        <w:t xml:space="preserve"> գրանցվել է 5.2% տնտեսական աճ</w:t>
      </w:r>
      <w:r w:rsidRPr="00C921DE">
        <w:rPr>
          <w:rFonts w:ascii="GHEA Grapalat" w:hAnsi="GHEA Grapalat"/>
          <w:sz w:val="22"/>
          <w:szCs w:val="22"/>
          <w:vertAlign w:val="superscript"/>
          <w:lang w:val="en-US"/>
        </w:rPr>
        <w:footnoteReference w:id="8"/>
      </w:r>
      <w:r w:rsidRPr="00C921DE">
        <w:rPr>
          <w:rFonts w:ascii="GHEA Grapalat" w:hAnsi="GHEA Grapalat"/>
          <w:sz w:val="22"/>
          <w:szCs w:val="22"/>
          <w:lang w:val="en-US"/>
        </w:rPr>
        <w:t>:</w:t>
      </w:r>
    </w:p>
    <w:p w14:paraId="3CCC33F9" w14:textId="1B783079" w:rsidR="00D74E95" w:rsidRPr="00C921DE" w:rsidRDefault="00D74E95" w:rsidP="004C12B8">
      <w:pPr>
        <w:pStyle w:val="a"/>
      </w:pPr>
      <w:r w:rsidRPr="00C921DE">
        <w:lastRenderedPageBreak/>
        <w:t>Գործընկեր երկրների տնտեսական աճեր, %</w:t>
      </w:r>
    </w:p>
    <w:p w14:paraId="00F2AEE7" w14:textId="77777777" w:rsidR="00D74E95" w:rsidRPr="00C921DE" w:rsidRDefault="00D74E95" w:rsidP="00D74E95">
      <w:pPr>
        <w:jc w:val="both"/>
        <w:rPr>
          <w:rFonts w:ascii="GHEA Grapalat" w:hAnsi="GHEA Grapalat"/>
          <w:b/>
          <w:sz w:val="22"/>
        </w:rPr>
      </w:pPr>
      <w:r w:rsidRPr="00C921DE">
        <w:rPr>
          <w:rFonts w:ascii="GHEA Grapalat" w:hAnsi="GHEA Grapalat"/>
          <w:sz w:val="22"/>
          <w:lang w:val="en-US"/>
        </w:rPr>
        <w:drawing>
          <wp:inline distT="0" distB="0" distL="0" distR="0" wp14:anchorId="2DB61E8A" wp14:editId="4B445F5C">
            <wp:extent cx="6482080" cy="1773141"/>
            <wp:effectExtent l="0" t="0" r="13970" b="17780"/>
            <wp:docPr id="69"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2C866B" w14:textId="77777777" w:rsidR="00D74E95" w:rsidRPr="00C921DE" w:rsidRDefault="00D74E95" w:rsidP="00D74E95">
      <w:pPr>
        <w:rPr>
          <w:rFonts w:ascii="GHEA Grapalat" w:hAnsi="GHEA Grapalat"/>
          <w:i/>
          <w:sz w:val="18"/>
          <w:szCs w:val="22"/>
        </w:rPr>
      </w:pPr>
      <w:r w:rsidRPr="00C921DE">
        <w:rPr>
          <w:rFonts w:ascii="GHEA Grapalat" w:hAnsi="GHEA Grapalat"/>
          <w:i/>
          <w:sz w:val="18"/>
          <w:szCs w:val="22"/>
        </w:rPr>
        <w:t xml:space="preserve">Աղբյուրը՝ ԱՄՆ տնտեսական վերլուծությունների բյուրո, Եվրոստատ, Չինաստանի վիճակագրության ազգային բյուրո, </w:t>
      </w:r>
    </w:p>
    <w:p w14:paraId="3C2DA10C" w14:textId="77777777" w:rsidR="00D74E95" w:rsidRPr="00C921DE" w:rsidRDefault="00D74E95" w:rsidP="00D74E95">
      <w:pPr>
        <w:spacing w:after="240"/>
        <w:rPr>
          <w:rFonts w:ascii="GHEA Grapalat" w:hAnsi="GHEA Grapalat"/>
          <w:i/>
          <w:sz w:val="18"/>
          <w:szCs w:val="22"/>
        </w:rPr>
      </w:pPr>
      <w:r w:rsidRPr="00C921DE">
        <w:rPr>
          <w:rFonts w:ascii="GHEA Grapalat" w:hAnsi="GHEA Grapalat"/>
          <w:i/>
          <w:sz w:val="18"/>
          <w:szCs w:val="22"/>
        </w:rPr>
        <w:t>ՌԴ տնտեսական զարգացման նախարարություն</w:t>
      </w:r>
    </w:p>
    <w:p w14:paraId="3D881736" w14:textId="7AF14B82" w:rsidR="00D74E95" w:rsidRPr="00C921DE" w:rsidRDefault="00D74E95" w:rsidP="00D74E95">
      <w:pPr>
        <w:spacing w:line="336" w:lineRule="auto"/>
        <w:ind w:firstLine="562"/>
        <w:jc w:val="both"/>
        <w:rPr>
          <w:rFonts w:ascii="GHEA Grapalat" w:hAnsi="GHEA Grapalat"/>
          <w:sz w:val="22"/>
          <w:szCs w:val="22"/>
        </w:rPr>
      </w:pPr>
      <w:r w:rsidRPr="00C921DE">
        <w:rPr>
          <w:rFonts w:ascii="GHEA Grapalat" w:hAnsi="GHEA Grapalat"/>
          <w:sz w:val="22"/>
          <w:szCs w:val="22"/>
        </w:rPr>
        <w:t>ՌԴ տնտեսական աճը 2023 թվականին կազմել է 3.6%</w:t>
      </w:r>
      <w:r w:rsidRPr="00C921DE">
        <w:rPr>
          <w:rFonts w:ascii="GHEA Grapalat" w:hAnsi="GHEA Grapalat"/>
          <w:sz w:val="22"/>
          <w:szCs w:val="22"/>
          <w:vertAlign w:val="superscript"/>
          <w:lang w:val="en-US"/>
        </w:rPr>
        <w:footnoteReference w:id="9"/>
      </w:r>
      <w:r w:rsidRPr="00C921DE">
        <w:rPr>
          <w:rFonts w:ascii="GHEA Grapalat" w:hAnsi="GHEA Grapalat"/>
          <w:sz w:val="22"/>
          <w:szCs w:val="22"/>
        </w:rPr>
        <w:t>, ընդ որում</w:t>
      </w:r>
      <w:r w:rsidR="003D5A98" w:rsidRPr="00C921DE">
        <w:rPr>
          <w:rFonts w:ascii="GHEA Grapalat" w:hAnsi="GHEA Grapalat"/>
          <w:sz w:val="22"/>
          <w:szCs w:val="22"/>
          <w:lang w:val="en-US"/>
        </w:rPr>
        <w:t>,</w:t>
      </w:r>
      <w:r w:rsidRPr="00C921DE">
        <w:rPr>
          <w:rFonts w:ascii="GHEA Grapalat" w:hAnsi="GHEA Grapalat"/>
          <w:sz w:val="22"/>
          <w:szCs w:val="22"/>
        </w:rPr>
        <w:t xml:space="preserve"> առաջին եռամսյակում տնտեսական անկումը կազմել է -1.8%, իսկ հաջորդող ինն ամիսներին տնտեսական աճը կազմել է միջինում 5%` հիմնականում պայմանավորված մշակող արդյունաբերության, շինարարության, մեծածախ և մանրածախ առևտրի ոլորտների տնտեսական ակտիվությամբ:</w:t>
      </w:r>
    </w:p>
    <w:p w14:paraId="28EF41E5" w14:textId="539D2618" w:rsidR="00D74E95" w:rsidRPr="00C921DE" w:rsidRDefault="00D74E95" w:rsidP="00D74E95">
      <w:pPr>
        <w:spacing w:line="336" w:lineRule="auto"/>
        <w:ind w:firstLine="562"/>
        <w:jc w:val="both"/>
        <w:rPr>
          <w:rFonts w:ascii="GHEA Grapalat" w:hAnsi="GHEA Grapalat"/>
          <w:sz w:val="22"/>
          <w:szCs w:val="22"/>
        </w:rPr>
      </w:pPr>
      <w:r w:rsidRPr="00C921DE">
        <w:rPr>
          <w:rFonts w:ascii="GHEA Grapalat" w:hAnsi="GHEA Grapalat"/>
          <w:sz w:val="22"/>
          <w:szCs w:val="22"/>
        </w:rPr>
        <w:t>Առաջատար տնտեսությունների կենտրոնական բանկերի կողմից իրականացվող զսպող դրամավարկային քաղաքականության արդյունքում նկատվել է գնաճի տեմպերի դանդաղում, սակայն այն շարունակել է բարձր մնալ սահմանված թիրախներից: Մասնավորապես, ԱՄՆ-ում և Ռուսաստանում գնաճը շարունակել է մնալ թիրախից էականորեն բարձր մակարդակում, իսկ ԵԳ-ում տարեվերջին աստիճանաբար մոտեցել է սահմանված 2% թիրախին: Մինչդեռ Չինաստանում առաջին ինն ամիսներին գտնվել էր 3% թիրախից ներքև, իսկ վերջին եռամսյակում գնանկում է գրանցվել։</w:t>
      </w:r>
    </w:p>
    <w:p w14:paraId="4ECB4008" w14:textId="77777777" w:rsidR="00FE3A4C" w:rsidRPr="00C921DE" w:rsidRDefault="00FE3A4C" w:rsidP="00FE3A4C">
      <w:pPr>
        <w:ind w:firstLine="562"/>
        <w:jc w:val="both"/>
        <w:rPr>
          <w:rFonts w:ascii="GHEA Grapalat" w:hAnsi="GHEA Grapalat"/>
          <w:sz w:val="22"/>
          <w:szCs w:val="22"/>
        </w:rPr>
      </w:pPr>
    </w:p>
    <w:p w14:paraId="7DBFA868" w14:textId="7C8D65B0" w:rsidR="00D74E95" w:rsidRPr="00C921DE" w:rsidRDefault="00D74E95" w:rsidP="004C12B8">
      <w:pPr>
        <w:pStyle w:val="a"/>
      </w:pPr>
      <w:r w:rsidRPr="00C921DE">
        <w:t xml:space="preserve"> Գնաճն ու դրամավարկային քաղաքականության արձագանքը գործընկեր երկրներում </w:t>
      </w:r>
      <w:r w:rsidRPr="00C921DE">
        <w:rPr>
          <w:vertAlign w:val="superscript"/>
        </w:rPr>
        <w:footnoteReference w:id="10"/>
      </w:r>
    </w:p>
    <w:tbl>
      <w:tblPr>
        <w:tblW w:w="0" w:type="auto"/>
        <w:jc w:val="center"/>
        <w:tblLook w:val="04A0" w:firstRow="1" w:lastRow="0" w:firstColumn="1" w:lastColumn="0" w:noHBand="0" w:noVBand="1"/>
      </w:tblPr>
      <w:tblGrid>
        <w:gridCol w:w="10208"/>
      </w:tblGrid>
      <w:tr w:rsidR="00D74E95" w:rsidRPr="00C921DE" w14:paraId="4B3ECF83" w14:textId="77777777" w:rsidTr="000F4C56">
        <w:trPr>
          <w:jc w:val="center"/>
        </w:trPr>
        <w:tc>
          <w:tcPr>
            <w:tcW w:w="10529" w:type="dxa"/>
            <w:shd w:val="clear" w:color="auto" w:fill="auto"/>
          </w:tcPr>
          <w:p w14:paraId="3CACA327" w14:textId="77777777" w:rsidR="00D74E95" w:rsidRPr="00C921DE" w:rsidRDefault="00D74E95" w:rsidP="000F4C56">
            <w:pPr>
              <w:jc w:val="both"/>
              <w:rPr>
                <w:rFonts w:ascii="GHEA Grapalat" w:hAnsi="GHEA Grapalat"/>
                <w:b/>
                <w:sz w:val="22"/>
              </w:rPr>
            </w:pPr>
            <w:r w:rsidRPr="00C921DE">
              <w:rPr>
                <w:rFonts w:ascii="GHEA Grapalat" w:hAnsi="GHEA Grapalat"/>
                <w:b/>
                <w:sz w:val="22"/>
              </w:rPr>
              <w:t xml:space="preserve"> </w:t>
            </w:r>
            <w:r w:rsidRPr="00C921DE">
              <w:rPr>
                <w:rFonts w:ascii="GHEA Grapalat" w:hAnsi="GHEA Grapalat"/>
                <w:b/>
                <w:sz w:val="22"/>
                <w:lang w:val="en-US"/>
              </w:rPr>
              <w:drawing>
                <wp:inline distT="0" distB="0" distL="0" distR="0" wp14:anchorId="2B17B4EC" wp14:editId="14B3623D">
                  <wp:extent cx="3067050" cy="1789043"/>
                  <wp:effectExtent l="0" t="0" r="0" b="1905"/>
                  <wp:docPr id="19"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C921DE">
              <w:rPr>
                <w:rFonts w:ascii="GHEA Grapalat" w:hAnsi="GHEA Grapalat"/>
                <w:b/>
                <w:sz w:val="22"/>
              </w:rPr>
              <w:t xml:space="preserve"> </w:t>
            </w:r>
            <w:r w:rsidRPr="00C921DE">
              <w:rPr>
                <w:rFonts w:ascii="GHEA Grapalat" w:hAnsi="GHEA Grapalat"/>
                <w:b/>
                <w:sz w:val="22"/>
                <w:lang w:val="en-US"/>
              </w:rPr>
              <w:drawing>
                <wp:inline distT="0" distB="0" distL="0" distR="0" wp14:anchorId="4459F332" wp14:editId="7841F40D">
                  <wp:extent cx="2992755" cy="1780789"/>
                  <wp:effectExtent l="0" t="0" r="17145" b="10160"/>
                  <wp:docPr id="20"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FBF54C" w14:textId="77777777" w:rsidR="00D74E95" w:rsidRPr="00C921DE" w:rsidRDefault="00D74E95" w:rsidP="000F4C56">
            <w:pPr>
              <w:jc w:val="both"/>
              <w:rPr>
                <w:rFonts w:ascii="GHEA Grapalat" w:hAnsi="GHEA Grapalat"/>
                <w:b/>
                <w:sz w:val="22"/>
              </w:rPr>
            </w:pPr>
            <w:r w:rsidRPr="00C921DE">
              <w:rPr>
                <w:rFonts w:ascii="GHEA Grapalat" w:hAnsi="GHEA Grapalat"/>
                <w:b/>
                <w:sz w:val="22"/>
              </w:rPr>
              <w:t xml:space="preserve"> </w:t>
            </w:r>
            <w:r w:rsidRPr="00C921DE">
              <w:rPr>
                <w:rFonts w:ascii="GHEA Grapalat" w:hAnsi="GHEA Grapalat"/>
                <w:b/>
                <w:sz w:val="22"/>
                <w:lang w:val="en-US"/>
              </w:rPr>
              <w:drawing>
                <wp:inline distT="0" distB="0" distL="0" distR="0" wp14:anchorId="57D52C08" wp14:editId="28071CFA">
                  <wp:extent cx="6107430" cy="219710"/>
                  <wp:effectExtent l="0" t="0" r="7620" b="8890"/>
                  <wp:docPr id="21"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DFE2E30" w14:textId="77777777" w:rsidR="00D74E95" w:rsidRPr="00C921DE" w:rsidRDefault="00D74E95" w:rsidP="000F4C56">
            <w:pPr>
              <w:spacing w:line="360" w:lineRule="auto"/>
              <w:jc w:val="both"/>
              <w:rPr>
                <w:rFonts w:ascii="GHEA Grapalat" w:hAnsi="GHEA Grapalat"/>
                <w:i/>
                <w:sz w:val="22"/>
              </w:rPr>
            </w:pPr>
            <w:r w:rsidRPr="00C921DE">
              <w:rPr>
                <w:rFonts w:ascii="GHEA Grapalat" w:hAnsi="GHEA Grapalat"/>
                <w:i/>
                <w:sz w:val="18"/>
                <w:szCs w:val="22"/>
              </w:rPr>
              <w:t>Աղբյուրը՝ ԱՄՆ ԴՊՀ, ԵԿԲ, Չինաստանի ժողովրդական բանկ, ՌԴ ԿԲ</w:t>
            </w:r>
          </w:p>
        </w:tc>
      </w:tr>
    </w:tbl>
    <w:p w14:paraId="2E0A2FB8" w14:textId="32D0FC68" w:rsidR="00D74E95" w:rsidRPr="00C921DE" w:rsidRDefault="00D74E95" w:rsidP="00C9133B">
      <w:pPr>
        <w:spacing w:line="336" w:lineRule="auto"/>
        <w:ind w:firstLine="562"/>
        <w:jc w:val="both"/>
        <w:rPr>
          <w:rFonts w:ascii="GHEA Grapalat" w:hAnsi="GHEA Grapalat"/>
          <w:sz w:val="22"/>
          <w:szCs w:val="22"/>
        </w:rPr>
      </w:pPr>
      <w:r w:rsidRPr="00C921DE">
        <w:rPr>
          <w:rFonts w:ascii="GHEA Grapalat" w:hAnsi="GHEA Grapalat"/>
          <w:b/>
          <w:i/>
          <w:iCs/>
          <w:sz w:val="22"/>
        </w:rPr>
        <w:lastRenderedPageBreak/>
        <w:t>Միջազգային գներ</w:t>
      </w:r>
      <w:r w:rsidRPr="00C921DE">
        <w:rPr>
          <w:rFonts w:ascii="GHEA Grapalat" w:hAnsi="GHEA Grapalat"/>
          <w:b/>
          <w:i/>
          <w:iCs/>
          <w:sz w:val="22"/>
          <w:vertAlign w:val="superscript"/>
        </w:rPr>
        <w:footnoteReference w:id="11"/>
      </w:r>
      <w:r w:rsidRPr="00C921DE">
        <w:rPr>
          <w:rFonts w:ascii="GHEA Grapalat" w:hAnsi="GHEA Grapalat"/>
          <w:b/>
          <w:sz w:val="22"/>
        </w:rPr>
        <w:t>:</w:t>
      </w:r>
      <w:r w:rsidRPr="00C921DE">
        <w:rPr>
          <w:rFonts w:ascii="GHEA Grapalat" w:hAnsi="GHEA Grapalat"/>
          <w:sz w:val="22"/>
        </w:rPr>
        <w:t xml:space="preserve"> </w:t>
      </w:r>
      <w:r w:rsidRPr="00C921DE">
        <w:rPr>
          <w:rFonts w:ascii="GHEA Grapalat" w:hAnsi="GHEA Grapalat"/>
          <w:sz w:val="22"/>
          <w:szCs w:val="22"/>
        </w:rPr>
        <w:t>Համաշխարհային տնտեսության զարգացման թույլ տեմպերը, Չինաստանի տնտեսության աճի հեռանկարի հետ կապված անորոշությունները, դրամավարկային քաղաքականությունների խիստ պայմանների պահպանումը, շարունակվող աշխարհաքաղաքական առճակատումները և դրան</w:t>
      </w:r>
      <w:r w:rsidR="00C9133B" w:rsidRPr="00C921DE">
        <w:rPr>
          <w:rFonts w:ascii="GHEA Grapalat" w:hAnsi="GHEA Grapalat"/>
          <w:sz w:val="22"/>
          <w:szCs w:val="22"/>
          <w:lang w:val="en-US"/>
        </w:rPr>
        <w:t>ց</w:t>
      </w:r>
      <w:r w:rsidRPr="00C921DE">
        <w:rPr>
          <w:rFonts w:ascii="GHEA Grapalat" w:hAnsi="GHEA Grapalat"/>
          <w:sz w:val="22"/>
          <w:szCs w:val="22"/>
        </w:rPr>
        <w:t>ից բխող մատակարարման շղթաների խաթարումները ճնշումներ են գործադրել հումքային և պարենային ապրանքների միջազգային գների վրա։</w:t>
      </w:r>
      <w:r w:rsidR="00FE3A4C" w:rsidRPr="00C921DE">
        <w:rPr>
          <w:rFonts w:ascii="GHEA Grapalat" w:hAnsi="GHEA Grapalat"/>
          <w:sz w:val="22"/>
          <w:szCs w:val="22"/>
        </w:rPr>
        <w:t xml:space="preserve"> </w:t>
      </w:r>
      <w:r w:rsidRPr="00C921DE">
        <w:rPr>
          <w:rFonts w:ascii="GHEA Grapalat" w:hAnsi="GHEA Grapalat"/>
          <w:sz w:val="22"/>
          <w:szCs w:val="22"/>
        </w:rPr>
        <w:t>Նավթի միջազգային գինը 2023 թվականին կազմել է 83 ԱՄՆ դոլար մեկ բարելի դիմաց՝ նվազելով 17.2%-ով: 2023 թվականի առաջին կիսամյակում նավթի միջազգային գնի նվազումն առավելապես պայմանավորված էր թույլ պահանջարկով: Երկրորդ կիսամյակում, մասնավորապես, սեպտեմբերից մինչև դեկտեմբերի առաջին կես նավթի միջազգային գնի նվազման ուղղությամբ լրացուցիչ ճնշումները պայմանավորված են եղել ԱՄՆ-ից ռեկորդային արդյունահանմամբ և Ռուսաստանի կողմից նավթի կայուն արդյունահանմամբ և արտահանմամբ: Դեկտեմբերի երկրորդ կեսից մերձավորարևելյան հակամարտության սրացման արդյունքում գինն աճել է՝ կազմելով 78 ԱՄՆ դոլար մեկ բարելի դիմաց:</w:t>
      </w:r>
    </w:p>
    <w:p w14:paraId="44D15873" w14:textId="77777777" w:rsidR="008F37E4" w:rsidRPr="00C921DE" w:rsidRDefault="008F37E4" w:rsidP="00176CD4">
      <w:pPr>
        <w:ind w:firstLine="562"/>
        <w:jc w:val="both"/>
        <w:rPr>
          <w:rFonts w:ascii="GHEA Grapalat" w:hAnsi="GHEA Grapalat"/>
          <w:sz w:val="22"/>
          <w:szCs w:val="22"/>
        </w:rPr>
      </w:pPr>
    </w:p>
    <w:p w14:paraId="57D56A67" w14:textId="7F2732C7" w:rsidR="00D74E95" w:rsidRPr="00C921DE" w:rsidRDefault="008F37E4" w:rsidP="004C12B8">
      <w:pPr>
        <w:pStyle w:val="a"/>
      </w:pPr>
      <w:r w:rsidRPr="00C921DE">
        <w:t xml:space="preserve"> </w:t>
      </w:r>
      <w:r w:rsidR="00D74E95" w:rsidRPr="00C921DE">
        <w:t>Նավթի, մետաղների և պարենի գների զարգացումներ</w:t>
      </w:r>
      <w:r w:rsidR="00D74E95" w:rsidRPr="00C921DE">
        <w:rPr>
          <w:vertAlign w:val="superscript"/>
        </w:rPr>
        <w:footnoteReference w:id="12"/>
      </w:r>
    </w:p>
    <w:tbl>
      <w:tblPr>
        <w:tblW w:w="0" w:type="auto"/>
        <w:jc w:val="center"/>
        <w:tblLook w:val="04A0" w:firstRow="1" w:lastRow="0" w:firstColumn="1" w:lastColumn="0" w:noHBand="0" w:noVBand="1"/>
      </w:tblPr>
      <w:tblGrid>
        <w:gridCol w:w="4959"/>
        <w:gridCol w:w="5249"/>
      </w:tblGrid>
      <w:tr w:rsidR="00D74E95" w:rsidRPr="00C921DE" w14:paraId="21AD786F" w14:textId="77777777" w:rsidTr="000F4C56">
        <w:trPr>
          <w:trHeight w:val="113"/>
          <w:jc w:val="center"/>
        </w:trPr>
        <w:tc>
          <w:tcPr>
            <w:tcW w:w="4962" w:type="dxa"/>
            <w:shd w:val="clear" w:color="auto" w:fill="auto"/>
          </w:tcPr>
          <w:p w14:paraId="315FD2FA" w14:textId="77777777" w:rsidR="00D74E95" w:rsidRPr="00C921DE" w:rsidRDefault="00D74E95" w:rsidP="000F4C56">
            <w:pPr>
              <w:spacing w:line="259" w:lineRule="auto"/>
              <w:rPr>
                <w:rFonts w:ascii="GHEA Grapalat" w:eastAsia="Calibri" w:hAnsi="GHEA Grapalat"/>
                <w:sz w:val="22"/>
              </w:rPr>
            </w:pPr>
            <w:r w:rsidRPr="00C921DE">
              <w:rPr>
                <w:rFonts w:ascii="GHEA Grapalat" w:hAnsi="GHEA Grapalat"/>
                <w:b/>
                <w:color w:val="365F91" w:themeColor="accent1" w:themeShade="BF"/>
                <w:sz w:val="26"/>
                <w:szCs w:val="26"/>
                <w:lang w:val="en-US"/>
              </w:rPr>
              <w:drawing>
                <wp:inline distT="0" distB="0" distL="0" distR="0" wp14:anchorId="33EF7624" wp14:editId="40CB7832">
                  <wp:extent cx="3008630" cy="2600077"/>
                  <wp:effectExtent l="0" t="0" r="1270" b="1016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5293" w:type="dxa"/>
            <w:shd w:val="clear" w:color="auto" w:fill="auto"/>
          </w:tcPr>
          <w:p w14:paraId="442D8754" w14:textId="77777777" w:rsidR="00D74E95" w:rsidRPr="00C921DE" w:rsidRDefault="00D74E95" w:rsidP="000F4C56">
            <w:pPr>
              <w:spacing w:line="259" w:lineRule="auto"/>
              <w:rPr>
                <w:rFonts w:ascii="GHEA Grapalat" w:eastAsia="Calibri" w:hAnsi="GHEA Grapalat"/>
                <w:sz w:val="22"/>
              </w:rPr>
            </w:pPr>
            <w:r w:rsidRPr="00C921DE">
              <w:rPr>
                <w:rFonts w:ascii="GHEA Grapalat" w:hAnsi="GHEA Grapalat"/>
                <w:lang w:val="en-US"/>
              </w:rPr>
              <w:drawing>
                <wp:inline distT="0" distB="0" distL="0" distR="0" wp14:anchorId="410F3614" wp14:editId="50632CA1">
                  <wp:extent cx="3147060" cy="2608028"/>
                  <wp:effectExtent l="0" t="0" r="15240" b="190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D74E95" w:rsidRPr="00C921DE" w14:paraId="09F6D19B" w14:textId="77777777" w:rsidTr="000F4C56">
        <w:tblPrEx>
          <w:jc w:val="left"/>
        </w:tblPrEx>
        <w:trPr>
          <w:trHeight w:val="454"/>
        </w:trPr>
        <w:tc>
          <w:tcPr>
            <w:tcW w:w="4962" w:type="dxa"/>
            <w:shd w:val="clear" w:color="auto" w:fill="auto"/>
          </w:tcPr>
          <w:p w14:paraId="16F208C7" w14:textId="77777777" w:rsidR="00D74E95" w:rsidRPr="00C921DE" w:rsidRDefault="00D74E95" w:rsidP="000F4C56">
            <w:pPr>
              <w:rPr>
                <w:rFonts w:ascii="GHEA Grapalat" w:eastAsia="Calibri" w:hAnsi="GHEA Grapalat"/>
                <w:i/>
                <w:sz w:val="18"/>
                <w:szCs w:val="18"/>
              </w:rPr>
            </w:pPr>
            <w:r w:rsidRPr="00C921DE">
              <w:rPr>
                <w:rFonts w:ascii="GHEA Grapalat" w:eastAsia="Calibri" w:hAnsi="GHEA Grapalat"/>
                <w:i/>
                <w:sz w:val="18"/>
                <w:szCs w:val="18"/>
              </w:rPr>
              <w:t>Աղբյուրը՝ Համաշխարհային բանկ</w:t>
            </w:r>
          </w:p>
          <w:p w14:paraId="5E477496" w14:textId="77777777" w:rsidR="00D74E95" w:rsidRPr="00C921DE" w:rsidRDefault="00D74E95" w:rsidP="000F4C56">
            <w:pPr>
              <w:spacing w:line="259" w:lineRule="auto"/>
              <w:rPr>
                <w:rFonts w:ascii="GHEA Grapalat" w:eastAsia="Calibri" w:hAnsi="GHEA Grapalat"/>
                <w:sz w:val="18"/>
                <w:szCs w:val="18"/>
              </w:rPr>
            </w:pPr>
          </w:p>
        </w:tc>
        <w:tc>
          <w:tcPr>
            <w:tcW w:w="5293" w:type="dxa"/>
            <w:shd w:val="clear" w:color="auto" w:fill="auto"/>
          </w:tcPr>
          <w:p w14:paraId="76508477" w14:textId="77777777" w:rsidR="00D74E95" w:rsidRPr="00C921DE" w:rsidRDefault="00D74E95" w:rsidP="000F4C56">
            <w:pPr>
              <w:spacing w:line="259" w:lineRule="auto"/>
              <w:rPr>
                <w:rFonts w:ascii="GHEA Grapalat" w:eastAsia="Calibri" w:hAnsi="GHEA Grapalat"/>
                <w:i/>
                <w:sz w:val="18"/>
                <w:szCs w:val="18"/>
              </w:rPr>
            </w:pPr>
            <w:r w:rsidRPr="00C921DE">
              <w:rPr>
                <w:rFonts w:ascii="GHEA Grapalat" w:eastAsia="Calibri" w:hAnsi="GHEA Grapalat"/>
                <w:i/>
                <w:sz w:val="18"/>
                <w:szCs w:val="18"/>
              </w:rPr>
              <w:t>Աղբյուրը՝ ՄԱԿ–ի պարենի և գյուղատնտեսության կազմակերպություն</w:t>
            </w:r>
          </w:p>
        </w:tc>
      </w:tr>
    </w:tbl>
    <w:p w14:paraId="5CD3CAE6" w14:textId="77777777" w:rsidR="00D74E95" w:rsidRPr="00C921DE" w:rsidRDefault="00D74E95" w:rsidP="00D74E95">
      <w:pPr>
        <w:spacing w:line="120" w:lineRule="auto"/>
        <w:jc w:val="both"/>
        <w:rPr>
          <w:rFonts w:ascii="GHEA Grapalat" w:hAnsi="GHEA Grapalat"/>
          <w:sz w:val="22"/>
        </w:rPr>
      </w:pPr>
    </w:p>
    <w:p w14:paraId="492BDEBE" w14:textId="77777777" w:rsidR="006E24CE" w:rsidRPr="00C921DE" w:rsidRDefault="006E24CE" w:rsidP="00176CD4">
      <w:pPr>
        <w:ind w:firstLine="567"/>
        <w:jc w:val="both"/>
        <w:rPr>
          <w:rFonts w:ascii="GHEA Grapalat" w:hAnsi="GHEA Grapalat"/>
          <w:sz w:val="22"/>
        </w:rPr>
      </w:pPr>
    </w:p>
    <w:p w14:paraId="441BBE1C" w14:textId="40C10D66" w:rsidR="00D74E95" w:rsidRPr="00C921DE" w:rsidRDefault="00D74E95" w:rsidP="00D74E95">
      <w:pPr>
        <w:spacing w:line="336" w:lineRule="auto"/>
        <w:ind w:firstLine="567"/>
        <w:jc w:val="both"/>
        <w:rPr>
          <w:rFonts w:ascii="GHEA Grapalat" w:hAnsi="GHEA Grapalat"/>
          <w:sz w:val="22"/>
        </w:rPr>
      </w:pPr>
      <w:r w:rsidRPr="00C921DE">
        <w:rPr>
          <w:rFonts w:ascii="GHEA Grapalat" w:hAnsi="GHEA Grapalat"/>
          <w:sz w:val="22"/>
        </w:rPr>
        <w:t xml:space="preserve">2023 թվականին մետաղների միջազգային գնի նվազումը պայմանավորված էր Չինաստանի կողմից թույլ պահանջարկով: Արդյունքում, 2023 թվականին պղնձի համաշխարհային գինը 2022 թվականի նկատմամբ նվազել է 3.8%-ով՝ կազմելով 8490 ԱՄՆ դոլար, ինչին նպաստել են Չինաստանի անշարժ գույքի շուկայում ծագած խնդիրները, որոնք առավելապես դրսևորվել են երրորդ եռամսյակում: 2023 թվականին մոլիբդենի միջազգային գինը նախորդ տարվա նկատմամբ </w:t>
      </w:r>
      <w:r w:rsidRPr="00C921DE">
        <w:rPr>
          <w:rFonts w:ascii="GHEA Grapalat" w:hAnsi="GHEA Grapalat"/>
          <w:sz w:val="22"/>
        </w:rPr>
        <w:lastRenderedPageBreak/>
        <w:t>աճել է 34.9%-ով, որը որոշ չափով պայմանավորված էր մետաղի պաշարների նվազմամբ պայմանավորված առաջարկի կրճատմամբ: Ընդ որում, փետրվար ամսին գրանցվել է մոլիբդենի միջազգային գնի աննախադեպ բարձր մակարդակ՝ 1 տոննայի համար միջինում 96,121 ԱՄՆ դոլար, սակայն մարտ ամսից մոլիբդենի գինը նվազելով կայունացել է՝ դեկտեմբերին կազմելով 43,224 ԱՄՆ դոլար:</w:t>
      </w:r>
    </w:p>
    <w:p w14:paraId="4903CC9A" w14:textId="775908DE" w:rsidR="001C411D" w:rsidRPr="00C921DE" w:rsidRDefault="00D74E95" w:rsidP="00D74E95">
      <w:pPr>
        <w:spacing w:line="360" w:lineRule="auto"/>
        <w:ind w:firstLine="567"/>
        <w:jc w:val="both"/>
        <w:rPr>
          <w:rFonts w:ascii="GHEA Grapalat" w:hAnsi="GHEA Grapalat"/>
          <w:sz w:val="22"/>
          <w:szCs w:val="22"/>
          <w:lang w:val="en-US"/>
        </w:rPr>
      </w:pPr>
      <w:r w:rsidRPr="00C921DE">
        <w:rPr>
          <w:rFonts w:ascii="GHEA Grapalat" w:hAnsi="GHEA Grapalat"/>
          <w:sz w:val="22"/>
        </w:rPr>
        <w:t xml:space="preserve">Պարենային ապրանքների միջազգային գինը նախորդ տարվա նկատմամբ նվազել է 13.8%-ով՝ պայմանավորված </w:t>
      </w:r>
      <w:r w:rsidRPr="00C921DE">
        <w:rPr>
          <w:rFonts w:ascii="GHEA Grapalat" w:hAnsi="GHEA Grapalat"/>
          <w:sz w:val="22"/>
          <w:szCs w:val="22"/>
        </w:rPr>
        <w:t>որոշ ապրանքների (մսամթերք, կաթնամթերք, հացահատիկ, բուսական յուղեր) միջազգային գների նվազմամբ, ինչպես նաև դրամավարկային քաղաքականության բարձր տոկոսադրույքներով:</w:t>
      </w:r>
    </w:p>
    <w:p w14:paraId="31CCFB40" w14:textId="77777777" w:rsidR="001C411D" w:rsidRPr="00C921DE" w:rsidRDefault="001C411D" w:rsidP="00683FFF">
      <w:pPr>
        <w:ind w:firstLine="567"/>
        <w:jc w:val="both"/>
        <w:rPr>
          <w:rFonts w:ascii="GHEA Grapalat" w:hAnsi="GHEA Grapalat"/>
          <w:sz w:val="22"/>
          <w:szCs w:val="22"/>
          <w:lang w:val="en-US"/>
        </w:rPr>
      </w:pPr>
    </w:p>
    <w:p w14:paraId="5E45011B" w14:textId="77777777" w:rsidR="001C411D" w:rsidRPr="00C921DE" w:rsidRDefault="001C411D" w:rsidP="00F65EA5">
      <w:pPr>
        <w:pStyle w:val="Heading2"/>
        <w:ind w:firstLine="0"/>
        <w:rPr>
          <w:bCs/>
        </w:rPr>
      </w:pPr>
      <w:bookmarkStart w:id="81" w:name="_Toc100315620"/>
      <w:bookmarkStart w:id="82" w:name="_Toc71532744"/>
      <w:bookmarkStart w:id="83" w:name="_Toc163745449"/>
      <w:r w:rsidRPr="00C921DE">
        <w:rPr>
          <w:bCs/>
        </w:rPr>
        <w:t>ՀՀ մակրոտնտեսական զարգացումներ</w:t>
      </w:r>
      <w:bookmarkEnd w:id="81"/>
      <w:bookmarkEnd w:id="82"/>
      <w:bookmarkEnd w:id="83"/>
    </w:p>
    <w:p w14:paraId="18485E13" w14:textId="77777777" w:rsidR="001C411D" w:rsidRPr="00C921DE" w:rsidRDefault="001C411D" w:rsidP="00A07DCC">
      <w:pPr>
        <w:pStyle w:val="Heading6"/>
        <w:ind w:left="567"/>
        <w:rPr>
          <w:rFonts w:ascii="GHEA Grapalat" w:hAnsi="GHEA Grapalat"/>
          <w:b/>
          <w:sz w:val="22"/>
          <w:szCs w:val="22"/>
          <w:u w:val="none"/>
        </w:rPr>
      </w:pPr>
      <w:r w:rsidRPr="00C921DE">
        <w:rPr>
          <w:rFonts w:ascii="GHEA Grapalat" w:hAnsi="GHEA Grapalat"/>
          <w:b/>
          <w:sz w:val="22"/>
          <w:szCs w:val="22"/>
          <w:u w:val="none"/>
        </w:rPr>
        <w:t>Համախառն առաջարկ և պահանջարկ</w:t>
      </w:r>
    </w:p>
    <w:p w14:paraId="6AD1C731" w14:textId="30E03638" w:rsidR="008F37E4" w:rsidRPr="00C921DE" w:rsidRDefault="001C411D" w:rsidP="00DD709D">
      <w:pPr>
        <w:spacing w:line="336" w:lineRule="auto"/>
        <w:ind w:firstLine="567"/>
        <w:jc w:val="both"/>
        <w:rPr>
          <w:rFonts w:ascii="GHEA Grapalat" w:hAnsi="GHEA Grapalat"/>
          <w:sz w:val="22"/>
        </w:rPr>
      </w:pPr>
      <w:r w:rsidRPr="00C921DE">
        <w:rPr>
          <w:rFonts w:ascii="GHEA Grapalat" w:hAnsi="GHEA Grapalat" w:cs="GHEA Grapalat"/>
          <w:b/>
          <w:sz w:val="22"/>
          <w:szCs w:val="22"/>
        </w:rPr>
        <w:t xml:space="preserve">Համախառն առաջարկ: </w:t>
      </w:r>
      <w:r w:rsidR="008F37E4" w:rsidRPr="00C921DE">
        <w:rPr>
          <w:rFonts w:ascii="GHEA Grapalat" w:hAnsi="GHEA Grapalat"/>
          <w:sz w:val="22"/>
        </w:rPr>
        <w:t>2022 թվականի ՀՀ տնտեսության համար ձևավորված նպաստավոր արտաքին տնտեսական պայմանների դերի նվազման հետևանքով 2023 թվականին տնտեսական աճի տեմպը դանդաղել է, սակայն շարունակել է բարձր մնալ նոր գործոնների ազդեցությամբ: Մասնավորապես` տնտեսական աճի բարձր տեմպն իր վրա է կրել պետական բյուջեից կապիտալ ծախսերի և շարունակվող բնակարանաշինության բարձր աճերի ազդեցությունը, սեպտեմբերի վերջից Լեռնային Ղարաբաղից ՀՀ բռնի տեղահանված մեր հայրենակիցների տնտեսական ազդեցությունները, ինչպես նաև նոյեմբեր-դեկտեմբեր ամիսներին ոսկերչական արտադրատեսակ</w:t>
      </w:r>
      <w:r w:rsidR="00D15823" w:rsidRPr="00C921DE">
        <w:rPr>
          <w:rFonts w:ascii="GHEA Grapalat" w:hAnsi="GHEA Grapalat"/>
          <w:sz w:val="22"/>
        </w:rPr>
        <w:t>-</w:t>
      </w:r>
      <w:r w:rsidR="008F37E4" w:rsidRPr="00C921DE">
        <w:rPr>
          <w:rFonts w:ascii="GHEA Grapalat" w:hAnsi="GHEA Grapalat"/>
          <w:sz w:val="22"/>
        </w:rPr>
        <w:t>ների արտադրության կտրուկ աճի ազդեցությունը</w:t>
      </w:r>
      <w:r w:rsidR="00D15823" w:rsidRPr="00C921DE">
        <w:rPr>
          <w:rFonts w:ascii="GHEA Grapalat" w:hAnsi="GHEA Grapalat"/>
          <w:sz w:val="22"/>
        </w:rPr>
        <w:t>: Արդյունքում</w:t>
      </w:r>
      <w:r w:rsidR="008F37E4" w:rsidRPr="00C921DE">
        <w:rPr>
          <w:rFonts w:ascii="GHEA Grapalat" w:hAnsi="GHEA Grapalat"/>
          <w:sz w:val="22"/>
        </w:rPr>
        <w:t xml:space="preserve"> 2023 թվականին գրանցվել է ՀՆԱ-ի 8.7% իրական աճ: Տնտեսական աճը պայմանավորված է եղել հիմնականում ծառայությունների աճով՝ (նպաստումը՝ 6.1 տոկոսային կետ): Տնտեսության մյուս ճյուղերը ևս աճել են՝ նպաստելով տնտեսական աճին (շինարարություն՝ 1.1, արդյունաբերություն՝ 0.3 և գյուղատնտեսություն՝ 0.02</w:t>
      </w:r>
      <w:r w:rsidR="00FE3A4C" w:rsidRPr="00C921DE">
        <w:rPr>
          <w:rFonts w:ascii="GHEA Grapalat" w:hAnsi="GHEA Grapalat"/>
          <w:sz w:val="22"/>
        </w:rPr>
        <w:t xml:space="preserve"> </w:t>
      </w:r>
      <w:r w:rsidR="008F37E4" w:rsidRPr="00C921DE">
        <w:rPr>
          <w:rFonts w:ascii="GHEA Grapalat" w:hAnsi="GHEA Grapalat"/>
          <w:sz w:val="22"/>
        </w:rPr>
        <w:t>տոկոսային կետեր):</w:t>
      </w:r>
    </w:p>
    <w:tbl>
      <w:tblPr>
        <w:tblStyle w:val="TableGrid14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104"/>
      </w:tblGrid>
      <w:tr w:rsidR="008F37E4" w:rsidRPr="00C921DE" w14:paraId="1AC6FD64" w14:textId="77777777" w:rsidTr="000F4C56">
        <w:trPr>
          <w:trHeight w:val="3846"/>
        </w:trPr>
        <w:tc>
          <w:tcPr>
            <w:tcW w:w="5376" w:type="dxa"/>
          </w:tcPr>
          <w:p w14:paraId="0CD39765" w14:textId="0CA23842" w:rsidR="008F37E4" w:rsidRPr="00C921DE" w:rsidRDefault="008F37E4" w:rsidP="004C12B8">
            <w:pPr>
              <w:pStyle w:val="a"/>
              <w:rPr>
                <w:i/>
              </w:rPr>
            </w:pPr>
            <w:r w:rsidRPr="00C921DE">
              <w:lastRenderedPageBreak/>
              <w:t xml:space="preserve"> ՀՆԱ-ի իրական աճը (%) և նպաստումները (տ.կ.) նախորդ տարվա նկատմամբ</w:t>
            </w:r>
            <w:r w:rsidRPr="00C921DE">
              <w:rPr>
                <w:noProof/>
                <w:sz w:val="18"/>
              </w:rPr>
              <w:drawing>
                <wp:inline distT="0" distB="0" distL="0" distR="0" wp14:anchorId="2711F7F7" wp14:editId="37DB8201">
                  <wp:extent cx="3124200" cy="1882775"/>
                  <wp:effectExtent l="0" t="0" r="0" b="317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63A315" w14:textId="77777777" w:rsidR="008F37E4" w:rsidRPr="00C921DE" w:rsidRDefault="008F37E4" w:rsidP="000F4C56">
            <w:pPr>
              <w:tabs>
                <w:tab w:val="right" w:pos="0"/>
              </w:tabs>
              <w:spacing w:after="60" w:line="240" w:lineRule="auto"/>
              <w:contextualSpacing/>
              <w:rPr>
                <w:rStyle w:val="Char"/>
                <w:rFonts w:eastAsia="Arial Unicode MS"/>
              </w:rPr>
            </w:pPr>
            <w:r w:rsidRPr="00C921DE">
              <w:rPr>
                <w:rFonts w:ascii="GHEA Grapalat" w:hAnsi="GHEA Grapalat"/>
                <w:i/>
                <w:sz w:val="18"/>
                <w:szCs w:val="16"/>
              </w:rPr>
              <w:t>Աղբյուրը՝ ՀՀ ՎԿ, ՀՀ ՖՆ հաշվարկներ</w:t>
            </w:r>
          </w:p>
        </w:tc>
        <w:tc>
          <w:tcPr>
            <w:tcW w:w="5187" w:type="dxa"/>
          </w:tcPr>
          <w:p w14:paraId="0574289C" w14:textId="13EC4EB1" w:rsidR="008F37E4" w:rsidRPr="00C921DE" w:rsidRDefault="0039670C" w:rsidP="004C12B8">
            <w:pPr>
              <w:pStyle w:val="a"/>
              <w:rPr>
                <w:sz w:val="16"/>
                <w:szCs w:val="16"/>
              </w:rPr>
            </w:pPr>
            <w:r w:rsidRPr="00C921DE">
              <w:t xml:space="preserve"> </w:t>
            </w:r>
            <w:r w:rsidR="008F37E4" w:rsidRPr="00C921DE">
              <w:t>ՀՆԱ-ի կառուցվածքը (%)</w:t>
            </w:r>
            <w:r w:rsidR="008F37E4" w:rsidRPr="00C921DE">
              <w:rPr>
                <w:sz w:val="16"/>
                <w:szCs w:val="16"/>
              </w:rPr>
              <w:t xml:space="preserve"> </w:t>
            </w:r>
          </w:p>
          <w:p w14:paraId="5446A331" w14:textId="77777777" w:rsidR="008F37E4" w:rsidRPr="00C921DE" w:rsidRDefault="008F37E4" w:rsidP="00DB19B6">
            <w:pPr>
              <w:tabs>
                <w:tab w:val="right" w:pos="0"/>
              </w:tabs>
              <w:spacing w:after="0" w:line="360" w:lineRule="auto"/>
              <w:rPr>
                <w:rFonts w:ascii="GHEA Grapalat" w:hAnsi="GHEA Grapalat" w:cs="Sylfaen"/>
                <w:i/>
                <w:sz w:val="16"/>
                <w:szCs w:val="16"/>
              </w:rPr>
            </w:pPr>
          </w:p>
          <w:p w14:paraId="34EF6352" w14:textId="77777777" w:rsidR="008F37E4" w:rsidRPr="00C921DE" w:rsidRDefault="008F37E4" w:rsidP="000F4C56">
            <w:pPr>
              <w:tabs>
                <w:tab w:val="right" w:pos="0"/>
              </w:tabs>
              <w:spacing w:after="0" w:line="240" w:lineRule="auto"/>
              <w:rPr>
                <w:rFonts w:ascii="GHEA Grapalat" w:hAnsi="GHEA Grapalat" w:cs="Sylfaen"/>
                <w:i/>
                <w:sz w:val="16"/>
                <w:szCs w:val="16"/>
              </w:rPr>
            </w:pPr>
          </w:p>
          <w:p w14:paraId="56E36B67" w14:textId="77777777" w:rsidR="008F37E4" w:rsidRPr="00C921DE" w:rsidRDefault="008F37E4" w:rsidP="000F4C56">
            <w:pPr>
              <w:tabs>
                <w:tab w:val="right" w:pos="0"/>
              </w:tabs>
              <w:spacing w:before="120" w:after="60" w:line="240" w:lineRule="auto"/>
              <w:contextualSpacing/>
              <w:rPr>
                <w:rFonts w:ascii="GHEA Grapalat" w:hAnsi="GHEA Grapalat" w:cs="Sylfaen"/>
                <w:i/>
                <w:sz w:val="16"/>
                <w:szCs w:val="16"/>
              </w:rPr>
            </w:pPr>
            <w:r w:rsidRPr="00C921DE">
              <w:rPr>
                <w:rFonts w:ascii="GHEA Grapalat" w:hAnsi="GHEA Grapalat"/>
                <w:sz w:val="16"/>
                <w:szCs w:val="16"/>
                <w:lang w:val="en-US"/>
              </w:rPr>
              <w:drawing>
                <wp:inline distT="0" distB="0" distL="0" distR="0" wp14:anchorId="1B927594" wp14:editId="240BD091">
                  <wp:extent cx="3124200" cy="1882800"/>
                  <wp:effectExtent l="0" t="0" r="0" b="317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9C2868" w14:textId="77777777" w:rsidR="008F37E4" w:rsidRPr="00C921DE" w:rsidRDefault="008F37E4" w:rsidP="000F4C56">
            <w:pPr>
              <w:tabs>
                <w:tab w:val="right" w:pos="0"/>
              </w:tabs>
              <w:spacing w:before="120" w:after="60"/>
              <w:contextualSpacing/>
              <w:rPr>
                <w:rStyle w:val="Char"/>
                <w:rFonts w:eastAsia="Arial Unicode MS"/>
              </w:rPr>
            </w:pPr>
            <w:r w:rsidRPr="00C921DE">
              <w:rPr>
                <w:rFonts w:ascii="GHEA Grapalat" w:hAnsi="GHEA Grapalat"/>
                <w:i/>
                <w:sz w:val="18"/>
                <w:szCs w:val="16"/>
              </w:rPr>
              <w:t>Աղբյուրը՝ ՀՀ ՎԿ, ՀՀ ՖՆ հաշվարկներ</w:t>
            </w:r>
          </w:p>
        </w:tc>
      </w:tr>
    </w:tbl>
    <w:p w14:paraId="345F9E7A" w14:textId="77777777" w:rsidR="0039670C" w:rsidRPr="00C921DE" w:rsidRDefault="0039670C" w:rsidP="0039670C">
      <w:pPr>
        <w:spacing w:line="336" w:lineRule="auto"/>
        <w:ind w:firstLine="547"/>
        <w:jc w:val="both"/>
        <w:rPr>
          <w:rFonts w:ascii="GHEA Grapalat" w:eastAsia="GHEA Grapalat" w:hAnsi="GHEA Grapalat" w:cs="GHEA Grapalat"/>
          <w:b/>
          <w:sz w:val="22"/>
          <w:szCs w:val="22"/>
        </w:rPr>
      </w:pPr>
    </w:p>
    <w:p w14:paraId="5EF3B679" w14:textId="696DF63C" w:rsidR="008F37E4" w:rsidRPr="00C921DE" w:rsidRDefault="008F37E4" w:rsidP="00DD709D">
      <w:pPr>
        <w:spacing w:line="336" w:lineRule="auto"/>
        <w:ind w:firstLine="567"/>
        <w:jc w:val="both"/>
        <w:rPr>
          <w:rFonts w:ascii="GHEA Grapalat" w:hAnsi="GHEA Grapalat"/>
          <w:sz w:val="22"/>
        </w:rPr>
      </w:pPr>
      <w:r w:rsidRPr="00C921DE">
        <w:rPr>
          <w:rFonts w:ascii="GHEA Grapalat" w:hAnsi="GHEA Grapalat"/>
          <w:sz w:val="22"/>
        </w:rPr>
        <w:t xml:space="preserve">2023 թվականին նախորդ տարվա համեմատ գրանցվել է տնտեսական ակտիվության ցուցանիշի (ՏԱՑ) 9.4% աճ (Գծապատկերներ 3-6)։ Տնտեսական ակտիվության աճը հիմնականում պայմանավորված էր ծառայությունների և առևտրի աճերով </w:t>
      </w:r>
      <w:r w:rsidR="0039670C" w:rsidRPr="00C921DE">
        <w:rPr>
          <w:rFonts w:ascii="GHEA Grapalat" w:hAnsi="GHEA Grapalat"/>
          <w:sz w:val="22"/>
        </w:rPr>
        <w:t>(նպաստումները` համապատասխանաբար</w:t>
      </w:r>
      <w:r w:rsidRPr="00C921DE">
        <w:rPr>
          <w:rFonts w:ascii="GHEA Grapalat" w:hAnsi="GHEA Grapalat"/>
          <w:sz w:val="22"/>
        </w:rPr>
        <w:t xml:space="preserve"> 3.8 և 3.3 տոկոսային կետեր): Շինարարության և արդյունաբերության աճերը ևս նպաստել են տնտեսական ակտիվությանը (համապատասխանաբար՝ 1.1 և 0.8 տոկոսային կետեր): Մինչդեռ գյուղատնտեսության (ներառյալ՝ անտառային տնտեսություն և ձկնորսություն) թողարկում</w:t>
      </w:r>
      <w:r w:rsidR="00F62239" w:rsidRPr="00C921DE">
        <w:rPr>
          <w:rFonts w:ascii="GHEA Grapalat" w:hAnsi="GHEA Grapalat"/>
          <w:sz w:val="22"/>
        </w:rPr>
        <w:t>ն</w:t>
      </w:r>
      <w:r w:rsidRPr="00C921DE">
        <w:rPr>
          <w:rFonts w:ascii="GHEA Grapalat" w:hAnsi="GHEA Grapalat"/>
          <w:sz w:val="22"/>
        </w:rPr>
        <w:t xml:space="preserve"> ունեցել է զրոյական աճ:</w:t>
      </w:r>
    </w:p>
    <w:p w14:paraId="46AC354B" w14:textId="032BBD62" w:rsidR="008F37E4" w:rsidRPr="00C921DE" w:rsidRDefault="008F37E4" w:rsidP="00DD709D">
      <w:pPr>
        <w:spacing w:line="336" w:lineRule="auto"/>
        <w:ind w:firstLine="567"/>
        <w:jc w:val="both"/>
        <w:rPr>
          <w:rFonts w:ascii="GHEA Grapalat" w:hAnsi="GHEA Grapalat"/>
          <w:sz w:val="22"/>
        </w:rPr>
      </w:pPr>
      <w:r w:rsidRPr="00C921DE">
        <w:rPr>
          <w:rFonts w:ascii="GHEA Grapalat" w:hAnsi="GHEA Grapalat"/>
          <w:sz w:val="22"/>
        </w:rPr>
        <w:t>Տնտեսական զարգացումներին իր դրական նպաստումն է շարունակել ունենալ բնակարանային շինարարության ոլորտի բարձր աշխուժությունը, որին նպաստել է հի</w:t>
      </w:r>
      <w:r w:rsidR="00F62239" w:rsidRPr="00C921DE">
        <w:rPr>
          <w:rFonts w:ascii="GHEA Grapalat" w:hAnsi="GHEA Grapalat"/>
          <w:sz w:val="22"/>
        </w:rPr>
        <w:t>պոտեկ</w:t>
      </w:r>
      <w:r w:rsidRPr="00C921DE">
        <w:rPr>
          <w:rFonts w:ascii="GHEA Grapalat" w:hAnsi="GHEA Grapalat"/>
          <w:sz w:val="22"/>
        </w:rPr>
        <w:t>ային վարկերի տոկոսավճարների</w:t>
      </w:r>
      <w:r w:rsidR="00F62239" w:rsidRPr="00C921DE">
        <w:rPr>
          <w:rFonts w:ascii="GHEA Grapalat" w:hAnsi="GHEA Grapalat"/>
          <w:sz w:val="22"/>
        </w:rPr>
        <w:t>՝</w:t>
      </w:r>
      <w:r w:rsidRPr="00C921DE">
        <w:rPr>
          <w:rFonts w:ascii="GHEA Grapalat" w:hAnsi="GHEA Grapalat"/>
          <w:sz w:val="22"/>
        </w:rPr>
        <w:t xml:space="preserve"> եկամտահարկից վերադարձման պետական աջակցության ծրագիրը, ծրագրի</w:t>
      </w:r>
      <w:r w:rsidR="00F62239" w:rsidRPr="00C921DE">
        <w:rPr>
          <w:rFonts w:ascii="GHEA Grapalat" w:hAnsi="GHEA Grapalat"/>
          <w:sz w:val="22"/>
        </w:rPr>
        <w:t>՝</w:t>
      </w:r>
      <w:r w:rsidRPr="00C921DE">
        <w:rPr>
          <w:rFonts w:ascii="GHEA Grapalat" w:hAnsi="GHEA Grapalat"/>
          <w:sz w:val="22"/>
        </w:rPr>
        <w:t xml:space="preserve"> աստիճանական Երևան քաղաքից դուրսբերման մասով կատարված օրենսդրական փոփոխությունները՝ ձևավորելով նորակառույց բնակարանների նկատմամբ բարձր պահանջարկ: </w:t>
      </w:r>
    </w:p>
    <w:p w14:paraId="57856951" w14:textId="3B5A7F2F" w:rsidR="008F37E4" w:rsidRPr="00C921DE" w:rsidRDefault="008F37E4" w:rsidP="00DD709D">
      <w:pPr>
        <w:spacing w:line="336" w:lineRule="auto"/>
        <w:ind w:firstLine="567"/>
        <w:jc w:val="both"/>
        <w:rPr>
          <w:rFonts w:ascii="GHEA Grapalat" w:hAnsi="GHEA Grapalat"/>
          <w:sz w:val="22"/>
        </w:rPr>
      </w:pPr>
      <w:r w:rsidRPr="00C921DE">
        <w:rPr>
          <w:rFonts w:ascii="GHEA Grapalat" w:hAnsi="GHEA Grapalat"/>
          <w:sz w:val="22"/>
        </w:rPr>
        <w:t>Սեպտեմբերի 19-ին Լեռնային Ղարաբաղի բնակչության դեմ Ադրբեջանի կողմից սանձազերծված ռազմական գործողությունների և դրան հաջորդած ԼՂ բնակչության դեպի ՀՀ բռնի տեղահանման արդյունքում ձևավորվել է լրացուցիչ պահանջարկ՝ դրական ազդեցություն ունենալով</w:t>
      </w:r>
      <w:r w:rsidR="00FE3A4C" w:rsidRPr="00C921DE">
        <w:rPr>
          <w:rFonts w:ascii="GHEA Grapalat" w:hAnsi="GHEA Grapalat"/>
          <w:sz w:val="22"/>
        </w:rPr>
        <w:t xml:space="preserve"> </w:t>
      </w:r>
      <w:r w:rsidRPr="00C921DE">
        <w:rPr>
          <w:rFonts w:ascii="GHEA Grapalat" w:hAnsi="GHEA Grapalat"/>
          <w:sz w:val="22"/>
        </w:rPr>
        <w:t>տնտեսական զարգացումների վրա։</w:t>
      </w:r>
    </w:p>
    <w:p w14:paraId="342637EC" w14:textId="2ABF1CE3" w:rsidR="008F37E4" w:rsidRPr="00C921DE" w:rsidRDefault="008F37E4" w:rsidP="00DD709D">
      <w:pPr>
        <w:spacing w:line="336" w:lineRule="auto"/>
        <w:ind w:firstLine="567"/>
        <w:jc w:val="both"/>
        <w:rPr>
          <w:rFonts w:ascii="GHEA Grapalat" w:hAnsi="GHEA Grapalat"/>
          <w:sz w:val="22"/>
        </w:rPr>
      </w:pPr>
      <w:r w:rsidRPr="00C921DE">
        <w:rPr>
          <w:rFonts w:ascii="GHEA Grapalat" w:eastAsia="GHEA Grapalat" w:hAnsi="GHEA Grapalat" w:cs="GHEA Grapalat"/>
          <w:b/>
          <w:i/>
          <w:iCs/>
          <w:sz w:val="22"/>
          <w:szCs w:val="22"/>
        </w:rPr>
        <w:t>Արդյունաբերություն</w:t>
      </w:r>
      <w:r w:rsidRPr="00C921DE">
        <w:rPr>
          <w:rFonts w:ascii="GHEA Grapalat" w:eastAsia="GHEA Grapalat" w:hAnsi="GHEA Grapalat" w:cs="GHEA Grapalat"/>
          <w:b/>
          <w:bCs/>
          <w:i/>
          <w:sz w:val="22"/>
          <w:szCs w:val="22"/>
          <w:vertAlign w:val="superscript"/>
        </w:rPr>
        <w:footnoteReference w:id="13"/>
      </w:r>
      <w:r w:rsidRPr="00C921DE">
        <w:rPr>
          <w:rFonts w:ascii="GHEA Grapalat" w:eastAsia="GHEA Grapalat" w:hAnsi="GHEA Grapalat" w:cs="GHEA Grapalat"/>
          <w:b/>
          <w:i/>
          <w:iCs/>
          <w:sz w:val="22"/>
          <w:szCs w:val="22"/>
        </w:rPr>
        <w:t>։</w:t>
      </w:r>
      <w:r w:rsidRPr="00C921DE">
        <w:rPr>
          <w:rFonts w:ascii="GHEA Grapalat" w:eastAsia="GHEA Grapalat" w:hAnsi="GHEA Grapalat" w:cs="GHEA Grapalat"/>
          <w:b/>
          <w:sz w:val="22"/>
          <w:szCs w:val="22"/>
        </w:rPr>
        <w:t xml:space="preserve"> </w:t>
      </w:r>
      <w:r w:rsidRPr="00C921DE">
        <w:rPr>
          <w:rFonts w:ascii="GHEA Grapalat" w:hAnsi="GHEA Grapalat"/>
          <w:sz w:val="22"/>
        </w:rPr>
        <w:t>Արդյունաբերության ճյուղում գրանցվել է 4.1% թողարկման աճ՝ պայմանավորված հիմ</w:t>
      </w:r>
      <w:r w:rsidR="00C451C7" w:rsidRPr="00C921DE">
        <w:rPr>
          <w:rFonts w:ascii="GHEA Grapalat" w:hAnsi="GHEA Grapalat"/>
          <w:sz w:val="22"/>
          <w:lang w:val="en-US"/>
        </w:rPr>
        <w:t>ն</w:t>
      </w:r>
      <w:r w:rsidRPr="00C921DE">
        <w:rPr>
          <w:rFonts w:ascii="GHEA Grapalat" w:hAnsi="GHEA Grapalat"/>
          <w:sz w:val="22"/>
        </w:rPr>
        <w:t xml:space="preserve">ականում մշակող արդյունաբերության աճով (նպաստումը՝ 4.5 տոկոսային կետ): Միաժամանակ, հանքագործական արդյունաբերություն և բացահանքերի շահագործում ենթաճյուղը նվազել է՝ հակազդելով արդյունաբերության ճյուղի աճին (նպաստումը՝ 1.2 տոկոսային </w:t>
      </w:r>
      <w:r w:rsidRPr="00C921DE">
        <w:rPr>
          <w:rFonts w:ascii="GHEA Grapalat" w:hAnsi="GHEA Grapalat"/>
          <w:sz w:val="22"/>
        </w:rPr>
        <w:lastRenderedPageBreak/>
        <w:t>կետ): Ենթաճյուղի նվազումը հիմնականում պայմանավորված է եղել մետաղական հանքաքարի արդյունահանման նվազմամբ, որի հիմնական պատճառներից է հանդիսացել Սոթքի հանքի շահագործման դադարեցումը:</w:t>
      </w:r>
      <w:r w:rsidR="00FE3A4C" w:rsidRPr="00C921DE">
        <w:rPr>
          <w:rFonts w:ascii="GHEA Grapalat" w:hAnsi="GHEA Grapalat"/>
          <w:sz w:val="22"/>
        </w:rPr>
        <w:t xml:space="preserve"> </w:t>
      </w:r>
    </w:p>
    <w:p w14:paraId="393C1700" w14:textId="15EAA5C0" w:rsidR="008F37E4" w:rsidRPr="00C921DE" w:rsidRDefault="008F37E4" w:rsidP="00DD709D">
      <w:pPr>
        <w:spacing w:line="336" w:lineRule="auto"/>
        <w:ind w:firstLine="567"/>
        <w:jc w:val="both"/>
        <w:rPr>
          <w:rFonts w:ascii="GHEA Grapalat" w:hAnsi="GHEA Grapalat"/>
          <w:sz w:val="22"/>
        </w:rPr>
      </w:pPr>
      <w:r w:rsidRPr="00C921DE">
        <w:rPr>
          <w:rFonts w:ascii="GHEA Grapalat" w:hAnsi="GHEA Grapalat"/>
          <w:sz w:val="22"/>
        </w:rPr>
        <w:t>Մշակող արդյունաբերության աճին նպաստել է ինչպես արտաքին, այնպես էլ ներքին պահանջարկի աճը: Ենթաճյուղի աճը հիմնականում պայմանավորված է եղել ոսկերչական (նպաստումը` 9.0 տոկոսային կետ) և ծխախոտային (նպաստումը` 1.3 տոկոսային կետ) արտադրատեսակների արտադրության, ինչպես նաև պոլիգրաֆիական գործունեության (նպաստումը` 1.0 տոկոսային կետ) աճերով: Ընդ որում</w:t>
      </w:r>
      <w:r w:rsidR="003D5A98" w:rsidRPr="00C921DE">
        <w:rPr>
          <w:rFonts w:ascii="GHEA Grapalat" w:hAnsi="GHEA Grapalat"/>
          <w:sz w:val="22"/>
          <w:lang w:val="en-US"/>
        </w:rPr>
        <w:t>,</w:t>
      </w:r>
      <w:r w:rsidRPr="00C921DE">
        <w:rPr>
          <w:rFonts w:ascii="GHEA Grapalat" w:hAnsi="GHEA Grapalat"/>
          <w:sz w:val="22"/>
        </w:rPr>
        <w:t xml:space="preserve"> մշակող արդյունաբերության</w:t>
      </w:r>
      <w:r w:rsidR="00DD709D" w:rsidRPr="00C921DE">
        <w:rPr>
          <w:rFonts w:ascii="GHEA Grapalat" w:hAnsi="GHEA Grapalat"/>
          <w:sz w:val="22"/>
          <w:lang w:val="en-US"/>
        </w:rPr>
        <w:t>՝</w:t>
      </w:r>
      <w:r w:rsidRPr="00C921DE">
        <w:rPr>
          <w:rFonts w:ascii="GHEA Grapalat" w:hAnsi="GHEA Grapalat"/>
          <w:sz w:val="22"/>
        </w:rPr>
        <w:t xml:space="preserve"> հունիս ամսից նկատվող նվազման միտումը հոկտեմբերից փոխվել է աճի ուղղությամբ՝ կտրուկ արագանալով նոյեմբեր-դեկտեմբեր ամիսներին (միջինում՝ 30.6% աճ), որն էլ իր հերթին պայմանավորված է եղել ոսկերչական արտադրատեսակների արտադրության կտրուկ աճով (նոյեմբեր-դեկտեմբեր ամիսներին՝ միջինում 11.6 անգամ): Մշակող արդյունաբերության աճին հիմնականում հակազդել են հիմնային մետաղնե</w:t>
      </w:r>
      <w:r w:rsidR="00DD709D" w:rsidRPr="00C921DE">
        <w:rPr>
          <w:rFonts w:ascii="GHEA Grapalat" w:hAnsi="GHEA Grapalat"/>
          <w:sz w:val="22"/>
        </w:rPr>
        <w:t>րի և սննդամթերքի արտադրությունը</w:t>
      </w:r>
      <w:r w:rsidRPr="00C921DE">
        <w:rPr>
          <w:rFonts w:ascii="GHEA Grapalat" w:hAnsi="GHEA Grapalat"/>
          <w:sz w:val="22"/>
        </w:rPr>
        <w:t xml:space="preserve"> (նպաստումը` </w:t>
      </w:r>
      <w:r w:rsidR="00DD709D" w:rsidRPr="00C921DE">
        <w:rPr>
          <w:rFonts w:ascii="GHEA Grapalat" w:hAnsi="GHEA Grapalat"/>
          <w:sz w:val="22"/>
        </w:rPr>
        <w:t>համապատասխանաբար</w:t>
      </w:r>
      <w:r w:rsidRPr="00C921DE">
        <w:rPr>
          <w:rFonts w:ascii="GHEA Grapalat" w:hAnsi="GHEA Grapalat"/>
          <w:sz w:val="22"/>
        </w:rPr>
        <w:t xml:space="preserve"> 2.5 և 2.0 տոկոսային կետեր)՝ պայմանավորված հիմնականում Սոթքի հանքի շահագործման դադարեցմամբ, դրամի արժևորմամբ, ինչպես նաև Լարսի անցակետի բնականոն գոր</w:t>
      </w:r>
      <w:r w:rsidR="00DD709D" w:rsidRPr="00C921DE">
        <w:rPr>
          <w:rFonts w:ascii="GHEA Grapalat" w:hAnsi="GHEA Grapalat"/>
          <w:sz w:val="22"/>
        </w:rPr>
        <w:t>ծունեության պարբերական խաթարում</w:t>
      </w:r>
      <w:r w:rsidRPr="00C921DE">
        <w:rPr>
          <w:rFonts w:ascii="GHEA Grapalat" w:hAnsi="GHEA Grapalat"/>
          <w:sz w:val="22"/>
        </w:rPr>
        <w:t>ներով:</w:t>
      </w:r>
    </w:p>
    <w:p w14:paraId="514B32AA" w14:textId="197040DC" w:rsidR="008F37E4" w:rsidRPr="00C921DE" w:rsidRDefault="008F37E4" w:rsidP="008F37E4">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GHEA Grapalat"/>
          <w:b/>
          <w:i/>
          <w:iCs/>
          <w:sz w:val="22"/>
          <w:szCs w:val="22"/>
        </w:rPr>
        <w:t>Գյուղատնտեսություն։</w:t>
      </w:r>
      <w:r w:rsidRPr="00C921DE">
        <w:rPr>
          <w:rFonts w:ascii="GHEA Grapalat" w:eastAsia="GHEA Grapalat" w:hAnsi="GHEA Grapalat" w:cs="GHEA Grapalat"/>
          <w:b/>
          <w:sz w:val="22"/>
          <w:szCs w:val="22"/>
        </w:rPr>
        <w:t xml:space="preserve"> </w:t>
      </w:r>
      <w:r w:rsidRPr="00C921DE">
        <w:rPr>
          <w:rFonts w:ascii="GHEA Grapalat" w:eastAsia="GHEA Grapalat" w:hAnsi="GHEA Grapalat" w:cs="GHEA Grapalat"/>
          <w:bCs/>
          <w:sz w:val="22"/>
          <w:szCs w:val="22"/>
        </w:rPr>
        <w:t>Գյուղատնտեսության, անտառային տնտեսության և ձկնորսության համախառն արտադրանքի իրական մակարդակի փոփոխություն տեղի չի ունեցել</w:t>
      </w:r>
      <w:r w:rsidRPr="00C921DE">
        <w:rPr>
          <w:rStyle w:val="FootnoteReference"/>
          <w:rFonts w:ascii="GHEA Grapalat" w:eastAsia="GHEA Grapalat" w:hAnsi="GHEA Grapalat" w:cs="GHEA Grapalat"/>
          <w:sz w:val="22"/>
          <w:szCs w:val="22"/>
        </w:rPr>
        <w:footnoteReference w:id="14"/>
      </w:r>
      <w:r w:rsidRPr="00C921DE">
        <w:rPr>
          <w:rFonts w:ascii="GHEA Grapalat" w:eastAsia="GHEA Grapalat" w:hAnsi="GHEA Grapalat" w:cs="GHEA Grapalat"/>
          <w:bCs/>
          <w:sz w:val="22"/>
          <w:szCs w:val="22"/>
        </w:rPr>
        <w:t>:</w:t>
      </w:r>
      <w:r w:rsidRPr="00C921DE">
        <w:rPr>
          <w:rFonts w:ascii="GHEA Grapalat" w:eastAsia="GHEA Grapalat" w:hAnsi="GHEA Grapalat" w:cs="GHEA Grapalat"/>
          <w:sz w:val="22"/>
          <w:szCs w:val="22"/>
        </w:rPr>
        <w:t xml:space="preserve"> Ճյուղին հիմնականում նպաստել է բուսաբուծության աճը (նպաստումը` 1.3 տոկոսային կետ): </w:t>
      </w:r>
      <w:r w:rsidRPr="00C921DE">
        <w:rPr>
          <w:rFonts w:ascii="GHEA Grapalat" w:eastAsia="GHEA Grapalat" w:hAnsi="GHEA Grapalat" w:cs="Sylfaen"/>
          <w:sz w:val="22"/>
          <w:szCs w:val="22"/>
        </w:rPr>
        <w:t>Բուսաբուծության աճն իր հերթին պայմանավորված է եղել հացահատիկի և հատիկաընդեղենի, պտղի և հատապտղի, ինչպես նաև կարտոֆիլի բերքի աճով։ Միաժամանակ անասնաբուծության նվազումը բացասաբար է ազդել ճյուղի</w:t>
      </w:r>
      <w:r w:rsidR="00A2127A" w:rsidRPr="00C921DE">
        <w:rPr>
          <w:rFonts w:ascii="GHEA Grapalat" w:eastAsia="GHEA Grapalat" w:hAnsi="GHEA Grapalat" w:cs="Sylfaen"/>
          <w:sz w:val="22"/>
          <w:szCs w:val="22"/>
          <w:lang w:val="en-US"/>
        </w:rPr>
        <w:t xml:space="preserve"> վրա</w:t>
      </w:r>
      <w:r w:rsidRPr="00C921DE">
        <w:rPr>
          <w:rFonts w:ascii="GHEA Grapalat" w:eastAsia="GHEA Grapalat" w:hAnsi="GHEA Grapalat" w:cs="Sylfaen"/>
          <w:sz w:val="22"/>
          <w:szCs w:val="22"/>
        </w:rPr>
        <w:t xml:space="preserve"> </w:t>
      </w:r>
      <w:r w:rsidRPr="00C921DE">
        <w:rPr>
          <w:rFonts w:ascii="GHEA Grapalat" w:eastAsia="GHEA Grapalat" w:hAnsi="GHEA Grapalat" w:cs="GHEA Grapalat"/>
          <w:sz w:val="22"/>
          <w:szCs w:val="22"/>
        </w:rPr>
        <w:t xml:space="preserve">(բացասական նպաստումը` </w:t>
      </w:r>
      <w:r w:rsidRPr="00C921DE">
        <w:rPr>
          <w:rFonts w:ascii="GHEA Grapalat" w:eastAsia="GHEA Grapalat" w:hAnsi="GHEA Grapalat" w:cs="Sylfaen"/>
          <w:sz w:val="22"/>
          <w:szCs w:val="22"/>
        </w:rPr>
        <w:t>1.6 տոկոսային կետ</w:t>
      </w:r>
      <w:r w:rsidRPr="00C921DE">
        <w:rPr>
          <w:rFonts w:ascii="GHEA Grapalat" w:eastAsia="GHEA Grapalat" w:hAnsi="GHEA Grapalat" w:cs="GHEA Grapalat"/>
          <w:sz w:val="22"/>
          <w:szCs w:val="22"/>
        </w:rPr>
        <w:t>)</w:t>
      </w:r>
      <w:r w:rsidRPr="00C921DE">
        <w:rPr>
          <w:rFonts w:ascii="GHEA Grapalat" w:eastAsia="GHEA Grapalat" w:hAnsi="GHEA Grapalat" w:cs="Sylfaen"/>
          <w:sz w:val="22"/>
          <w:szCs w:val="22"/>
        </w:rPr>
        <w:t>։ Անասնաբուծության նվազումն իր հերթին պայմանավորված է եղել կաթի և ձվի արտադրության, ինչպես նաև սպանդի համար գյուղատնտեսական կենդանու և թռչնի իրացման նվազմամբ, ինչի պատճառ է հանդիսացել գյուղատնտեսական կենդանիների (բացառությամբ խոզերի) և թռչնի գլխաքանակի նվազումը:</w:t>
      </w:r>
    </w:p>
    <w:p w14:paraId="4CE39187" w14:textId="2ED2AD37" w:rsidR="008F37E4" w:rsidRPr="00C921DE" w:rsidRDefault="008F37E4" w:rsidP="00A2127A">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GHEA Grapalat"/>
          <w:b/>
          <w:i/>
          <w:iCs/>
          <w:sz w:val="22"/>
          <w:szCs w:val="22"/>
        </w:rPr>
        <w:t>Շինարարություն։</w:t>
      </w:r>
      <w:r w:rsidRPr="00C921DE">
        <w:rPr>
          <w:rFonts w:ascii="GHEA Grapalat" w:eastAsia="GHEA Grapalat" w:hAnsi="GHEA Grapalat" w:cs="GHEA Grapalat"/>
          <w:b/>
          <w:sz w:val="22"/>
          <w:szCs w:val="22"/>
        </w:rPr>
        <w:t xml:space="preserve"> </w:t>
      </w:r>
      <w:r w:rsidRPr="00C921DE">
        <w:rPr>
          <w:rFonts w:ascii="GHEA Grapalat" w:eastAsia="GHEA Grapalat" w:hAnsi="GHEA Grapalat" w:cs="Sylfaen"/>
          <w:sz w:val="22"/>
          <w:szCs w:val="22"/>
        </w:rPr>
        <w:t xml:space="preserve">Շինարարության ճյուղում գրանցված 14.8% աճը պայմանավորված է եղել հիմնականում կազմակերպությունների միջոցներով իրականացված շինարարության ծավալների աճով (նպաստումը` 10.3 տոկոսային կետ)։ Պետական և համայնքային բյուջեների, ինչպես նաև բնակչության միջոցներով իրականացված շինարարության ծավալները ևս աճել են՝ նպաստելով ընդհանուր շինարարության աճին (համապատասխանաբար՝ 2.2, 1.2 և 1.0 տոկոսային կետեր): Կազմակերպությունների և բնակչության միջոցներով իրականացված շինարարության ծավալների </w:t>
      </w:r>
      <w:r w:rsidRPr="00C921DE">
        <w:rPr>
          <w:rFonts w:ascii="GHEA Grapalat" w:eastAsia="GHEA Grapalat" w:hAnsi="GHEA Grapalat" w:cs="Sylfaen"/>
          <w:sz w:val="22"/>
          <w:szCs w:val="22"/>
        </w:rPr>
        <w:lastRenderedPageBreak/>
        <w:t>աճը պայմանավորվել է ներքին ներդրողների միջոցներով ֆինանսավորվող շինարարության աճով, որն իր հերթին վկայում է ներքին միջոցներով իրականացվող մասնավոր ներդրումների աճի մասին (պայմանավորված հիմնականում բնակարանային շինարարության ծավալների աճով, որին նպաստել է հի</w:t>
      </w:r>
      <w:r w:rsidR="00A2127A" w:rsidRPr="00C921DE">
        <w:rPr>
          <w:rFonts w:ascii="GHEA Grapalat" w:eastAsia="GHEA Grapalat" w:hAnsi="GHEA Grapalat" w:cs="Sylfaen"/>
          <w:sz w:val="22"/>
          <w:szCs w:val="22"/>
        </w:rPr>
        <w:t>պոտեկ</w:t>
      </w:r>
      <w:r w:rsidRPr="00C921DE">
        <w:rPr>
          <w:rFonts w:ascii="GHEA Grapalat" w:eastAsia="GHEA Grapalat" w:hAnsi="GHEA Grapalat" w:cs="Sylfaen"/>
          <w:sz w:val="22"/>
          <w:szCs w:val="22"/>
        </w:rPr>
        <w:t>ային վարկերի տոկոսավճարների</w:t>
      </w:r>
      <w:r w:rsidR="00A2127A" w:rsidRPr="00C921DE">
        <w:rPr>
          <w:rFonts w:ascii="GHEA Grapalat" w:eastAsia="GHEA Grapalat" w:hAnsi="GHEA Grapalat" w:cs="Sylfaen"/>
          <w:sz w:val="22"/>
          <w:szCs w:val="22"/>
        </w:rPr>
        <w:t>՝</w:t>
      </w:r>
      <w:r w:rsidRPr="00C921DE">
        <w:rPr>
          <w:rFonts w:ascii="GHEA Grapalat" w:eastAsia="GHEA Grapalat" w:hAnsi="GHEA Grapalat" w:cs="Sylfaen"/>
          <w:sz w:val="22"/>
          <w:szCs w:val="22"/>
        </w:rPr>
        <w:t xml:space="preserve"> եկամտահարկից վերադարձման պետական աջակցության ծրագիրը):</w:t>
      </w:r>
    </w:p>
    <w:p w14:paraId="5152C5DA" w14:textId="28E08061" w:rsidR="008F37E4" w:rsidRPr="00C921DE" w:rsidRDefault="008F37E4" w:rsidP="00A2127A">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Sylfaen"/>
          <w:sz w:val="22"/>
          <w:szCs w:val="22"/>
        </w:rPr>
        <w:t>Ըստ տնտեսական գործունեության տեսակների՝ շինարարության աճին նպաս</w:t>
      </w:r>
      <w:r w:rsidR="00C451C7" w:rsidRPr="00C921DE">
        <w:rPr>
          <w:rFonts w:ascii="GHEA Grapalat" w:eastAsia="GHEA Grapalat" w:hAnsi="GHEA Grapalat" w:cs="Sylfaen"/>
          <w:sz w:val="22"/>
          <w:szCs w:val="22"/>
          <w:lang w:val="en-US"/>
        </w:rPr>
        <w:t>տ</w:t>
      </w:r>
      <w:r w:rsidRPr="00C921DE">
        <w:rPr>
          <w:rFonts w:ascii="GHEA Grapalat" w:eastAsia="GHEA Grapalat" w:hAnsi="GHEA Grapalat" w:cs="Sylfaen"/>
          <w:sz w:val="22"/>
          <w:szCs w:val="22"/>
        </w:rPr>
        <w:t xml:space="preserve">ող հիմնական գործոնը եղել է անշարժ գույքի հետ կապված գործունեությունը (հիմնականում՝ բնակարանաշինություն), տրանսպորտի, կրթության, ինչպես նաև մշակույթ, զվարճություններ և հանգստի ոլորտներում շինարարության ծավալների աճը նույնպես նպաստել է ոլորտի աճին: Մինչդեռ էլեկտրականության, գազի, գոլորշու և լավորակ օդի մատակարարում ենթաճյուղում իրականացված շինարարության ծավալների նվազումն էականորեն հակազդել է ընդհանուր շինարարության աճին։ </w:t>
      </w:r>
    </w:p>
    <w:p w14:paraId="6F7D25EB" w14:textId="4B540BED" w:rsidR="008F37E4" w:rsidRPr="00C921DE" w:rsidRDefault="008F37E4" w:rsidP="00A2127A">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GHEA Grapalat"/>
          <w:b/>
          <w:i/>
          <w:iCs/>
          <w:sz w:val="22"/>
          <w:szCs w:val="22"/>
        </w:rPr>
        <w:t>Ծառայություններ և առևտուր։</w:t>
      </w:r>
      <w:r w:rsidRPr="00C921DE">
        <w:rPr>
          <w:rFonts w:ascii="GHEA Grapalat" w:eastAsia="GHEA Grapalat" w:hAnsi="GHEA Grapalat" w:cs="GHEA Grapalat"/>
          <w:b/>
          <w:sz w:val="22"/>
          <w:szCs w:val="22"/>
        </w:rPr>
        <w:t xml:space="preserve"> </w:t>
      </w:r>
      <w:r w:rsidRPr="00C921DE">
        <w:rPr>
          <w:rFonts w:ascii="GHEA Grapalat" w:eastAsia="GHEA Grapalat" w:hAnsi="GHEA Grapalat" w:cs="Sylfaen"/>
          <w:sz w:val="22"/>
          <w:szCs w:val="22"/>
        </w:rPr>
        <w:t>Ծառայություններն աճել են 10.3%-ով՝ հիմնականում պայմանավորված տեղեկատվություն և կապ (նպաստումը` 6.4 տոկոսային կետ), տրանսպորտ (նպաստումը` 2.0 տոկոսային կետ), ինչպես նաև կացության և հանրային սննդի կազմակերպում (նպաստումը` 1.8 տոկոսային կետ) ենթաճյուղերի աճերով: Ճյուղի աճի</w:t>
      </w:r>
      <w:r w:rsidR="00126868" w:rsidRPr="00C921DE">
        <w:rPr>
          <w:rFonts w:ascii="GHEA Grapalat" w:eastAsia="GHEA Grapalat" w:hAnsi="GHEA Grapalat" w:cs="Sylfaen"/>
          <w:sz w:val="22"/>
          <w:szCs w:val="22"/>
          <w:lang w:val="en-US"/>
        </w:rPr>
        <w:t xml:space="preserve"> վրա</w:t>
      </w:r>
      <w:r w:rsidRPr="00C921DE">
        <w:rPr>
          <w:rFonts w:ascii="GHEA Grapalat" w:eastAsia="GHEA Grapalat" w:hAnsi="GHEA Grapalat" w:cs="Sylfaen"/>
          <w:sz w:val="22"/>
          <w:szCs w:val="22"/>
        </w:rPr>
        <w:t xml:space="preserve"> բացասաբար է ազդել միայն ֆինանսական և ապահովագրական գործունեության նվազումը (նպաստումը` 2.1 տոկոսային կետ), որը պայմանավորված է եղել բանկերի գործունեության նվազմամբ։ Վերջինս տեղի է ունեցել ենթաճյուղի 2022 թվականի բարձր աճի բազայի վրա՝ որպես արտարժույթի ներհոսքից ոչ տոկոսային եկամուտների նվազման հետևանք։ </w:t>
      </w:r>
    </w:p>
    <w:p w14:paraId="2F248D87" w14:textId="52789F78" w:rsidR="008F37E4" w:rsidRPr="00C921DE" w:rsidRDefault="008F37E4" w:rsidP="00A2127A">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Sylfaen"/>
          <w:sz w:val="22"/>
          <w:szCs w:val="22"/>
        </w:rPr>
        <w:t>Տեղեկատվություն և կապ, տրանսպորտ, ինչպես նաև կացության և հանրային սննդի կազմակերպում ենթաճյուղերի դրական զարգացումները շարունակել են պայմանավորվել ՌԴ-ից ՏՏ ոլորտի աշխատակիցների և ընկերությունների</w:t>
      </w:r>
      <w:r w:rsidR="00126868" w:rsidRPr="00C921DE">
        <w:rPr>
          <w:rFonts w:ascii="GHEA Grapalat" w:eastAsia="GHEA Grapalat" w:hAnsi="GHEA Grapalat" w:cs="Sylfaen"/>
          <w:sz w:val="22"/>
          <w:szCs w:val="22"/>
          <w:lang w:val="en-US"/>
        </w:rPr>
        <w:t>՝</w:t>
      </w:r>
      <w:r w:rsidRPr="00C921DE">
        <w:rPr>
          <w:rFonts w:ascii="GHEA Grapalat" w:eastAsia="GHEA Grapalat" w:hAnsi="GHEA Grapalat" w:cs="Sylfaen"/>
          <w:sz w:val="22"/>
          <w:szCs w:val="22"/>
        </w:rPr>
        <w:t xml:space="preserve"> ՀՀ տեղափոխմամբ, ինչպես նաև դեպի Հայաստան միջազգային զբոսաշրջության բարձր աճի տեմպերով:</w:t>
      </w:r>
    </w:p>
    <w:p w14:paraId="28562FEA" w14:textId="5CF7929B" w:rsidR="008F37E4" w:rsidRPr="00C921DE" w:rsidRDefault="008F37E4" w:rsidP="00A2127A">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Sylfaen"/>
          <w:sz w:val="22"/>
          <w:szCs w:val="22"/>
        </w:rPr>
        <w:t>Առևտրի 25.7% աճը հիմնականում պայմանավորված է եղել մեծածախ առևտրի աճով (նպաստումը` 20.0 տոկոսային կետ)։ Մեծածախ առևտրի բարձր աճը պայմանավորված է եղել տնտեսության մյուս հատվածներում առկա բարձր պահանջարկով, ինչպես նաև ապրանքների պաշարների կուտակմամբ: Առևտրի և ծառայությունների աճն ուղեկցվել է ներքին սպառման (մասնավոր և պետական) և արտաքին (մասնավորապես՝ ծառայությունների արտահանման) պահանջարկի</w:t>
      </w:r>
      <w:r w:rsidR="00FE3A4C" w:rsidRPr="00C921DE">
        <w:rPr>
          <w:rFonts w:ascii="GHEA Grapalat" w:eastAsia="GHEA Grapalat" w:hAnsi="GHEA Grapalat" w:cs="Sylfaen"/>
          <w:sz w:val="22"/>
          <w:szCs w:val="22"/>
        </w:rPr>
        <w:t xml:space="preserve"> </w:t>
      </w:r>
      <w:r w:rsidRPr="00C921DE">
        <w:rPr>
          <w:rFonts w:ascii="GHEA Grapalat" w:eastAsia="GHEA Grapalat" w:hAnsi="GHEA Grapalat" w:cs="Sylfaen"/>
          <w:sz w:val="22"/>
          <w:szCs w:val="22"/>
        </w:rPr>
        <w:t>աճերով:</w:t>
      </w:r>
    </w:p>
    <w:p w14:paraId="0D78DC82" w14:textId="77777777" w:rsidR="008F37E4" w:rsidRPr="00C921DE" w:rsidRDefault="008F37E4" w:rsidP="00A2127A">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Sylfaen"/>
          <w:sz w:val="22"/>
          <w:szCs w:val="22"/>
        </w:rPr>
        <w:t>Զբոսաշրջիկների այցելությունների բարձր աճն (39.1%) իր հերթին դրական ազդեցություն է ունեցել ծառայությունների որոշ տեսակների, առևտրի, ինչպես նաև ուղևորափոխադրումների վրա:</w:t>
      </w:r>
    </w:p>
    <w:tbl>
      <w:tblPr>
        <w:tblStyle w:val="TableGrid14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4"/>
        <w:gridCol w:w="4984"/>
      </w:tblGrid>
      <w:tr w:rsidR="008F37E4" w:rsidRPr="00C921DE" w14:paraId="4A0F4E9B" w14:textId="77777777" w:rsidTr="000F4C56">
        <w:trPr>
          <w:trHeight w:val="3846"/>
        </w:trPr>
        <w:tc>
          <w:tcPr>
            <w:tcW w:w="5224" w:type="dxa"/>
          </w:tcPr>
          <w:p w14:paraId="1D2A6F2D" w14:textId="24B1D309" w:rsidR="008F13B4" w:rsidRPr="00C921DE" w:rsidRDefault="00126868" w:rsidP="004B18A7">
            <w:pPr>
              <w:pStyle w:val="a"/>
              <w:spacing w:after="0"/>
              <w:rPr>
                <w:sz w:val="16"/>
                <w:szCs w:val="16"/>
              </w:rPr>
            </w:pPr>
            <w:r w:rsidRPr="00C921DE">
              <w:rPr>
                <w:i/>
              </w:rPr>
              <w:lastRenderedPageBreak/>
              <w:t xml:space="preserve"> </w:t>
            </w:r>
            <w:r w:rsidR="008F37E4" w:rsidRPr="00C921DE">
              <w:t>ՏԱՑ և տնտեսության ճյուղերի իրական աճերը նախորդ տարվա նկատմամբ</w:t>
            </w:r>
            <w:r w:rsidR="008F13B4" w:rsidRPr="00C921DE">
              <w:t xml:space="preserve"> (%)</w:t>
            </w:r>
          </w:p>
          <w:p w14:paraId="2A56D400" w14:textId="77777777" w:rsidR="008F13B4" w:rsidRPr="00C921DE" w:rsidRDefault="008F13B4" w:rsidP="008F13B4">
            <w:pPr>
              <w:pStyle w:val="a"/>
              <w:numPr>
                <w:ilvl w:val="0"/>
                <w:numId w:val="0"/>
              </w:numPr>
              <w:spacing w:after="0"/>
              <w:rPr>
                <w:sz w:val="20"/>
                <w:szCs w:val="20"/>
              </w:rPr>
            </w:pPr>
          </w:p>
          <w:p w14:paraId="70B0190D" w14:textId="0B909B4B" w:rsidR="008F37E4" w:rsidRPr="00C921DE" w:rsidRDefault="008F37E4" w:rsidP="008F13B4">
            <w:pPr>
              <w:pStyle w:val="a"/>
              <w:numPr>
                <w:ilvl w:val="0"/>
                <w:numId w:val="0"/>
              </w:numPr>
              <w:spacing w:after="0"/>
              <w:rPr>
                <w:sz w:val="16"/>
                <w:szCs w:val="16"/>
              </w:rPr>
            </w:pPr>
            <w:r w:rsidRPr="00C921DE">
              <w:rPr>
                <w:noProof/>
              </w:rPr>
              <w:drawing>
                <wp:inline distT="0" distB="0" distL="0" distR="0" wp14:anchorId="359DB529" wp14:editId="1B1328FB">
                  <wp:extent cx="3173095" cy="2345634"/>
                  <wp:effectExtent l="0" t="0" r="8255" b="1714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4984" w:type="dxa"/>
          </w:tcPr>
          <w:p w14:paraId="2EBDFFE9" w14:textId="6B751DDF" w:rsidR="008F37E4" w:rsidRPr="00C921DE" w:rsidRDefault="008F37E4" w:rsidP="004C12B8">
            <w:pPr>
              <w:pStyle w:val="a"/>
              <w:rPr>
                <w:i/>
              </w:rPr>
            </w:pPr>
            <w:r w:rsidRPr="00C921DE">
              <w:rPr>
                <w:noProof/>
              </w:rPr>
              <w:drawing>
                <wp:anchor distT="0" distB="0" distL="114300" distR="114300" simplePos="0" relativeHeight="251659264" behindDoc="1" locked="0" layoutInCell="1" allowOverlap="1" wp14:anchorId="55F5186F" wp14:editId="79FB8249">
                  <wp:simplePos x="0" y="0"/>
                  <wp:positionH relativeFrom="column">
                    <wp:posOffset>-34925</wp:posOffset>
                  </wp:positionH>
                  <wp:positionV relativeFrom="paragraph">
                    <wp:posOffset>654685</wp:posOffset>
                  </wp:positionV>
                  <wp:extent cx="3020060" cy="2328545"/>
                  <wp:effectExtent l="0" t="0" r="8890" b="14605"/>
                  <wp:wrapTight wrapText="bothSides">
                    <wp:wrapPolygon edited="0">
                      <wp:start x="0" y="0"/>
                      <wp:lineTo x="0" y="21559"/>
                      <wp:lineTo x="21527" y="21559"/>
                      <wp:lineTo x="21527" y="0"/>
                      <wp:lineTo x="0" y="0"/>
                    </wp:wrapPolygon>
                  </wp:wrapTight>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C921DE">
              <w:t xml:space="preserve"> ՏԱՑ և տնտեսության ճյուղերի իրական աճերը նախորդ տարվա նույն ամսվա նկատմամբ (%)</w:t>
            </w:r>
          </w:p>
        </w:tc>
      </w:tr>
      <w:tr w:rsidR="008F37E4" w:rsidRPr="00C921DE" w14:paraId="258F1DB5" w14:textId="77777777" w:rsidTr="000F4C56">
        <w:trPr>
          <w:trHeight w:val="450"/>
        </w:trPr>
        <w:tc>
          <w:tcPr>
            <w:tcW w:w="5224" w:type="dxa"/>
          </w:tcPr>
          <w:p w14:paraId="48477CA8" w14:textId="77777777" w:rsidR="008F37E4" w:rsidRPr="00C921DE" w:rsidRDefault="008F37E4" w:rsidP="000F4C56">
            <w:pPr>
              <w:tabs>
                <w:tab w:val="right" w:pos="0"/>
              </w:tabs>
              <w:spacing w:before="120" w:after="60" w:line="240" w:lineRule="auto"/>
              <w:contextualSpacing/>
              <w:rPr>
                <w:rFonts w:ascii="GHEA Grapalat" w:hAnsi="GHEA Grapalat" w:cs="Sylfaen"/>
                <w:b/>
                <w:bCs/>
                <w:i/>
                <w:sz w:val="6"/>
                <w:szCs w:val="6"/>
              </w:rPr>
            </w:pPr>
            <w:r w:rsidRPr="00C921DE">
              <w:rPr>
                <w:rFonts w:ascii="GHEA Grapalat" w:hAnsi="GHEA Grapalat"/>
                <w:i/>
                <w:sz w:val="18"/>
                <w:szCs w:val="16"/>
              </w:rPr>
              <w:t>Աղբյուրը՝ ՀՀ ՎԿ</w:t>
            </w:r>
          </w:p>
        </w:tc>
        <w:tc>
          <w:tcPr>
            <w:tcW w:w="4984" w:type="dxa"/>
          </w:tcPr>
          <w:p w14:paraId="79860588" w14:textId="77777777" w:rsidR="008F37E4" w:rsidRPr="00C921DE" w:rsidRDefault="008F37E4" w:rsidP="000F4C56">
            <w:pPr>
              <w:tabs>
                <w:tab w:val="right" w:pos="0"/>
              </w:tabs>
              <w:spacing w:before="120" w:after="60" w:line="312" w:lineRule="auto"/>
              <w:contextualSpacing/>
              <w:jc w:val="both"/>
              <w:rPr>
                <w:rFonts w:ascii="GHEA Grapalat" w:hAnsi="GHEA Grapalat" w:cs="Sylfaen"/>
                <w:b/>
                <w:i/>
                <w:sz w:val="4"/>
                <w:szCs w:val="4"/>
                <w:lang w:val="en-US"/>
              </w:rPr>
            </w:pPr>
            <w:r w:rsidRPr="00C921DE">
              <w:rPr>
                <w:rFonts w:ascii="GHEA Grapalat" w:hAnsi="GHEA Grapalat"/>
                <w:i/>
                <w:sz w:val="18"/>
                <w:szCs w:val="16"/>
              </w:rPr>
              <w:t>Աղբյուրը՝ ՀՀ ՎԿ</w:t>
            </w:r>
          </w:p>
        </w:tc>
      </w:tr>
      <w:tr w:rsidR="008F37E4" w:rsidRPr="00C921DE" w14:paraId="4DB4A2B8" w14:textId="77777777" w:rsidTr="000F4C56">
        <w:trPr>
          <w:trHeight w:val="450"/>
        </w:trPr>
        <w:tc>
          <w:tcPr>
            <w:tcW w:w="5224" w:type="dxa"/>
          </w:tcPr>
          <w:p w14:paraId="7E73606C" w14:textId="77777777" w:rsidR="008F37E4" w:rsidRPr="00C921DE" w:rsidRDefault="008F37E4" w:rsidP="000F4C56">
            <w:pPr>
              <w:tabs>
                <w:tab w:val="right" w:pos="0"/>
              </w:tabs>
              <w:spacing w:before="120" w:after="60" w:line="240" w:lineRule="auto"/>
              <w:contextualSpacing/>
              <w:rPr>
                <w:rStyle w:val="Char"/>
                <w:rFonts w:eastAsia="Arial Unicode MS"/>
                <w:b/>
              </w:rPr>
            </w:pPr>
          </w:p>
          <w:p w14:paraId="2B470DDD" w14:textId="79616EB7" w:rsidR="008F37E4" w:rsidRPr="00C921DE" w:rsidRDefault="008F37E4" w:rsidP="004C12B8">
            <w:pPr>
              <w:pStyle w:val="a"/>
            </w:pPr>
            <w:r w:rsidRPr="00C921DE">
              <w:t>Տնտեսության ճյուղերի նպաստումները ՏԱՑ-ին (տ.կ.)</w:t>
            </w:r>
            <w:r w:rsidRPr="00C921DE">
              <w:rPr>
                <w:vertAlign w:val="superscript"/>
              </w:rPr>
              <w:footnoteReference w:id="15"/>
            </w:r>
            <w:r w:rsidRPr="00C921DE">
              <w:t xml:space="preserve"> </w:t>
            </w:r>
          </w:p>
          <w:p w14:paraId="5FEBB039" w14:textId="77777777" w:rsidR="008F37E4" w:rsidRPr="00C921DE" w:rsidRDefault="008F37E4" w:rsidP="000F4C56">
            <w:pPr>
              <w:tabs>
                <w:tab w:val="right" w:pos="0"/>
              </w:tabs>
              <w:spacing w:before="120" w:after="60" w:line="240" w:lineRule="auto"/>
              <w:contextualSpacing/>
              <w:rPr>
                <w:rFonts w:ascii="GHEA Grapalat" w:hAnsi="GHEA Grapalat" w:cs="Sylfaen"/>
                <w:i/>
                <w:sz w:val="22"/>
                <w:szCs w:val="16"/>
              </w:rPr>
            </w:pPr>
          </w:p>
          <w:p w14:paraId="6FD46BD9" w14:textId="77777777" w:rsidR="008F37E4" w:rsidRPr="00C921DE" w:rsidRDefault="008F37E4" w:rsidP="000F4C56">
            <w:pPr>
              <w:tabs>
                <w:tab w:val="right" w:pos="0"/>
              </w:tabs>
              <w:spacing w:before="120" w:after="60" w:line="240" w:lineRule="auto"/>
              <w:contextualSpacing/>
              <w:rPr>
                <w:rFonts w:ascii="GHEA Grapalat" w:hAnsi="GHEA Grapalat" w:cs="Sylfaen"/>
                <w:i/>
                <w:sz w:val="16"/>
                <w:szCs w:val="16"/>
              </w:rPr>
            </w:pPr>
            <w:r w:rsidRPr="00C921DE">
              <w:rPr>
                <w:rFonts w:ascii="GHEA Grapalat" w:hAnsi="GHEA Grapalat"/>
                <w:i/>
                <w:sz w:val="16"/>
                <w:szCs w:val="16"/>
                <w:lang w:val="en-US"/>
              </w:rPr>
              <w:drawing>
                <wp:inline distT="0" distB="0" distL="0" distR="0" wp14:anchorId="2CC387A8" wp14:editId="64380189">
                  <wp:extent cx="3095625" cy="1929283"/>
                  <wp:effectExtent l="0" t="0" r="9525" b="139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33A4850" w14:textId="77777777" w:rsidR="008F37E4" w:rsidRPr="00C921DE" w:rsidRDefault="008F37E4" w:rsidP="000F4C56">
            <w:pPr>
              <w:tabs>
                <w:tab w:val="right" w:pos="0"/>
              </w:tabs>
              <w:spacing w:before="120" w:after="60" w:line="360" w:lineRule="auto"/>
              <w:contextualSpacing/>
              <w:jc w:val="both"/>
              <w:rPr>
                <w:rFonts w:ascii="GHEA Grapalat" w:hAnsi="GHEA Grapalat" w:cs="Sylfaen"/>
              </w:rPr>
            </w:pPr>
            <w:r w:rsidRPr="00C921DE">
              <w:rPr>
                <w:rFonts w:ascii="GHEA Grapalat" w:hAnsi="GHEA Grapalat"/>
                <w:i/>
                <w:sz w:val="18"/>
                <w:szCs w:val="16"/>
              </w:rPr>
              <w:t>Աղբյուրը՝ ՀՀ ՎԿ, ՀՀ ՖՆ հաշվարկներ</w:t>
            </w:r>
            <w:r w:rsidRPr="00C921DE">
              <w:rPr>
                <w:rFonts w:ascii="GHEA Grapalat" w:hAnsi="GHEA Grapalat"/>
                <w:sz w:val="28"/>
              </w:rPr>
              <w:t xml:space="preserve"> </w:t>
            </w:r>
          </w:p>
        </w:tc>
        <w:tc>
          <w:tcPr>
            <w:tcW w:w="4984" w:type="dxa"/>
          </w:tcPr>
          <w:p w14:paraId="2DF4EEDE" w14:textId="77777777" w:rsidR="008F37E4" w:rsidRPr="00C921DE" w:rsidRDefault="008F37E4" w:rsidP="000F4C56">
            <w:pPr>
              <w:tabs>
                <w:tab w:val="right" w:pos="0"/>
              </w:tabs>
              <w:spacing w:before="120" w:after="60" w:line="240" w:lineRule="auto"/>
              <w:contextualSpacing/>
              <w:rPr>
                <w:rStyle w:val="Char"/>
                <w:rFonts w:eastAsia="Arial Unicode MS"/>
                <w:b/>
              </w:rPr>
            </w:pPr>
          </w:p>
          <w:p w14:paraId="287C9144" w14:textId="57FA0743" w:rsidR="008F37E4" w:rsidRPr="00C921DE" w:rsidRDefault="008F37E4" w:rsidP="00C50BF5">
            <w:pPr>
              <w:pStyle w:val="a"/>
              <w:spacing w:after="0"/>
            </w:pPr>
            <w:r w:rsidRPr="00C921DE">
              <w:t xml:space="preserve"> Տնտեսության ճյուղերի նպաստումները ՏԱՑ-ին նախորդ տարվա նույն ամսվա նկատմամբ (տ.կ.)</w:t>
            </w:r>
            <w:r w:rsidRPr="00C921DE">
              <w:rPr>
                <w:szCs w:val="16"/>
                <w:vertAlign w:val="superscript"/>
              </w:rPr>
              <w:t xml:space="preserve"> </w:t>
            </w:r>
            <w:r w:rsidRPr="00C921DE">
              <w:rPr>
                <w:noProof/>
              </w:rPr>
              <w:drawing>
                <wp:inline distT="0" distB="0" distL="0" distR="0" wp14:anchorId="539FC5E0" wp14:editId="53E0F7FD">
                  <wp:extent cx="2963545" cy="1995170"/>
                  <wp:effectExtent l="0" t="0" r="8255" b="31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DDDB6A4" w14:textId="77777777" w:rsidR="008F37E4" w:rsidRPr="00C921DE" w:rsidRDefault="008F37E4" w:rsidP="00C50BF5">
            <w:pPr>
              <w:spacing w:line="312" w:lineRule="auto"/>
              <w:jc w:val="both"/>
              <w:rPr>
                <w:rFonts w:ascii="GHEA Grapalat" w:hAnsi="GHEA Grapalat"/>
                <w:i/>
                <w:sz w:val="16"/>
                <w:szCs w:val="16"/>
              </w:rPr>
            </w:pPr>
            <w:r w:rsidRPr="00C921DE">
              <w:rPr>
                <w:rFonts w:ascii="GHEA Grapalat" w:hAnsi="GHEA Grapalat"/>
                <w:i/>
                <w:sz w:val="18"/>
                <w:szCs w:val="16"/>
              </w:rPr>
              <w:t>Աղբյուրը՝ ՀՀ ՎԿ, ՀՀ ՖՆ հաշվարկներ</w:t>
            </w:r>
          </w:p>
        </w:tc>
      </w:tr>
    </w:tbl>
    <w:p w14:paraId="704E6F49" w14:textId="77777777" w:rsidR="00F528E2" w:rsidRPr="00C921DE" w:rsidRDefault="00F528E2" w:rsidP="00CE440B">
      <w:pPr>
        <w:ind w:firstLine="567"/>
        <w:jc w:val="both"/>
        <w:rPr>
          <w:rFonts w:ascii="GHEA Grapalat" w:eastAsia="GHEA Grapalat" w:hAnsi="GHEA Grapalat" w:cs="Sylfaen"/>
          <w:sz w:val="22"/>
          <w:szCs w:val="22"/>
        </w:rPr>
      </w:pPr>
    </w:p>
    <w:p w14:paraId="25D35153" w14:textId="47DC7A58" w:rsidR="008F37E4" w:rsidRPr="00C921DE" w:rsidRDefault="008F37E4" w:rsidP="005A6581">
      <w:pPr>
        <w:spacing w:line="336" w:lineRule="auto"/>
        <w:ind w:firstLine="567"/>
        <w:jc w:val="both"/>
        <w:rPr>
          <w:rFonts w:ascii="GHEA Grapalat" w:eastAsia="GHEA Grapalat" w:hAnsi="GHEA Grapalat" w:cs="Sylfaen"/>
          <w:sz w:val="22"/>
          <w:szCs w:val="22"/>
        </w:rPr>
      </w:pPr>
      <w:r w:rsidRPr="00C921DE">
        <w:rPr>
          <w:rFonts w:ascii="GHEA Grapalat" w:eastAsia="GHEA Grapalat" w:hAnsi="GHEA Grapalat" w:cs="Sylfaen"/>
          <w:sz w:val="22"/>
          <w:szCs w:val="22"/>
        </w:rPr>
        <w:t>Հաշվետու ժամանակահատվածում ուղևորափոխադրումների ծավալներն աճել են, իսկ բեռնափոխադրումների ծավալը՝ նվազել: Ուղևորափոխադրումների</w:t>
      </w:r>
      <w:r w:rsidR="00FE3A4C" w:rsidRPr="00C921DE">
        <w:rPr>
          <w:rFonts w:ascii="GHEA Grapalat" w:eastAsia="GHEA Grapalat" w:hAnsi="GHEA Grapalat" w:cs="Sylfaen"/>
          <w:sz w:val="22"/>
          <w:szCs w:val="22"/>
        </w:rPr>
        <w:t xml:space="preserve"> </w:t>
      </w:r>
      <w:r w:rsidRPr="00C921DE">
        <w:rPr>
          <w:rFonts w:ascii="GHEA Grapalat" w:eastAsia="GHEA Grapalat" w:hAnsi="GHEA Grapalat" w:cs="Sylfaen"/>
          <w:sz w:val="22"/>
          <w:szCs w:val="22"/>
        </w:rPr>
        <w:t xml:space="preserve">20.6% աճը հիմնականում պայմանավորված է եղել ավտոմոբիլային ուղևորափոխադրումների աճով (նպաստումը՝ 16.9 տոկոսային կետ), իսկ բեռնափոխադրումների 2.2% նվազումը՝ ներհանրապետական երկաթուղային </w:t>
      </w:r>
      <w:r w:rsidRPr="00C921DE">
        <w:rPr>
          <w:rFonts w:ascii="GHEA Grapalat" w:eastAsia="GHEA Grapalat" w:hAnsi="GHEA Grapalat" w:cs="Sylfaen"/>
          <w:sz w:val="22"/>
          <w:szCs w:val="22"/>
        </w:rPr>
        <w:lastRenderedPageBreak/>
        <w:t xml:space="preserve">բեռնափոխադրումների նվազմամբ (նպաստումը՝ 6.1 տոկոսային կետ)՝ հիմնականում պայմանավորված Սոթքի հանքավայրի գործունեության դադարեցմամբ: </w:t>
      </w:r>
    </w:p>
    <w:p w14:paraId="36E3A6E2" w14:textId="1C45479F"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Sylfaen"/>
          <w:b/>
          <w:i/>
          <w:sz w:val="22"/>
          <w:szCs w:val="22"/>
        </w:rPr>
        <w:t>Համախառն պահանջարկ:</w:t>
      </w:r>
      <w:r w:rsidRPr="00C921DE">
        <w:rPr>
          <w:rFonts w:ascii="GHEA Grapalat" w:eastAsia="GHEA Grapalat" w:hAnsi="GHEA Grapalat" w:cs="Sylfaen"/>
          <w:b/>
          <w:sz w:val="22"/>
          <w:szCs w:val="22"/>
        </w:rPr>
        <w:t xml:space="preserve"> </w:t>
      </w:r>
      <w:r w:rsidRPr="00C921DE">
        <w:rPr>
          <w:rFonts w:ascii="GHEA Grapalat" w:eastAsia="GHEA Grapalat" w:hAnsi="GHEA Grapalat" w:cs="GHEA Grapalat"/>
          <w:bCs/>
          <w:sz w:val="22"/>
          <w:szCs w:val="22"/>
        </w:rPr>
        <w:t xml:space="preserve">2023 թվականին </w:t>
      </w:r>
      <w:r w:rsidRPr="00C921DE">
        <w:rPr>
          <w:rFonts w:ascii="GHEA Grapalat" w:eastAsia="GHEA Grapalat" w:hAnsi="GHEA Grapalat" w:cs="Sylfaen"/>
          <w:sz w:val="22"/>
          <w:szCs w:val="22"/>
        </w:rPr>
        <w:t>տնտեսական</w:t>
      </w:r>
      <w:r w:rsidRPr="00C921DE">
        <w:rPr>
          <w:rFonts w:ascii="GHEA Grapalat" w:eastAsia="GHEA Grapalat" w:hAnsi="GHEA Grapalat" w:cs="GHEA Grapalat"/>
          <w:bCs/>
          <w:sz w:val="22"/>
          <w:szCs w:val="22"/>
        </w:rPr>
        <w:t xml:space="preserve"> աճն ուղեկցվել է ինչպես ներքին, այնպես էլ արտաքին պահանջարկի աճով: </w:t>
      </w:r>
    </w:p>
    <w:p w14:paraId="28D96007" w14:textId="77777777" w:rsidR="002652E7" w:rsidRPr="00C921DE" w:rsidRDefault="002652E7" w:rsidP="00CE440B">
      <w:pPr>
        <w:ind w:firstLine="547"/>
        <w:jc w:val="both"/>
        <w:rPr>
          <w:rFonts w:ascii="GHEA Grapalat" w:eastAsia="GHEA Grapalat" w:hAnsi="GHEA Grapalat" w:cs="Sylfaen"/>
          <w:b/>
          <w:sz w:val="22"/>
          <w:szCs w:val="22"/>
        </w:rPr>
      </w:pPr>
    </w:p>
    <w:tbl>
      <w:tblPr>
        <w:tblStyle w:val="TableGrid142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8"/>
        <w:gridCol w:w="5030"/>
      </w:tblGrid>
      <w:tr w:rsidR="008F37E4" w:rsidRPr="00C921DE" w14:paraId="704327CF" w14:textId="77777777" w:rsidTr="000F4C56">
        <w:trPr>
          <w:trHeight w:val="3846"/>
        </w:trPr>
        <w:tc>
          <w:tcPr>
            <w:tcW w:w="5556" w:type="dxa"/>
          </w:tcPr>
          <w:p w14:paraId="5685FBC0" w14:textId="1CAEB4EF" w:rsidR="008F37E4" w:rsidRPr="00C921DE" w:rsidRDefault="008F37E4" w:rsidP="004C12B8">
            <w:pPr>
              <w:pStyle w:val="a"/>
            </w:pPr>
            <w:r w:rsidRPr="00C921DE">
              <w:t>ՀՆԱ-ի իրական աճը (%) և նպաստումները (տ.կ.) նախորդ տարվա նկատմամբ</w:t>
            </w:r>
          </w:p>
          <w:p w14:paraId="6D17D1CF" w14:textId="77777777" w:rsidR="008F37E4" w:rsidRPr="00C921DE" w:rsidRDefault="008F37E4" w:rsidP="000F4C56">
            <w:pPr>
              <w:tabs>
                <w:tab w:val="right" w:pos="0"/>
              </w:tabs>
              <w:spacing w:before="120" w:after="60" w:line="240" w:lineRule="auto"/>
              <w:contextualSpacing/>
              <w:rPr>
                <w:rFonts w:ascii="GHEA Grapalat" w:hAnsi="GHEA Grapalat" w:cs="Sylfaen"/>
                <w:i/>
                <w:sz w:val="16"/>
                <w:szCs w:val="16"/>
              </w:rPr>
            </w:pPr>
            <w:r w:rsidRPr="00C921DE">
              <w:rPr>
                <w:rFonts w:ascii="GHEA Grapalat" w:hAnsi="GHEA Grapalat"/>
                <w:lang w:val="en-US"/>
              </w:rPr>
              <w:drawing>
                <wp:inline distT="0" distB="0" distL="0" distR="0" wp14:anchorId="790C80C0" wp14:editId="6FB43850">
                  <wp:extent cx="3171825" cy="1882775"/>
                  <wp:effectExtent l="0" t="0" r="9525" b="317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5D8E2F7" w14:textId="77777777" w:rsidR="008F37E4" w:rsidRPr="00C921DE" w:rsidRDefault="008F37E4" w:rsidP="000F4C56">
            <w:pPr>
              <w:tabs>
                <w:tab w:val="right" w:pos="0"/>
              </w:tabs>
              <w:spacing w:before="120" w:after="60"/>
              <w:contextualSpacing/>
              <w:rPr>
                <w:rStyle w:val="Char"/>
                <w:rFonts w:eastAsia="Arial Unicode MS"/>
              </w:rPr>
            </w:pPr>
            <w:r w:rsidRPr="00C921DE">
              <w:rPr>
                <w:rFonts w:ascii="GHEA Grapalat" w:hAnsi="GHEA Grapalat"/>
                <w:i/>
                <w:sz w:val="18"/>
                <w:szCs w:val="16"/>
              </w:rPr>
              <w:t>Աղբյուրը՝ ՀՀ ՎԿ, ՀՀ ՖՆ հաշվարկներ</w:t>
            </w:r>
          </w:p>
        </w:tc>
        <w:tc>
          <w:tcPr>
            <w:tcW w:w="5187" w:type="dxa"/>
          </w:tcPr>
          <w:p w14:paraId="2C8805CF" w14:textId="78D2DD50" w:rsidR="008F37E4" w:rsidRPr="00C921DE" w:rsidRDefault="008F37E4" w:rsidP="004C12B8">
            <w:pPr>
              <w:pStyle w:val="a"/>
            </w:pPr>
            <w:r w:rsidRPr="00C921DE">
              <w:t>ՀՆԱ-ի կառուցվածքը (%)</w:t>
            </w:r>
          </w:p>
          <w:p w14:paraId="79539523" w14:textId="77777777" w:rsidR="008F37E4" w:rsidRPr="00C921DE" w:rsidRDefault="008F37E4" w:rsidP="000F4C56">
            <w:pPr>
              <w:tabs>
                <w:tab w:val="right" w:pos="0"/>
              </w:tabs>
              <w:spacing w:before="120" w:after="60" w:line="240" w:lineRule="auto"/>
              <w:contextualSpacing/>
              <w:rPr>
                <w:rFonts w:ascii="GHEA Grapalat" w:hAnsi="GHEA Grapalat" w:cs="Sylfaen"/>
                <w:i/>
                <w:sz w:val="22"/>
                <w:szCs w:val="16"/>
              </w:rPr>
            </w:pPr>
          </w:p>
          <w:p w14:paraId="168D4FBC" w14:textId="77777777" w:rsidR="008F37E4" w:rsidRPr="00C921DE" w:rsidRDefault="008F37E4" w:rsidP="000F4C56">
            <w:pPr>
              <w:tabs>
                <w:tab w:val="right" w:pos="0"/>
              </w:tabs>
              <w:spacing w:before="120" w:after="60" w:line="240" w:lineRule="auto"/>
              <w:contextualSpacing/>
              <w:rPr>
                <w:rFonts w:ascii="GHEA Grapalat" w:hAnsi="GHEA Grapalat" w:cs="Sylfaen"/>
                <w:i/>
                <w:sz w:val="10"/>
                <w:szCs w:val="10"/>
              </w:rPr>
            </w:pPr>
          </w:p>
          <w:p w14:paraId="4638A80D" w14:textId="77777777" w:rsidR="008F37E4" w:rsidRPr="00C921DE" w:rsidRDefault="008F37E4" w:rsidP="000F4C56">
            <w:pPr>
              <w:tabs>
                <w:tab w:val="right" w:pos="0"/>
              </w:tabs>
              <w:spacing w:before="120" w:after="60" w:line="240" w:lineRule="auto"/>
              <w:contextualSpacing/>
              <w:rPr>
                <w:rFonts w:ascii="GHEA Grapalat" w:hAnsi="GHEA Grapalat" w:cs="Sylfaen"/>
                <w:i/>
                <w:sz w:val="2"/>
                <w:szCs w:val="2"/>
              </w:rPr>
            </w:pPr>
          </w:p>
          <w:p w14:paraId="0693E2E0" w14:textId="77777777" w:rsidR="008F37E4" w:rsidRPr="00C921DE" w:rsidRDefault="008F37E4" w:rsidP="000F4C56">
            <w:pPr>
              <w:tabs>
                <w:tab w:val="right" w:pos="0"/>
              </w:tabs>
              <w:spacing w:before="120" w:after="60" w:line="240" w:lineRule="auto"/>
              <w:contextualSpacing/>
              <w:rPr>
                <w:rFonts w:ascii="GHEA Grapalat" w:hAnsi="GHEA Grapalat" w:cs="Sylfaen"/>
                <w:i/>
                <w:sz w:val="2"/>
                <w:szCs w:val="2"/>
              </w:rPr>
            </w:pPr>
          </w:p>
          <w:p w14:paraId="72737148" w14:textId="2B838210" w:rsidR="008F37E4" w:rsidRPr="00C921DE" w:rsidRDefault="008F37E4" w:rsidP="000F4C56">
            <w:pPr>
              <w:tabs>
                <w:tab w:val="right" w:pos="0"/>
              </w:tabs>
              <w:spacing w:before="120" w:after="60" w:line="240" w:lineRule="auto"/>
              <w:contextualSpacing/>
              <w:rPr>
                <w:rFonts w:ascii="GHEA Grapalat" w:hAnsi="GHEA Grapalat" w:cs="Sylfaen"/>
                <w:i/>
                <w:sz w:val="2"/>
                <w:szCs w:val="2"/>
              </w:rPr>
            </w:pPr>
          </w:p>
          <w:p w14:paraId="6F21736E" w14:textId="1FC4F910" w:rsidR="002652E7" w:rsidRPr="00C921DE" w:rsidRDefault="002652E7" w:rsidP="000F4C56">
            <w:pPr>
              <w:tabs>
                <w:tab w:val="right" w:pos="0"/>
              </w:tabs>
              <w:spacing w:before="120" w:after="60" w:line="240" w:lineRule="auto"/>
              <w:contextualSpacing/>
              <w:rPr>
                <w:rFonts w:ascii="GHEA Grapalat" w:hAnsi="GHEA Grapalat" w:cs="Sylfaen"/>
                <w:i/>
                <w:sz w:val="2"/>
                <w:szCs w:val="2"/>
              </w:rPr>
            </w:pPr>
          </w:p>
          <w:p w14:paraId="62938CF0" w14:textId="534A96E2" w:rsidR="002652E7" w:rsidRPr="00C921DE" w:rsidRDefault="002652E7" w:rsidP="000F4C56">
            <w:pPr>
              <w:tabs>
                <w:tab w:val="right" w:pos="0"/>
              </w:tabs>
              <w:spacing w:before="120" w:after="60" w:line="240" w:lineRule="auto"/>
              <w:contextualSpacing/>
              <w:rPr>
                <w:rFonts w:ascii="GHEA Grapalat" w:hAnsi="GHEA Grapalat" w:cs="Sylfaen"/>
                <w:i/>
                <w:sz w:val="2"/>
                <w:szCs w:val="2"/>
              </w:rPr>
            </w:pPr>
          </w:p>
          <w:p w14:paraId="6F8B508A" w14:textId="77777777" w:rsidR="002652E7" w:rsidRPr="00C921DE" w:rsidRDefault="002652E7" w:rsidP="000F4C56">
            <w:pPr>
              <w:tabs>
                <w:tab w:val="right" w:pos="0"/>
              </w:tabs>
              <w:spacing w:before="120" w:after="60" w:line="240" w:lineRule="auto"/>
              <w:contextualSpacing/>
              <w:rPr>
                <w:rFonts w:ascii="GHEA Grapalat" w:hAnsi="GHEA Grapalat" w:cs="Sylfaen"/>
                <w:i/>
                <w:sz w:val="2"/>
                <w:szCs w:val="2"/>
              </w:rPr>
            </w:pPr>
          </w:p>
          <w:p w14:paraId="51CDC30D" w14:textId="77777777" w:rsidR="008F37E4" w:rsidRPr="00C921DE" w:rsidRDefault="008F37E4" w:rsidP="000F4C56">
            <w:pPr>
              <w:tabs>
                <w:tab w:val="right" w:pos="0"/>
              </w:tabs>
              <w:spacing w:before="120" w:after="60" w:line="240" w:lineRule="auto"/>
              <w:contextualSpacing/>
              <w:rPr>
                <w:rFonts w:ascii="GHEA Grapalat" w:hAnsi="GHEA Grapalat" w:cs="Sylfaen"/>
                <w:i/>
                <w:sz w:val="2"/>
                <w:szCs w:val="2"/>
              </w:rPr>
            </w:pPr>
          </w:p>
          <w:p w14:paraId="5DC0B924" w14:textId="77777777" w:rsidR="008F37E4" w:rsidRPr="00C921DE" w:rsidRDefault="008F37E4" w:rsidP="000F4C56">
            <w:pPr>
              <w:tabs>
                <w:tab w:val="right" w:pos="0"/>
              </w:tabs>
              <w:spacing w:before="120" w:after="60" w:line="240" w:lineRule="auto"/>
              <w:contextualSpacing/>
              <w:rPr>
                <w:rFonts w:ascii="GHEA Grapalat" w:hAnsi="GHEA Grapalat" w:cs="Sylfaen"/>
                <w:i/>
                <w:sz w:val="4"/>
                <w:szCs w:val="4"/>
              </w:rPr>
            </w:pPr>
          </w:p>
          <w:p w14:paraId="458B77BD" w14:textId="77777777" w:rsidR="008F37E4" w:rsidRPr="00C921DE" w:rsidRDefault="008F37E4" w:rsidP="000F4C56">
            <w:pPr>
              <w:tabs>
                <w:tab w:val="right" w:pos="0"/>
              </w:tabs>
              <w:spacing w:before="120" w:after="0" w:line="240" w:lineRule="auto"/>
              <w:contextualSpacing/>
              <w:rPr>
                <w:rFonts w:ascii="GHEA Grapalat" w:hAnsi="GHEA Grapalat" w:cs="Sylfaen"/>
                <w:i/>
                <w:sz w:val="16"/>
                <w:szCs w:val="16"/>
              </w:rPr>
            </w:pPr>
            <w:r w:rsidRPr="00C921DE">
              <w:rPr>
                <w:rFonts w:ascii="GHEA Grapalat" w:hAnsi="GHEA Grapalat"/>
                <w:sz w:val="16"/>
                <w:szCs w:val="16"/>
                <w:lang w:val="en-US"/>
              </w:rPr>
              <w:drawing>
                <wp:inline distT="0" distB="0" distL="0" distR="0" wp14:anchorId="6FE14AEC" wp14:editId="62B6D07F">
                  <wp:extent cx="3086100" cy="1882775"/>
                  <wp:effectExtent l="0" t="0" r="0" b="63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7D6973" w14:textId="77777777" w:rsidR="008F37E4" w:rsidRPr="00C921DE" w:rsidRDefault="008F37E4" w:rsidP="000F4C56">
            <w:pPr>
              <w:tabs>
                <w:tab w:val="right" w:pos="0"/>
              </w:tabs>
              <w:spacing w:before="120" w:after="60"/>
              <w:contextualSpacing/>
              <w:rPr>
                <w:rStyle w:val="Char"/>
                <w:rFonts w:eastAsia="Arial Unicode MS"/>
              </w:rPr>
            </w:pPr>
            <w:r w:rsidRPr="00C921DE">
              <w:rPr>
                <w:rFonts w:ascii="GHEA Grapalat" w:hAnsi="GHEA Grapalat"/>
                <w:i/>
                <w:sz w:val="18"/>
                <w:szCs w:val="16"/>
              </w:rPr>
              <w:t>Աղբյուրը՝ ՀՀ ՎԿ, ՀՀ ՖՆ հաշվարկներ</w:t>
            </w:r>
          </w:p>
        </w:tc>
      </w:tr>
    </w:tbl>
    <w:p w14:paraId="5F36839A" w14:textId="77777777" w:rsidR="00F528E2" w:rsidRPr="00C921DE" w:rsidRDefault="00F528E2" w:rsidP="00CE440B">
      <w:pPr>
        <w:ind w:firstLine="567"/>
        <w:jc w:val="both"/>
        <w:rPr>
          <w:rFonts w:ascii="GHEA Grapalat" w:eastAsia="GHEA Grapalat" w:hAnsi="GHEA Grapalat" w:cs="GHEA Grapalat"/>
          <w:bCs/>
          <w:sz w:val="22"/>
          <w:szCs w:val="22"/>
        </w:rPr>
      </w:pPr>
    </w:p>
    <w:p w14:paraId="5B5B1188" w14:textId="65829FBA"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
          <w:bCs/>
          <w:i/>
          <w:iCs/>
          <w:sz w:val="22"/>
          <w:szCs w:val="22"/>
        </w:rPr>
        <w:t>Սպառում։</w:t>
      </w:r>
      <w:r w:rsidRPr="00C921DE">
        <w:rPr>
          <w:rFonts w:ascii="GHEA Grapalat" w:eastAsia="GHEA Grapalat" w:hAnsi="GHEA Grapalat" w:cs="GHEA Grapalat"/>
          <w:sz w:val="22"/>
          <w:szCs w:val="22"/>
        </w:rPr>
        <w:t xml:space="preserve"> </w:t>
      </w:r>
      <w:r w:rsidRPr="00C921DE">
        <w:rPr>
          <w:rFonts w:ascii="GHEA Grapalat" w:eastAsia="GHEA Grapalat" w:hAnsi="GHEA Grapalat" w:cs="GHEA Grapalat"/>
          <w:bCs/>
          <w:sz w:val="22"/>
          <w:szCs w:val="22"/>
        </w:rPr>
        <w:t>2023 թվականին սպառումն իրական արտահայտությամբ աճել է 8.3%-ով՝ պայմանավորված ինչպես մասնավոր, այնպես էլ պետական սպառման աճով: Մասնավոր սպառման աճին նպաստել են բնակչության տնօրինվող եկամտի և սպառողական վարկավորման աճերը: Մասնավոր սպառման աճին դրական նպաստում է ունեցել նաև դեպի Հայաստան զբոսաշրջության բարձր աճը:</w:t>
      </w:r>
    </w:p>
    <w:p w14:paraId="4FBC6672" w14:textId="2162460F"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
          <w:bCs/>
          <w:i/>
          <w:iCs/>
          <w:sz w:val="22"/>
          <w:szCs w:val="22"/>
        </w:rPr>
        <w:t>Ներդրումներ։</w:t>
      </w:r>
      <w:r w:rsidRPr="00C921DE">
        <w:rPr>
          <w:rFonts w:ascii="GHEA Grapalat" w:eastAsia="GHEA Grapalat" w:hAnsi="GHEA Grapalat" w:cs="GHEA Grapalat"/>
          <w:sz w:val="22"/>
          <w:szCs w:val="22"/>
        </w:rPr>
        <w:t xml:space="preserve"> </w:t>
      </w:r>
      <w:r w:rsidRPr="00C921DE">
        <w:rPr>
          <w:rFonts w:ascii="GHEA Grapalat" w:eastAsia="GHEA Grapalat" w:hAnsi="GHEA Grapalat" w:cs="GHEA Grapalat"/>
          <w:bCs/>
          <w:sz w:val="22"/>
          <w:szCs w:val="22"/>
        </w:rPr>
        <w:t>Հաշվետու ժամանակահատվածում կապիտալ ներդրումները</w:t>
      </w:r>
      <w:r w:rsidRPr="00C921DE">
        <w:rPr>
          <w:rFonts w:ascii="GHEA Grapalat" w:eastAsia="GHEA Grapalat" w:hAnsi="GHEA Grapalat" w:cs="GHEA Grapalat"/>
          <w:bCs/>
          <w:sz w:val="22"/>
          <w:szCs w:val="22"/>
          <w:vertAlign w:val="superscript"/>
        </w:rPr>
        <w:footnoteReference w:id="16"/>
      </w:r>
      <w:r w:rsidRPr="00C921DE">
        <w:rPr>
          <w:rFonts w:ascii="GHEA Grapalat" w:eastAsia="GHEA Grapalat" w:hAnsi="GHEA Grapalat" w:cs="GHEA Grapalat"/>
          <w:bCs/>
          <w:sz w:val="22"/>
          <w:szCs w:val="22"/>
        </w:rPr>
        <w:t xml:space="preserve"> նախորդ տարվա նկատմամբ իրական արտահայտությամբ աճել են 14.4%-ով՝ հիմնականում պայմանավորված մասնավոր ներդրումների աճով: Պետական ներդրումների աճը ևս դրական է նպաստել ընդհանուր ներդրումների աճին։ Մասնավոր ներդրումների վրա դրական ազդեցություն են ունեցել հի</w:t>
      </w:r>
      <w:r w:rsidR="0084311F" w:rsidRPr="00C921DE">
        <w:rPr>
          <w:rFonts w:ascii="GHEA Grapalat" w:eastAsia="GHEA Grapalat" w:hAnsi="GHEA Grapalat" w:cs="GHEA Grapalat"/>
          <w:bCs/>
          <w:sz w:val="22"/>
          <w:szCs w:val="22"/>
          <w:lang w:val="en-US"/>
        </w:rPr>
        <w:t>պոտեկ</w:t>
      </w:r>
      <w:r w:rsidRPr="00C921DE">
        <w:rPr>
          <w:rFonts w:ascii="GHEA Grapalat" w:eastAsia="GHEA Grapalat" w:hAnsi="GHEA Grapalat" w:cs="GHEA Grapalat"/>
          <w:bCs/>
          <w:sz w:val="22"/>
          <w:szCs w:val="22"/>
        </w:rPr>
        <w:t>ային և շինարարության վարկերի ծավալների աճը:</w:t>
      </w:r>
    </w:p>
    <w:p w14:paraId="09B30DAB" w14:textId="00BF0CAA" w:rsidR="008F37E4" w:rsidRPr="00C921DE" w:rsidRDefault="008F37E4" w:rsidP="005A6581">
      <w:pPr>
        <w:spacing w:line="336" w:lineRule="auto"/>
        <w:ind w:firstLine="567"/>
        <w:jc w:val="both"/>
        <w:rPr>
          <w:rFonts w:ascii="GHEA Grapalat" w:eastAsia="GHEA Grapalat" w:hAnsi="GHEA Grapalat" w:cs="GHEA Grapalat"/>
          <w:sz w:val="22"/>
          <w:szCs w:val="22"/>
          <w:lang w:val="en-US"/>
        </w:rPr>
      </w:pPr>
      <w:r w:rsidRPr="00C921DE">
        <w:rPr>
          <w:rFonts w:ascii="GHEA Grapalat" w:eastAsia="GHEA Grapalat" w:hAnsi="GHEA Grapalat" w:cs="GHEA Grapalat"/>
          <w:sz w:val="22"/>
          <w:szCs w:val="22"/>
        </w:rPr>
        <w:t xml:space="preserve">Ներդրումների աճը հիմնականում պայմանավորված է եղել անշարժ գույքի հետ կապված գործունեության, տրանսպորտի, կրթության, </w:t>
      </w:r>
      <w:r w:rsidRPr="00C921DE">
        <w:rPr>
          <w:rFonts w:ascii="GHEA Grapalat" w:eastAsia="GHEA Grapalat" w:hAnsi="GHEA Grapalat" w:cs="Sylfaen"/>
          <w:sz w:val="22"/>
          <w:szCs w:val="22"/>
        </w:rPr>
        <w:t>ինչպես</w:t>
      </w:r>
      <w:r w:rsidRPr="00C921DE">
        <w:rPr>
          <w:rFonts w:ascii="GHEA Grapalat" w:eastAsia="GHEA Grapalat" w:hAnsi="GHEA Grapalat" w:cs="GHEA Grapalat"/>
          <w:sz w:val="22"/>
          <w:szCs w:val="22"/>
        </w:rPr>
        <w:t xml:space="preserve"> նաև մշակույթ, զվարճություններ և հանգիստ</w:t>
      </w:r>
      <w:r w:rsidRPr="00C921DE">
        <w:rPr>
          <w:rFonts w:ascii="GHEA Grapalat" w:hAnsi="GHEA Grapalat"/>
        </w:rPr>
        <w:t xml:space="preserve"> </w:t>
      </w:r>
      <w:r w:rsidRPr="00C921DE">
        <w:rPr>
          <w:rFonts w:ascii="GHEA Grapalat" w:eastAsia="GHEA Grapalat" w:hAnsi="GHEA Grapalat" w:cs="GHEA Grapalat"/>
          <w:sz w:val="22"/>
          <w:szCs w:val="22"/>
        </w:rPr>
        <w:t>ոլորտներում կատարված ներդրումների աճերով</w:t>
      </w:r>
      <w:r w:rsidRPr="00C921DE">
        <w:rPr>
          <w:rFonts w:ascii="GHEA Grapalat" w:eastAsia="GHEA Grapalat" w:hAnsi="GHEA Grapalat" w:cs="GHEA Grapalat"/>
          <w:sz w:val="22"/>
          <w:szCs w:val="22"/>
          <w:vertAlign w:val="superscript"/>
        </w:rPr>
        <w:footnoteReference w:id="17"/>
      </w:r>
      <w:r w:rsidR="0084311F" w:rsidRPr="00C921DE">
        <w:rPr>
          <w:rFonts w:ascii="GHEA Grapalat" w:eastAsia="GHEA Grapalat" w:hAnsi="GHEA Grapalat" w:cs="GHEA Grapalat"/>
          <w:sz w:val="22"/>
          <w:szCs w:val="22"/>
          <w:lang w:val="en-US"/>
        </w:rPr>
        <w:t>:</w:t>
      </w:r>
    </w:p>
    <w:p w14:paraId="351FFBF7" w14:textId="7C14D478"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
          <w:bCs/>
          <w:i/>
          <w:iCs/>
          <w:sz w:val="22"/>
          <w:szCs w:val="22"/>
        </w:rPr>
        <w:t>Զուտ արտահանում։</w:t>
      </w:r>
      <w:r w:rsidRPr="00C921DE">
        <w:rPr>
          <w:rFonts w:ascii="GHEA Grapalat" w:eastAsia="GHEA Grapalat" w:hAnsi="GHEA Grapalat" w:cs="GHEA Grapalat"/>
          <w:sz w:val="22"/>
          <w:szCs w:val="22"/>
        </w:rPr>
        <w:t xml:space="preserve"> </w:t>
      </w:r>
      <w:r w:rsidRPr="00C921DE">
        <w:rPr>
          <w:rFonts w:ascii="GHEA Grapalat" w:eastAsia="GHEA Grapalat" w:hAnsi="GHEA Grapalat" w:cs="GHEA Grapalat"/>
          <w:bCs/>
          <w:sz w:val="22"/>
          <w:szCs w:val="22"/>
        </w:rPr>
        <w:t xml:space="preserve">Ապրանքների և ծառայությունների արտահանման իրական ծավալներն աճել են 28.7%-ով` պայմանավորված արտաքին պահանջարկի աճով (ՏՏ, զբոսաշրջիկներին </w:t>
      </w:r>
      <w:r w:rsidRPr="00C921DE">
        <w:rPr>
          <w:rFonts w:ascii="GHEA Grapalat" w:eastAsia="GHEA Grapalat" w:hAnsi="GHEA Grapalat" w:cs="GHEA Grapalat"/>
          <w:bCs/>
          <w:sz w:val="22"/>
          <w:szCs w:val="22"/>
        </w:rPr>
        <w:lastRenderedPageBreak/>
        <w:t>մատուցված ծառայությունների աճ), ինչպես նաև այլ երկրներից ՌԴ ներմուծման սահմանափակումների արդյունքում ՀՀ-ից դեպի ՌԴ արտահանման ծավալների աճով, ինչպես նաև ՀՀ-ից ոսկու արտահանմամբ</w:t>
      </w:r>
      <w:r w:rsidRPr="00C921DE">
        <w:rPr>
          <w:rFonts w:ascii="GHEA Grapalat" w:eastAsia="GHEA Grapalat" w:hAnsi="GHEA Grapalat" w:cs="GHEA Grapalat"/>
          <w:sz w:val="22"/>
          <w:szCs w:val="22"/>
          <w:vertAlign w:val="superscript"/>
        </w:rPr>
        <w:footnoteReference w:id="18"/>
      </w:r>
      <w:r w:rsidRPr="00C921DE">
        <w:rPr>
          <w:rFonts w:ascii="GHEA Grapalat" w:eastAsia="GHEA Grapalat" w:hAnsi="GHEA Grapalat" w:cs="GHEA Grapalat"/>
          <w:bCs/>
          <w:sz w:val="22"/>
          <w:szCs w:val="22"/>
        </w:rPr>
        <w:t xml:space="preserve">: Հաշվետու </w:t>
      </w:r>
      <w:r w:rsidR="0084311F" w:rsidRPr="00C921DE">
        <w:rPr>
          <w:rFonts w:ascii="GHEA Grapalat" w:eastAsia="GHEA Grapalat" w:hAnsi="GHEA Grapalat" w:cs="GHEA Grapalat"/>
          <w:bCs/>
          <w:sz w:val="22"/>
          <w:szCs w:val="22"/>
          <w:lang w:val="en-US"/>
        </w:rPr>
        <w:t>տարում</w:t>
      </w:r>
      <w:r w:rsidRPr="00C921DE">
        <w:rPr>
          <w:rFonts w:ascii="GHEA Grapalat" w:eastAsia="GHEA Grapalat" w:hAnsi="GHEA Grapalat" w:cs="GHEA Grapalat"/>
          <w:bCs/>
          <w:sz w:val="22"/>
          <w:szCs w:val="22"/>
        </w:rPr>
        <w:t xml:space="preserve"> ապրանքների և ծառայությունների ներմուծման ծավալները նախորդ տարվա համեմատ աճել են 28.3%-ով` պայմանավորված տնտեսական ակտիվության և ներքին պահանջարկի աճով: </w:t>
      </w:r>
      <w:r w:rsidRPr="00C921DE">
        <w:rPr>
          <w:rFonts w:ascii="GHEA Grapalat" w:eastAsia="GHEA Grapalat" w:hAnsi="GHEA Grapalat" w:cs="Sylfaen"/>
          <w:sz w:val="22"/>
          <w:szCs w:val="22"/>
        </w:rPr>
        <w:t>Ներմուծման</w:t>
      </w:r>
      <w:r w:rsidRPr="00C921DE">
        <w:rPr>
          <w:rFonts w:ascii="GHEA Grapalat" w:eastAsia="GHEA Grapalat" w:hAnsi="GHEA Grapalat" w:cs="GHEA Grapalat"/>
          <w:bCs/>
          <w:sz w:val="22"/>
          <w:szCs w:val="22"/>
        </w:rPr>
        <w:t xml:space="preserve"> աճին դրական նպաստում է ունեցել նաև արժևորված ազգային արժույթը:</w:t>
      </w:r>
    </w:p>
    <w:p w14:paraId="2B4DBCA5" w14:textId="77777777" w:rsidR="001C411D" w:rsidRPr="00C921DE" w:rsidRDefault="001C411D" w:rsidP="003C01DF">
      <w:pPr>
        <w:spacing w:line="360" w:lineRule="auto"/>
        <w:ind w:firstLine="567"/>
        <w:jc w:val="both"/>
        <w:rPr>
          <w:rFonts w:ascii="GHEA Grapalat" w:hAnsi="GHEA Grapalat"/>
          <w:sz w:val="22"/>
          <w:szCs w:val="22"/>
          <w:lang w:val="en-US"/>
        </w:rPr>
      </w:pPr>
    </w:p>
    <w:p w14:paraId="0AD182D7" w14:textId="77777777" w:rsidR="001C411D" w:rsidRPr="00C921DE" w:rsidRDefault="001C411D" w:rsidP="00A07DCC">
      <w:pPr>
        <w:pStyle w:val="Heading6"/>
        <w:ind w:left="567"/>
        <w:rPr>
          <w:rFonts w:ascii="GHEA Grapalat" w:hAnsi="GHEA Grapalat"/>
          <w:b/>
          <w:sz w:val="22"/>
          <w:szCs w:val="22"/>
          <w:u w:val="none"/>
        </w:rPr>
      </w:pPr>
      <w:r w:rsidRPr="00C921DE">
        <w:rPr>
          <w:rFonts w:ascii="GHEA Grapalat" w:hAnsi="GHEA Grapalat"/>
          <w:b/>
          <w:sz w:val="22"/>
          <w:szCs w:val="22"/>
          <w:u w:val="none"/>
        </w:rPr>
        <w:t xml:space="preserve">Աշխատանքի շուկա </w:t>
      </w:r>
    </w:p>
    <w:p w14:paraId="5358DD7F" w14:textId="77F7A104"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 xml:space="preserve">Տնտեսական բարձր ակտիվության պայմաններում գործազրկությունը նվազել է, իսկ զբաղվածությունը և աշխատավարձերն՝ աճել։ 2023 թվականին գործազրկության մակարդակը 2022 թվականի նկատմամբ նվազել է 0.9 տոկոսային կետով՝ կազմելով 12.6%։ Գործազուրկների թիվը նույն ժամանակահատվածում նվազել է 3.1%-ով՝ կազմելով 171.2 հազ. մարդ, իսկ զբաղվածների թիվն աճել է 4.4%-ով՝ կազմելով 1,184.7 հազ. մարդ։ </w:t>
      </w:r>
    </w:p>
    <w:p w14:paraId="71E91F92" w14:textId="77777777" w:rsidR="005A6581" w:rsidRPr="00C921DE" w:rsidRDefault="005A6581" w:rsidP="00CE440B">
      <w:pPr>
        <w:ind w:firstLine="540"/>
        <w:jc w:val="both"/>
        <w:rPr>
          <w:rFonts w:ascii="GHEA Grapalat" w:eastAsia="GHEA Grapalat" w:hAnsi="GHEA Grapalat" w:cs="GHEA Grapalat"/>
          <w:bCs/>
          <w:sz w:val="22"/>
          <w:szCs w:val="22"/>
        </w:rPr>
      </w:pPr>
    </w:p>
    <w:tbl>
      <w:tblPr>
        <w:tblStyle w:val="TableGrid1421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5120"/>
      </w:tblGrid>
      <w:tr w:rsidR="008F37E4" w:rsidRPr="00C921DE" w14:paraId="6AD3F9EA" w14:textId="77777777" w:rsidTr="000F4C56">
        <w:trPr>
          <w:trHeight w:val="4491"/>
        </w:trPr>
        <w:tc>
          <w:tcPr>
            <w:tcW w:w="5226" w:type="dxa"/>
          </w:tcPr>
          <w:p w14:paraId="13362EE0" w14:textId="423BC03D" w:rsidR="008F37E4" w:rsidRPr="00C921DE" w:rsidRDefault="008F37E4" w:rsidP="004C12B8">
            <w:pPr>
              <w:pStyle w:val="a"/>
            </w:pPr>
            <w:r w:rsidRPr="00C921DE">
              <w:t>Գործազրկության մակարդակ, գործազուրկներ և զբաղվածներ</w:t>
            </w:r>
          </w:p>
          <w:p w14:paraId="20B103C5" w14:textId="638C1379" w:rsidR="008F37E4" w:rsidRPr="00C921DE" w:rsidRDefault="008F37E4" w:rsidP="000F4C56">
            <w:pPr>
              <w:tabs>
                <w:tab w:val="right" w:pos="0"/>
              </w:tabs>
              <w:spacing w:before="120" w:after="60" w:line="240" w:lineRule="auto"/>
              <w:contextualSpacing/>
              <w:rPr>
                <w:rFonts w:ascii="GHEA Grapalat" w:hAnsi="GHEA Grapalat" w:cs="Sylfaen"/>
                <w:sz w:val="16"/>
                <w:szCs w:val="16"/>
              </w:rPr>
            </w:pPr>
          </w:p>
          <w:p w14:paraId="0FD4075D" w14:textId="77777777" w:rsidR="006964B3" w:rsidRPr="00C921DE" w:rsidRDefault="006964B3" w:rsidP="000F4C56">
            <w:pPr>
              <w:tabs>
                <w:tab w:val="right" w:pos="0"/>
              </w:tabs>
              <w:spacing w:before="120" w:after="60" w:line="240" w:lineRule="auto"/>
              <w:contextualSpacing/>
              <w:rPr>
                <w:rFonts w:ascii="GHEA Grapalat" w:hAnsi="GHEA Grapalat" w:cs="Sylfaen"/>
                <w:i/>
                <w:sz w:val="10"/>
                <w:szCs w:val="10"/>
              </w:rPr>
            </w:pPr>
          </w:p>
          <w:p w14:paraId="41EA5F7A" w14:textId="77777777" w:rsidR="008F37E4" w:rsidRPr="00C921DE" w:rsidRDefault="008F37E4" w:rsidP="000F4C56">
            <w:pPr>
              <w:tabs>
                <w:tab w:val="right" w:pos="0"/>
              </w:tabs>
              <w:spacing w:before="120" w:after="60" w:line="240" w:lineRule="auto"/>
              <w:contextualSpacing/>
              <w:rPr>
                <w:rFonts w:ascii="GHEA Grapalat" w:hAnsi="GHEA Grapalat" w:cs="Sylfaen"/>
                <w:i/>
                <w:sz w:val="16"/>
                <w:szCs w:val="16"/>
              </w:rPr>
            </w:pPr>
            <w:r w:rsidRPr="00C921DE">
              <w:rPr>
                <w:rFonts w:ascii="GHEA Grapalat" w:hAnsi="GHEA Grapalat"/>
                <w:lang w:val="en-US"/>
              </w:rPr>
              <w:drawing>
                <wp:inline distT="0" distB="0" distL="0" distR="0" wp14:anchorId="2CC1982E" wp14:editId="19F7F581">
                  <wp:extent cx="2914650" cy="1858061"/>
                  <wp:effectExtent l="0" t="0" r="0" b="889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75DAD07" w14:textId="77777777" w:rsidR="008F37E4" w:rsidRPr="00C921DE" w:rsidRDefault="008F37E4" w:rsidP="000F4C56">
            <w:pPr>
              <w:tabs>
                <w:tab w:val="right" w:pos="0"/>
              </w:tabs>
              <w:spacing w:before="120" w:after="60"/>
              <w:contextualSpacing/>
              <w:rPr>
                <w:rStyle w:val="Char"/>
                <w:rFonts w:eastAsia="Arial Unicode MS"/>
              </w:rPr>
            </w:pPr>
            <w:r w:rsidRPr="00C921DE">
              <w:rPr>
                <w:rFonts w:ascii="GHEA Grapalat" w:hAnsi="GHEA Grapalat"/>
                <w:i/>
                <w:sz w:val="18"/>
                <w:szCs w:val="16"/>
              </w:rPr>
              <w:t>Աղբյուրը՝ ՀՀ ՎԿ</w:t>
            </w:r>
          </w:p>
        </w:tc>
        <w:tc>
          <w:tcPr>
            <w:tcW w:w="5226" w:type="dxa"/>
          </w:tcPr>
          <w:p w14:paraId="3FC3B9FD" w14:textId="52E93CC4" w:rsidR="008F37E4" w:rsidRPr="00C921DE" w:rsidRDefault="008F37E4" w:rsidP="004C12B8">
            <w:pPr>
              <w:pStyle w:val="a"/>
            </w:pPr>
            <w:r w:rsidRPr="00C921DE">
              <w:t>Միջին ամսական անվանական աշխատավարձի աճը նախորդ տարվա նկատմամբ, %</w:t>
            </w:r>
          </w:p>
          <w:p w14:paraId="52C2ED96" w14:textId="77777777" w:rsidR="008F37E4" w:rsidRPr="00C921DE" w:rsidRDefault="008F37E4" w:rsidP="000F4C56">
            <w:pPr>
              <w:tabs>
                <w:tab w:val="right" w:pos="0"/>
              </w:tabs>
              <w:spacing w:before="120" w:after="60" w:line="240" w:lineRule="auto"/>
              <w:contextualSpacing/>
              <w:rPr>
                <w:rFonts w:ascii="GHEA Grapalat" w:hAnsi="GHEA Grapalat" w:cs="Sylfaen"/>
                <w:i/>
                <w:sz w:val="16"/>
                <w:szCs w:val="16"/>
              </w:rPr>
            </w:pPr>
            <w:r w:rsidRPr="00C921DE">
              <w:rPr>
                <w:rFonts w:ascii="GHEA Grapalat" w:hAnsi="GHEA Grapalat"/>
                <w:sz w:val="16"/>
                <w:szCs w:val="16"/>
                <w:lang w:val="en-US"/>
              </w:rPr>
              <w:drawing>
                <wp:inline distT="0" distB="0" distL="0" distR="0" wp14:anchorId="589212B4" wp14:editId="13F53E57">
                  <wp:extent cx="3067050" cy="1858010"/>
                  <wp:effectExtent l="0" t="0" r="0" b="889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B2162B2" w14:textId="77777777" w:rsidR="008F37E4" w:rsidRPr="00C921DE" w:rsidRDefault="008F37E4" w:rsidP="000F4C56">
            <w:pPr>
              <w:tabs>
                <w:tab w:val="right" w:pos="0"/>
              </w:tabs>
              <w:spacing w:before="120" w:after="60"/>
              <w:contextualSpacing/>
              <w:rPr>
                <w:rStyle w:val="Char"/>
                <w:sz w:val="18"/>
                <w:szCs w:val="16"/>
              </w:rPr>
            </w:pPr>
            <w:r w:rsidRPr="00C921DE">
              <w:rPr>
                <w:rFonts w:ascii="GHEA Grapalat" w:hAnsi="GHEA Grapalat"/>
                <w:i/>
                <w:sz w:val="18"/>
                <w:szCs w:val="16"/>
              </w:rPr>
              <w:t>Աղբյուրը՝ ՀՀ ՎԿ</w:t>
            </w:r>
          </w:p>
        </w:tc>
      </w:tr>
    </w:tbl>
    <w:p w14:paraId="21020B94" w14:textId="77777777" w:rsidR="005A6581" w:rsidRPr="00C921DE" w:rsidRDefault="005A6581" w:rsidP="00CE440B">
      <w:pPr>
        <w:ind w:firstLine="540"/>
        <w:jc w:val="both"/>
        <w:rPr>
          <w:rFonts w:ascii="GHEA Grapalat" w:eastAsia="GHEA Grapalat" w:hAnsi="GHEA Grapalat" w:cs="GHEA Grapalat"/>
          <w:bCs/>
          <w:sz w:val="22"/>
          <w:szCs w:val="22"/>
        </w:rPr>
      </w:pPr>
    </w:p>
    <w:p w14:paraId="61276923" w14:textId="6CB7029C"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 xml:space="preserve">Վարձու աշխատողների թիվը 2023 թվականին աճել է ավելի արագ տեմպերով (5.5%-ով), քան զբաղվածներինը, ինչը պայմանավորված է </w:t>
      </w:r>
      <w:r w:rsidRPr="00C921DE">
        <w:rPr>
          <w:rFonts w:ascii="GHEA Grapalat" w:eastAsia="GHEA Grapalat" w:hAnsi="GHEA Grapalat" w:cs="Sylfaen"/>
          <w:sz w:val="22"/>
          <w:szCs w:val="22"/>
        </w:rPr>
        <w:t>ինչպես</w:t>
      </w:r>
      <w:r w:rsidRPr="00C921DE">
        <w:rPr>
          <w:rFonts w:ascii="GHEA Grapalat" w:eastAsia="GHEA Grapalat" w:hAnsi="GHEA Grapalat" w:cs="GHEA Grapalat"/>
          <w:bCs/>
          <w:sz w:val="22"/>
          <w:szCs w:val="22"/>
        </w:rPr>
        <w:t xml:space="preserve"> տնտեսության ֆորմալ զբաղվածության աճով, այնպես էլ նոր կազմակերպությունների ստեղծմամբ (կազմակերպությունների թվաքանակն աճել է շուրջ 5.3%-ով)։ Վարձու աշխատողների թվի աճին հիմնականում նպաստել են մշակող արդյունաբերության, կացության և հանրային սննդի կազմակերպման, շինարարության, մշակույթ, զվարճություններ և հանգստի, ինչպես նաև տեղեկատվական տեխնոլոգիաների ոլորտներում </w:t>
      </w:r>
      <w:r w:rsidRPr="00C921DE">
        <w:rPr>
          <w:rFonts w:ascii="GHEA Grapalat" w:eastAsia="GHEA Grapalat" w:hAnsi="GHEA Grapalat" w:cs="GHEA Grapalat"/>
          <w:bCs/>
          <w:sz w:val="22"/>
          <w:szCs w:val="22"/>
        </w:rPr>
        <w:lastRenderedPageBreak/>
        <w:t>աշխատողների թվի աճը։ Սա իր հերթին պայմանավորված է հիմնականում ՀՀ ժամանած զբոսաշրջիկների և աշխատանքային միգրանտների թվի ավելացմամբ, ԼՂ</w:t>
      </w:r>
      <w:r w:rsidR="0035023A" w:rsidRPr="00C921DE">
        <w:rPr>
          <w:rFonts w:ascii="GHEA Grapalat" w:eastAsia="GHEA Grapalat" w:hAnsi="GHEA Grapalat" w:cs="GHEA Grapalat"/>
          <w:bCs/>
          <w:sz w:val="22"/>
          <w:szCs w:val="22"/>
          <w:lang w:val="en-US"/>
        </w:rPr>
        <w:t>-ից բռնի տեղահանված</w:t>
      </w:r>
      <w:r w:rsidRPr="00C921DE">
        <w:rPr>
          <w:rFonts w:ascii="GHEA Grapalat" w:eastAsia="GHEA Grapalat" w:hAnsi="GHEA Grapalat" w:cs="GHEA Grapalat"/>
          <w:bCs/>
          <w:sz w:val="22"/>
          <w:szCs w:val="22"/>
        </w:rPr>
        <w:t xml:space="preserve"> բնակչության</w:t>
      </w:r>
      <w:r w:rsidR="006964B3"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w:t>
      </w:r>
      <w:r w:rsidR="00580842" w:rsidRPr="00C921DE">
        <w:rPr>
          <w:rFonts w:ascii="GHEA Grapalat" w:eastAsia="GHEA Grapalat" w:hAnsi="GHEA Grapalat" w:cs="GHEA Grapalat"/>
          <w:bCs/>
          <w:sz w:val="22"/>
          <w:szCs w:val="22"/>
          <w:lang w:val="en-US"/>
        </w:rPr>
        <w:t xml:space="preserve">ՀՀ </w:t>
      </w:r>
      <w:r w:rsidRPr="00C921DE">
        <w:rPr>
          <w:rFonts w:ascii="GHEA Grapalat" w:eastAsia="GHEA Grapalat" w:hAnsi="GHEA Grapalat" w:cs="GHEA Grapalat"/>
          <w:bCs/>
          <w:sz w:val="22"/>
          <w:szCs w:val="22"/>
        </w:rPr>
        <w:t>աշխատանքի շուկայում ընդգրկմամբ, մշակող արդյունաբերության որոշ արտադրատեսակների նկատմամբ պահանջարկի աճով, ինչպես նաև</w:t>
      </w:r>
      <w:r w:rsidR="006964B3" w:rsidRPr="00C921DE">
        <w:rPr>
          <w:rFonts w:ascii="GHEA Grapalat" w:eastAsia="GHEA Grapalat" w:hAnsi="GHEA Grapalat" w:cs="GHEA Grapalat"/>
          <w:bCs/>
          <w:sz w:val="22"/>
          <w:szCs w:val="22"/>
          <w:lang w:val="en-US"/>
        </w:rPr>
        <w:t xml:space="preserve"> </w:t>
      </w:r>
      <w:r w:rsidRPr="00C921DE">
        <w:rPr>
          <w:rFonts w:ascii="GHEA Grapalat" w:eastAsia="GHEA Grapalat" w:hAnsi="GHEA Grapalat" w:cs="GHEA Grapalat"/>
          <w:bCs/>
          <w:sz w:val="22"/>
          <w:szCs w:val="22"/>
        </w:rPr>
        <w:t>շինարարության ոլորտի դրական զարգացումներով և սեզոնային աշխատողների (հիմնականում</w:t>
      </w:r>
      <w:r w:rsidR="006964B3"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w:t>
      </w:r>
      <w:r w:rsidRPr="00C921DE">
        <w:rPr>
          <w:rFonts w:ascii="GHEA Grapalat" w:eastAsia="GHEA Grapalat" w:hAnsi="GHEA Grapalat" w:cs="Sylfaen"/>
          <w:sz w:val="22"/>
          <w:szCs w:val="22"/>
        </w:rPr>
        <w:t>շինարարության</w:t>
      </w:r>
      <w:r w:rsidRPr="00C921DE">
        <w:rPr>
          <w:rFonts w:ascii="GHEA Grapalat" w:eastAsia="GHEA Grapalat" w:hAnsi="GHEA Grapalat" w:cs="GHEA Grapalat"/>
          <w:bCs/>
          <w:sz w:val="22"/>
          <w:szCs w:val="22"/>
        </w:rPr>
        <w:t xml:space="preserve"> ոլորտում)</w:t>
      </w:r>
      <w:r w:rsidR="006964B3"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արտերկրում գործունեութ</w:t>
      </w:r>
      <w:r w:rsidR="006964B3" w:rsidRPr="00C921DE">
        <w:rPr>
          <w:rFonts w:ascii="GHEA Grapalat" w:eastAsia="GHEA Grapalat" w:hAnsi="GHEA Grapalat" w:cs="GHEA Grapalat"/>
          <w:bCs/>
          <w:sz w:val="22"/>
          <w:szCs w:val="22"/>
          <w:lang w:val="en-US"/>
        </w:rPr>
        <w:t>յ</w:t>
      </w:r>
      <w:r w:rsidRPr="00C921DE">
        <w:rPr>
          <w:rFonts w:ascii="GHEA Grapalat" w:eastAsia="GHEA Grapalat" w:hAnsi="GHEA Grapalat" w:cs="GHEA Grapalat"/>
          <w:bCs/>
          <w:sz w:val="22"/>
          <w:szCs w:val="22"/>
        </w:rPr>
        <w:t>ան իրականացման փոխարեն ՀՀ-ում գործունեություն իրականացնելու նախընտրության փոփոխությամբ։ Միաժամանակ աշխատուժի առաջարկը (տնտեսապես ակտիվ բնակչություն) աճել է 3.4%-ով և կազմել 1,355.9 հազ. մարդ։</w:t>
      </w:r>
    </w:p>
    <w:p w14:paraId="51F3B237" w14:textId="77777777" w:rsidR="006964B3" w:rsidRPr="00C921DE" w:rsidRDefault="006964B3" w:rsidP="00CE440B">
      <w:pPr>
        <w:ind w:firstLine="567"/>
        <w:jc w:val="both"/>
        <w:rPr>
          <w:rFonts w:ascii="GHEA Grapalat" w:eastAsia="GHEA Grapalat" w:hAnsi="GHEA Grapalat" w:cs="GHEA Grapalat"/>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3"/>
        <w:gridCol w:w="4965"/>
      </w:tblGrid>
      <w:tr w:rsidR="008F37E4" w:rsidRPr="00C921DE" w14:paraId="5D920910" w14:textId="77777777" w:rsidTr="000F4C56">
        <w:tc>
          <w:tcPr>
            <w:tcW w:w="5377" w:type="dxa"/>
          </w:tcPr>
          <w:p w14:paraId="3FF9498B" w14:textId="455E2A55" w:rsidR="008F37E4" w:rsidRPr="00C921DE" w:rsidRDefault="008F37E4" w:rsidP="004C12B8">
            <w:pPr>
              <w:pStyle w:val="a"/>
            </w:pPr>
            <w:r w:rsidRPr="00C921DE">
              <w:t>Գործազրկության մակարդակ, գործազուրկներ և զբաղվածներ</w:t>
            </w:r>
          </w:p>
          <w:p w14:paraId="59872D90"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31EBE5E0"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1012DB8F"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3E7DA470"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751A2BF5"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08155CF4"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369BB55D"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0E897785"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4ABAEEC6"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00670A62"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0C060D06"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5F2E543B"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0F62345E" w14:textId="77777777" w:rsidR="008F37E4" w:rsidRPr="00C921DE" w:rsidRDefault="008F37E4" w:rsidP="000F4C56">
            <w:pPr>
              <w:tabs>
                <w:tab w:val="right" w:pos="0"/>
              </w:tabs>
              <w:spacing w:before="120" w:after="60"/>
              <w:contextualSpacing/>
              <w:rPr>
                <w:rFonts w:ascii="GHEA Grapalat" w:hAnsi="GHEA Grapalat" w:cs="Sylfaen"/>
                <w:i/>
                <w:sz w:val="2"/>
                <w:szCs w:val="2"/>
              </w:rPr>
            </w:pPr>
          </w:p>
          <w:p w14:paraId="457FB5A4" w14:textId="77777777" w:rsidR="008F37E4" w:rsidRPr="00C921DE" w:rsidRDefault="008F37E4" w:rsidP="000F4C56">
            <w:pPr>
              <w:tabs>
                <w:tab w:val="right" w:pos="0"/>
              </w:tabs>
              <w:spacing w:before="120" w:after="60"/>
              <w:contextualSpacing/>
              <w:rPr>
                <w:rFonts w:ascii="GHEA Grapalat" w:hAnsi="GHEA Grapalat" w:cs="Sylfaen"/>
                <w:i/>
                <w:sz w:val="16"/>
                <w:szCs w:val="16"/>
              </w:rPr>
            </w:pPr>
            <w:r w:rsidRPr="00C921DE">
              <w:rPr>
                <w:rFonts w:ascii="GHEA Grapalat" w:hAnsi="GHEA Grapalat"/>
                <w:lang w:val="en-US"/>
              </w:rPr>
              <w:drawing>
                <wp:inline distT="0" distB="0" distL="0" distR="0" wp14:anchorId="34ADD184" wp14:editId="0B4B8BCC">
                  <wp:extent cx="3075710" cy="1840675"/>
                  <wp:effectExtent l="0" t="0" r="10795" b="762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6836F5" w14:textId="77777777" w:rsidR="008F37E4" w:rsidRPr="00C921DE" w:rsidRDefault="008F37E4" w:rsidP="000F4C56">
            <w:pPr>
              <w:spacing w:line="360" w:lineRule="auto"/>
              <w:jc w:val="both"/>
              <w:rPr>
                <w:rFonts w:ascii="GHEA Grapalat" w:eastAsia="GHEA Grapalat" w:hAnsi="GHEA Grapalat" w:cs="GHEA Grapalat"/>
                <w:sz w:val="22"/>
                <w:szCs w:val="22"/>
                <w:lang w:val="en-US"/>
              </w:rPr>
            </w:pPr>
            <w:r w:rsidRPr="00C921DE">
              <w:rPr>
                <w:rFonts w:ascii="GHEA Grapalat" w:hAnsi="GHEA Grapalat"/>
                <w:i/>
                <w:sz w:val="18"/>
                <w:szCs w:val="16"/>
              </w:rPr>
              <w:t>Աղբյուրը՝ ՀՀ ՎԿ</w:t>
            </w:r>
          </w:p>
        </w:tc>
        <w:tc>
          <w:tcPr>
            <w:tcW w:w="5378" w:type="dxa"/>
          </w:tcPr>
          <w:p w14:paraId="6C1141CC" w14:textId="5E4A9360" w:rsidR="008F37E4" w:rsidRPr="00C921DE" w:rsidRDefault="008F37E4" w:rsidP="004C12B8">
            <w:pPr>
              <w:pStyle w:val="a"/>
            </w:pPr>
            <w:r w:rsidRPr="00C921DE">
              <w:t>Միջին ամսական անվանական աշխատավարձի աճը նախորդ տարվա նկատմամբ, %</w:t>
            </w:r>
          </w:p>
          <w:p w14:paraId="6D16256B" w14:textId="77777777" w:rsidR="008F37E4" w:rsidRPr="00C921DE" w:rsidRDefault="008F37E4" w:rsidP="000F4C56">
            <w:pPr>
              <w:tabs>
                <w:tab w:val="right" w:pos="0"/>
              </w:tabs>
              <w:spacing w:before="120" w:after="60"/>
              <w:contextualSpacing/>
              <w:rPr>
                <w:rFonts w:ascii="GHEA Grapalat" w:hAnsi="GHEA Grapalat" w:cs="Sylfaen"/>
                <w:i/>
                <w:sz w:val="16"/>
                <w:szCs w:val="16"/>
              </w:rPr>
            </w:pPr>
            <w:r w:rsidRPr="00C921DE">
              <w:rPr>
                <w:rFonts w:ascii="GHEA Grapalat" w:hAnsi="GHEA Grapalat"/>
                <w:sz w:val="16"/>
                <w:szCs w:val="16"/>
                <w:lang w:val="en-US"/>
              </w:rPr>
              <w:drawing>
                <wp:inline distT="0" distB="0" distL="0" distR="0" wp14:anchorId="6C3ED897" wp14:editId="4207FDA2">
                  <wp:extent cx="2671445" cy="1840230"/>
                  <wp:effectExtent l="0" t="0" r="14605" b="762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A672E2" w14:textId="77777777" w:rsidR="008F37E4" w:rsidRPr="00C921DE" w:rsidRDefault="008F37E4" w:rsidP="000F4C56">
            <w:pPr>
              <w:spacing w:line="360" w:lineRule="auto"/>
              <w:jc w:val="both"/>
              <w:rPr>
                <w:rFonts w:ascii="GHEA Grapalat" w:eastAsia="GHEA Grapalat" w:hAnsi="GHEA Grapalat" w:cs="GHEA Grapalat"/>
                <w:sz w:val="22"/>
                <w:szCs w:val="22"/>
                <w:lang w:val="en-US"/>
              </w:rPr>
            </w:pPr>
            <w:r w:rsidRPr="00C921DE">
              <w:rPr>
                <w:rFonts w:ascii="GHEA Grapalat" w:hAnsi="GHEA Grapalat"/>
                <w:i/>
                <w:sz w:val="18"/>
                <w:szCs w:val="16"/>
              </w:rPr>
              <w:t>Աղբյուրը՝ ՀՀ ՎԿ</w:t>
            </w:r>
          </w:p>
        </w:tc>
      </w:tr>
      <w:tr w:rsidR="008F37E4" w:rsidRPr="00C921DE" w14:paraId="533729FD" w14:textId="77777777" w:rsidTr="000F4C56">
        <w:tc>
          <w:tcPr>
            <w:tcW w:w="5377" w:type="dxa"/>
          </w:tcPr>
          <w:p w14:paraId="46729729" w14:textId="77777777" w:rsidR="008F37E4" w:rsidRPr="00C921DE" w:rsidRDefault="008F37E4" w:rsidP="00CE440B">
            <w:pPr>
              <w:ind w:firstLine="567"/>
              <w:jc w:val="both"/>
              <w:rPr>
                <w:rStyle w:val="Char"/>
                <w:rFonts w:eastAsia="Arial Unicode MS"/>
              </w:rPr>
            </w:pPr>
          </w:p>
        </w:tc>
        <w:tc>
          <w:tcPr>
            <w:tcW w:w="5378" w:type="dxa"/>
          </w:tcPr>
          <w:p w14:paraId="351DCC66" w14:textId="77777777" w:rsidR="008F37E4" w:rsidRPr="00C921DE" w:rsidRDefault="008F37E4" w:rsidP="000F4C56">
            <w:pPr>
              <w:tabs>
                <w:tab w:val="right" w:pos="0"/>
              </w:tabs>
              <w:spacing w:before="120" w:after="60"/>
              <w:contextualSpacing/>
              <w:rPr>
                <w:rStyle w:val="Char"/>
                <w:rFonts w:eastAsia="Arial Unicode MS"/>
              </w:rPr>
            </w:pPr>
          </w:p>
        </w:tc>
      </w:tr>
    </w:tbl>
    <w:p w14:paraId="0652ACF3" w14:textId="15FBFDA8" w:rsidR="008F37E4" w:rsidRPr="00C921DE" w:rsidRDefault="008F37E4" w:rsidP="005A6581">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 xml:space="preserve">2023 թվականին միջին ամսական անվանական աշխատավարձը նախորդ տարվա նկատմամբ աճել է 14.6%-ով` կազմելով 269,994 դրամ: Աշխատավարձի աճին հիմնականում նպաստել </w:t>
      </w:r>
      <w:r w:rsidR="007545BF" w:rsidRPr="00C921DE">
        <w:rPr>
          <w:rFonts w:ascii="GHEA Grapalat" w:eastAsia="GHEA Grapalat" w:hAnsi="GHEA Grapalat" w:cs="GHEA Grapalat"/>
          <w:bCs/>
          <w:sz w:val="22"/>
          <w:szCs w:val="22"/>
          <w:lang w:val="en-US"/>
        </w:rPr>
        <w:t>է</w:t>
      </w:r>
      <w:r w:rsidRPr="00C921DE">
        <w:rPr>
          <w:rFonts w:ascii="GHEA Grapalat" w:eastAsia="GHEA Grapalat" w:hAnsi="GHEA Grapalat" w:cs="GHEA Grapalat"/>
          <w:bCs/>
          <w:sz w:val="22"/>
          <w:szCs w:val="22"/>
        </w:rPr>
        <w:t xml:space="preserve"> մեծածախ և մանրածախ առևտրի, մշակող արդյունաբերության, մշակույթ, զվարճություններ և հանգստի, կրթության, կացության և հանրային սննդի կազմակերպման, տեղեկատվական տեխնոլոգիաների, ինչպես նաև շինարարության ոլորտների աշխատավարձերի աճը։ Միջին ամսական անվանական աշխատավարձը պետական հատվածում աճել է 11.4%-ով` կազմելով 208,323 դրամ, իսկ ոչ պետականում` 15.0%-ով և կազմել 295,132 դրամ: Իրական աշխատավարձը 2.0% գնաճի պայմաններում աճել է 12.4%-ով:</w:t>
      </w:r>
    </w:p>
    <w:p w14:paraId="747B252F" w14:textId="77777777" w:rsidR="001C411D" w:rsidRPr="00C921DE" w:rsidRDefault="001C411D" w:rsidP="007545BF">
      <w:pPr>
        <w:spacing w:line="336" w:lineRule="auto"/>
        <w:ind w:firstLine="567"/>
        <w:jc w:val="both"/>
        <w:rPr>
          <w:rFonts w:ascii="GHEA Grapalat" w:eastAsia="GHEA Grapalat" w:hAnsi="GHEA Grapalat" w:cs="GHEA Grapalat"/>
          <w:bCs/>
          <w:sz w:val="22"/>
          <w:szCs w:val="22"/>
        </w:rPr>
      </w:pPr>
    </w:p>
    <w:p w14:paraId="334E7A7B" w14:textId="77777777" w:rsidR="001C411D" w:rsidRPr="00C921DE" w:rsidRDefault="001C411D" w:rsidP="00A07DCC">
      <w:pPr>
        <w:pStyle w:val="Heading6"/>
        <w:ind w:left="567"/>
        <w:rPr>
          <w:rFonts w:ascii="GHEA Grapalat" w:hAnsi="GHEA Grapalat"/>
          <w:b/>
          <w:sz w:val="22"/>
          <w:szCs w:val="22"/>
          <w:u w:val="none"/>
        </w:rPr>
      </w:pPr>
      <w:r w:rsidRPr="00C921DE">
        <w:rPr>
          <w:rFonts w:ascii="GHEA Grapalat" w:hAnsi="GHEA Grapalat"/>
          <w:b/>
          <w:sz w:val="22"/>
          <w:szCs w:val="22"/>
          <w:u w:val="none"/>
        </w:rPr>
        <w:t>Գնաճ և դրամավարկային քաղաքականություն</w:t>
      </w:r>
    </w:p>
    <w:p w14:paraId="572D79CE" w14:textId="65E58366" w:rsidR="008F37E4" w:rsidRPr="00C921DE" w:rsidRDefault="008F37E4" w:rsidP="0068032C">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2023 թվականին միջին գնաճը կազմել է 2.0%՝ զգալիորեն դանդաղելով տարեսկզբից միջազգային շուկաներից փոխանցված գնանկումային ազդեցությունների, 2020-2022թթ</w:t>
      </w:r>
      <w:r w:rsidRPr="00C921DE">
        <w:rPr>
          <w:rFonts w:ascii="Cambria Math" w:eastAsia="GHEA Grapalat" w:hAnsi="Cambria Math" w:cs="Cambria Math"/>
          <w:bCs/>
          <w:sz w:val="22"/>
          <w:szCs w:val="22"/>
        </w:rPr>
        <w:t>․</w:t>
      </w:r>
      <w:r w:rsidRPr="00C921DE">
        <w:rPr>
          <w:rFonts w:ascii="GHEA Grapalat" w:eastAsia="GHEA Grapalat" w:hAnsi="GHEA Grapalat" w:cs="GHEA Grapalat"/>
          <w:bCs/>
          <w:sz w:val="22"/>
          <w:szCs w:val="22"/>
        </w:rPr>
        <w:t xml:space="preserve"> իրականացված զսպող դրամավարկային քաղաքականության պայմաններում գնաճային </w:t>
      </w:r>
      <w:r w:rsidRPr="00C921DE">
        <w:rPr>
          <w:rFonts w:ascii="GHEA Grapalat" w:eastAsia="GHEA Grapalat" w:hAnsi="GHEA Grapalat" w:cs="GHEA Grapalat"/>
          <w:bCs/>
          <w:sz w:val="22"/>
          <w:szCs w:val="22"/>
        </w:rPr>
        <w:lastRenderedPageBreak/>
        <w:t>սպասումների նվազման և աշխատաշուկայից ածանցվող գնաճային ճնշումների թուլացման ներքո: Այս պայմաններում ԿԲ-</w:t>
      </w:r>
      <w:r w:rsidR="00FC4B4A" w:rsidRPr="00C921DE">
        <w:rPr>
          <w:rFonts w:ascii="GHEA Grapalat" w:eastAsia="GHEA Grapalat" w:hAnsi="GHEA Grapalat" w:cs="GHEA Grapalat"/>
          <w:bCs/>
          <w:sz w:val="22"/>
          <w:szCs w:val="22"/>
          <w:lang w:val="en-US"/>
        </w:rPr>
        <w:t>ն</w:t>
      </w:r>
      <w:r w:rsidRPr="00C921DE">
        <w:rPr>
          <w:rFonts w:ascii="GHEA Grapalat" w:eastAsia="GHEA Grapalat" w:hAnsi="GHEA Grapalat" w:cs="GHEA Grapalat"/>
          <w:bCs/>
          <w:sz w:val="22"/>
          <w:szCs w:val="22"/>
        </w:rPr>
        <w:t xml:space="preserve"> զգալիորեն թուլացրել է դրամավարկային պայմանները և քաղաքականության տոկոսադրույքը նվազեցրել 1.5 տոկոսային կետով` դեկտեմբերին սահմանելով այն 9.25%-ի մակարդակում: Գնաճի տեմպերի զգալի դանդաղումը պայմանավորվել է արտաքին հատվածից փոխանցվող գնաճային ճնշումների թուլացման, իսկ տարեվերջին՝ գնանկումային ազդեցությունների, ինչպես նաև իրականացված հետևողական զսպող դրամավարկային քաղաքականության ազդեցությամբ՝ միաժամանակ օժանդակություն ստանալով նախորդ տարվա գների բարձր բազայի գործոնից։ Վերջինիս, սակայն, հակակշռել են պահպանվող բարձր պահանջարկն ու գնաճային սպասումները, </w:t>
      </w:r>
      <w:r w:rsidR="0068032C" w:rsidRPr="00C921DE">
        <w:rPr>
          <w:rFonts w:ascii="GHEA Grapalat" w:eastAsia="GHEA Grapalat" w:hAnsi="GHEA Grapalat" w:cs="GHEA Grapalat"/>
          <w:bCs/>
          <w:sz w:val="22"/>
          <w:szCs w:val="22"/>
        </w:rPr>
        <w:t>որոնց</w:t>
      </w:r>
      <w:r w:rsidRPr="00C921DE">
        <w:rPr>
          <w:rFonts w:ascii="GHEA Grapalat" w:eastAsia="GHEA Grapalat" w:hAnsi="GHEA Grapalat" w:cs="GHEA Grapalat"/>
          <w:bCs/>
          <w:sz w:val="22"/>
          <w:szCs w:val="22"/>
        </w:rPr>
        <w:t xml:space="preserve"> ազդեցությամբ ծառայությունների գնաճ</w:t>
      </w:r>
      <w:r w:rsidR="0068032C" w:rsidRPr="00C921DE">
        <w:rPr>
          <w:rFonts w:ascii="GHEA Grapalat" w:eastAsia="GHEA Grapalat" w:hAnsi="GHEA Grapalat" w:cs="GHEA Grapalat"/>
          <w:bCs/>
          <w:sz w:val="22"/>
          <w:szCs w:val="22"/>
          <w:lang w:val="en-US"/>
        </w:rPr>
        <w:t>ն</w:t>
      </w:r>
      <w:r w:rsidRPr="00C921DE">
        <w:rPr>
          <w:rFonts w:ascii="GHEA Grapalat" w:eastAsia="GHEA Grapalat" w:hAnsi="GHEA Grapalat" w:cs="GHEA Grapalat"/>
          <w:bCs/>
          <w:sz w:val="22"/>
          <w:szCs w:val="22"/>
        </w:rPr>
        <w:t xml:space="preserve"> ավելի դանդաղ տեմպով է նվազել։ Արդյունքում 12</w:t>
      </w:r>
      <w:r w:rsidR="00AF6722"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ամսյա գնաճը դեկտեմբերին կազմել է -0.6%, իսկ միջին գնաճը 2.0% (ծառայությունների դեպքում 12</w:t>
      </w:r>
      <w:r w:rsidR="00AF6722"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ամսյա գնաճը կազմել է 3.0%, իսկ միջին գնաճը՝ 4.5%):</w:t>
      </w:r>
    </w:p>
    <w:p w14:paraId="68A2FD7F" w14:textId="77777777" w:rsidR="00AF6722" w:rsidRPr="00C921DE" w:rsidRDefault="00AF6722" w:rsidP="00CE440B">
      <w:pPr>
        <w:ind w:firstLine="567"/>
        <w:jc w:val="both"/>
        <w:rPr>
          <w:rFonts w:ascii="GHEA Grapalat" w:eastAsia="GHEA Grapalat" w:hAnsi="GHEA Grapalat" w:cs="GHEA Grapalat"/>
          <w:bCs/>
          <w:sz w:val="22"/>
          <w:szCs w:val="22"/>
        </w:rPr>
      </w:pPr>
    </w:p>
    <w:p w14:paraId="06A6A836" w14:textId="0CB2F979" w:rsidR="008F37E4" w:rsidRPr="00C921DE" w:rsidRDefault="008F37E4" w:rsidP="004C12B8">
      <w:pPr>
        <w:pStyle w:val="a"/>
        <w:rPr>
          <w:rFonts w:eastAsia="Calibri"/>
          <w:b/>
        </w:rPr>
      </w:pPr>
      <w:r w:rsidRPr="00C921DE">
        <w:t>Գնաճի</w:t>
      </w:r>
      <w:r w:rsidRPr="00C921DE">
        <w:rPr>
          <w:rFonts w:eastAsia="Calibri"/>
        </w:rPr>
        <w:t xml:space="preserve"> տեմպերը և ԿԲ </w:t>
      </w:r>
      <w:r w:rsidR="00AF6722" w:rsidRPr="00C921DE">
        <w:rPr>
          <w:rFonts w:eastAsia="Calibri"/>
        </w:rPr>
        <w:t>տոկոսադրույքն</w:t>
      </w:r>
      <w:r w:rsidRPr="00C921DE">
        <w:rPr>
          <w:rFonts w:eastAsia="Calibri"/>
        </w:rPr>
        <w:t xml:space="preserve"> ըստ ամիսների, 2019-2023թթ</w:t>
      </w:r>
      <w:r w:rsidRPr="00C921DE">
        <w:rPr>
          <w:rFonts w:ascii="Cambria Math" w:eastAsia="MS Gothic" w:hAnsi="Cambria Math" w:cs="Cambria Math"/>
        </w:rPr>
        <w:t>․</w:t>
      </w:r>
      <w:r w:rsidRPr="00C921DE">
        <w:rPr>
          <w:rFonts w:eastAsia="MS Mincho" w:cs="Arial"/>
        </w:rPr>
        <w:t>,</w:t>
      </w:r>
      <w:r w:rsidRPr="00C921DE">
        <w:rPr>
          <w:rFonts w:eastAsia="Calibri"/>
        </w:rPr>
        <w:t xml:space="preserve"> %</w:t>
      </w:r>
    </w:p>
    <w:p w14:paraId="428FC0F6" w14:textId="75709DB0" w:rsidR="008F37E4" w:rsidRPr="00C921DE" w:rsidRDefault="0014703E" w:rsidP="008F37E4">
      <w:pPr>
        <w:spacing w:line="360" w:lineRule="auto"/>
        <w:jc w:val="both"/>
        <w:rPr>
          <w:rFonts w:ascii="GHEA Grapalat" w:eastAsia="GHEA Grapalat" w:hAnsi="GHEA Grapalat" w:cs="GHEA Grapalat"/>
          <w:sz w:val="22"/>
          <w:szCs w:val="22"/>
        </w:rPr>
      </w:pPr>
      <w:r w:rsidRPr="00C921DE">
        <w:rPr>
          <w:rFonts w:ascii="GHEA Grapalat" w:eastAsia="GHEA Grapalat" w:hAnsi="GHEA Grapalat" w:cs="GHEA Grapalat"/>
          <w:sz w:val="22"/>
          <w:szCs w:val="22"/>
          <w:lang w:val="en-US"/>
        </w:rPr>
        <w:drawing>
          <wp:inline distT="0" distB="0" distL="0" distR="0" wp14:anchorId="7C5E532F" wp14:editId="49AA21CB">
            <wp:extent cx="6362700" cy="2809875"/>
            <wp:effectExtent l="0" t="0" r="0" b="9525"/>
            <wp:docPr id="33"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EA70B1" w14:textId="77777777" w:rsidR="008F37E4" w:rsidRPr="00C921DE" w:rsidRDefault="008F37E4" w:rsidP="008F37E4">
      <w:pPr>
        <w:spacing w:after="120" w:line="360" w:lineRule="auto"/>
        <w:jc w:val="both"/>
        <w:rPr>
          <w:rFonts w:ascii="GHEA Grapalat" w:eastAsia="GHEA Grapalat" w:hAnsi="GHEA Grapalat" w:cs="GHEA Grapalat"/>
          <w:i/>
          <w:iCs/>
          <w:sz w:val="22"/>
          <w:szCs w:val="22"/>
        </w:rPr>
      </w:pPr>
      <w:r w:rsidRPr="00C921DE">
        <w:rPr>
          <w:rFonts w:ascii="GHEA Grapalat" w:eastAsia="GHEA Grapalat" w:hAnsi="GHEA Grapalat" w:cs="GHEA Grapalat"/>
          <w:i/>
          <w:iCs/>
          <w:color w:val="000000"/>
          <w:sz w:val="18"/>
          <w:szCs w:val="18"/>
        </w:rPr>
        <w:t>Աղբյուրը՝ ՀՀ ԿԲ</w:t>
      </w:r>
    </w:p>
    <w:p w14:paraId="1F9D89B4" w14:textId="77777777" w:rsidR="00AF6722" w:rsidRPr="00C921DE" w:rsidRDefault="00AF6722" w:rsidP="00CE440B">
      <w:pPr>
        <w:ind w:firstLine="567"/>
        <w:jc w:val="both"/>
        <w:rPr>
          <w:rFonts w:ascii="GHEA Grapalat" w:eastAsia="GHEA Grapalat" w:hAnsi="GHEA Grapalat" w:cs="GHEA Grapalat"/>
          <w:bCs/>
          <w:sz w:val="22"/>
          <w:szCs w:val="22"/>
        </w:rPr>
      </w:pPr>
    </w:p>
    <w:p w14:paraId="7FF1E92C" w14:textId="7CA41D07" w:rsidR="008F37E4" w:rsidRPr="00C921DE" w:rsidRDefault="008F37E4" w:rsidP="00AF6722">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Միջին գնաճին առավելապես նպաստել է «Ծառայություններ» ապրանքախմբում արձանագրված 4.5% գների աճը (նպաստումը գնաճին` 1.6 տոկոսային կետ)</w:t>
      </w:r>
      <w:r w:rsidR="002B1EE1"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ինչը հիմնականում պայմանավորված է եղել տրանսպորտի ծառայությունների (մասնավորապես</w:t>
      </w:r>
      <w:r w:rsidR="002B1EE1"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օդային մարդատար տրանսպորտի և մարդատար տրանսպորտի գնացքով փոխադրման ծառայությունների), ֆինանսական ծառայությունների, բնակարանների վարձավճարների, հանգստի կազմակերպման համալիր ծառայությունների սակագների աճերով: «Սննդամթերք և ոչ ալկոհոլային խմիչքներ» ապրանքախմբում արձանագրվել է -0.5% միջին գնաճի ցուցանիշ (նպաստումը գնաճին՝ -0.3 տոկոսային կետ)` հիմնականում պայմանավորված առաջին անհրաժեշտության պարենային </w:t>
      </w:r>
      <w:r w:rsidRPr="00C921DE">
        <w:rPr>
          <w:rFonts w:ascii="GHEA Grapalat" w:eastAsia="GHEA Grapalat" w:hAnsi="GHEA Grapalat" w:cs="GHEA Grapalat"/>
          <w:bCs/>
          <w:sz w:val="22"/>
          <w:szCs w:val="22"/>
        </w:rPr>
        <w:lastRenderedPageBreak/>
        <w:t>ապրանքների (կարտոֆիլ, յուղեր և ճարպեր, ալյուր և այլ ձավարեղեն, շաքար, բանջարեղեն) գնանկմամբ: «Ալկոհոլային խմիչքներ, ծխախոտային արտադրատեսակներ» խմբում արձանագրվել է 8.5% գնաճ (նպաստումը գնաճին` 0.3 տոկոսային կետ), իսկ «Ոչ պարենային ապրանքներ» խմբում արձանագրվել է 1.7% գնաճ (նպաստումը գնաճին` 0.4 տոկոսային կետ):</w:t>
      </w:r>
    </w:p>
    <w:p w14:paraId="30BAC123" w14:textId="77777777" w:rsidR="00AF6722" w:rsidRPr="00C921DE" w:rsidRDefault="00AF6722" w:rsidP="00CE440B">
      <w:pPr>
        <w:ind w:firstLine="567"/>
        <w:jc w:val="both"/>
        <w:rPr>
          <w:rFonts w:ascii="GHEA Grapalat" w:eastAsia="GHEA Grapalat" w:hAnsi="GHEA Grapalat" w:cs="GHEA Grapalat"/>
          <w:bCs/>
          <w:sz w:val="22"/>
          <w:szCs w:val="22"/>
        </w:rPr>
      </w:pPr>
    </w:p>
    <w:p w14:paraId="7E8B49FF" w14:textId="66B361B2" w:rsidR="008F37E4" w:rsidRPr="00C921DE" w:rsidRDefault="008F37E4" w:rsidP="004C12B8">
      <w:pPr>
        <w:pStyle w:val="a"/>
        <w:rPr>
          <w:rFonts w:cs="Sylfaen"/>
          <w:b/>
          <w:lang w:eastAsia="x-none"/>
        </w:rPr>
      </w:pPr>
      <w:r w:rsidRPr="00C921DE">
        <w:t>Գնաճի</w:t>
      </w:r>
      <w:r w:rsidRPr="00C921DE">
        <w:rPr>
          <w:rFonts w:eastAsia="GHEA Grapalat"/>
        </w:rPr>
        <w:t xml:space="preserve"> նպաստումները խոշոր ապրանքախմբերով, 2019-2023թթ., տոկոսային կետ</w:t>
      </w:r>
    </w:p>
    <w:p w14:paraId="40A2B625" w14:textId="77777777" w:rsidR="008F37E4" w:rsidRPr="00C921DE" w:rsidRDefault="008F37E4" w:rsidP="008F37E4">
      <w:pPr>
        <w:rPr>
          <w:rFonts w:ascii="GHEA Grapalat" w:hAnsi="GHEA Grapalat" w:cs="Sylfaen"/>
          <w:b/>
          <w:sz w:val="22"/>
          <w:szCs w:val="22"/>
          <w:lang w:val="en-US" w:eastAsia="x-none"/>
        </w:rPr>
      </w:pPr>
      <w:r w:rsidRPr="00C921DE">
        <w:rPr>
          <w:rFonts w:ascii="GHEA Grapalat" w:hAnsi="GHEA Grapalat" w:cs="Sylfaen"/>
          <w:b/>
          <w:szCs w:val="22"/>
          <w:lang w:val="en-US"/>
        </w:rPr>
        <w:drawing>
          <wp:inline distT="0" distB="0" distL="0" distR="0" wp14:anchorId="27B902E4" wp14:editId="4F74DBDC">
            <wp:extent cx="3181350" cy="2170706"/>
            <wp:effectExtent l="0" t="0" r="0" b="12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C921DE">
        <w:rPr>
          <w:rFonts w:ascii="GHEA Grapalat" w:hAnsi="GHEA Grapalat" w:cs="Sylfaen"/>
          <w:b/>
          <w:sz w:val="22"/>
          <w:szCs w:val="22"/>
          <w:lang w:val="en-US" w:eastAsia="x-none"/>
        </w:rPr>
        <w:t xml:space="preserve"> </w:t>
      </w:r>
      <w:r w:rsidRPr="00C921DE">
        <w:rPr>
          <w:rFonts w:ascii="GHEA Grapalat" w:hAnsi="GHEA Grapalat" w:cs="Sylfaen"/>
          <w:b/>
          <w:szCs w:val="22"/>
          <w:lang w:val="en-US"/>
        </w:rPr>
        <w:drawing>
          <wp:inline distT="0" distB="0" distL="0" distR="0" wp14:anchorId="37ACB908" wp14:editId="69109A8B">
            <wp:extent cx="3181350" cy="2154803"/>
            <wp:effectExtent l="0" t="0" r="0" b="1714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D3282AE" w14:textId="77777777" w:rsidR="008F37E4" w:rsidRPr="00C921DE" w:rsidRDefault="008F37E4" w:rsidP="008F37E4">
      <w:pPr>
        <w:spacing w:after="120"/>
        <w:rPr>
          <w:rFonts w:ascii="GHEA Grapalat" w:hAnsi="GHEA Grapalat" w:cs="Sylfaen"/>
          <w:b/>
          <w:sz w:val="22"/>
          <w:szCs w:val="22"/>
          <w:lang w:val="en-US" w:eastAsia="x-none"/>
        </w:rPr>
      </w:pPr>
      <w:r w:rsidRPr="00C921DE">
        <w:rPr>
          <w:rFonts w:ascii="GHEA Grapalat" w:hAnsi="GHEA Grapalat" w:cs="Sylfaen"/>
          <w:b/>
          <w:szCs w:val="22"/>
          <w:lang w:val="en-US"/>
        </w:rPr>
        <w:drawing>
          <wp:inline distT="0" distB="0" distL="0" distR="0" wp14:anchorId="44EDE8B3" wp14:editId="21996302">
            <wp:extent cx="6381750" cy="596348"/>
            <wp:effectExtent l="0" t="0" r="0" b="1333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5CC33DD" w14:textId="77777777" w:rsidR="008F37E4" w:rsidRPr="00C921DE" w:rsidRDefault="008F37E4" w:rsidP="008F37E4">
      <w:pPr>
        <w:spacing w:after="240"/>
        <w:rPr>
          <w:rFonts w:ascii="GHEA Grapalat" w:hAnsi="GHEA Grapalat" w:cs="Sylfaen"/>
          <w:b/>
          <w:i/>
          <w:iCs/>
          <w:sz w:val="22"/>
          <w:szCs w:val="22"/>
          <w:lang w:eastAsia="x-none"/>
        </w:rPr>
      </w:pPr>
      <w:r w:rsidRPr="00C921DE">
        <w:rPr>
          <w:rFonts w:ascii="GHEA Grapalat" w:eastAsia="GHEA Grapalat" w:hAnsi="GHEA Grapalat" w:cs="GHEA Grapalat"/>
          <w:i/>
          <w:iCs/>
          <w:color w:val="000000"/>
          <w:sz w:val="18"/>
          <w:szCs w:val="18"/>
        </w:rPr>
        <w:t>Աղբյուրը՝ ՀՀ ՎԿ և ՀՀ ՖՆ հաշվարկներ</w:t>
      </w:r>
    </w:p>
    <w:p w14:paraId="7C7996F2" w14:textId="77777777" w:rsidR="00AF6722" w:rsidRPr="00C921DE" w:rsidRDefault="00AF6722" w:rsidP="00CE440B">
      <w:pPr>
        <w:ind w:firstLine="567"/>
        <w:jc w:val="both"/>
        <w:rPr>
          <w:rFonts w:ascii="GHEA Grapalat" w:eastAsia="GHEA Grapalat" w:hAnsi="GHEA Grapalat" w:cs="GHEA Grapalat"/>
          <w:bCs/>
          <w:sz w:val="22"/>
          <w:szCs w:val="22"/>
        </w:rPr>
      </w:pPr>
    </w:p>
    <w:p w14:paraId="15EE7948" w14:textId="30EED94A" w:rsidR="008F37E4" w:rsidRPr="00C921DE" w:rsidRDefault="008F37E4" w:rsidP="00AF6722">
      <w:pPr>
        <w:spacing w:line="336"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2023 թվականին ԿԲ-</w:t>
      </w:r>
      <w:r w:rsidR="00FC4B4A" w:rsidRPr="00C921DE">
        <w:rPr>
          <w:rFonts w:ascii="GHEA Grapalat" w:eastAsia="GHEA Grapalat" w:hAnsi="GHEA Grapalat" w:cs="GHEA Grapalat"/>
          <w:bCs/>
          <w:sz w:val="22"/>
          <w:szCs w:val="22"/>
          <w:lang w:val="en-US"/>
        </w:rPr>
        <w:t>ն</w:t>
      </w:r>
      <w:r w:rsidRPr="00C921DE">
        <w:rPr>
          <w:rFonts w:ascii="GHEA Grapalat" w:eastAsia="GHEA Grapalat" w:hAnsi="GHEA Grapalat" w:cs="GHEA Grapalat"/>
          <w:bCs/>
          <w:sz w:val="22"/>
          <w:szCs w:val="22"/>
        </w:rPr>
        <w:t xml:space="preserve"> նվազեցրել է քաղաքականության տոկոսադրույքը 1.5 տոկոսային կետով, դեկտեմբերի 12-ին իջեցնելով տոկոսադրույքը 0.25 տոկոսային կետով՝ սահմանելով այն 9.25%` արձագանքելով գնանկումային ճնշումներին։ Դրամավարկային քաղաքականության տոկոսադրույքի նվազեցումը, գնանկումային ազդեցությունները և քաղաքականության հետագա մեղմացման սպասումները հանգեցրել են պետական պարտատոմսերի տոկոսադրույքների նվազմանը, մինչդեռ առավել կոշտ </w:t>
      </w:r>
      <w:r w:rsidR="006303F1" w:rsidRPr="00C921DE">
        <w:rPr>
          <w:rFonts w:ascii="GHEA Grapalat" w:eastAsia="GHEA Grapalat" w:hAnsi="GHEA Grapalat" w:cs="GHEA Grapalat"/>
          <w:bCs/>
          <w:sz w:val="22"/>
          <w:szCs w:val="22"/>
        </w:rPr>
        <w:t>տոկոսադրույքները</w:t>
      </w:r>
      <w:r w:rsidRPr="00C921DE">
        <w:rPr>
          <w:rFonts w:ascii="GHEA Grapalat" w:eastAsia="GHEA Grapalat" w:hAnsi="GHEA Grapalat" w:cs="GHEA Grapalat"/>
          <w:bCs/>
          <w:sz w:val="22"/>
          <w:szCs w:val="22"/>
        </w:rPr>
        <w:t xml:space="preserve"> (վարկեր և ավանդներ) շարունակում են պահպանվել իրենց միջին մակարդակներում, իսկ որոշ դեպքերում պահանջարկի ազդեցությամբ դրսևորում են աճի միտումներ (հիպո</w:t>
      </w:r>
      <w:r w:rsidR="006303F1" w:rsidRPr="00C921DE">
        <w:rPr>
          <w:rFonts w:ascii="GHEA Grapalat" w:eastAsia="GHEA Grapalat" w:hAnsi="GHEA Grapalat" w:cs="GHEA Grapalat"/>
          <w:bCs/>
          <w:sz w:val="22"/>
          <w:szCs w:val="22"/>
          <w:lang w:val="en-US"/>
        </w:rPr>
        <w:t>տեկ</w:t>
      </w:r>
      <w:r w:rsidRPr="00C921DE">
        <w:rPr>
          <w:rFonts w:ascii="GHEA Grapalat" w:eastAsia="GHEA Grapalat" w:hAnsi="GHEA Grapalat" w:cs="GHEA Grapalat"/>
          <w:bCs/>
          <w:sz w:val="22"/>
          <w:szCs w:val="22"/>
        </w:rPr>
        <w:t xml:space="preserve">ային և սպառողական վարկերի դեպքում)։ </w:t>
      </w:r>
    </w:p>
    <w:p w14:paraId="78AF8A62" w14:textId="58856BD3" w:rsidR="008F37E4" w:rsidRPr="00C921DE" w:rsidRDefault="008F37E4" w:rsidP="004C12B8">
      <w:pPr>
        <w:pStyle w:val="a"/>
        <w:rPr>
          <w:rFonts w:eastAsia="GHEA Grapalat"/>
        </w:rPr>
      </w:pPr>
      <w:r w:rsidRPr="00C921DE">
        <w:rPr>
          <w:rFonts w:eastAsia="GHEA Grapalat"/>
        </w:rPr>
        <w:lastRenderedPageBreak/>
        <w:t xml:space="preserve">ՀՀ </w:t>
      </w:r>
      <w:r w:rsidRPr="00C921DE">
        <w:t>դրամով</w:t>
      </w:r>
      <w:r w:rsidRPr="00C921DE">
        <w:rPr>
          <w:rFonts w:eastAsia="GHEA Grapalat"/>
        </w:rPr>
        <w:t xml:space="preserve"> տոկոսադրույքների միտումները ՀՀ ֆինանսական շուկաներում, 2019-2023թթ.,</w:t>
      </w:r>
      <w:r w:rsidR="00A62320" w:rsidRPr="00C921DE">
        <w:rPr>
          <w:rFonts w:eastAsia="GHEA Grapalat"/>
        </w:rPr>
        <w:t xml:space="preserve"> </w:t>
      </w:r>
      <w:r w:rsidRPr="00C921DE">
        <w:rPr>
          <w:rFonts w:eastAsia="GHEA Grapalat"/>
        </w:rPr>
        <w:t>%</w:t>
      </w:r>
    </w:p>
    <w:p w14:paraId="015CB988" w14:textId="29A08DB6" w:rsidR="008F37E4" w:rsidRPr="00C921DE" w:rsidRDefault="0014703E" w:rsidP="008F37E4">
      <w:pPr>
        <w:spacing w:line="360" w:lineRule="auto"/>
        <w:rPr>
          <w:rFonts w:ascii="GHEA Grapalat" w:hAnsi="GHEA Grapalat" w:cs="GHEA Grapalat"/>
          <w:sz w:val="22"/>
          <w:szCs w:val="22"/>
        </w:rPr>
      </w:pPr>
      <w:r w:rsidRPr="00C921DE">
        <w:rPr>
          <w:rFonts w:ascii="GHEA Grapalat" w:hAnsi="GHEA Grapalat" w:cs="GHEA Grapalat"/>
          <w:sz w:val="22"/>
          <w:szCs w:val="22"/>
          <w:lang w:val="en-US"/>
        </w:rPr>
        <w:drawing>
          <wp:inline distT="0" distB="0" distL="0" distR="0" wp14:anchorId="0F6956C9" wp14:editId="5733246D">
            <wp:extent cx="6296025" cy="2274073"/>
            <wp:effectExtent l="0" t="0" r="9525" b="1206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D46477C" w14:textId="77777777" w:rsidR="008F37E4" w:rsidRPr="00C921DE" w:rsidRDefault="008F37E4" w:rsidP="008F37E4">
      <w:pPr>
        <w:spacing w:after="120" w:line="360" w:lineRule="auto"/>
        <w:rPr>
          <w:rFonts w:ascii="GHEA Grapalat" w:hAnsi="GHEA Grapalat" w:cs="GHEA Grapalat"/>
          <w:i/>
          <w:iCs/>
          <w:sz w:val="22"/>
          <w:szCs w:val="22"/>
        </w:rPr>
      </w:pPr>
      <w:r w:rsidRPr="00C921DE">
        <w:rPr>
          <w:rFonts w:ascii="GHEA Grapalat" w:hAnsi="GHEA Grapalat"/>
          <w:i/>
          <w:iCs/>
          <w:sz w:val="18"/>
          <w:szCs w:val="18"/>
        </w:rPr>
        <w:t>Աղբյուրը՝ ՀՀ ԿԲ</w:t>
      </w:r>
    </w:p>
    <w:p w14:paraId="55967E1D" w14:textId="77777777" w:rsidR="001C411D" w:rsidRPr="00C921DE" w:rsidRDefault="001C411D" w:rsidP="00CE440B">
      <w:pPr>
        <w:ind w:firstLine="567"/>
        <w:jc w:val="both"/>
        <w:rPr>
          <w:rFonts w:ascii="GHEA Grapalat" w:hAnsi="GHEA Grapalat"/>
          <w:sz w:val="22"/>
          <w:szCs w:val="22"/>
          <w:lang w:val="en-US"/>
        </w:rPr>
      </w:pPr>
    </w:p>
    <w:p w14:paraId="09710604" w14:textId="77777777" w:rsidR="001C411D" w:rsidRPr="00C921DE" w:rsidRDefault="001C411D" w:rsidP="00A07DCC">
      <w:pPr>
        <w:pStyle w:val="Heading6"/>
        <w:ind w:left="567"/>
        <w:rPr>
          <w:rFonts w:ascii="GHEA Grapalat" w:hAnsi="GHEA Grapalat"/>
          <w:b/>
          <w:sz w:val="22"/>
          <w:szCs w:val="22"/>
          <w:u w:val="none"/>
        </w:rPr>
      </w:pPr>
      <w:r w:rsidRPr="00C921DE">
        <w:rPr>
          <w:rFonts w:ascii="GHEA Grapalat" w:hAnsi="GHEA Grapalat"/>
          <w:b/>
          <w:sz w:val="22"/>
          <w:szCs w:val="22"/>
          <w:u w:val="none"/>
        </w:rPr>
        <w:t>Արտաքին հատված</w:t>
      </w:r>
    </w:p>
    <w:p w14:paraId="0806B911" w14:textId="0D1CA149" w:rsidR="00E76051" w:rsidRPr="00C921DE" w:rsidRDefault="001C411D" w:rsidP="00E76051">
      <w:pPr>
        <w:spacing w:line="360" w:lineRule="auto"/>
        <w:ind w:firstLine="567"/>
        <w:jc w:val="both"/>
        <w:rPr>
          <w:rFonts w:ascii="GHEA Grapalat" w:eastAsia="GHEA Grapalat" w:hAnsi="GHEA Grapalat" w:cs="GHEA Grapalat"/>
          <w:bCs/>
          <w:sz w:val="22"/>
          <w:szCs w:val="22"/>
        </w:rPr>
      </w:pPr>
      <w:r w:rsidRPr="00C921DE">
        <w:rPr>
          <w:rFonts w:ascii="GHEA Grapalat" w:hAnsi="GHEA Grapalat" w:cs="Sylfaen"/>
          <w:b/>
          <w:i/>
          <w:sz w:val="22"/>
        </w:rPr>
        <w:t>Ընթացիկ հաշիվ:</w:t>
      </w:r>
      <w:r w:rsidRPr="00C921DE">
        <w:rPr>
          <w:rFonts w:ascii="GHEA Grapalat" w:hAnsi="GHEA Grapalat"/>
          <w:sz w:val="22"/>
          <w:szCs w:val="22"/>
          <w:lang w:val="en-US"/>
        </w:rPr>
        <w:t xml:space="preserve"> </w:t>
      </w:r>
      <w:r w:rsidR="00E76051" w:rsidRPr="00C921DE">
        <w:rPr>
          <w:rFonts w:ascii="GHEA Grapalat" w:eastAsia="GHEA Grapalat" w:hAnsi="GHEA Grapalat" w:cs="GHEA Grapalat"/>
          <w:bCs/>
          <w:sz w:val="22"/>
          <w:szCs w:val="22"/>
        </w:rPr>
        <w:t>2023 թվականին ընթացիկ հաշվի պակասուրդը նախորդ տարվա համեմատ վատթարացել է՝ կազմելով ՀՆԱ-ի 2.1%-ը: Ընթացիկ հաշվի վատթարացումը հիմնականում պայմանավորված է</w:t>
      </w:r>
      <w:r w:rsidR="00FE3A4C" w:rsidRPr="00C921DE">
        <w:rPr>
          <w:rFonts w:ascii="GHEA Grapalat" w:eastAsia="GHEA Grapalat" w:hAnsi="GHEA Grapalat" w:cs="GHEA Grapalat"/>
          <w:bCs/>
          <w:sz w:val="22"/>
          <w:szCs w:val="22"/>
        </w:rPr>
        <w:t xml:space="preserve"> </w:t>
      </w:r>
      <w:r w:rsidR="00E76051" w:rsidRPr="00C921DE">
        <w:rPr>
          <w:rFonts w:ascii="GHEA Grapalat" w:eastAsia="GHEA Grapalat" w:hAnsi="GHEA Grapalat" w:cs="GHEA Grapalat"/>
          <w:bCs/>
          <w:sz w:val="22"/>
          <w:szCs w:val="22"/>
        </w:rPr>
        <w:t>դրամական փոխանցումների</w:t>
      </w:r>
      <w:r w:rsidR="00FE3A4C" w:rsidRPr="00C921DE">
        <w:rPr>
          <w:rFonts w:ascii="GHEA Grapalat" w:eastAsia="GHEA Grapalat" w:hAnsi="GHEA Grapalat" w:cs="GHEA Grapalat"/>
          <w:bCs/>
          <w:sz w:val="22"/>
          <w:szCs w:val="22"/>
        </w:rPr>
        <w:t xml:space="preserve"> </w:t>
      </w:r>
      <w:r w:rsidR="00E76051" w:rsidRPr="00C921DE">
        <w:rPr>
          <w:rFonts w:ascii="GHEA Grapalat" w:eastAsia="GHEA Grapalat" w:hAnsi="GHEA Grapalat" w:cs="GHEA Grapalat"/>
          <w:bCs/>
          <w:sz w:val="22"/>
          <w:szCs w:val="22"/>
        </w:rPr>
        <w:t>(հատկապես՝ ՌԴ-ից) նվազմամբ, ինչպես նաև առևտրային</w:t>
      </w:r>
      <w:r w:rsidR="00FE3A4C" w:rsidRPr="00C921DE">
        <w:rPr>
          <w:rFonts w:ascii="GHEA Grapalat" w:eastAsia="GHEA Grapalat" w:hAnsi="GHEA Grapalat" w:cs="GHEA Grapalat"/>
          <w:bCs/>
          <w:sz w:val="22"/>
          <w:szCs w:val="22"/>
        </w:rPr>
        <w:t xml:space="preserve"> </w:t>
      </w:r>
      <w:r w:rsidR="00E76051" w:rsidRPr="00C921DE">
        <w:rPr>
          <w:rFonts w:ascii="GHEA Grapalat" w:eastAsia="GHEA Grapalat" w:hAnsi="GHEA Grapalat" w:cs="GHEA Grapalat"/>
          <w:bCs/>
          <w:sz w:val="22"/>
          <w:szCs w:val="22"/>
        </w:rPr>
        <w:t>հաշվեկշռի վատթարացմամբ: Դոլարային արտահայտությամբ ապրանքների և ծառայությունների բացասական հաշվեկշիռը կազմել է ՀՆԱ-ի 0.6%-ը` նախորդ տարվա համեմատ բարելավվելով 0.2 տոկոսային կետով, ինչը հիմնականում պայմանավորված է ծառայությունների հաշվեկշռի՝ ՀՆԱ-ում 0.7 տոկոսային կետով բարելավմամբ: Տնտեսություն ներհոսող դրամական զուտ փոխանցումները 2023 թվականին նվազել են շուրջ 38%-ով` պայմանավորված ինչպես ներհոսքի նվազմամբ (հատկապես` ՌԴ-ից), այնպես էլ դեպի այլ երկրներ արտահոսքի ավելացմամբ: Նշված զարգացումների արդյունքում 2023 թվականին նախորդ տարվա համեմատ ՀՆԱ</w:t>
      </w:r>
      <w:r w:rsidR="00E76051" w:rsidRPr="00C921DE">
        <w:rPr>
          <w:rFonts w:ascii="GHEA Grapalat" w:eastAsia="GHEA Grapalat" w:hAnsi="GHEA Grapalat" w:cs="GHEA Grapalat"/>
          <w:bCs/>
          <w:sz w:val="22"/>
          <w:szCs w:val="22"/>
        </w:rPr>
        <w:noBreakHyphen/>
        <w:t xml:space="preserve">ում ընթացիկ հաշվի պակասուրդը վատթարացել է 2.9 տոկոսային կետով: </w:t>
      </w:r>
    </w:p>
    <w:p w14:paraId="04F67A0D" w14:textId="357E8B60" w:rsidR="00E76051" w:rsidRPr="00C921DE" w:rsidRDefault="00E76051" w:rsidP="00957F76">
      <w:pPr>
        <w:spacing w:line="360" w:lineRule="auto"/>
        <w:ind w:firstLine="567"/>
        <w:jc w:val="both"/>
        <w:rPr>
          <w:rFonts w:ascii="GHEA Grapalat" w:eastAsia="GHEA Grapalat" w:hAnsi="GHEA Grapalat" w:cs="GHEA Grapalat"/>
          <w:bCs/>
          <w:sz w:val="22"/>
          <w:szCs w:val="22"/>
        </w:rPr>
      </w:pPr>
      <w:r w:rsidRPr="00C921DE">
        <w:rPr>
          <w:rFonts w:ascii="GHEA Grapalat" w:hAnsi="GHEA Grapalat"/>
          <w:b/>
          <w:i/>
          <w:sz w:val="22"/>
          <w:szCs w:val="22"/>
        </w:rPr>
        <w:t>Արտաքին առևտուր (դոլարային արտահայտությամբ)</w:t>
      </w:r>
      <w:r w:rsidRPr="00C921DE">
        <w:rPr>
          <w:rFonts w:ascii="GHEA Grapalat" w:hAnsi="GHEA Grapalat"/>
          <w:b/>
          <w:i/>
          <w:sz w:val="22"/>
          <w:szCs w:val="22"/>
          <w:vertAlign w:val="superscript"/>
          <w:lang w:val="en-US"/>
        </w:rPr>
        <w:footnoteReference w:id="19"/>
      </w:r>
      <w:r w:rsidRPr="00C921DE">
        <w:rPr>
          <w:rFonts w:ascii="GHEA Grapalat" w:hAnsi="GHEA Grapalat"/>
          <w:b/>
          <w:i/>
          <w:sz w:val="22"/>
          <w:szCs w:val="22"/>
        </w:rPr>
        <w:t>:</w:t>
      </w:r>
      <w:r w:rsidRPr="00C921DE">
        <w:rPr>
          <w:rFonts w:ascii="GHEA Grapalat" w:hAnsi="GHEA Grapalat"/>
          <w:sz w:val="22"/>
          <w:szCs w:val="22"/>
        </w:rPr>
        <w:t xml:space="preserve"> </w:t>
      </w:r>
      <w:r w:rsidRPr="00C921DE">
        <w:rPr>
          <w:rFonts w:ascii="GHEA Grapalat" w:eastAsia="GHEA Grapalat" w:hAnsi="GHEA Grapalat" w:cs="GHEA Grapalat"/>
          <w:bCs/>
          <w:sz w:val="22"/>
          <w:szCs w:val="22"/>
        </w:rPr>
        <w:t>2023 թվականին գրանցվել է արտաքին ապրանքաշրջանառության երկնիշ աճ՝ պայմանավորված տնտեսական բարձր ակտիվությամբ և վերաարտահանման բարձր ծավալներով։ Արտաքին ապրանքաշրջանառությունը 2023 թվականին կազմել է 20,723.1</w:t>
      </w:r>
      <w:r w:rsidR="00123DE1" w:rsidRPr="00C921DE">
        <w:rPr>
          <w:rFonts w:ascii="GHEA Grapalat" w:eastAsia="GHEA Grapalat" w:hAnsi="GHEA Grapalat" w:cs="GHEA Grapalat"/>
          <w:bCs/>
          <w:sz w:val="22"/>
          <w:szCs w:val="22"/>
          <w:lang w:val="en-US"/>
        </w:rPr>
        <w:t xml:space="preserve"> </w:t>
      </w:r>
      <w:r w:rsidRPr="00C921DE">
        <w:rPr>
          <w:rFonts w:ascii="GHEA Grapalat" w:eastAsia="GHEA Grapalat" w:hAnsi="GHEA Grapalat" w:cs="GHEA Grapalat"/>
          <w:bCs/>
          <w:sz w:val="22"/>
          <w:szCs w:val="22"/>
        </w:rPr>
        <w:t>մլն ԱՄՆ դոլար` նախորդ տարվա նկատմամբ աճելով 46%</w:t>
      </w:r>
      <w:r w:rsidR="00F76772" w:rsidRPr="00C921DE">
        <w:rPr>
          <w:rFonts w:ascii="GHEA Grapalat" w:eastAsia="GHEA Grapalat" w:hAnsi="GHEA Grapalat" w:cs="GHEA Grapalat"/>
          <w:bCs/>
          <w:sz w:val="22"/>
          <w:szCs w:val="22"/>
          <w:lang w:val="en-US"/>
        </w:rPr>
        <w:t>-ով</w:t>
      </w:r>
      <w:r w:rsidRPr="00C921DE">
        <w:rPr>
          <w:rFonts w:ascii="GHEA Grapalat" w:eastAsia="GHEA Grapalat" w:hAnsi="GHEA Grapalat" w:cs="GHEA Grapalat"/>
          <w:bCs/>
          <w:sz w:val="22"/>
          <w:szCs w:val="22"/>
        </w:rPr>
        <w:t xml:space="preserve">։ Հաշվետու </w:t>
      </w:r>
      <w:r w:rsidR="00F76772" w:rsidRPr="00C921DE">
        <w:rPr>
          <w:rFonts w:ascii="GHEA Grapalat" w:eastAsia="GHEA Grapalat" w:hAnsi="GHEA Grapalat" w:cs="GHEA Grapalat"/>
          <w:bCs/>
          <w:sz w:val="22"/>
          <w:szCs w:val="22"/>
          <w:lang w:val="en-US"/>
        </w:rPr>
        <w:t>տար</w:t>
      </w:r>
      <w:r w:rsidRPr="00C921DE">
        <w:rPr>
          <w:rFonts w:ascii="GHEA Grapalat" w:eastAsia="GHEA Grapalat" w:hAnsi="GHEA Grapalat" w:cs="GHEA Grapalat"/>
          <w:bCs/>
          <w:sz w:val="22"/>
          <w:szCs w:val="22"/>
        </w:rPr>
        <w:t>ում արձանագրվել են դոլարային արտահայտությամբ արտահանման և ներմուծման երկնիշ աճեր. արտահանումն աճել է 55.3%</w:t>
      </w:r>
      <w:r w:rsidR="00F76772" w:rsidRPr="00C921DE">
        <w:rPr>
          <w:rFonts w:ascii="GHEA Grapalat" w:eastAsia="GHEA Grapalat" w:hAnsi="GHEA Grapalat" w:cs="GHEA Grapalat"/>
          <w:bCs/>
          <w:sz w:val="22"/>
          <w:szCs w:val="22"/>
          <w:lang w:val="en-US"/>
        </w:rPr>
        <w:t>-ով</w:t>
      </w:r>
      <w:r w:rsidRPr="00C921DE">
        <w:rPr>
          <w:rFonts w:ascii="GHEA Grapalat" w:eastAsia="GHEA Grapalat" w:hAnsi="GHEA Grapalat" w:cs="GHEA Grapalat"/>
          <w:bCs/>
          <w:sz w:val="22"/>
          <w:szCs w:val="22"/>
        </w:rPr>
        <w:t xml:space="preserve">` կազմելով 8,415.2 մլն ԱՄՆ դոլար, իսկ ներմուծումը` </w:t>
      </w:r>
      <w:r w:rsidRPr="00C921DE">
        <w:rPr>
          <w:rFonts w:ascii="GHEA Grapalat" w:eastAsia="GHEA Grapalat" w:hAnsi="GHEA Grapalat" w:cs="GHEA Grapalat"/>
          <w:bCs/>
          <w:sz w:val="22"/>
          <w:szCs w:val="22"/>
        </w:rPr>
        <w:lastRenderedPageBreak/>
        <w:t>40.2%-ով՝ կազմելով 12,308 մլն ԱՄՆ դոլար: 2023 թվականին ապրանքների գծով արտաքին առևտրի բացասական մնացորդը նախորդ տարվա նկատմամբ խորացել է (48.9%-ով) և կազմել -3,892.8 մլն ԱՄՆ դոլար:</w:t>
      </w:r>
    </w:p>
    <w:p w14:paraId="23DA8836" w14:textId="77777777" w:rsidR="00957F76" w:rsidRPr="00C921DE" w:rsidRDefault="00957F76" w:rsidP="00CE440B">
      <w:pPr>
        <w:ind w:firstLine="567"/>
        <w:jc w:val="both"/>
        <w:rPr>
          <w:rFonts w:ascii="GHEA Grapalat" w:eastAsia="GHEA Grapalat" w:hAnsi="GHEA Grapalat" w:cs="GHEA Grapalat"/>
          <w:bCs/>
          <w:sz w:val="22"/>
          <w:szCs w:val="22"/>
        </w:rPr>
      </w:pPr>
    </w:p>
    <w:tbl>
      <w:tblPr>
        <w:tblW w:w="10748" w:type="dxa"/>
        <w:tblInd w:w="-318" w:type="dxa"/>
        <w:tblLook w:val="04A0" w:firstRow="1" w:lastRow="0" w:firstColumn="1" w:lastColumn="0" w:noHBand="0" w:noVBand="1"/>
      </w:tblPr>
      <w:tblGrid>
        <w:gridCol w:w="10740"/>
        <w:gridCol w:w="222"/>
      </w:tblGrid>
      <w:tr w:rsidR="00E76051" w:rsidRPr="00C921DE" w14:paraId="7465904E" w14:textId="77777777" w:rsidTr="000F4C56">
        <w:trPr>
          <w:trHeight w:val="6328"/>
        </w:trPr>
        <w:tc>
          <w:tcPr>
            <w:tcW w:w="10526" w:type="dxa"/>
            <w:shd w:val="clear" w:color="auto" w:fill="auto"/>
          </w:tcPr>
          <w:tbl>
            <w:tblPr>
              <w:tblW w:w="10524" w:type="dxa"/>
              <w:tblLook w:val="04A0" w:firstRow="1" w:lastRow="0" w:firstColumn="1" w:lastColumn="0" w:noHBand="0" w:noVBand="1"/>
            </w:tblPr>
            <w:tblGrid>
              <w:gridCol w:w="5226"/>
              <w:gridCol w:w="5298"/>
            </w:tblGrid>
            <w:tr w:rsidR="00E76051" w:rsidRPr="00C921DE" w14:paraId="3F2E7FE7" w14:textId="77777777" w:rsidTr="000F4C56">
              <w:trPr>
                <w:trHeight w:val="6328"/>
              </w:trPr>
              <w:tc>
                <w:tcPr>
                  <w:tcW w:w="5152" w:type="dxa"/>
                  <w:shd w:val="clear" w:color="auto" w:fill="auto"/>
                </w:tcPr>
                <w:p w14:paraId="7EB4F306" w14:textId="23476F8D" w:rsidR="00E76051" w:rsidRPr="00C921DE" w:rsidRDefault="000F4C56" w:rsidP="004C12B8">
                  <w:pPr>
                    <w:pStyle w:val="a"/>
                    <w:rPr>
                      <w:rFonts w:eastAsia="GHEA Grapalat" w:cs="GHEA Grapalat"/>
                      <w:b/>
                      <w:sz w:val="16"/>
                      <w:szCs w:val="16"/>
                    </w:rPr>
                  </w:pPr>
                  <w:r w:rsidRPr="00C921DE">
                    <w:t xml:space="preserve"> </w:t>
                  </w:r>
                  <w:r w:rsidR="00E76051" w:rsidRPr="00C921DE">
                    <w:t>Ընթացիկ հաշ</w:t>
                  </w:r>
                  <w:r w:rsidR="00123DE1" w:rsidRPr="00C921DE">
                    <w:t>ի</w:t>
                  </w:r>
                  <w:r w:rsidR="00E76051" w:rsidRPr="00C921DE">
                    <w:t>վ և</w:t>
                  </w:r>
                  <w:r w:rsidR="00FE3A4C" w:rsidRPr="00C921DE">
                    <w:t xml:space="preserve"> </w:t>
                  </w:r>
                  <w:r w:rsidR="00E76051" w:rsidRPr="00C921DE">
                    <w:t>բաղադրատարրեր, % ՀՆԱ-ում</w:t>
                  </w:r>
                </w:p>
                <w:p w14:paraId="7EDC371F" w14:textId="6FE60F3F" w:rsidR="00E76051" w:rsidRPr="00C921DE" w:rsidRDefault="00E76051" w:rsidP="004C12B8">
                  <w:pPr>
                    <w:pStyle w:val="a"/>
                    <w:numPr>
                      <w:ilvl w:val="0"/>
                      <w:numId w:val="0"/>
                    </w:numPr>
                    <w:rPr>
                      <w:rFonts w:eastAsia="GHEA Grapalat"/>
                    </w:rPr>
                  </w:pPr>
                  <w:r w:rsidRPr="00C921DE">
                    <w:rPr>
                      <w:i/>
                      <w:noProof/>
                    </w:rPr>
                    <w:drawing>
                      <wp:inline distT="0" distB="0" distL="0" distR="0" wp14:anchorId="2871BAD0" wp14:editId="26B71981">
                        <wp:extent cx="3181350" cy="2476500"/>
                        <wp:effectExtent l="0" t="0" r="0" b="0"/>
                        <wp:docPr id="31"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C921DE">
                    <w:rPr>
                      <w:rFonts w:eastAsia="GHEA Grapalat" w:cs="GHEA Grapalat"/>
                      <w:i/>
                      <w:noProof/>
                      <w:sz w:val="18"/>
                      <w:szCs w:val="18"/>
                      <w:lang w:val="hy-AM"/>
                    </w:rPr>
                    <w:t>Աղբյուրը՝ ՀՀ ՎԿ, ՀՀ ՖՆ հաշվարկներ</w:t>
                  </w:r>
                </w:p>
                <w:p w14:paraId="67E3DCF8" w14:textId="77777777" w:rsidR="001B6487" w:rsidRPr="00C921DE" w:rsidRDefault="001B6487" w:rsidP="00CE440B">
                  <w:pPr>
                    <w:ind w:firstLine="567"/>
                    <w:jc w:val="both"/>
                    <w:rPr>
                      <w:rFonts w:ascii="GHEA Grapalat" w:hAnsi="GHEA Grapalat"/>
                      <w:sz w:val="20"/>
                      <w:szCs w:val="20"/>
                    </w:rPr>
                  </w:pPr>
                </w:p>
                <w:p w14:paraId="613B8989" w14:textId="4CDD4B5F" w:rsidR="00E76051" w:rsidRPr="00C921DE" w:rsidRDefault="00E76051" w:rsidP="004C12B8">
                  <w:pPr>
                    <w:pStyle w:val="a"/>
                  </w:pPr>
                  <w:r w:rsidRPr="00C921DE">
                    <w:t>Ծառայությունների արտահանում, ներմուծում և հաշվեկշիռ, մլն ԱՄՆ դոլար</w:t>
                  </w:r>
                </w:p>
                <w:p w14:paraId="44182E8D" w14:textId="77777777" w:rsidR="00E76051" w:rsidRPr="00C921DE" w:rsidRDefault="00E76051" w:rsidP="000F4C56">
                  <w:pPr>
                    <w:keepNext/>
                    <w:rPr>
                      <w:rFonts w:ascii="GHEA Grapalat" w:eastAsia="GHEA Grapalat" w:hAnsi="GHEA Grapalat" w:cs="GHEA Grapalat"/>
                      <w:b/>
                      <w:i/>
                      <w:sz w:val="20"/>
                      <w:szCs w:val="20"/>
                    </w:rPr>
                  </w:pPr>
                  <w:r w:rsidRPr="00C921DE">
                    <w:rPr>
                      <w:rFonts w:ascii="GHEA Grapalat" w:hAnsi="GHEA Grapalat"/>
                      <w:sz w:val="22"/>
                      <w:szCs w:val="22"/>
                      <w:lang w:val="en-US"/>
                    </w:rPr>
                    <w:drawing>
                      <wp:inline distT="0" distB="0" distL="0" distR="0" wp14:anchorId="7FB484C0" wp14:editId="4B55C112">
                        <wp:extent cx="3181350" cy="2133600"/>
                        <wp:effectExtent l="0" t="0" r="0" b="0"/>
                        <wp:docPr id="32"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EBEB2A2" w14:textId="77777777" w:rsidR="00E76051" w:rsidRPr="00C921DE" w:rsidRDefault="00E76051" w:rsidP="000F4C56">
                  <w:pPr>
                    <w:keepNext/>
                    <w:spacing w:line="336" w:lineRule="auto"/>
                    <w:rPr>
                      <w:rFonts w:ascii="GHEA Grapalat" w:eastAsia="GHEA Grapalat" w:hAnsi="GHEA Grapalat" w:cs="GHEA Grapalat"/>
                      <w:b/>
                      <w:i/>
                      <w:sz w:val="18"/>
                      <w:szCs w:val="18"/>
                    </w:rPr>
                  </w:pPr>
                  <w:r w:rsidRPr="00C921DE">
                    <w:rPr>
                      <w:rFonts w:ascii="GHEA Grapalat" w:eastAsia="GHEA Grapalat" w:hAnsi="GHEA Grapalat" w:cs="GHEA Grapalat"/>
                      <w:i/>
                      <w:sz w:val="18"/>
                      <w:szCs w:val="18"/>
                    </w:rPr>
                    <w:t>Աղբյուրը՝ ՀՀ ՎԿ, ՀՀ ՖՆ հաշվարկներ</w:t>
                  </w:r>
                </w:p>
              </w:tc>
              <w:tc>
                <w:tcPr>
                  <w:tcW w:w="5372" w:type="dxa"/>
                  <w:shd w:val="clear" w:color="auto" w:fill="auto"/>
                </w:tcPr>
                <w:p w14:paraId="24D7E1C5" w14:textId="419AA62E" w:rsidR="00E76051" w:rsidRPr="00C921DE" w:rsidRDefault="000F4C56" w:rsidP="004C12B8">
                  <w:pPr>
                    <w:pStyle w:val="a"/>
                  </w:pPr>
                  <w:r w:rsidRPr="00C921DE">
                    <w:t xml:space="preserve"> </w:t>
                  </w:r>
                  <w:r w:rsidR="00E76051" w:rsidRPr="00C921DE">
                    <w:t>Ապրանքների արտահանում, ներմուծում և առևտրային հաշիվ, մլն ԱՄՆ դոլար</w:t>
                  </w:r>
                </w:p>
                <w:p w14:paraId="08FD1238" w14:textId="06EFF27C" w:rsidR="00E76051" w:rsidRPr="00C921DE" w:rsidRDefault="00E76051" w:rsidP="004C12B8">
                  <w:pPr>
                    <w:pStyle w:val="a"/>
                    <w:numPr>
                      <w:ilvl w:val="0"/>
                      <w:numId w:val="0"/>
                    </w:numPr>
                    <w:rPr>
                      <w:rFonts w:eastAsia="GHEA Grapalat"/>
                    </w:rPr>
                  </w:pPr>
                  <w:r w:rsidRPr="00C921DE">
                    <w:rPr>
                      <w:i/>
                      <w:noProof/>
                    </w:rPr>
                    <w:drawing>
                      <wp:inline distT="0" distB="0" distL="0" distR="0" wp14:anchorId="33DCAB2D" wp14:editId="73DE7340">
                        <wp:extent cx="3181350" cy="2476500"/>
                        <wp:effectExtent l="0" t="0" r="0" b="0"/>
                        <wp:docPr id="37" name="Chart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C921DE">
                    <w:rPr>
                      <w:rFonts w:eastAsia="GHEA Grapalat"/>
                      <w:bCs/>
                    </w:rPr>
                    <w:t xml:space="preserve"> </w:t>
                  </w:r>
                  <w:r w:rsidRPr="00C921DE">
                    <w:rPr>
                      <w:rFonts w:eastAsia="GHEA Grapalat" w:cs="GHEA Grapalat"/>
                      <w:i/>
                      <w:noProof/>
                      <w:sz w:val="18"/>
                      <w:szCs w:val="18"/>
                      <w:lang w:val="hy-AM"/>
                    </w:rPr>
                    <w:t>Աղբյուրը՝ ՀՀ ՎԿ, ՀՀ ՖՆ հաշվարկներ</w:t>
                  </w:r>
                </w:p>
                <w:p w14:paraId="3E362316" w14:textId="77777777" w:rsidR="001B6487" w:rsidRPr="00C921DE" w:rsidRDefault="001B6487" w:rsidP="00CE440B">
                  <w:pPr>
                    <w:ind w:firstLine="567"/>
                    <w:jc w:val="both"/>
                    <w:rPr>
                      <w:rFonts w:ascii="GHEA Grapalat" w:hAnsi="GHEA Grapalat"/>
                      <w:sz w:val="16"/>
                      <w:szCs w:val="16"/>
                    </w:rPr>
                  </w:pPr>
                </w:p>
                <w:p w14:paraId="6FB0A50A" w14:textId="6FE6956A" w:rsidR="00E76051" w:rsidRPr="00C921DE" w:rsidRDefault="00E76051" w:rsidP="004C12B8">
                  <w:pPr>
                    <w:pStyle w:val="a"/>
                  </w:pPr>
                  <w:r w:rsidRPr="00C921DE">
                    <w:t>Զուտ դրամական փոխանցումներ, մլն ԱՄՆ դոլար</w:t>
                  </w:r>
                </w:p>
                <w:p w14:paraId="66B86166" w14:textId="77777777" w:rsidR="00E76051" w:rsidRPr="00C921DE" w:rsidRDefault="00E76051" w:rsidP="00AD1CF2">
                  <w:pPr>
                    <w:pStyle w:val="a"/>
                    <w:numPr>
                      <w:ilvl w:val="0"/>
                      <w:numId w:val="0"/>
                    </w:numPr>
                    <w:spacing w:after="0"/>
                    <w:rPr>
                      <w:rFonts w:eastAsia="GHEA Grapalat"/>
                      <w:sz w:val="8"/>
                      <w:szCs w:val="8"/>
                    </w:rPr>
                  </w:pPr>
                </w:p>
                <w:p w14:paraId="4A7D6E21" w14:textId="77777777" w:rsidR="00E76051" w:rsidRPr="00C921DE" w:rsidRDefault="00E76051" w:rsidP="000F4C56">
                  <w:pPr>
                    <w:keepNext/>
                    <w:spacing w:before="240"/>
                    <w:rPr>
                      <w:rFonts w:ascii="GHEA Grapalat" w:eastAsia="GHEA Grapalat" w:hAnsi="GHEA Grapalat" w:cs="GHEA Grapalat"/>
                      <w:b/>
                      <w:i/>
                      <w:sz w:val="22"/>
                    </w:rPr>
                  </w:pPr>
                  <w:r w:rsidRPr="00C921DE">
                    <w:rPr>
                      <w:rFonts w:ascii="GHEA Grapalat" w:eastAsia="GHEA Grapalat" w:hAnsi="GHEA Grapalat" w:cs="GHEA Grapalat"/>
                      <w:i/>
                      <w:sz w:val="20"/>
                      <w:szCs w:val="20"/>
                      <w:lang w:val="en-US"/>
                    </w:rPr>
                    <w:drawing>
                      <wp:inline distT="0" distB="0" distL="0" distR="0" wp14:anchorId="121B146A" wp14:editId="32243D19">
                        <wp:extent cx="3181350" cy="2146576"/>
                        <wp:effectExtent l="0" t="0" r="0" b="6350"/>
                        <wp:docPr id="39" name="Chart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8F6CD4B" w14:textId="77777777" w:rsidR="00E76051" w:rsidRPr="00C921DE" w:rsidRDefault="00E76051" w:rsidP="000F4C56">
                  <w:pPr>
                    <w:keepNext/>
                    <w:spacing w:line="336" w:lineRule="auto"/>
                    <w:rPr>
                      <w:rFonts w:ascii="GHEA Grapalat" w:eastAsia="GHEA Grapalat" w:hAnsi="GHEA Grapalat" w:cs="GHEA Grapalat"/>
                      <w:i/>
                      <w:sz w:val="18"/>
                      <w:szCs w:val="18"/>
                    </w:rPr>
                  </w:pPr>
                  <w:r w:rsidRPr="00C921DE">
                    <w:rPr>
                      <w:rFonts w:ascii="GHEA Grapalat" w:eastAsia="GHEA Grapalat" w:hAnsi="GHEA Grapalat" w:cs="GHEA Grapalat"/>
                      <w:i/>
                      <w:sz w:val="18"/>
                      <w:szCs w:val="18"/>
                    </w:rPr>
                    <w:t>Աղբյուրը՝ ՀՀ ՎԿ, ՀՀ ՖՆ հաշվարկներ</w:t>
                  </w:r>
                </w:p>
              </w:tc>
            </w:tr>
          </w:tbl>
          <w:p w14:paraId="75ED8998" w14:textId="77777777" w:rsidR="00E76051" w:rsidRPr="00C921DE" w:rsidRDefault="00E76051" w:rsidP="000F4C56">
            <w:pPr>
              <w:keepNext/>
              <w:spacing w:line="336" w:lineRule="auto"/>
              <w:rPr>
                <w:rFonts w:ascii="GHEA Grapalat" w:eastAsia="GHEA Grapalat" w:hAnsi="GHEA Grapalat" w:cs="GHEA Grapalat"/>
                <w:b/>
                <w:i/>
                <w:sz w:val="22"/>
                <w:szCs w:val="22"/>
              </w:rPr>
            </w:pPr>
          </w:p>
        </w:tc>
        <w:tc>
          <w:tcPr>
            <w:tcW w:w="222" w:type="dxa"/>
            <w:shd w:val="clear" w:color="auto" w:fill="auto"/>
          </w:tcPr>
          <w:p w14:paraId="34C493C4" w14:textId="77777777" w:rsidR="00E76051" w:rsidRPr="00C921DE" w:rsidRDefault="00E76051" w:rsidP="000F4C56">
            <w:pPr>
              <w:keepNext/>
              <w:spacing w:line="336" w:lineRule="auto"/>
              <w:rPr>
                <w:rFonts w:ascii="GHEA Grapalat" w:eastAsia="GHEA Grapalat" w:hAnsi="GHEA Grapalat" w:cs="GHEA Grapalat"/>
                <w:i/>
                <w:sz w:val="16"/>
                <w:szCs w:val="16"/>
              </w:rPr>
            </w:pPr>
          </w:p>
        </w:tc>
      </w:tr>
    </w:tbl>
    <w:p w14:paraId="775DF2D3" w14:textId="77777777" w:rsidR="00E76051" w:rsidRPr="00C921DE" w:rsidRDefault="00E76051" w:rsidP="00E76051">
      <w:pPr>
        <w:spacing w:line="360" w:lineRule="auto"/>
        <w:ind w:firstLine="567"/>
        <w:jc w:val="both"/>
        <w:rPr>
          <w:rFonts w:ascii="GHEA Grapalat" w:hAnsi="GHEA Grapalat"/>
          <w:sz w:val="22"/>
          <w:szCs w:val="22"/>
        </w:rPr>
      </w:pPr>
    </w:p>
    <w:p w14:paraId="6A397778" w14:textId="02C8C214" w:rsidR="00E76051" w:rsidRPr="00C921DE" w:rsidRDefault="00E76051" w:rsidP="00957F76">
      <w:pPr>
        <w:spacing w:line="360"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
          <w:i/>
          <w:sz w:val="22"/>
          <w:szCs w:val="22"/>
        </w:rPr>
        <w:t>Արտահանում:</w:t>
      </w:r>
      <w:r w:rsidRPr="00C921DE">
        <w:rPr>
          <w:rFonts w:ascii="GHEA Grapalat" w:eastAsia="GHEA Grapalat" w:hAnsi="GHEA Grapalat" w:cs="GHEA Grapalat"/>
          <w:sz w:val="22"/>
          <w:szCs w:val="22"/>
        </w:rPr>
        <w:t xml:space="preserve"> </w:t>
      </w:r>
      <w:r w:rsidRPr="00C921DE">
        <w:rPr>
          <w:rFonts w:ascii="GHEA Grapalat" w:eastAsia="GHEA Grapalat" w:hAnsi="GHEA Grapalat" w:cs="GHEA Grapalat"/>
          <w:bCs/>
          <w:sz w:val="22"/>
          <w:szCs w:val="22"/>
        </w:rPr>
        <w:t>2023 թվականին ապրանքների արտահանումն աճել է 55.3%</w:t>
      </w:r>
      <w:r w:rsidR="00957F76" w:rsidRPr="00C921DE">
        <w:rPr>
          <w:rFonts w:ascii="GHEA Grapalat" w:eastAsia="GHEA Grapalat" w:hAnsi="GHEA Grapalat" w:cs="GHEA Grapalat"/>
          <w:bCs/>
          <w:sz w:val="22"/>
          <w:szCs w:val="22"/>
          <w:lang w:val="en-US"/>
        </w:rPr>
        <w:t>-ով</w:t>
      </w:r>
      <w:r w:rsidRPr="00C921DE">
        <w:rPr>
          <w:rFonts w:ascii="GHEA Grapalat" w:eastAsia="GHEA Grapalat" w:hAnsi="GHEA Grapalat" w:cs="GHEA Grapalat"/>
          <w:bCs/>
          <w:sz w:val="22"/>
          <w:szCs w:val="22"/>
        </w:rPr>
        <w:t xml:space="preserve">՝ հիմնականում պայմանավորված վերաարտահանման (հատկապես՝ ՌԴ և ԱՄԷ) բարձր ծավալներով։ 2023 թվականի ապրիլ ամսից նկատվում էր արտահանման աճի տեմպերի դանդաղում, որը պայմանավորված էր նախորդ տարվա բարձր աճի բազայով, ինչպես նաև պղնձի միջազգային գների նվազմամբ և ՌԴ </w:t>
      </w:r>
      <w:r w:rsidRPr="00C921DE">
        <w:rPr>
          <w:rFonts w:ascii="GHEA Grapalat" w:eastAsia="GHEA Grapalat" w:hAnsi="GHEA Grapalat" w:cs="GHEA Grapalat"/>
          <w:bCs/>
          <w:sz w:val="22"/>
          <w:szCs w:val="22"/>
        </w:rPr>
        <w:lastRenderedPageBreak/>
        <w:t>ռուբլու նկատմամբ ՀՀ դրամի արժևորման տեմպերի արագացմամբ: Սակայն հոկտեմբեր ամսից արտահանման աճի տեմպը նորից սկսեց արագանալ՝ պայմանավորված ոսկու արտահանման (հիմնականում՝ դեպի ԱՄԷ) կտրուկ աճով:</w:t>
      </w:r>
    </w:p>
    <w:p w14:paraId="39A9294F" w14:textId="5B4A23CD" w:rsidR="00E76051" w:rsidRPr="00C921DE" w:rsidRDefault="00E76051" w:rsidP="00957F76">
      <w:pPr>
        <w:spacing w:line="360"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Cs/>
          <w:sz w:val="22"/>
          <w:szCs w:val="22"/>
        </w:rPr>
        <w:t>Արտահանման 55.3% երկնիշ աճին 23.6 տ</w:t>
      </w:r>
      <w:r w:rsidR="00304320" w:rsidRPr="00C921DE">
        <w:rPr>
          <w:rFonts w:ascii="GHEA Grapalat" w:eastAsia="GHEA Grapalat" w:hAnsi="GHEA Grapalat" w:cs="GHEA Grapalat"/>
          <w:bCs/>
          <w:sz w:val="22"/>
          <w:szCs w:val="22"/>
          <w:lang w:val="en-US"/>
        </w:rPr>
        <w:t>ո</w:t>
      </w:r>
      <w:r w:rsidRPr="00C921DE">
        <w:rPr>
          <w:rFonts w:ascii="GHEA Grapalat" w:eastAsia="GHEA Grapalat" w:hAnsi="GHEA Grapalat" w:cs="GHEA Grapalat"/>
          <w:bCs/>
          <w:sz w:val="22"/>
          <w:szCs w:val="22"/>
        </w:rPr>
        <w:t>կոսային կետով դրական նպ</w:t>
      </w:r>
      <w:r w:rsidR="00C451C7" w:rsidRPr="00C921DE">
        <w:rPr>
          <w:rFonts w:ascii="GHEA Grapalat" w:eastAsia="GHEA Grapalat" w:hAnsi="GHEA Grapalat" w:cs="GHEA Grapalat"/>
          <w:bCs/>
          <w:sz w:val="22"/>
          <w:szCs w:val="22"/>
          <w:lang w:val="en-US"/>
        </w:rPr>
        <w:t>ա</w:t>
      </w:r>
      <w:r w:rsidRPr="00C921DE">
        <w:rPr>
          <w:rFonts w:ascii="GHEA Grapalat" w:eastAsia="GHEA Grapalat" w:hAnsi="GHEA Grapalat" w:cs="GHEA Grapalat"/>
          <w:bCs/>
          <w:sz w:val="22"/>
          <w:szCs w:val="22"/>
        </w:rPr>
        <w:t>ստում է ունեցել արտահանման իրական ծավալների աճը: Արտահանման աճին ամենամեծ դրական նպաստումն է ուն</w:t>
      </w:r>
      <w:r w:rsidR="00747F97" w:rsidRPr="00C921DE">
        <w:rPr>
          <w:rFonts w:ascii="GHEA Grapalat" w:eastAsia="GHEA Grapalat" w:hAnsi="GHEA Grapalat" w:cs="GHEA Grapalat"/>
          <w:bCs/>
          <w:sz w:val="22"/>
          <w:szCs w:val="22"/>
          <w:lang w:val="en-US"/>
        </w:rPr>
        <w:t>ե</w:t>
      </w:r>
      <w:r w:rsidRPr="00C921DE">
        <w:rPr>
          <w:rFonts w:ascii="GHEA Grapalat" w:eastAsia="GHEA Grapalat" w:hAnsi="GHEA Grapalat" w:cs="GHEA Grapalat"/>
          <w:bCs/>
          <w:sz w:val="22"/>
          <w:szCs w:val="22"/>
        </w:rPr>
        <w:t>ցել «Թանկարժեք և կիսաթանկարժեք քարեր, թանկարժեք մետաղներ և դրանցից իրեր» (41 տոկոսային կետ) ապրանքախումբը (հիմնականում՝ «ոսկի անմշակ կամ կիսամշակ, փոշի» և «ոսկերչական իրեր»</w:t>
      </w:r>
      <w:r w:rsidR="00FE3A4C" w:rsidRPr="00C921DE">
        <w:rPr>
          <w:rFonts w:ascii="GHEA Grapalat" w:eastAsia="GHEA Grapalat" w:hAnsi="GHEA Grapalat" w:cs="GHEA Grapalat"/>
          <w:bCs/>
          <w:sz w:val="22"/>
          <w:szCs w:val="22"/>
        </w:rPr>
        <w:t xml:space="preserve"> </w:t>
      </w:r>
      <w:r w:rsidRPr="00C921DE">
        <w:rPr>
          <w:rFonts w:ascii="GHEA Grapalat" w:eastAsia="GHEA Grapalat" w:hAnsi="GHEA Grapalat" w:cs="GHEA Grapalat"/>
          <w:bCs/>
          <w:sz w:val="22"/>
          <w:szCs w:val="22"/>
        </w:rPr>
        <w:t>ապրանքախմբերը)</w:t>
      </w:r>
      <w:r w:rsidR="0055263C"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w:t>
      </w:r>
      <w:r w:rsidR="0055263C" w:rsidRPr="00C921DE">
        <w:rPr>
          <w:rFonts w:ascii="GHEA Grapalat" w:eastAsia="GHEA Grapalat" w:hAnsi="GHEA Grapalat" w:cs="GHEA Grapalat"/>
          <w:bCs/>
          <w:sz w:val="22"/>
          <w:szCs w:val="22"/>
          <w:lang w:val="en-US"/>
        </w:rPr>
        <w:t>Ա</w:t>
      </w:r>
      <w:r w:rsidRPr="00C921DE">
        <w:rPr>
          <w:rFonts w:ascii="GHEA Grapalat" w:eastAsia="GHEA Grapalat" w:hAnsi="GHEA Grapalat" w:cs="GHEA Grapalat"/>
          <w:bCs/>
          <w:sz w:val="22"/>
          <w:szCs w:val="22"/>
        </w:rPr>
        <w:t>րտահանման աճին դրական նպաստում են ուն</w:t>
      </w:r>
      <w:r w:rsidR="00304320" w:rsidRPr="00C921DE">
        <w:rPr>
          <w:rFonts w:ascii="GHEA Grapalat" w:eastAsia="GHEA Grapalat" w:hAnsi="GHEA Grapalat" w:cs="GHEA Grapalat"/>
          <w:bCs/>
          <w:sz w:val="22"/>
          <w:szCs w:val="22"/>
          <w:lang w:val="en-US"/>
        </w:rPr>
        <w:t>ե</w:t>
      </w:r>
      <w:r w:rsidRPr="00C921DE">
        <w:rPr>
          <w:rFonts w:ascii="GHEA Grapalat" w:eastAsia="GHEA Grapalat" w:hAnsi="GHEA Grapalat" w:cs="GHEA Grapalat"/>
          <w:bCs/>
          <w:sz w:val="22"/>
          <w:szCs w:val="22"/>
        </w:rPr>
        <w:t xml:space="preserve">ցել նաև «Մեքենաներ և սարքավորումներ» (10.6 տոկոսային կետ), «Տրանսպորտային միջոցներ» (4 տոկոսային կետով) </w:t>
      </w:r>
      <w:r w:rsidR="00D0243B" w:rsidRPr="00C921DE">
        <w:rPr>
          <w:rFonts w:ascii="GHEA Grapalat" w:eastAsia="GHEA Grapalat" w:hAnsi="GHEA Grapalat" w:cs="GHEA Grapalat"/>
          <w:bCs/>
          <w:sz w:val="22"/>
          <w:szCs w:val="22"/>
          <w:lang w:val="en-US"/>
        </w:rPr>
        <w:t xml:space="preserve">ապրանքախմբերը </w:t>
      </w:r>
      <w:r w:rsidRPr="00C921DE">
        <w:rPr>
          <w:rFonts w:ascii="GHEA Grapalat" w:eastAsia="GHEA Grapalat" w:hAnsi="GHEA Grapalat" w:cs="GHEA Grapalat"/>
          <w:bCs/>
          <w:sz w:val="22"/>
          <w:szCs w:val="22"/>
        </w:rPr>
        <w:t>և այլն։ Բացասական նպաստում ունեցած ամենամեծ ապրանքախումբը «Հանքահումքային արտադրանքն» է (2.6 տոկոսային կետ)։</w:t>
      </w:r>
    </w:p>
    <w:p w14:paraId="67AEC798" w14:textId="77777777" w:rsidR="00D0243B" w:rsidRPr="00C921DE" w:rsidRDefault="00D0243B" w:rsidP="00CE440B">
      <w:pPr>
        <w:ind w:firstLine="567"/>
        <w:jc w:val="both"/>
        <w:rPr>
          <w:rFonts w:ascii="GHEA Grapalat" w:eastAsia="GHEA Grapalat" w:hAnsi="GHEA Grapalat" w:cs="GHEA Grapalat"/>
          <w:bCs/>
          <w:sz w:val="22"/>
          <w:szCs w:val="22"/>
        </w:rPr>
      </w:pPr>
    </w:p>
    <w:p w14:paraId="29A29910" w14:textId="32962BF2" w:rsidR="00E76051" w:rsidRPr="00C921DE" w:rsidRDefault="00E76051" w:rsidP="004C12B8">
      <w:pPr>
        <w:pStyle w:val="a"/>
      </w:pPr>
      <w:r w:rsidRPr="00C921DE">
        <w:t>Ապրանքների արտահանման ամսական միտումները 2023 թվականին</w:t>
      </w:r>
    </w:p>
    <w:p w14:paraId="5DD6BABA" w14:textId="77777777" w:rsidR="00E76051" w:rsidRPr="00C921DE" w:rsidRDefault="00E76051" w:rsidP="00E76051">
      <w:pPr>
        <w:keepNext/>
        <w:spacing w:after="120" w:line="276" w:lineRule="auto"/>
      </w:pPr>
      <w:r w:rsidRPr="00C921DE">
        <w:rPr>
          <w:rFonts w:ascii="GHEA Grapalat" w:hAnsi="GHEA Grapalat"/>
          <w:sz w:val="22"/>
          <w:szCs w:val="22"/>
          <w:lang w:val="en-US"/>
        </w:rPr>
        <w:drawing>
          <wp:inline distT="0" distB="0" distL="0" distR="0" wp14:anchorId="5354CEBF" wp14:editId="778C458F">
            <wp:extent cx="3152775" cy="2247900"/>
            <wp:effectExtent l="0" t="0" r="9525" b="0"/>
            <wp:docPr id="40"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C921DE">
        <w:rPr>
          <w:rFonts w:ascii="GHEA Grapalat" w:eastAsia="GHEA Grapalat" w:hAnsi="GHEA Grapalat" w:cs="GHEA Grapalat"/>
          <w:i/>
          <w:color w:val="000000"/>
          <w:sz w:val="18"/>
          <w:szCs w:val="18"/>
        </w:rPr>
        <w:t xml:space="preserve"> </w:t>
      </w:r>
      <w:r w:rsidRPr="00C921DE">
        <w:rPr>
          <w:rFonts w:ascii="GHEA Grapalat" w:eastAsia="Calibri" w:hAnsi="GHEA Grapalat"/>
          <w:i/>
          <w:sz w:val="22"/>
          <w:szCs w:val="22"/>
          <w:lang w:val="en-US"/>
        </w:rPr>
        <w:drawing>
          <wp:inline distT="0" distB="0" distL="0" distR="0" wp14:anchorId="5B55666D" wp14:editId="76473797">
            <wp:extent cx="3019425" cy="2238375"/>
            <wp:effectExtent l="0" t="0" r="9525" b="9525"/>
            <wp:docPr id="41" name="Objec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1C64917" w14:textId="77777777" w:rsidR="00E76051" w:rsidRPr="00C921DE" w:rsidRDefault="00E76051" w:rsidP="00E76051">
      <w:pPr>
        <w:keepNext/>
        <w:spacing w:after="120" w:line="276" w:lineRule="auto"/>
        <w:rPr>
          <w:rFonts w:ascii="GHEA Grapalat" w:eastAsia="GHEA Grapalat" w:hAnsi="GHEA Grapalat" w:cs="GHEA Grapalat"/>
          <w:i/>
          <w:color w:val="000000"/>
          <w:sz w:val="18"/>
          <w:szCs w:val="18"/>
        </w:rPr>
      </w:pPr>
      <w:r w:rsidRPr="00C921DE">
        <w:rPr>
          <w:rFonts w:ascii="GHEA Grapalat" w:eastAsia="GHEA Grapalat" w:hAnsi="GHEA Grapalat" w:cs="GHEA Grapalat"/>
          <w:i/>
          <w:color w:val="000000"/>
          <w:sz w:val="18"/>
          <w:szCs w:val="18"/>
        </w:rPr>
        <w:t>Աղբյուրը՝ ՀՀ ՎԿ և ՀՀ ՖՆ հաշվարկներ</w:t>
      </w:r>
    </w:p>
    <w:p w14:paraId="2F4AE110" w14:textId="77777777" w:rsidR="00635690" w:rsidRPr="00C921DE" w:rsidRDefault="00635690" w:rsidP="00CE440B">
      <w:pPr>
        <w:ind w:firstLine="567"/>
        <w:jc w:val="both"/>
        <w:rPr>
          <w:rFonts w:ascii="GHEA Grapalat" w:eastAsia="GHEA Grapalat" w:hAnsi="GHEA Grapalat" w:cs="GHEA Grapalat"/>
          <w:bCs/>
          <w:sz w:val="22"/>
          <w:szCs w:val="22"/>
        </w:rPr>
      </w:pPr>
    </w:p>
    <w:p w14:paraId="7EEEB0D2" w14:textId="5612C1AD" w:rsidR="00E76051" w:rsidRPr="00C921DE" w:rsidRDefault="00E76051" w:rsidP="00D0243B">
      <w:pPr>
        <w:spacing w:line="360" w:lineRule="auto"/>
        <w:ind w:firstLine="567"/>
        <w:jc w:val="both"/>
        <w:rPr>
          <w:rFonts w:ascii="GHEA Grapalat" w:eastAsia="GHEA Grapalat" w:hAnsi="GHEA Grapalat" w:cs="GHEA Grapalat"/>
          <w:bCs/>
          <w:sz w:val="22"/>
          <w:szCs w:val="22"/>
        </w:rPr>
      </w:pPr>
      <w:r w:rsidRPr="00C921DE">
        <w:rPr>
          <w:rFonts w:ascii="GHEA Grapalat" w:eastAsia="GHEA Grapalat" w:hAnsi="GHEA Grapalat" w:cs="GHEA Grapalat"/>
          <w:b/>
          <w:i/>
          <w:sz w:val="22"/>
          <w:szCs w:val="22"/>
        </w:rPr>
        <w:t>Ներմուծում:</w:t>
      </w:r>
      <w:r w:rsidRPr="00C921DE">
        <w:rPr>
          <w:rFonts w:ascii="GHEA Grapalat" w:eastAsia="GHEA Grapalat" w:hAnsi="GHEA Grapalat" w:cs="GHEA Grapalat"/>
          <w:b/>
          <w:sz w:val="22"/>
          <w:szCs w:val="22"/>
        </w:rPr>
        <w:t xml:space="preserve"> </w:t>
      </w:r>
      <w:r w:rsidRPr="00C921DE">
        <w:rPr>
          <w:rFonts w:ascii="GHEA Grapalat" w:eastAsia="GHEA Grapalat" w:hAnsi="GHEA Grapalat" w:cs="GHEA Grapalat"/>
          <w:bCs/>
          <w:sz w:val="22"/>
          <w:szCs w:val="22"/>
        </w:rPr>
        <w:t>2023 թվականին արձանագրվել է ներմուծման երկնիշ աճ՝ պայմանավորված բարձր տնտեսական ակտիվությամբ և վերաարտահանման նպատակով իրականացված ներմուծմամբ: 2023 թվականի ապրիլ ամսից նկատվում է ներմուծման աճի տեմպերի դանդաղում, որ</w:t>
      </w:r>
      <w:r w:rsidR="00952DF7" w:rsidRPr="00C921DE">
        <w:rPr>
          <w:rFonts w:ascii="GHEA Grapalat" w:eastAsia="GHEA Grapalat" w:hAnsi="GHEA Grapalat" w:cs="GHEA Grapalat"/>
          <w:bCs/>
          <w:sz w:val="22"/>
          <w:szCs w:val="22"/>
          <w:lang w:val="en-US"/>
        </w:rPr>
        <w:t>ը</w:t>
      </w:r>
      <w:r w:rsidRPr="00C921DE">
        <w:rPr>
          <w:rFonts w:ascii="GHEA Grapalat" w:eastAsia="GHEA Grapalat" w:hAnsi="GHEA Grapalat" w:cs="GHEA Grapalat"/>
          <w:bCs/>
          <w:sz w:val="22"/>
          <w:szCs w:val="22"/>
        </w:rPr>
        <w:t xml:space="preserve"> պայմանավորված է նախորդ տարվա բարձր աճի բազայով: Սակայն հատկանշական է այն հանգամանքը, որ ինչպես արտահանման, այնպես էլ ներմուծման դեպքում հոկտեմբեր ամսից նկատվել է ներմուծման ամսական աճի տեմպերի արագացում՝ պայմանավորված ոսկու ներմուծման ծավալների կտրուկ ավելացմամբ: 2023 թվականին դոլարային արտահայտությամբ ապրանքների ներմուծման ծավալն աճել է 40.2%-ով՝ կազմելով 12,308 մլն դոլար: Ընդ որում</w:t>
      </w:r>
      <w:r w:rsidR="003D5A98" w:rsidRPr="00C921DE">
        <w:rPr>
          <w:rFonts w:ascii="GHEA Grapalat" w:eastAsia="GHEA Grapalat" w:hAnsi="GHEA Grapalat" w:cs="GHEA Grapalat"/>
          <w:bCs/>
          <w:sz w:val="22"/>
          <w:szCs w:val="22"/>
          <w:lang w:val="en-US"/>
        </w:rPr>
        <w:t>,</w:t>
      </w:r>
      <w:r w:rsidRPr="00C921DE">
        <w:rPr>
          <w:rFonts w:ascii="GHEA Grapalat" w:eastAsia="GHEA Grapalat" w:hAnsi="GHEA Grapalat" w:cs="GHEA Grapalat"/>
          <w:bCs/>
          <w:sz w:val="22"/>
          <w:szCs w:val="22"/>
        </w:rPr>
        <w:t xml:space="preserve"> գրանցվել է իրական ծավալների շուրջ 38.7% աճ, իսկ ներմուծվող ապրանքների գները նվազել են:</w:t>
      </w:r>
    </w:p>
    <w:p w14:paraId="47440684" w14:textId="590B6E92" w:rsidR="00E76051" w:rsidRPr="00C921DE" w:rsidRDefault="00E76051" w:rsidP="004C12B8">
      <w:pPr>
        <w:pStyle w:val="a"/>
      </w:pPr>
      <w:r w:rsidRPr="00C921DE">
        <w:lastRenderedPageBreak/>
        <w:t>Ապրանքների ներմուծման ամսական միտումները 2023 թվականին</w:t>
      </w:r>
    </w:p>
    <w:p w14:paraId="17BAC9BA" w14:textId="77777777" w:rsidR="00E76051" w:rsidRPr="00C921DE" w:rsidRDefault="00E76051" w:rsidP="00E76051">
      <w:pPr>
        <w:spacing w:before="120" w:line="360" w:lineRule="auto"/>
        <w:jc w:val="both"/>
        <w:rPr>
          <w:rFonts w:ascii="GHEA Grapalat" w:eastAsia="GHEA Grapalat" w:hAnsi="GHEA Grapalat" w:cs="GHEA Grapalat"/>
          <w:sz w:val="22"/>
          <w:szCs w:val="22"/>
        </w:rPr>
      </w:pPr>
      <w:r w:rsidRPr="00C921DE">
        <w:rPr>
          <w:rFonts w:ascii="GHEA Grapalat" w:hAnsi="GHEA Grapalat"/>
          <w:sz w:val="22"/>
          <w:szCs w:val="22"/>
          <w:lang w:val="en-US"/>
        </w:rPr>
        <w:drawing>
          <wp:inline distT="0" distB="0" distL="0" distR="0" wp14:anchorId="252C8D73" wp14:editId="02C9C421">
            <wp:extent cx="3181350" cy="2194560"/>
            <wp:effectExtent l="0" t="0" r="0" b="15240"/>
            <wp:docPr id="42"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C921DE">
        <w:rPr>
          <w:rFonts w:ascii="GHEA Grapalat" w:eastAsia="GHEA Grapalat" w:hAnsi="GHEA Grapalat" w:cs="GHEA Grapalat"/>
          <w:sz w:val="22"/>
          <w:szCs w:val="22"/>
        </w:rPr>
        <w:t xml:space="preserve"> </w:t>
      </w:r>
      <w:r w:rsidRPr="00C921DE">
        <w:rPr>
          <w:rFonts w:ascii="GHEA Grapalat" w:eastAsia="Calibri" w:hAnsi="GHEA Grapalat"/>
          <w:i/>
          <w:sz w:val="22"/>
          <w:szCs w:val="22"/>
          <w:lang w:val="en-US"/>
        </w:rPr>
        <w:drawing>
          <wp:inline distT="0" distB="0" distL="0" distR="0" wp14:anchorId="2FA07EF9" wp14:editId="6E1B3882">
            <wp:extent cx="3181350" cy="2202512"/>
            <wp:effectExtent l="0" t="0" r="0" b="7620"/>
            <wp:docPr id="4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3D99AE4" w14:textId="77777777" w:rsidR="00E76051" w:rsidRPr="00C921DE" w:rsidRDefault="00E76051" w:rsidP="00E76051">
      <w:pPr>
        <w:keepNext/>
        <w:spacing w:after="120" w:line="276" w:lineRule="auto"/>
        <w:rPr>
          <w:rFonts w:ascii="GHEA Grapalat" w:eastAsia="GHEA Grapalat" w:hAnsi="GHEA Grapalat" w:cs="GHEA Grapalat"/>
          <w:b/>
          <w:i/>
          <w:sz w:val="18"/>
          <w:szCs w:val="18"/>
        </w:rPr>
      </w:pPr>
      <w:r w:rsidRPr="00C921DE">
        <w:rPr>
          <w:rFonts w:ascii="GHEA Grapalat" w:eastAsia="GHEA Grapalat" w:hAnsi="GHEA Grapalat" w:cs="GHEA Grapalat"/>
          <w:i/>
          <w:color w:val="000000"/>
          <w:sz w:val="18"/>
          <w:szCs w:val="18"/>
        </w:rPr>
        <w:t>Աղբյուրը՝ ՀՀ ՎԿ և ՀՀ ՖՆ հաշվարկներ</w:t>
      </w:r>
    </w:p>
    <w:p w14:paraId="5526ED52" w14:textId="77777777" w:rsidR="00654DFB" w:rsidRPr="00C921DE" w:rsidRDefault="00654DFB" w:rsidP="00CE440B">
      <w:pPr>
        <w:ind w:firstLine="540"/>
        <w:jc w:val="both"/>
        <w:rPr>
          <w:rFonts w:ascii="GHEA Grapalat" w:hAnsi="GHEA Grapalat"/>
          <w:sz w:val="22"/>
          <w:szCs w:val="22"/>
        </w:rPr>
      </w:pPr>
    </w:p>
    <w:p w14:paraId="7E18111D" w14:textId="16D3C485" w:rsidR="00E76051" w:rsidRPr="00C921DE" w:rsidRDefault="00E76051" w:rsidP="00654DFB">
      <w:pPr>
        <w:spacing w:line="360" w:lineRule="auto"/>
        <w:ind w:firstLine="540"/>
        <w:jc w:val="both"/>
        <w:rPr>
          <w:rFonts w:ascii="GHEA Grapalat" w:hAnsi="GHEA Grapalat"/>
          <w:sz w:val="22"/>
          <w:szCs w:val="22"/>
        </w:rPr>
      </w:pPr>
      <w:r w:rsidRPr="00C921DE">
        <w:rPr>
          <w:rFonts w:ascii="GHEA Grapalat" w:hAnsi="GHEA Grapalat"/>
          <w:sz w:val="22"/>
          <w:szCs w:val="22"/>
        </w:rPr>
        <w:t>2023 թվականին ներմուծման դոլարային արտահայտությամբ ծավալների աճին ամենամեծ նպաստումն են ունեցել «Թանկարժեք և կիսաթանկարժեք քարեր, թանկարժեք մետաղներ և դրանցից իրեր» (18.4 տոկոսային կետ), «Վերգետնյա, օդային և ջրային տրանսպորտի միջոցներ» (10 տոկոսային կետ),</w:t>
      </w:r>
      <w:r w:rsidR="00FE3A4C" w:rsidRPr="00C921DE">
        <w:rPr>
          <w:rFonts w:ascii="GHEA Grapalat" w:hAnsi="GHEA Grapalat"/>
          <w:sz w:val="22"/>
          <w:szCs w:val="22"/>
        </w:rPr>
        <w:t xml:space="preserve"> </w:t>
      </w:r>
      <w:r w:rsidRPr="00C921DE">
        <w:rPr>
          <w:rFonts w:ascii="GHEA Grapalat" w:hAnsi="GHEA Grapalat"/>
          <w:sz w:val="22"/>
          <w:szCs w:val="22"/>
        </w:rPr>
        <w:t>«Մեքենաներ, սարքավորումներ և մեխանիզմներ» (8.3 տոկոսային կետ) ապրանքախմբերը</w:t>
      </w:r>
      <w:r w:rsidRPr="00C921DE">
        <w:rPr>
          <w:rFonts w:ascii="GHEA Grapalat" w:hAnsi="GHEA Grapalat"/>
          <w:sz w:val="22"/>
          <w:szCs w:val="22"/>
          <w:vertAlign w:val="superscript"/>
          <w:lang w:val="en-US"/>
        </w:rPr>
        <w:footnoteReference w:id="20"/>
      </w:r>
      <w:r w:rsidRPr="00C921DE">
        <w:rPr>
          <w:rFonts w:ascii="GHEA Grapalat" w:hAnsi="GHEA Grapalat"/>
          <w:sz w:val="22"/>
          <w:szCs w:val="22"/>
        </w:rPr>
        <w:t>։ Էական բացասական նպաստում ունեցած խումբը «Հանքահումքային արտադրանքն» է, որը ներմուծման աճին հակազդել է 0.9 տոկոսային կետով։ Ըստ ապրանքների լայն տնտեսական դասակարգման՝ ներմուծման աճին նպաստել են «Միջանկյալ սպառման ապրանքները» (17.4 տոկոսային կետ, այդ թվում՝ արդյունաբերական մատակարարումները՝ 18.7 տոկոսային կետ), «Կապիտալ ապրանքները» (9.3 տոկոսային կետ), «Վերջնական սպառման ապրանքները» (6.5 տոկոսային կետ) և «Մարդատար ավտոմեքենաները» (7 տոկոսային կետ)</w:t>
      </w:r>
      <w:r w:rsidRPr="00C921DE">
        <w:rPr>
          <w:rFonts w:ascii="GHEA Grapalat" w:hAnsi="GHEA Grapalat"/>
          <w:sz w:val="22"/>
          <w:szCs w:val="22"/>
          <w:vertAlign w:val="superscript"/>
          <w:lang w:val="en-US"/>
        </w:rPr>
        <w:footnoteReference w:id="21"/>
      </w:r>
      <w:r w:rsidRPr="00C921DE">
        <w:rPr>
          <w:rFonts w:ascii="GHEA Grapalat" w:hAnsi="GHEA Grapalat"/>
          <w:sz w:val="22"/>
          <w:szCs w:val="22"/>
        </w:rPr>
        <w:t xml:space="preserve">: </w:t>
      </w:r>
    </w:p>
    <w:p w14:paraId="7C558223" w14:textId="03156BEE" w:rsidR="00E76051" w:rsidRPr="00C921DE" w:rsidRDefault="00E76051" w:rsidP="00654DFB">
      <w:pPr>
        <w:spacing w:line="360" w:lineRule="auto"/>
        <w:ind w:firstLine="540"/>
        <w:jc w:val="both"/>
        <w:rPr>
          <w:rFonts w:ascii="GHEA Grapalat" w:hAnsi="GHEA Grapalat"/>
          <w:sz w:val="22"/>
          <w:szCs w:val="22"/>
        </w:rPr>
      </w:pPr>
      <w:r w:rsidRPr="00C921DE">
        <w:rPr>
          <w:rFonts w:ascii="GHEA Grapalat" w:eastAsia="GHEA Grapalat" w:hAnsi="GHEA Grapalat" w:cs="GHEA Grapalat"/>
          <w:b/>
          <w:i/>
          <w:sz w:val="22"/>
          <w:szCs w:val="22"/>
        </w:rPr>
        <w:t>Արտաքին առևտուրն ըստ գործընկեր երկրների:</w:t>
      </w:r>
      <w:r w:rsidRPr="00C921DE">
        <w:rPr>
          <w:rFonts w:ascii="GHEA Grapalat" w:eastAsia="GHEA Grapalat" w:hAnsi="GHEA Grapalat" w:cs="GHEA Grapalat"/>
          <w:i/>
          <w:sz w:val="22"/>
          <w:szCs w:val="22"/>
        </w:rPr>
        <w:t xml:space="preserve"> </w:t>
      </w:r>
      <w:r w:rsidRPr="00C921DE">
        <w:rPr>
          <w:rFonts w:ascii="GHEA Grapalat" w:hAnsi="GHEA Grapalat"/>
          <w:sz w:val="22"/>
          <w:szCs w:val="22"/>
        </w:rPr>
        <w:t>2023 թվականին արտաքին առևտրաշրջանառության աշխարհագրական կառուցվածքը նախորդ տարվա նկատմամբ կրել է որոշակի փոփոխություն։ Արտաքին առևտրի կառուցվածքում այլ երկրների դերը բարձրացել է, իսկ ԵԱՏՄ-ի և ԵՄ-ի երկրների դերը՝ նվազել։ ՀՀ արտաքին առևտրաշրջանառության 37.5%-ը բաժին է ընկել ԱՊՀ (որից 36.8%-ային կետը` ԵԱՏՄ), 12.9%-ը` ԵՄ և 49.6%-ը` այլ երկրներին: ՀՀ արտաքին առևտրաշրջանառության մեջ նախորդ տարվա համեմատ այլ երկրների կշիռ</w:t>
      </w:r>
      <w:r w:rsidR="00654DFB" w:rsidRPr="00C921DE">
        <w:rPr>
          <w:rFonts w:ascii="GHEA Grapalat" w:hAnsi="GHEA Grapalat"/>
          <w:sz w:val="22"/>
          <w:szCs w:val="22"/>
          <w:lang w:val="en-US"/>
        </w:rPr>
        <w:t>ն</w:t>
      </w:r>
      <w:r w:rsidRPr="00C921DE">
        <w:rPr>
          <w:rFonts w:ascii="GHEA Grapalat" w:hAnsi="GHEA Grapalat"/>
          <w:sz w:val="22"/>
          <w:szCs w:val="22"/>
        </w:rPr>
        <w:t xml:space="preserve"> ավելացել է 4.4</w:t>
      </w:r>
      <w:r w:rsidR="00654DFB" w:rsidRPr="00C921DE">
        <w:rPr>
          <w:rFonts w:ascii="GHEA Grapalat" w:hAnsi="GHEA Grapalat"/>
          <w:sz w:val="22"/>
          <w:szCs w:val="22"/>
          <w:lang w:val="en-US"/>
        </w:rPr>
        <w:t xml:space="preserve"> </w:t>
      </w:r>
      <w:r w:rsidR="00654DFB" w:rsidRPr="00C921DE">
        <w:rPr>
          <w:rFonts w:ascii="GHEA Grapalat" w:hAnsi="GHEA Grapalat"/>
          <w:sz w:val="22"/>
          <w:szCs w:val="22"/>
        </w:rPr>
        <w:t>տոկոս</w:t>
      </w:r>
      <w:r w:rsidRPr="00C921DE">
        <w:rPr>
          <w:rFonts w:ascii="GHEA Grapalat" w:hAnsi="GHEA Grapalat"/>
          <w:sz w:val="22"/>
          <w:szCs w:val="22"/>
        </w:rPr>
        <w:t>ային կետով (որին մեծ նպաստում է ունեցել ԱՄԷ արտահանումը), իսկ ԱՊՀ երկրների կշիռը նվազել է 1.2</w:t>
      </w:r>
      <w:r w:rsidR="00654DFB" w:rsidRPr="00C921DE">
        <w:rPr>
          <w:rFonts w:ascii="GHEA Grapalat" w:hAnsi="GHEA Grapalat"/>
          <w:sz w:val="22"/>
          <w:szCs w:val="22"/>
          <w:lang w:val="en-US"/>
        </w:rPr>
        <w:t xml:space="preserve"> </w:t>
      </w:r>
      <w:r w:rsidRPr="00C921DE">
        <w:rPr>
          <w:rFonts w:ascii="GHEA Grapalat" w:hAnsi="GHEA Grapalat"/>
          <w:sz w:val="22"/>
          <w:szCs w:val="22"/>
        </w:rPr>
        <w:t>%</w:t>
      </w:r>
      <w:r w:rsidR="00654DFB" w:rsidRPr="00C921DE">
        <w:rPr>
          <w:rFonts w:ascii="GHEA Grapalat" w:hAnsi="GHEA Grapalat"/>
          <w:sz w:val="22"/>
          <w:szCs w:val="22"/>
          <w:lang w:val="en-US"/>
        </w:rPr>
        <w:t xml:space="preserve"> տոկոսա</w:t>
      </w:r>
      <w:r w:rsidRPr="00C921DE">
        <w:rPr>
          <w:rFonts w:ascii="GHEA Grapalat" w:hAnsi="GHEA Grapalat"/>
          <w:sz w:val="22"/>
          <w:szCs w:val="22"/>
        </w:rPr>
        <w:t>յին կետով, ԵԱՏՄ-ն՝ 0.8</w:t>
      </w:r>
      <w:r w:rsidR="00654DFB" w:rsidRPr="00C921DE">
        <w:rPr>
          <w:rFonts w:ascii="GHEA Grapalat" w:hAnsi="GHEA Grapalat"/>
          <w:sz w:val="22"/>
          <w:szCs w:val="22"/>
          <w:lang w:val="en-US"/>
        </w:rPr>
        <w:t xml:space="preserve"> տոկոս</w:t>
      </w:r>
      <w:r w:rsidRPr="00C921DE">
        <w:rPr>
          <w:rFonts w:ascii="GHEA Grapalat" w:hAnsi="GHEA Grapalat"/>
          <w:sz w:val="22"/>
          <w:szCs w:val="22"/>
        </w:rPr>
        <w:t>ային կետով (ՌԴ՝ 0.6 ) և ԵՄ-ն՝ 3.2</w:t>
      </w:r>
      <w:r w:rsidR="00654DFB" w:rsidRPr="00C921DE">
        <w:rPr>
          <w:rFonts w:ascii="GHEA Grapalat" w:hAnsi="GHEA Grapalat"/>
          <w:sz w:val="22"/>
          <w:szCs w:val="22"/>
          <w:lang w:val="en-US"/>
        </w:rPr>
        <w:t xml:space="preserve"> տոկոս</w:t>
      </w:r>
      <w:r w:rsidRPr="00C921DE">
        <w:rPr>
          <w:rFonts w:ascii="GHEA Grapalat" w:hAnsi="GHEA Grapalat"/>
          <w:sz w:val="22"/>
          <w:szCs w:val="22"/>
        </w:rPr>
        <w:t>ային կետով։</w:t>
      </w:r>
    </w:p>
    <w:p w14:paraId="776E7B9D" w14:textId="0A58C131" w:rsidR="00E76051" w:rsidRPr="00C921DE" w:rsidRDefault="00E76051" w:rsidP="00654DFB">
      <w:pPr>
        <w:spacing w:line="360" w:lineRule="auto"/>
        <w:ind w:firstLine="540"/>
        <w:jc w:val="both"/>
        <w:rPr>
          <w:rFonts w:ascii="GHEA Grapalat" w:hAnsi="GHEA Grapalat"/>
          <w:sz w:val="22"/>
          <w:szCs w:val="22"/>
        </w:rPr>
      </w:pPr>
      <w:r w:rsidRPr="00C921DE">
        <w:rPr>
          <w:rFonts w:ascii="GHEA Grapalat" w:hAnsi="GHEA Grapalat"/>
          <w:sz w:val="22"/>
          <w:szCs w:val="22"/>
        </w:rPr>
        <w:lastRenderedPageBreak/>
        <w:t xml:space="preserve">ՀՀ խոշոր առևտրային գործընկեր ՌԴ-ի հետ առևտրաշրջանառության ծավալները հաշվետու </w:t>
      </w:r>
      <w:r w:rsidR="00EC0967" w:rsidRPr="00C921DE">
        <w:rPr>
          <w:rFonts w:ascii="GHEA Grapalat" w:hAnsi="GHEA Grapalat"/>
          <w:sz w:val="22"/>
          <w:szCs w:val="22"/>
          <w:lang w:val="en-US"/>
        </w:rPr>
        <w:t xml:space="preserve">տարում </w:t>
      </w:r>
      <w:r w:rsidRPr="00C921DE">
        <w:rPr>
          <w:rFonts w:ascii="GHEA Grapalat" w:hAnsi="GHEA Grapalat"/>
          <w:sz w:val="22"/>
          <w:szCs w:val="22"/>
        </w:rPr>
        <w:t xml:space="preserve">ավելացել </w:t>
      </w:r>
      <w:r w:rsidR="00EC0967" w:rsidRPr="00C921DE">
        <w:rPr>
          <w:rFonts w:ascii="GHEA Grapalat" w:hAnsi="GHEA Grapalat"/>
          <w:sz w:val="22"/>
          <w:szCs w:val="22"/>
          <w:lang w:val="en-US"/>
        </w:rPr>
        <w:t>են</w:t>
      </w:r>
      <w:r w:rsidRPr="00C921DE">
        <w:rPr>
          <w:rFonts w:ascii="GHEA Grapalat" w:hAnsi="GHEA Grapalat"/>
          <w:sz w:val="22"/>
          <w:szCs w:val="22"/>
        </w:rPr>
        <w:t xml:space="preserve">, մասնավորապես՝ հաշվետու </w:t>
      </w:r>
      <w:r w:rsidR="00EC0967" w:rsidRPr="00C921DE">
        <w:rPr>
          <w:rFonts w:ascii="GHEA Grapalat" w:hAnsi="GHEA Grapalat"/>
          <w:sz w:val="22"/>
          <w:szCs w:val="22"/>
          <w:lang w:val="en-US"/>
        </w:rPr>
        <w:t>տար</w:t>
      </w:r>
      <w:r w:rsidRPr="00C921DE">
        <w:rPr>
          <w:rFonts w:ascii="GHEA Grapalat" w:hAnsi="GHEA Grapalat"/>
          <w:sz w:val="22"/>
          <w:szCs w:val="22"/>
        </w:rPr>
        <w:t>ում արտահանումը դեպի ՌԴ աճել է 38.8%</w:t>
      </w:r>
      <w:r w:rsidR="00EC0967" w:rsidRPr="00C921DE">
        <w:rPr>
          <w:rFonts w:ascii="Calibri" w:hAnsi="Calibri" w:cs="Calibri"/>
          <w:sz w:val="22"/>
          <w:szCs w:val="22"/>
          <w:lang w:val="en-US"/>
        </w:rPr>
        <w:noBreakHyphen/>
      </w:r>
      <w:r w:rsidR="00EC0967" w:rsidRPr="00C921DE">
        <w:rPr>
          <w:rFonts w:ascii="GHEA Grapalat" w:hAnsi="GHEA Grapalat"/>
          <w:sz w:val="22"/>
          <w:szCs w:val="22"/>
          <w:lang w:val="en-US"/>
        </w:rPr>
        <w:t>ով</w:t>
      </w:r>
      <w:r w:rsidRPr="00C921DE">
        <w:rPr>
          <w:rFonts w:ascii="GHEA Grapalat" w:hAnsi="GHEA Grapalat"/>
          <w:sz w:val="22"/>
          <w:szCs w:val="22"/>
        </w:rPr>
        <w:t xml:space="preserve">, իսկ ՌԴ-ից ներմուծումը` 47.4%-ով: 2023 թվականին ՀՀ խոշոր առևտրային գործընկերների շրջանակում ընդգրկված Արաբական Միացյալ Էմիրությունների հետ առևտրաշրջանառության ծավալն աճել է 3.9 անգամ (կշիռը՝ 11.1%), որին մեծ նպաստում է ունեցել արտահանման 4.2 անգամ աճը (հիմնականում արտահանվել </w:t>
      </w:r>
      <w:r w:rsidR="00EC0967" w:rsidRPr="00C921DE">
        <w:rPr>
          <w:rFonts w:ascii="GHEA Grapalat" w:hAnsi="GHEA Grapalat"/>
          <w:sz w:val="22"/>
          <w:szCs w:val="22"/>
          <w:lang w:val="en-US"/>
        </w:rPr>
        <w:t>են</w:t>
      </w:r>
      <w:r w:rsidRPr="00C921DE">
        <w:rPr>
          <w:rFonts w:ascii="GHEA Grapalat" w:hAnsi="GHEA Grapalat"/>
          <w:sz w:val="22"/>
          <w:szCs w:val="22"/>
        </w:rPr>
        <w:t xml:space="preserve"> անմշակ ոսկի և ոսկերչական իրեր): 2023 թվականին ՀՀ խոշոր առևտրային գործընկերներ են նաև Չինաստանը (10.3%), Իրանը (3.3%), ԱՄՆ-ն (3.2%),</w:t>
      </w:r>
      <w:r w:rsidR="00FE3A4C" w:rsidRPr="00C921DE">
        <w:rPr>
          <w:rFonts w:ascii="GHEA Grapalat" w:hAnsi="GHEA Grapalat"/>
          <w:sz w:val="22"/>
          <w:szCs w:val="22"/>
        </w:rPr>
        <w:t xml:space="preserve"> </w:t>
      </w:r>
      <w:r w:rsidRPr="00C921DE">
        <w:rPr>
          <w:rFonts w:ascii="GHEA Grapalat" w:hAnsi="GHEA Grapalat"/>
          <w:sz w:val="22"/>
          <w:szCs w:val="22"/>
        </w:rPr>
        <w:t>Գերմանիան (3.1%) և այլն:</w:t>
      </w:r>
    </w:p>
    <w:p w14:paraId="64891C76" w14:textId="267B09BE"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eastAsia="GHEA Grapalat" w:hAnsi="GHEA Grapalat" w:cs="GHEA Grapalat"/>
          <w:b/>
          <w:i/>
          <w:sz w:val="22"/>
          <w:szCs w:val="22"/>
        </w:rPr>
        <w:t>Ծառայություններ:</w:t>
      </w:r>
      <w:r w:rsidRPr="00C921DE">
        <w:rPr>
          <w:rFonts w:ascii="GHEA Grapalat" w:eastAsia="GHEA Grapalat" w:hAnsi="GHEA Grapalat" w:cs="GHEA Grapalat"/>
          <w:b/>
          <w:sz w:val="22"/>
          <w:szCs w:val="22"/>
        </w:rPr>
        <w:t xml:space="preserve"> </w:t>
      </w:r>
      <w:r w:rsidRPr="00C921DE">
        <w:rPr>
          <w:rFonts w:ascii="GHEA Grapalat" w:hAnsi="GHEA Grapalat"/>
          <w:sz w:val="22"/>
          <w:szCs w:val="22"/>
        </w:rPr>
        <w:t>2023 թվականին ծառայությունների արտահանումն աճել է 30.1%-ով, իսկ ներմուծումը՝ 27.8%-ով: Ծառայությունների արտահանման և ներմուծման աճին մեծ նպաստում է ունեցել զբոսաշրջության աճը (թե՛ արտահանման, թե՛ ներմուծման դեպքում</w:t>
      </w:r>
      <w:r w:rsidR="00EC0967" w:rsidRPr="00C921DE">
        <w:rPr>
          <w:rFonts w:ascii="GHEA Grapalat" w:hAnsi="GHEA Grapalat"/>
          <w:sz w:val="22"/>
          <w:szCs w:val="22"/>
          <w:lang w:val="en-US"/>
        </w:rPr>
        <w:t>՝</w:t>
      </w:r>
      <w:r w:rsidRPr="00C921DE">
        <w:rPr>
          <w:rFonts w:ascii="GHEA Grapalat" w:hAnsi="GHEA Grapalat"/>
          <w:sz w:val="22"/>
          <w:szCs w:val="22"/>
        </w:rPr>
        <w:t xml:space="preserve"> 13.2 տոկոսային կետ): 2023 թվականին ՀՀ այցելած զբոսաշրջիկների թիվը կազմել է շուրջ 2317 հազար մարդ՝ նախորդ տարվա համեմատ ավելանալով 39%-ով (շուրջ 651 հազար մարդով), իսկ ՀՀ-ից մեկնած զբոսաշրջիկների թվաքանակը կազմել է շուրջ 1611 հազար՝ աճելով 41.5%</w:t>
      </w:r>
      <w:r w:rsidR="00903F88" w:rsidRPr="00C921DE">
        <w:rPr>
          <w:rFonts w:ascii="GHEA Grapalat" w:hAnsi="GHEA Grapalat"/>
          <w:sz w:val="22"/>
          <w:szCs w:val="22"/>
          <w:lang w:val="en-US"/>
        </w:rPr>
        <w:t>-ով</w:t>
      </w:r>
      <w:r w:rsidRPr="00C921DE">
        <w:rPr>
          <w:rFonts w:ascii="GHEA Grapalat" w:hAnsi="GHEA Grapalat"/>
          <w:sz w:val="22"/>
          <w:szCs w:val="22"/>
        </w:rPr>
        <w:t xml:space="preserve"> (շուրջ 473 հազար մարդով): 2023 թվականին ՀՀ այցելած զբոսաշրջիկների թվաքանակը հատել է 2019 թվականի նախահամավարակային ժամանակաշրջանի մակարդակը, սակայն այն տեղի է ունեցել միայն ՌԴ-ից զբոսաշրջի</w:t>
      </w:r>
      <w:r w:rsidR="00C451C7" w:rsidRPr="00C921DE">
        <w:rPr>
          <w:rFonts w:ascii="GHEA Grapalat" w:hAnsi="GHEA Grapalat"/>
          <w:sz w:val="22"/>
          <w:szCs w:val="22"/>
          <w:lang w:val="en-US"/>
        </w:rPr>
        <w:t>կ</w:t>
      </w:r>
      <w:r w:rsidRPr="00C921DE">
        <w:rPr>
          <w:rFonts w:ascii="GHEA Grapalat" w:hAnsi="GHEA Grapalat"/>
          <w:sz w:val="22"/>
          <w:szCs w:val="22"/>
        </w:rPr>
        <w:t>ների աճի հաշվին (տե՛ս Գծապատկեր 13): 2023 թվականի ընթացքում ՀՀ այցելած ՌԴ զբոսաշրջիկների թվաքանակը կազմել է շուրջ 1140 հազար՝ աճելով 44.2%</w:t>
      </w:r>
      <w:r w:rsidR="00903F88" w:rsidRPr="00C921DE">
        <w:rPr>
          <w:rFonts w:ascii="GHEA Grapalat" w:hAnsi="GHEA Grapalat"/>
          <w:sz w:val="22"/>
          <w:szCs w:val="22"/>
          <w:lang w:val="en-US"/>
        </w:rPr>
        <w:t>-ով</w:t>
      </w:r>
      <w:r w:rsidRPr="00C921DE">
        <w:rPr>
          <w:rFonts w:ascii="GHEA Grapalat" w:hAnsi="GHEA Grapalat"/>
          <w:sz w:val="22"/>
          <w:szCs w:val="22"/>
        </w:rPr>
        <w:t xml:space="preserve"> (շուրջ 349 հազար մարդով): Ծառայությունների արտահանման աճին 8.4</w:t>
      </w:r>
      <w:r w:rsidR="00903F88" w:rsidRPr="00C921DE">
        <w:rPr>
          <w:rFonts w:ascii="GHEA Grapalat" w:hAnsi="GHEA Grapalat"/>
          <w:sz w:val="22"/>
          <w:szCs w:val="22"/>
          <w:lang w:val="en-US"/>
        </w:rPr>
        <w:t xml:space="preserve"> տոկոս</w:t>
      </w:r>
      <w:r w:rsidRPr="00C921DE">
        <w:rPr>
          <w:rFonts w:ascii="GHEA Grapalat" w:hAnsi="GHEA Grapalat"/>
          <w:sz w:val="22"/>
          <w:szCs w:val="22"/>
        </w:rPr>
        <w:t>ային կետով դրական նպաստում է ունեցել նաև հեռահաղորդակցության, համակարգչային և տեղեկատվական ծառայությունների արտահանումը:</w:t>
      </w:r>
    </w:p>
    <w:p w14:paraId="59317612" w14:textId="77777777" w:rsidR="00CA0DE2" w:rsidRPr="00C921DE" w:rsidRDefault="00CA0DE2" w:rsidP="00E76051">
      <w:pPr>
        <w:spacing w:line="360" w:lineRule="auto"/>
        <w:ind w:firstLine="567"/>
        <w:jc w:val="both"/>
        <w:rPr>
          <w:rFonts w:ascii="GHEA Grapalat" w:hAnsi="GHEA Grapalat"/>
          <w:sz w:val="22"/>
          <w:szCs w:val="22"/>
        </w:rPr>
      </w:pPr>
    </w:p>
    <w:p w14:paraId="7B15C064" w14:textId="6F2A21E3" w:rsidR="00E76051" w:rsidRPr="00C921DE" w:rsidRDefault="00E76051" w:rsidP="004C12B8">
      <w:pPr>
        <w:pStyle w:val="a"/>
      </w:pPr>
      <w:r w:rsidRPr="00C921DE">
        <w:t>ՀՀ այցելած զբոսաշրջիկների դինամիկան 2019-2023թթ., հազար մար</w:t>
      </w:r>
      <w:r w:rsidR="00903F88" w:rsidRPr="00C921DE">
        <w:t>դ</w:t>
      </w:r>
    </w:p>
    <w:p w14:paraId="0C82C141" w14:textId="77777777" w:rsidR="00E76051" w:rsidRPr="00C921DE" w:rsidRDefault="00E76051" w:rsidP="00E76051">
      <w:pPr>
        <w:spacing w:line="276" w:lineRule="auto"/>
        <w:jc w:val="both"/>
        <w:rPr>
          <w:rFonts w:ascii="GHEA Grapalat" w:eastAsia="GHEA Grapalat" w:hAnsi="GHEA Grapalat" w:cs="GHEA Grapalat"/>
          <w:i/>
          <w:sz w:val="22"/>
          <w:szCs w:val="22"/>
        </w:rPr>
      </w:pPr>
      <w:r w:rsidRPr="00C921DE">
        <w:rPr>
          <w:rFonts w:ascii="GHEA Grapalat" w:eastAsia="GHEA Grapalat" w:hAnsi="GHEA Grapalat" w:cs="GHEA Grapalat"/>
          <w:i/>
          <w:sz w:val="22"/>
          <w:szCs w:val="22"/>
          <w:lang w:val="en-US"/>
        </w:rPr>
        <w:drawing>
          <wp:inline distT="0" distB="0" distL="0" distR="0" wp14:anchorId="5165B2FD" wp14:editId="3DF4A886">
            <wp:extent cx="6381750" cy="1979875"/>
            <wp:effectExtent l="0" t="0" r="0" b="1905"/>
            <wp:docPr id="44"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F3C9715" w14:textId="77777777" w:rsidR="00E76051" w:rsidRPr="00C921DE" w:rsidRDefault="00E76051" w:rsidP="00E76051">
      <w:pPr>
        <w:spacing w:after="120" w:line="276" w:lineRule="auto"/>
        <w:jc w:val="both"/>
        <w:rPr>
          <w:rFonts w:ascii="GHEA Grapalat" w:eastAsia="GHEA Grapalat" w:hAnsi="GHEA Grapalat" w:cs="GHEA Grapalat"/>
          <w:i/>
          <w:sz w:val="20"/>
          <w:szCs w:val="20"/>
        </w:rPr>
      </w:pPr>
      <w:r w:rsidRPr="00C921DE">
        <w:rPr>
          <w:rFonts w:ascii="GHEA Grapalat" w:eastAsia="GHEA Grapalat" w:hAnsi="GHEA Grapalat" w:cs="GHEA Grapalat"/>
          <w:i/>
          <w:sz w:val="20"/>
          <w:szCs w:val="20"/>
        </w:rPr>
        <w:t>Աղբյուրը՝ ՀՀ ՎԿ</w:t>
      </w:r>
    </w:p>
    <w:p w14:paraId="7F368C60" w14:textId="77777777" w:rsidR="00903F88" w:rsidRPr="00C921DE" w:rsidRDefault="00903F88" w:rsidP="00CE440B">
      <w:pPr>
        <w:ind w:firstLine="567"/>
        <w:jc w:val="both"/>
        <w:rPr>
          <w:rFonts w:ascii="GHEA Grapalat" w:hAnsi="GHEA Grapalat"/>
          <w:sz w:val="22"/>
          <w:szCs w:val="22"/>
        </w:rPr>
      </w:pPr>
    </w:p>
    <w:p w14:paraId="227CCA83" w14:textId="2EA15B41"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eastAsia="GHEA Grapalat" w:hAnsi="GHEA Grapalat" w:cs="GHEA Grapalat"/>
          <w:b/>
          <w:i/>
          <w:sz w:val="22"/>
          <w:szCs w:val="22"/>
        </w:rPr>
        <w:t>Դրամական փոխանցումներ:</w:t>
      </w:r>
      <w:r w:rsidRPr="00C921DE">
        <w:rPr>
          <w:rFonts w:ascii="GHEA Grapalat" w:eastAsia="GHEA Grapalat" w:hAnsi="GHEA Grapalat" w:cs="GHEA Grapalat"/>
          <w:sz w:val="22"/>
          <w:szCs w:val="22"/>
        </w:rPr>
        <w:t xml:space="preserve"> </w:t>
      </w:r>
      <w:r w:rsidRPr="00C921DE">
        <w:rPr>
          <w:rFonts w:ascii="GHEA Grapalat" w:hAnsi="GHEA Grapalat"/>
          <w:sz w:val="22"/>
          <w:szCs w:val="22"/>
        </w:rPr>
        <w:t>2023 թվականի ապրիլ ամսից սկսած դեպի ՀՀ անձնական դրամական փոխանցումները սկսել են նվազել՝ պայմանավորված ինչպես նախորդ տարվա բարձր աճի բազայով, այնպես էլ ռուսական ռուբլու արժեզրկմամբ։ 2023 թվականին զուտ դրամական փոխանցումները կազմել են շուրջ 880.2 մլն դոլար՝ նախորդ տարվա նկատմամբ նվազելով 44.3%-ով:</w:t>
      </w:r>
    </w:p>
    <w:p w14:paraId="50007502" w14:textId="77777777" w:rsidR="001C411D" w:rsidRPr="00C921DE" w:rsidRDefault="001C411D" w:rsidP="00C0433B">
      <w:pPr>
        <w:spacing w:line="360" w:lineRule="auto"/>
        <w:ind w:firstLine="567"/>
        <w:jc w:val="both"/>
        <w:rPr>
          <w:rFonts w:ascii="GHEA Grapalat" w:hAnsi="GHEA Grapalat"/>
          <w:sz w:val="22"/>
          <w:szCs w:val="22"/>
        </w:rPr>
      </w:pPr>
    </w:p>
    <w:p w14:paraId="3029B9D1" w14:textId="77777777" w:rsidR="001C411D" w:rsidRPr="00C921DE" w:rsidRDefault="001C411D" w:rsidP="00F77A76">
      <w:pPr>
        <w:pStyle w:val="Heading6"/>
        <w:ind w:left="567"/>
        <w:rPr>
          <w:rFonts w:ascii="GHEA Grapalat" w:hAnsi="GHEA Grapalat"/>
          <w:b/>
          <w:sz w:val="22"/>
          <w:szCs w:val="22"/>
          <w:u w:val="none"/>
        </w:rPr>
      </w:pPr>
      <w:bookmarkStart w:id="84" w:name="_Toc6389323"/>
      <w:bookmarkStart w:id="85" w:name="_Toc37763590"/>
      <w:r w:rsidRPr="00C921DE">
        <w:rPr>
          <w:rFonts w:ascii="GHEA Grapalat" w:hAnsi="GHEA Grapalat"/>
          <w:b/>
          <w:sz w:val="22"/>
          <w:szCs w:val="22"/>
          <w:u w:val="none"/>
        </w:rPr>
        <w:t>Արժութային շուկա և փոխարժեքներ</w:t>
      </w:r>
    </w:p>
    <w:p w14:paraId="79D87C5F" w14:textId="2C8C23E4" w:rsidR="00E76051" w:rsidRPr="00C921DE" w:rsidRDefault="001C411D" w:rsidP="00903F88">
      <w:pPr>
        <w:spacing w:line="360" w:lineRule="auto"/>
        <w:ind w:firstLine="567"/>
        <w:jc w:val="both"/>
        <w:rPr>
          <w:rFonts w:ascii="GHEA Grapalat" w:hAnsi="GHEA Grapalat"/>
          <w:sz w:val="22"/>
          <w:szCs w:val="22"/>
        </w:rPr>
      </w:pPr>
      <w:r w:rsidRPr="00C921DE">
        <w:rPr>
          <w:rFonts w:ascii="GHEA Grapalat" w:hAnsi="GHEA Grapalat" w:cs="GHEA Grapalat"/>
          <w:b/>
          <w:i/>
          <w:sz w:val="22"/>
          <w:szCs w:val="22"/>
        </w:rPr>
        <w:t xml:space="preserve">Ֆիզիկական անձանց փոխանցումներ։ </w:t>
      </w:r>
      <w:r w:rsidR="00E76051" w:rsidRPr="00C921DE">
        <w:rPr>
          <w:rFonts w:ascii="GHEA Grapalat" w:hAnsi="GHEA Grapalat"/>
          <w:sz w:val="22"/>
          <w:szCs w:val="22"/>
        </w:rPr>
        <w:t>Դեպի ՀՀ ֆիզիկական անձանց զուտ փոխանցումները 2023 թվականին շարունակել են մնալ բարձր մակարդակում, սակայն 2022 թվականի համեմատ զգալի</w:t>
      </w:r>
      <w:r w:rsidR="00496B87" w:rsidRPr="00C921DE">
        <w:rPr>
          <w:rFonts w:ascii="GHEA Grapalat" w:hAnsi="GHEA Grapalat"/>
          <w:sz w:val="22"/>
          <w:szCs w:val="22"/>
          <w:lang w:val="en-US"/>
        </w:rPr>
        <w:t>որեն</w:t>
      </w:r>
      <w:r w:rsidR="00E76051" w:rsidRPr="00C921DE">
        <w:rPr>
          <w:rFonts w:ascii="GHEA Grapalat" w:hAnsi="GHEA Grapalat"/>
          <w:sz w:val="22"/>
          <w:szCs w:val="22"/>
        </w:rPr>
        <w:t xml:space="preserve"> նվազել են։ ՀՀ բանկերի միջոցով ֆիզիկական անձանց անունով արտերկրներից մուտք եղած և ՀՀ-ից արտերկիր կատարված առևտրային և ոչ առևտրային նպատակով զուտ փոխանցումները 2023 թվականին կազմել են 1.7 մլրդ դոլար՝ 2022 թվականի 2.6 մլրդ դոլարի համեմատ նվազելով 36%-ով: Ընդ որում</w:t>
      </w:r>
      <w:r w:rsidR="00496B87" w:rsidRPr="00C921DE">
        <w:rPr>
          <w:rFonts w:ascii="GHEA Grapalat" w:hAnsi="GHEA Grapalat"/>
          <w:sz w:val="22"/>
          <w:szCs w:val="22"/>
          <w:lang w:val="en-US"/>
        </w:rPr>
        <w:t>,</w:t>
      </w:r>
      <w:r w:rsidR="00E76051" w:rsidRPr="00C921DE">
        <w:rPr>
          <w:rFonts w:ascii="GHEA Grapalat" w:hAnsi="GHEA Grapalat"/>
          <w:sz w:val="22"/>
          <w:szCs w:val="22"/>
        </w:rPr>
        <w:t xml:space="preserve"> ՌԴ-ից զուտ փոխանցումները 2023 թվականին կազմել են 3.3 մլրդ դոլար՝ նախորդ տարվա համեմատ աճելով շուրջ 5.1%-ով։ 2022 թվականի երկրորդ եռամսյակից սկիզբ առած այլ երկրներ արտահոսքի ցուցանիշը գերազանցել է ներհոսքինը՝ հանգեցնելով բացասական զուտ ներհոսքի: Արդյունքում, 2023 թվականի տարեսկզբին ավելացած արտարժույթի ծավալները նվազել են</w:t>
      </w:r>
      <w:r w:rsidR="00496B87" w:rsidRPr="00C921DE">
        <w:rPr>
          <w:rFonts w:ascii="GHEA Grapalat" w:hAnsi="GHEA Grapalat"/>
          <w:sz w:val="22"/>
          <w:szCs w:val="22"/>
          <w:lang w:val="en-US"/>
        </w:rPr>
        <w:t>՝</w:t>
      </w:r>
      <w:r w:rsidR="00E76051" w:rsidRPr="00C921DE">
        <w:rPr>
          <w:rFonts w:ascii="GHEA Grapalat" w:hAnsi="GHEA Grapalat"/>
          <w:sz w:val="22"/>
          <w:szCs w:val="22"/>
        </w:rPr>
        <w:t xml:space="preserve"> սակայն մնալով բարձր մակարդակի վրա:</w:t>
      </w:r>
    </w:p>
    <w:p w14:paraId="1749AF3B" w14:textId="77777777" w:rsidR="00B17C51" w:rsidRPr="00C921DE" w:rsidRDefault="00B17C51" w:rsidP="00B17C51">
      <w:pPr>
        <w:ind w:firstLine="567"/>
        <w:jc w:val="both"/>
        <w:rPr>
          <w:rFonts w:ascii="GHEA Grapalat" w:hAnsi="GHEA Grapalat"/>
          <w:sz w:val="12"/>
          <w:szCs w:val="12"/>
        </w:rPr>
      </w:pPr>
    </w:p>
    <w:p w14:paraId="012841E6" w14:textId="0E9BCCCC" w:rsidR="00E76051" w:rsidRPr="00C921DE" w:rsidRDefault="00E76051" w:rsidP="004C12B8">
      <w:pPr>
        <w:pStyle w:val="a"/>
      </w:pPr>
      <w:r w:rsidRPr="00C921DE">
        <w:t xml:space="preserve">ՀՀ բանկերի միջոցով ֆիզիկական անձանց անունով արտերկրներից մուտք եղած և ՀՀ-ից ֆիզիկական անձանց կողմից արտերկիր կատարված զուտ փոխանցումներ, մլն ԱՄՆ դոլար </w:t>
      </w:r>
    </w:p>
    <w:p w14:paraId="0074D1ED" w14:textId="77777777" w:rsidR="00E76051" w:rsidRPr="00C921DE" w:rsidRDefault="00E76051" w:rsidP="00E76051">
      <w:pPr>
        <w:spacing w:after="60"/>
        <w:rPr>
          <w:rFonts w:ascii="GHEA Grapalat" w:eastAsia="GHEA Grapalat" w:hAnsi="GHEA Grapalat"/>
          <w:b/>
        </w:rPr>
      </w:pPr>
      <w:r w:rsidRPr="00C921DE">
        <w:rPr>
          <w:rFonts w:ascii="GHEA Grapalat" w:eastAsia="GHEA Grapalat" w:hAnsi="GHEA Grapalat"/>
          <w:b/>
          <w:lang w:val="en-US"/>
        </w:rPr>
        <w:drawing>
          <wp:inline distT="0" distB="0" distL="0" distR="0" wp14:anchorId="65AB7D57" wp14:editId="233AD3B2">
            <wp:extent cx="6638925" cy="2417196"/>
            <wp:effectExtent l="0" t="0" r="9525" b="2540"/>
            <wp:docPr id="45" name="Object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CA61B83" w14:textId="77777777" w:rsidR="00E76051" w:rsidRPr="00C921DE" w:rsidRDefault="00E76051" w:rsidP="00E76051">
      <w:pPr>
        <w:spacing w:after="120"/>
        <w:rPr>
          <w:rFonts w:ascii="GHEA Grapalat" w:eastAsia="GHEA Grapalat" w:hAnsi="GHEA Grapalat" w:cs="GHEA Grapalat"/>
          <w:b/>
          <w:i/>
          <w:sz w:val="22"/>
          <w:szCs w:val="22"/>
        </w:rPr>
      </w:pPr>
      <w:r w:rsidRPr="00C921DE">
        <w:rPr>
          <w:rFonts w:ascii="GHEA Grapalat" w:hAnsi="GHEA Grapalat" w:cs="Sylfaen"/>
          <w:i/>
          <w:sz w:val="18"/>
          <w:szCs w:val="18"/>
        </w:rPr>
        <w:t>Աղբյուրը՝ ՀՀ ԿԲ, ՀՀ ՖՆ հաշվարկներ</w:t>
      </w:r>
    </w:p>
    <w:p w14:paraId="76618ECC" w14:textId="77777777" w:rsidR="00214AE5" w:rsidRPr="00C921DE" w:rsidRDefault="00214AE5" w:rsidP="00CE440B">
      <w:pPr>
        <w:ind w:firstLine="567"/>
        <w:jc w:val="both"/>
        <w:rPr>
          <w:rFonts w:ascii="GHEA Grapalat" w:hAnsi="GHEA Grapalat"/>
          <w:sz w:val="22"/>
          <w:szCs w:val="22"/>
        </w:rPr>
      </w:pPr>
    </w:p>
    <w:p w14:paraId="2B7A2839" w14:textId="2B8D7DAE"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eastAsia="GHEA Grapalat" w:hAnsi="GHEA Grapalat" w:cs="GHEA Grapalat"/>
          <w:b/>
          <w:i/>
          <w:sz w:val="22"/>
          <w:szCs w:val="22"/>
        </w:rPr>
        <w:t xml:space="preserve">Արժութային շուկա։ </w:t>
      </w:r>
      <w:r w:rsidRPr="00C921DE">
        <w:rPr>
          <w:rFonts w:ascii="GHEA Grapalat" w:hAnsi="GHEA Grapalat"/>
          <w:sz w:val="22"/>
          <w:szCs w:val="22"/>
        </w:rPr>
        <w:t>ՀՀ արժութային շուկայի շրջանառության ծավալները 2022</w:t>
      </w:r>
      <w:r w:rsidR="00214AE5" w:rsidRPr="00C921DE">
        <w:rPr>
          <w:rFonts w:ascii="GHEA Grapalat" w:hAnsi="GHEA Grapalat"/>
          <w:sz w:val="22"/>
          <w:szCs w:val="22"/>
          <w:lang w:val="en-US"/>
        </w:rPr>
        <w:t xml:space="preserve"> </w:t>
      </w:r>
      <w:r w:rsidRPr="00C921DE">
        <w:rPr>
          <w:rFonts w:ascii="GHEA Grapalat" w:hAnsi="GHEA Grapalat"/>
          <w:sz w:val="22"/>
          <w:szCs w:val="22"/>
        </w:rPr>
        <w:t>թ</w:t>
      </w:r>
      <w:r w:rsidR="00214AE5" w:rsidRPr="00C921DE">
        <w:rPr>
          <w:rFonts w:ascii="GHEA Grapalat" w:hAnsi="GHEA Grapalat"/>
          <w:sz w:val="22"/>
          <w:szCs w:val="22"/>
          <w:lang w:val="en-US"/>
        </w:rPr>
        <w:t>վական</w:t>
      </w:r>
      <w:r w:rsidRPr="00C921DE">
        <w:rPr>
          <w:rFonts w:ascii="GHEA Grapalat" w:hAnsi="GHEA Grapalat"/>
          <w:sz w:val="22"/>
          <w:szCs w:val="22"/>
        </w:rPr>
        <w:t xml:space="preserve">ի աննախադեպ բարձր ծավալների համեմատ 2023 թվականին կրճատվել են: Եթե հաշվետու տարվա </w:t>
      </w:r>
      <w:r w:rsidRPr="00C921DE">
        <w:rPr>
          <w:rFonts w:ascii="GHEA Grapalat" w:hAnsi="GHEA Grapalat"/>
          <w:sz w:val="22"/>
          <w:szCs w:val="22"/>
        </w:rPr>
        <w:lastRenderedPageBreak/>
        <w:t>հունվար ամսին արտարժույթի ներբանկային առքի և վաճառքի ծավալներն իրար ավելի մոտ են եղել, ապա, սկսած փետրվարից, առքը գերազանցել է վաճառքը՝ հիմնականում պայմանավորված ռուբլու ձեռքբերումներով, իսկ ապրիլից օգոստոս ամիսներին դոլարի զուտ առքը եղել է բավականին փոքր։ Սեպտեմբեր-նոյեմբեր ամիսներին վաճառքի ծավալները գերազանցել են առքի ծավալներ</w:t>
      </w:r>
      <w:r w:rsidR="00214AE5" w:rsidRPr="00C921DE">
        <w:rPr>
          <w:rFonts w:ascii="GHEA Grapalat" w:hAnsi="GHEA Grapalat"/>
          <w:sz w:val="22"/>
          <w:szCs w:val="22"/>
          <w:lang w:val="en-US"/>
        </w:rPr>
        <w:t>ը</w:t>
      </w:r>
      <w:r w:rsidRPr="00C921DE">
        <w:rPr>
          <w:rFonts w:ascii="GHEA Grapalat" w:hAnsi="GHEA Grapalat"/>
          <w:sz w:val="22"/>
          <w:szCs w:val="22"/>
        </w:rPr>
        <w:t>՝ պայմանավորված դոլարի վաճառքով։ Դեկտեմբերին իրավիճակը փոխվել է. առքի ծավալները գերազանցել են վաճառքինը՝ պայմանավորված հիմնականում դոլարի և ռուբլու ձեռքբերումներով: Մինչդեռ ՀՀ ԿԲ-ն արժութային շուկայում իրականացրել է միջամտություններ շուրջ 1147 մլն ԱՄՆ դոլարի չափով (զուտ առք) ՝ ավելորդ տատանողականությունը չեզոքացնելու նպատակով։</w:t>
      </w:r>
    </w:p>
    <w:p w14:paraId="6E1B3EF8" w14:textId="77777777" w:rsidR="00DB19B6" w:rsidRPr="00C921DE" w:rsidRDefault="00DB19B6" w:rsidP="00DB19B6">
      <w:pPr>
        <w:ind w:firstLine="567"/>
        <w:jc w:val="both"/>
        <w:rPr>
          <w:rFonts w:ascii="GHEA Grapalat" w:hAnsi="GHEA Grapalat"/>
          <w:sz w:val="22"/>
          <w:szCs w:val="22"/>
        </w:rPr>
      </w:pPr>
    </w:p>
    <w:tbl>
      <w:tblPr>
        <w:tblW w:w="5082" w:type="pct"/>
        <w:tblLook w:val="04A0" w:firstRow="1" w:lastRow="0" w:firstColumn="1" w:lastColumn="0" w:noHBand="0" w:noVBand="1"/>
      </w:tblPr>
      <w:tblGrid>
        <w:gridCol w:w="5231"/>
        <w:gridCol w:w="5144"/>
      </w:tblGrid>
      <w:tr w:rsidR="00E76051" w:rsidRPr="00C921DE" w14:paraId="5A5A9EC0" w14:textId="77777777" w:rsidTr="000F4C56">
        <w:trPr>
          <w:trHeight w:val="701"/>
        </w:trPr>
        <w:tc>
          <w:tcPr>
            <w:tcW w:w="2521" w:type="pct"/>
            <w:shd w:val="clear" w:color="auto" w:fill="auto"/>
          </w:tcPr>
          <w:p w14:paraId="0865E3AC" w14:textId="07EC9218" w:rsidR="00E76051" w:rsidRPr="00C921DE" w:rsidRDefault="00E76051" w:rsidP="004C12B8">
            <w:pPr>
              <w:pStyle w:val="a"/>
              <w:rPr>
                <w:rFonts w:eastAsia="GHEA Grapalat" w:cs="GHEA Grapalat"/>
                <w:b/>
              </w:rPr>
            </w:pPr>
            <w:r w:rsidRPr="00C921DE">
              <w:t>ՀՀ արժութային (ներբան</w:t>
            </w:r>
            <w:r w:rsidR="00A25B74" w:rsidRPr="00C921DE">
              <w:t>-</w:t>
            </w:r>
            <w:r w:rsidRPr="00C921DE">
              <w:t>կային) շուկայի շրջանառության տվյալներն ըստ դրամային համարժեքների, զուտ</w:t>
            </w:r>
            <w:r w:rsidR="00A25B74" w:rsidRPr="00C921DE">
              <w:t>,</w:t>
            </w:r>
            <w:r w:rsidRPr="00C921DE">
              <w:t xml:space="preserve"> մլրդ դրամ</w:t>
            </w:r>
          </w:p>
        </w:tc>
        <w:tc>
          <w:tcPr>
            <w:tcW w:w="2479" w:type="pct"/>
            <w:shd w:val="clear" w:color="auto" w:fill="auto"/>
          </w:tcPr>
          <w:p w14:paraId="47DBE7DB" w14:textId="28E0019A" w:rsidR="00E76051" w:rsidRPr="00C921DE" w:rsidRDefault="00E76051" w:rsidP="004C12B8">
            <w:pPr>
              <w:pStyle w:val="a"/>
            </w:pPr>
            <w:r w:rsidRPr="00C921DE">
              <w:t>Փոխարժեք և ԿԲ արձագանք</w:t>
            </w:r>
          </w:p>
        </w:tc>
      </w:tr>
      <w:tr w:rsidR="00E76051" w:rsidRPr="00C921DE" w14:paraId="0463FF26" w14:textId="77777777" w:rsidTr="000F4C56">
        <w:trPr>
          <w:trHeight w:val="3912"/>
        </w:trPr>
        <w:tc>
          <w:tcPr>
            <w:tcW w:w="2521" w:type="pct"/>
            <w:shd w:val="clear" w:color="auto" w:fill="auto"/>
          </w:tcPr>
          <w:p w14:paraId="61891A58" w14:textId="77777777" w:rsidR="00E76051" w:rsidRPr="00C921DE" w:rsidRDefault="00E76051" w:rsidP="000F4C56">
            <w:pPr>
              <w:spacing w:line="360" w:lineRule="auto"/>
              <w:jc w:val="both"/>
              <w:rPr>
                <w:rFonts w:ascii="GHEA Grapalat" w:eastAsia="GHEA Grapalat" w:hAnsi="GHEA Grapalat" w:cs="GHEA Grapalat"/>
                <w:sz w:val="22"/>
                <w:szCs w:val="22"/>
              </w:rPr>
            </w:pPr>
            <w:r w:rsidRPr="00C921DE">
              <w:rPr>
                <w:lang w:val="en-US"/>
              </w:rPr>
              <w:drawing>
                <wp:anchor distT="0" distB="0" distL="114300" distR="114300" simplePos="0" relativeHeight="251661312" behindDoc="0" locked="0" layoutInCell="1" allowOverlap="1" wp14:anchorId="7E421647" wp14:editId="379D0195">
                  <wp:simplePos x="0" y="0"/>
                  <wp:positionH relativeFrom="column">
                    <wp:posOffset>-9442</wp:posOffset>
                  </wp:positionH>
                  <wp:positionV relativeFrom="paragraph">
                    <wp:posOffset>-331</wp:posOffset>
                  </wp:positionV>
                  <wp:extent cx="3274060" cy="2369488"/>
                  <wp:effectExtent l="0" t="0" r="2540" b="12065"/>
                  <wp:wrapNone/>
                  <wp:docPr id="74" name="Chart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p>
        </w:tc>
        <w:tc>
          <w:tcPr>
            <w:tcW w:w="2479" w:type="pct"/>
            <w:shd w:val="clear" w:color="auto" w:fill="auto"/>
          </w:tcPr>
          <w:p w14:paraId="63C47FB4" w14:textId="77777777" w:rsidR="00E76051" w:rsidRPr="00C921DE" w:rsidRDefault="00E76051" w:rsidP="000F4C56">
            <w:pPr>
              <w:spacing w:line="360" w:lineRule="auto"/>
              <w:jc w:val="both"/>
              <w:rPr>
                <w:rFonts w:ascii="GHEA Grapalat" w:eastAsia="GHEA Grapalat" w:hAnsi="GHEA Grapalat" w:cs="GHEA Grapalat"/>
                <w:color w:val="31849B" w:themeColor="accent5" w:themeShade="BF"/>
                <w:sz w:val="22"/>
                <w:szCs w:val="22"/>
              </w:rPr>
            </w:pPr>
            <w:r w:rsidRPr="00C921DE">
              <w:rPr>
                <w:color w:val="31849B" w:themeColor="accent5" w:themeShade="BF"/>
                <w:lang w:val="en-US"/>
              </w:rPr>
              <w:drawing>
                <wp:anchor distT="0" distB="0" distL="114300" distR="114300" simplePos="0" relativeHeight="251662336" behindDoc="0" locked="0" layoutInCell="1" allowOverlap="1" wp14:anchorId="4D27ADD8" wp14:editId="0169E4AB">
                  <wp:simplePos x="0" y="0"/>
                  <wp:positionH relativeFrom="column">
                    <wp:posOffset>-15433</wp:posOffset>
                  </wp:positionH>
                  <wp:positionV relativeFrom="paragraph">
                    <wp:posOffset>-8283</wp:posOffset>
                  </wp:positionV>
                  <wp:extent cx="3249930" cy="2377137"/>
                  <wp:effectExtent l="0" t="0" r="7620" b="4445"/>
                  <wp:wrapNone/>
                  <wp:docPr id="73" name="Char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page">
                    <wp14:pctHeight>0</wp14:pctHeight>
                  </wp14:sizeRelV>
                </wp:anchor>
              </w:drawing>
            </w:r>
          </w:p>
        </w:tc>
      </w:tr>
      <w:tr w:rsidR="00E76051" w:rsidRPr="00C921DE" w14:paraId="43996AE2" w14:textId="77777777" w:rsidTr="000F4C56">
        <w:trPr>
          <w:trHeight w:val="306"/>
        </w:trPr>
        <w:tc>
          <w:tcPr>
            <w:tcW w:w="2521" w:type="pct"/>
            <w:shd w:val="clear" w:color="auto" w:fill="auto"/>
          </w:tcPr>
          <w:p w14:paraId="0B4017B8" w14:textId="77777777" w:rsidR="00E76051" w:rsidRPr="00C921DE" w:rsidRDefault="00E76051" w:rsidP="000F4C56">
            <w:pPr>
              <w:spacing w:line="360" w:lineRule="auto"/>
              <w:jc w:val="both"/>
              <w:rPr>
                <w:rFonts w:ascii="GHEA Grapalat" w:eastAsia="GHEA Grapalat" w:hAnsi="GHEA Grapalat" w:cs="GHEA Grapalat"/>
                <w:b/>
                <w:i/>
                <w:iCs/>
                <w:sz w:val="22"/>
                <w:szCs w:val="22"/>
              </w:rPr>
            </w:pPr>
            <w:r w:rsidRPr="00C921DE">
              <w:rPr>
                <w:rFonts w:ascii="GHEA Grapalat" w:hAnsi="GHEA Grapalat" w:cs="Sylfaen"/>
                <w:i/>
                <w:sz w:val="18"/>
                <w:szCs w:val="18"/>
              </w:rPr>
              <w:t>Աղբյուրը՝ ՀՀ ԿԲ, ՀՀ ՖՆ հաշվարկներ</w:t>
            </w:r>
          </w:p>
        </w:tc>
        <w:tc>
          <w:tcPr>
            <w:tcW w:w="2479" w:type="pct"/>
            <w:shd w:val="clear" w:color="auto" w:fill="auto"/>
          </w:tcPr>
          <w:p w14:paraId="34DAA930" w14:textId="77777777" w:rsidR="00E76051" w:rsidRPr="00C921DE" w:rsidRDefault="00E76051" w:rsidP="000F4C56">
            <w:pPr>
              <w:spacing w:line="360" w:lineRule="auto"/>
              <w:jc w:val="both"/>
              <w:rPr>
                <w:rFonts w:ascii="GHEA Grapalat" w:eastAsia="GHEA Grapalat" w:hAnsi="GHEA Grapalat" w:cs="GHEA Grapalat"/>
                <w:b/>
                <w:i/>
                <w:iCs/>
                <w:sz w:val="22"/>
                <w:szCs w:val="22"/>
              </w:rPr>
            </w:pPr>
            <w:r w:rsidRPr="00C921DE">
              <w:rPr>
                <w:rFonts w:ascii="GHEA Grapalat" w:hAnsi="GHEA Grapalat" w:cs="Sylfaen"/>
                <w:i/>
                <w:sz w:val="18"/>
                <w:szCs w:val="18"/>
              </w:rPr>
              <w:t>Աղբյուրը՝ ՀՀ ԿԲ, ՀՀ ՖՆ հաշվարկներ</w:t>
            </w:r>
          </w:p>
        </w:tc>
      </w:tr>
    </w:tbl>
    <w:p w14:paraId="6FA62EC6" w14:textId="77777777" w:rsidR="00E76051" w:rsidRPr="00C921DE" w:rsidRDefault="00E76051" w:rsidP="00CE440B">
      <w:pPr>
        <w:jc w:val="both"/>
        <w:rPr>
          <w:rFonts w:ascii="GHEA Grapalat" w:eastAsia="GHEA Grapalat" w:hAnsi="GHEA Grapalat" w:cs="GHEA Grapalat"/>
          <w:sz w:val="22"/>
          <w:szCs w:val="22"/>
        </w:rPr>
      </w:pPr>
    </w:p>
    <w:p w14:paraId="555D577E" w14:textId="77777777" w:rsidR="00E76051" w:rsidRPr="00C921DE" w:rsidRDefault="00E76051" w:rsidP="00903F88">
      <w:pPr>
        <w:spacing w:line="360" w:lineRule="auto"/>
        <w:ind w:firstLine="567"/>
        <w:jc w:val="both"/>
        <w:rPr>
          <w:rFonts w:ascii="GHEA Grapalat" w:hAnsi="GHEA Grapalat"/>
          <w:sz w:val="22"/>
          <w:szCs w:val="22"/>
        </w:rPr>
      </w:pPr>
      <w:r w:rsidRPr="00C921DE">
        <w:rPr>
          <w:rFonts w:ascii="GHEA Grapalat" w:eastAsia="GHEA Grapalat" w:hAnsi="GHEA Grapalat" w:cs="GHEA Grapalat"/>
          <w:b/>
          <w:i/>
          <w:iCs/>
          <w:sz w:val="22"/>
          <w:szCs w:val="22"/>
        </w:rPr>
        <w:t>Երկկողմանի փոխարժեքներ։</w:t>
      </w:r>
      <w:r w:rsidRPr="00C921DE">
        <w:rPr>
          <w:rFonts w:ascii="GHEA Grapalat" w:eastAsia="GHEA Grapalat" w:hAnsi="GHEA Grapalat" w:cs="GHEA Grapalat"/>
          <w:b/>
          <w:sz w:val="22"/>
          <w:szCs w:val="22"/>
        </w:rPr>
        <w:t xml:space="preserve"> </w:t>
      </w:r>
      <w:r w:rsidRPr="00C921DE">
        <w:rPr>
          <w:rFonts w:ascii="GHEA Grapalat" w:hAnsi="GHEA Grapalat"/>
          <w:sz w:val="22"/>
          <w:szCs w:val="22"/>
        </w:rPr>
        <w:t>Հաշվետու ժամանակահատվածում ՀՀ դրամը ԱՄՆ դոլարի, ռուբլու և եվրոյի նկատմամբ շարունակել է դրսևորել արժևորման վարքագիծ` պայմանավորված արտարժույթի նշանակալի ներհոսքով:</w:t>
      </w:r>
    </w:p>
    <w:p w14:paraId="78F25676" w14:textId="79191CD6" w:rsidR="00E76051" w:rsidRPr="00C921DE" w:rsidRDefault="006E515F" w:rsidP="00E76051">
      <w:pPr>
        <w:spacing w:line="360" w:lineRule="auto"/>
        <w:ind w:firstLine="567"/>
        <w:jc w:val="both"/>
        <w:rPr>
          <w:rFonts w:ascii="GHEA Grapalat" w:hAnsi="GHEA Grapalat"/>
          <w:sz w:val="22"/>
          <w:szCs w:val="22"/>
        </w:rPr>
      </w:pPr>
      <w:r w:rsidRPr="00C921DE">
        <w:rPr>
          <w:rFonts w:ascii="GHEA Grapalat" w:hAnsi="GHEA Grapalat"/>
          <w:sz w:val="22"/>
          <w:szCs w:val="22"/>
        </w:rPr>
        <w:t>ԱՄՆ դոլարի, ե</w:t>
      </w:r>
      <w:r w:rsidR="00E76051" w:rsidRPr="00C921DE">
        <w:rPr>
          <w:rFonts w:ascii="GHEA Grapalat" w:hAnsi="GHEA Grapalat"/>
          <w:sz w:val="22"/>
          <w:szCs w:val="22"/>
        </w:rPr>
        <w:t xml:space="preserve">վրոյի և ՌԴ ռուբլու նկատմամբ ՀՀ դրամը 2023 թվականին արժևորվել է համապատասխանաբար 11%-ով, 8.5%-ով և 39.4%-ով։ </w:t>
      </w:r>
    </w:p>
    <w:p w14:paraId="03EBD6F8" w14:textId="77777777"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հունվարից մինչև սեպտեմբերի երկրորդ տասնօրյակ ՀՀ դրամը դոլարի նկատմամբ դրսևորել է հարաբերական կայուն վարքագիծ: Սակայն սեպտեմբերի վերջին տասնօրյակից սկսած նկատվել է դրամի սրընթաց արժեզրկում՝ պայմանավորված Ադրբեջանի կողմից Լեռնային Ղարաբաղի վրա հարձակման հետևանքով առաջացած իրավիճակով, և արժեզրկման առավելագույն արժեքը գրանցվել է 429.4 դրամ մեկ դոլարի դիմաց հոկտեմբերի 4-ին: </w:t>
      </w:r>
      <w:r w:rsidRPr="00C921DE">
        <w:rPr>
          <w:rFonts w:ascii="GHEA Grapalat" w:hAnsi="GHEA Grapalat"/>
          <w:sz w:val="22"/>
          <w:szCs w:val="22"/>
        </w:rPr>
        <w:lastRenderedPageBreak/>
        <w:t>Հաշվետու տարում ՀՀ դրամի՝ դոլարի նկատմամբ ձևավորված միջին փոխարժեքը կազմել է 392.5 դրամ մեկ դոլարի դիմաց։ Դեկտեմբեր ամսին նախորդ տարվա դեկտեմբերի համեմատ դրամը դոլարի նկատմամբ արժեզրկվել է 5.4%-ով:</w:t>
      </w:r>
    </w:p>
    <w:p w14:paraId="09A2A35E" w14:textId="2737DDB7"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eastAsia="GHEA Grapalat" w:hAnsi="GHEA Grapalat" w:cs="GHEA Grapalat"/>
          <w:sz w:val="22"/>
          <w:szCs w:val="22"/>
        </w:rPr>
        <w:t xml:space="preserve"> </w:t>
      </w:r>
      <w:r w:rsidRPr="00C921DE">
        <w:rPr>
          <w:rFonts w:ascii="GHEA Grapalat" w:hAnsi="GHEA Grapalat"/>
          <w:sz w:val="22"/>
          <w:szCs w:val="22"/>
        </w:rPr>
        <w:t>ՀՀ դրամի միջին փոխարժեքը ՌԴ ռուբլու նկատմամբ 2023 թվականին նախորդ տարվա համեմատությամբ արժևորվել է 39.4%-ով՝ միջազգային շուկայում ռուսական ռուբլու դիրքի թուլացմամբ պայմանավորված, իսկ դեկտեմբեր ամսին նախորդ տարվա դեկտեմբերի համեմատ արժևորվել է 34.6%</w:t>
      </w:r>
      <w:r w:rsidR="00CE6410" w:rsidRPr="00C921DE">
        <w:rPr>
          <w:rFonts w:ascii="GHEA Grapalat" w:hAnsi="GHEA Grapalat"/>
          <w:sz w:val="22"/>
          <w:szCs w:val="22"/>
          <w:lang w:val="en-US"/>
        </w:rPr>
        <w:t>-ով</w:t>
      </w:r>
      <w:r w:rsidRPr="00C921DE">
        <w:rPr>
          <w:rFonts w:ascii="GHEA Grapalat" w:hAnsi="GHEA Grapalat"/>
          <w:sz w:val="22"/>
          <w:szCs w:val="22"/>
        </w:rPr>
        <w:t>:</w:t>
      </w:r>
    </w:p>
    <w:p w14:paraId="25417595" w14:textId="77777777" w:rsidR="003A2ACB" w:rsidRPr="00C921DE" w:rsidRDefault="003A2ACB" w:rsidP="003A2ACB">
      <w:pPr>
        <w:ind w:firstLine="567"/>
        <w:jc w:val="both"/>
        <w:rPr>
          <w:rFonts w:ascii="GHEA Grapalat" w:hAnsi="GHEA Grapalat"/>
          <w:sz w:val="22"/>
          <w:szCs w:val="22"/>
        </w:rPr>
      </w:pPr>
    </w:p>
    <w:tbl>
      <w:tblPr>
        <w:tblW w:w="5123" w:type="pct"/>
        <w:tblLook w:val="04A0" w:firstRow="1" w:lastRow="0" w:firstColumn="1" w:lastColumn="0" w:noHBand="0" w:noVBand="1"/>
      </w:tblPr>
      <w:tblGrid>
        <w:gridCol w:w="5229"/>
        <w:gridCol w:w="5230"/>
      </w:tblGrid>
      <w:tr w:rsidR="00E76051" w:rsidRPr="00C921DE" w14:paraId="783AEA89" w14:textId="77777777" w:rsidTr="000F4C56">
        <w:trPr>
          <w:trHeight w:val="701"/>
        </w:trPr>
        <w:tc>
          <w:tcPr>
            <w:tcW w:w="2500" w:type="pct"/>
            <w:shd w:val="clear" w:color="auto" w:fill="auto"/>
          </w:tcPr>
          <w:p w14:paraId="3F61F443" w14:textId="7738DC2F" w:rsidR="00E76051" w:rsidRPr="00C921DE" w:rsidRDefault="00E76051" w:rsidP="004C12B8">
            <w:pPr>
              <w:pStyle w:val="a"/>
              <w:rPr>
                <w:rFonts w:eastAsia="GHEA Grapalat" w:cs="GHEA Grapalat"/>
                <w:b/>
                <w:szCs w:val="20"/>
              </w:rPr>
            </w:pPr>
            <w:r w:rsidRPr="00C921DE">
              <w:t>ՀՀ դրամի անվանական փոխարժեքի ամսական դինամիկան հիմնական արժույթների նկատմամբ (բարձրացումը՝ դրամի արժեզրկում)</w:t>
            </w:r>
          </w:p>
        </w:tc>
        <w:tc>
          <w:tcPr>
            <w:tcW w:w="2500" w:type="pct"/>
            <w:shd w:val="clear" w:color="auto" w:fill="auto"/>
          </w:tcPr>
          <w:p w14:paraId="2BE48123" w14:textId="3DADFB69" w:rsidR="00E76051" w:rsidRPr="00C921DE" w:rsidRDefault="00E76051" w:rsidP="004C12B8">
            <w:pPr>
              <w:pStyle w:val="a"/>
              <w:rPr>
                <w:rFonts w:eastAsia="GHEA Grapalat" w:cs="GHEA Grapalat"/>
                <w:b/>
                <w:szCs w:val="20"/>
              </w:rPr>
            </w:pPr>
            <w:r w:rsidRPr="00C921DE">
              <w:t>ՀՀ իրական և անվանական արդյունավետ փոխարժեքների դինամիկան, 2019=100 (աճ՝ արժևորում)</w:t>
            </w:r>
          </w:p>
        </w:tc>
      </w:tr>
      <w:tr w:rsidR="00E76051" w:rsidRPr="00C921DE" w14:paraId="6665C970" w14:textId="77777777" w:rsidTr="000F4C56">
        <w:trPr>
          <w:trHeight w:val="3860"/>
        </w:trPr>
        <w:tc>
          <w:tcPr>
            <w:tcW w:w="2500" w:type="pct"/>
            <w:shd w:val="clear" w:color="auto" w:fill="auto"/>
          </w:tcPr>
          <w:p w14:paraId="07448D46" w14:textId="77777777" w:rsidR="00E76051" w:rsidRPr="00C921DE" w:rsidRDefault="00E76051" w:rsidP="000F4C56">
            <w:pPr>
              <w:spacing w:before="60" w:line="360" w:lineRule="auto"/>
              <w:jc w:val="both"/>
              <w:rPr>
                <w:rFonts w:ascii="GHEA Grapalat" w:eastAsia="GHEA Grapalat" w:hAnsi="GHEA Grapalat" w:cs="GHEA Grapalat"/>
                <w:sz w:val="22"/>
                <w:szCs w:val="22"/>
              </w:rPr>
            </w:pPr>
            <w:r w:rsidRPr="00C921DE">
              <w:rPr>
                <w:rFonts w:eastAsia="GHEA Grapalat"/>
                <w:b/>
                <w:lang w:val="en-US"/>
              </w:rPr>
              <w:drawing>
                <wp:anchor distT="0" distB="0" distL="114300" distR="114300" simplePos="0" relativeHeight="251664384" behindDoc="0" locked="0" layoutInCell="1" allowOverlap="1" wp14:anchorId="26450C60" wp14:editId="022F9B6F">
                  <wp:simplePos x="0" y="0"/>
                  <wp:positionH relativeFrom="column">
                    <wp:posOffset>-1491</wp:posOffset>
                  </wp:positionH>
                  <wp:positionV relativeFrom="paragraph">
                    <wp:posOffset>3368</wp:posOffset>
                  </wp:positionV>
                  <wp:extent cx="3239770" cy="2202512"/>
                  <wp:effectExtent l="0" t="0" r="17780" b="7620"/>
                  <wp:wrapNone/>
                  <wp:docPr id="88008854" name="Chart 880088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tc>
        <w:tc>
          <w:tcPr>
            <w:tcW w:w="2500" w:type="pct"/>
            <w:shd w:val="clear" w:color="auto" w:fill="auto"/>
          </w:tcPr>
          <w:p w14:paraId="6BEC6183" w14:textId="77777777" w:rsidR="00E76051" w:rsidRPr="00C921DE" w:rsidRDefault="00E76051" w:rsidP="000F4C56">
            <w:pPr>
              <w:spacing w:before="60" w:line="360" w:lineRule="auto"/>
              <w:jc w:val="both"/>
              <w:rPr>
                <w:rFonts w:ascii="GHEA Grapalat" w:eastAsia="GHEA Grapalat" w:hAnsi="GHEA Grapalat" w:cs="GHEA Grapalat"/>
                <w:sz w:val="22"/>
                <w:szCs w:val="22"/>
              </w:rPr>
            </w:pPr>
            <w:r w:rsidRPr="00C921DE">
              <w:rPr>
                <w:rFonts w:eastAsia="GHEA Grapalat"/>
                <w:b/>
                <w:lang w:val="en-US"/>
              </w:rPr>
              <w:drawing>
                <wp:anchor distT="0" distB="0" distL="114300" distR="114300" simplePos="0" relativeHeight="251663360" behindDoc="0" locked="0" layoutInCell="1" allowOverlap="1" wp14:anchorId="78A89A6B" wp14:editId="10F70E29">
                  <wp:simplePos x="0" y="0"/>
                  <wp:positionH relativeFrom="column">
                    <wp:posOffset>-6212</wp:posOffset>
                  </wp:positionH>
                  <wp:positionV relativeFrom="paragraph">
                    <wp:posOffset>3368</wp:posOffset>
                  </wp:positionV>
                  <wp:extent cx="3239770" cy="2210463"/>
                  <wp:effectExtent l="0" t="0" r="17780" b="18415"/>
                  <wp:wrapNone/>
                  <wp:docPr id="1561898483" name="Chart 156189848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14:sizeRelH relativeFrom="margin">
                    <wp14:pctWidth>0</wp14:pctWidth>
                  </wp14:sizeRelH>
                  <wp14:sizeRelV relativeFrom="margin">
                    <wp14:pctHeight>0</wp14:pctHeight>
                  </wp14:sizeRelV>
                </wp:anchor>
              </w:drawing>
            </w:r>
          </w:p>
        </w:tc>
      </w:tr>
      <w:tr w:rsidR="00E76051" w:rsidRPr="00C921DE" w14:paraId="4221B78F" w14:textId="77777777" w:rsidTr="000F4C56">
        <w:trPr>
          <w:trHeight w:val="207"/>
        </w:trPr>
        <w:tc>
          <w:tcPr>
            <w:tcW w:w="2500" w:type="pct"/>
            <w:shd w:val="clear" w:color="auto" w:fill="auto"/>
          </w:tcPr>
          <w:p w14:paraId="69EDA86C" w14:textId="77777777" w:rsidR="00E76051" w:rsidRPr="00C921DE" w:rsidRDefault="00E76051" w:rsidP="000F4C56">
            <w:pPr>
              <w:spacing w:line="360" w:lineRule="auto"/>
              <w:jc w:val="both"/>
              <w:rPr>
                <w:rFonts w:ascii="GHEA Grapalat" w:hAnsi="GHEA Grapalat" w:cs="Sylfaen"/>
                <w:i/>
                <w:sz w:val="18"/>
                <w:szCs w:val="18"/>
              </w:rPr>
            </w:pPr>
            <w:r w:rsidRPr="00C921DE">
              <w:rPr>
                <w:rFonts w:ascii="GHEA Grapalat" w:hAnsi="GHEA Grapalat" w:cs="Sylfaen"/>
                <w:i/>
                <w:sz w:val="18"/>
                <w:szCs w:val="18"/>
              </w:rPr>
              <w:t>Աղբյուրը՝ ՀՀ ԿԲ</w:t>
            </w:r>
          </w:p>
        </w:tc>
        <w:tc>
          <w:tcPr>
            <w:tcW w:w="2500" w:type="pct"/>
            <w:shd w:val="clear" w:color="auto" w:fill="auto"/>
          </w:tcPr>
          <w:p w14:paraId="5D633629" w14:textId="77777777" w:rsidR="00E76051" w:rsidRPr="00C921DE" w:rsidRDefault="00E76051" w:rsidP="000F4C56">
            <w:pPr>
              <w:spacing w:line="360" w:lineRule="auto"/>
              <w:jc w:val="both"/>
              <w:rPr>
                <w:rFonts w:ascii="GHEA Grapalat" w:eastAsia="GHEA Grapalat" w:hAnsi="GHEA Grapalat" w:cs="GHEA Grapalat"/>
                <w:b/>
                <w:i/>
                <w:sz w:val="18"/>
                <w:szCs w:val="20"/>
              </w:rPr>
            </w:pPr>
            <w:r w:rsidRPr="00C921DE">
              <w:rPr>
                <w:rFonts w:ascii="GHEA Grapalat" w:hAnsi="GHEA Grapalat" w:cs="Sylfaen"/>
                <w:i/>
                <w:sz w:val="18"/>
                <w:szCs w:val="18"/>
              </w:rPr>
              <w:t>Աղբյուրը՝ ՀՀ ԿԲ, ՀՀ ՖՆ հաշվարկներ</w:t>
            </w:r>
            <w:r w:rsidRPr="00C921DE" w:rsidDel="00B027E9">
              <w:rPr>
                <w:rFonts w:ascii="GHEA Grapalat" w:eastAsia="GHEA Grapalat" w:hAnsi="GHEA Grapalat" w:cs="GHEA Grapalat"/>
                <w:b/>
                <w:i/>
                <w:sz w:val="18"/>
                <w:szCs w:val="20"/>
              </w:rPr>
              <w:t xml:space="preserve"> </w:t>
            </w:r>
          </w:p>
        </w:tc>
      </w:tr>
    </w:tbl>
    <w:p w14:paraId="55DCA2E1" w14:textId="77777777" w:rsidR="00CE6410" w:rsidRPr="00C921DE" w:rsidRDefault="00CE6410" w:rsidP="00CE440B">
      <w:pPr>
        <w:ind w:firstLine="567"/>
        <w:jc w:val="both"/>
        <w:rPr>
          <w:rFonts w:ascii="GHEA Grapalat" w:hAnsi="GHEA Grapalat"/>
          <w:sz w:val="22"/>
          <w:szCs w:val="22"/>
        </w:rPr>
      </w:pPr>
    </w:p>
    <w:p w14:paraId="228BBBAC" w14:textId="7498A45B" w:rsidR="00E76051" w:rsidRPr="00C921DE" w:rsidRDefault="00E76051" w:rsidP="00496B87">
      <w:pPr>
        <w:spacing w:line="360" w:lineRule="auto"/>
        <w:ind w:firstLine="567"/>
        <w:jc w:val="both"/>
        <w:rPr>
          <w:rFonts w:ascii="GHEA Grapalat" w:hAnsi="GHEA Grapalat"/>
          <w:sz w:val="22"/>
          <w:szCs w:val="22"/>
        </w:rPr>
      </w:pPr>
      <w:r w:rsidRPr="00C921DE">
        <w:rPr>
          <w:rFonts w:ascii="GHEA Grapalat" w:eastAsia="GHEA Grapalat" w:hAnsi="GHEA Grapalat" w:cs="GHEA Grapalat"/>
          <w:b/>
          <w:i/>
          <w:sz w:val="22"/>
          <w:szCs w:val="22"/>
        </w:rPr>
        <w:t>Արդյունավետ փոխարժեքներ:</w:t>
      </w:r>
      <w:r w:rsidRPr="00C921DE">
        <w:rPr>
          <w:rFonts w:ascii="GHEA Grapalat" w:eastAsia="GHEA Grapalat" w:hAnsi="GHEA Grapalat" w:cs="GHEA Grapalat"/>
          <w:sz w:val="22"/>
          <w:szCs w:val="22"/>
        </w:rPr>
        <w:t xml:space="preserve"> </w:t>
      </w:r>
      <w:r w:rsidRPr="00C921DE">
        <w:rPr>
          <w:rFonts w:ascii="GHEA Grapalat" w:hAnsi="GHEA Grapalat"/>
          <w:sz w:val="22"/>
          <w:szCs w:val="22"/>
        </w:rPr>
        <w:t>ՀՀ արտաքին առևտրի տեսանկյունից առավել կարևոր արժույթներից բաղկացած զամբյուղի նկատմամբ ՀՀ ազգային արժույթն անվանական արտահայտությամբ 2023 թվականին արժևորվել է 39%-ով, իսկ իրական արտահայտությամբ՝ 30</w:t>
      </w:r>
      <w:r w:rsidR="00CE6410" w:rsidRPr="00C921DE">
        <w:rPr>
          <w:rFonts w:ascii="GHEA Grapalat" w:hAnsi="GHEA Grapalat"/>
          <w:sz w:val="22"/>
          <w:szCs w:val="22"/>
        </w:rPr>
        <w:t>%</w:t>
      </w:r>
      <w:r w:rsidR="00CE6410" w:rsidRPr="00C921DE">
        <w:rPr>
          <w:rFonts w:ascii="GHEA Grapalat" w:hAnsi="GHEA Grapalat"/>
          <w:sz w:val="22"/>
          <w:szCs w:val="22"/>
        </w:rPr>
        <w:noBreakHyphen/>
      </w:r>
      <w:r w:rsidRPr="00C921DE">
        <w:rPr>
          <w:rFonts w:ascii="GHEA Grapalat" w:hAnsi="GHEA Grapalat"/>
          <w:sz w:val="22"/>
          <w:szCs w:val="22"/>
        </w:rPr>
        <w:t>ով։</w:t>
      </w:r>
    </w:p>
    <w:p w14:paraId="2E9B891E" w14:textId="67D4A1B2" w:rsidR="001C411D" w:rsidRPr="00C921DE" w:rsidRDefault="001C411D" w:rsidP="00F77A76">
      <w:pPr>
        <w:spacing w:line="360" w:lineRule="auto"/>
        <w:ind w:firstLine="567"/>
        <w:jc w:val="both"/>
        <w:rPr>
          <w:rFonts w:ascii="GHEA Grapalat" w:hAnsi="GHEA Grapalat"/>
          <w:sz w:val="22"/>
          <w:szCs w:val="22"/>
        </w:rPr>
      </w:pPr>
    </w:p>
    <w:bookmarkEnd w:id="84"/>
    <w:bookmarkEnd w:id="85"/>
    <w:p w14:paraId="631320DE" w14:textId="77777777" w:rsidR="001C411D" w:rsidRPr="00C921DE" w:rsidRDefault="001C411D" w:rsidP="00A07DCC">
      <w:pPr>
        <w:pStyle w:val="Heading6"/>
        <w:ind w:left="567"/>
        <w:rPr>
          <w:rFonts w:ascii="GHEA Grapalat" w:hAnsi="GHEA Grapalat"/>
          <w:b/>
          <w:sz w:val="22"/>
          <w:szCs w:val="22"/>
          <w:u w:val="none"/>
        </w:rPr>
      </w:pPr>
      <w:r w:rsidRPr="00C921DE">
        <w:rPr>
          <w:rFonts w:ascii="GHEA Grapalat" w:hAnsi="GHEA Grapalat"/>
          <w:b/>
          <w:sz w:val="22"/>
          <w:szCs w:val="22"/>
          <w:u w:val="none"/>
        </w:rPr>
        <w:t>Ֆինանսական շուկաներ</w:t>
      </w:r>
      <w:r w:rsidRPr="00C921DE">
        <w:rPr>
          <w:rFonts w:ascii="GHEA Grapalat" w:hAnsi="GHEA Grapalat"/>
          <w:b/>
          <w:sz w:val="22"/>
          <w:szCs w:val="22"/>
          <w:u w:val="none"/>
          <w:vertAlign w:val="superscript"/>
        </w:rPr>
        <w:footnoteReference w:id="22"/>
      </w:r>
    </w:p>
    <w:p w14:paraId="2DD61C26" w14:textId="289CE2DD" w:rsidR="00E76051" w:rsidRPr="00C921DE" w:rsidRDefault="001C411D" w:rsidP="00E76051">
      <w:pPr>
        <w:spacing w:before="120" w:line="360" w:lineRule="auto"/>
        <w:ind w:firstLine="567"/>
        <w:jc w:val="both"/>
        <w:rPr>
          <w:rFonts w:ascii="GHEA Grapalat" w:hAnsi="GHEA Grapalat"/>
          <w:sz w:val="22"/>
          <w:szCs w:val="22"/>
        </w:rPr>
      </w:pPr>
      <w:r w:rsidRPr="00C921DE">
        <w:rPr>
          <w:rFonts w:ascii="GHEA Grapalat" w:hAnsi="GHEA Grapalat" w:cs="GHEA Grapalat"/>
          <w:b/>
          <w:i/>
          <w:sz w:val="22"/>
          <w:szCs w:val="22"/>
        </w:rPr>
        <w:t>Վարկեր և ավանդներ:</w:t>
      </w:r>
      <w:r w:rsidRPr="00C921DE">
        <w:rPr>
          <w:rFonts w:ascii="GHEA Grapalat" w:hAnsi="GHEA Grapalat" w:cs="GHEA Grapalat"/>
          <w:sz w:val="22"/>
          <w:szCs w:val="22"/>
        </w:rPr>
        <w:t xml:space="preserve"> </w:t>
      </w:r>
      <w:r w:rsidR="00E76051" w:rsidRPr="00C921DE">
        <w:rPr>
          <w:rFonts w:ascii="GHEA Grapalat" w:hAnsi="GHEA Grapalat"/>
          <w:sz w:val="22"/>
          <w:szCs w:val="22"/>
        </w:rPr>
        <w:t xml:space="preserve">Բանկային համակարգի ֆինանսական միջնորդությունը 2023 թվականին բնութագրվում է տնտեսության մեջ դերի խորացման միտումներով, որը դրսևորվել է և՛ </w:t>
      </w:r>
      <w:r w:rsidR="00E76051" w:rsidRPr="00C921DE">
        <w:rPr>
          <w:rFonts w:ascii="GHEA Grapalat" w:hAnsi="GHEA Grapalat"/>
          <w:sz w:val="22"/>
          <w:szCs w:val="22"/>
        </w:rPr>
        <w:lastRenderedPageBreak/>
        <w:t>վարկերի, և՛ ավանդների դեպքում։ Այսպես, 2020</w:t>
      </w:r>
      <w:r w:rsidR="00CE6410" w:rsidRPr="00C921DE">
        <w:rPr>
          <w:rFonts w:ascii="GHEA Grapalat" w:hAnsi="GHEA Grapalat"/>
          <w:sz w:val="22"/>
          <w:szCs w:val="22"/>
          <w:lang w:val="en-US"/>
        </w:rPr>
        <w:t xml:space="preserve"> </w:t>
      </w:r>
      <w:r w:rsidR="00E76051" w:rsidRPr="00C921DE">
        <w:rPr>
          <w:rFonts w:ascii="GHEA Grapalat" w:hAnsi="GHEA Grapalat"/>
          <w:sz w:val="22"/>
          <w:szCs w:val="22"/>
        </w:rPr>
        <w:t>թ</w:t>
      </w:r>
      <w:r w:rsidR="00CE6410" w:rsidRPr="00C921DE">
        <w:rPr>
          <w:rFonts w:ascii="GHEA Grapalat" w:hAnsi="GHEA Grapalat"/>
          <w:sz w:val="22"/>
          <w:szCs w:val="22"/>
          <w:lang w:val="en-US"/>
        </w:rPr>
        <w:t>վական</w:t>
      </w:r>
      <w:r w:rsidR="00E76051" w:rsidRPr="00C921DE">
        <w:rPr>
          <w:rFonts w:ascii="GHEA Grapalat" w:hAnsi="GHEA Grapalat"/>
          <w:sz w:val="22"/>
          <w:szCs w:val="22"/>
        </w:rPr>
        <w:t>ի</w:t>
      </w:r>
      <w:r w:rsidR="00CE6410" w:rsidRPr="00C921DE">
        <w:rPr>
          <w:rFonts w:ascii="GHEA Grapalat" w:hAnsi="GHEA Grapalat"/>
          <w:sz w:val="22"/>
          <w:szCs w:val="22"/>
        </w:rPr>
        <w:t>ց հետո առաջին անգամ վարկավորումն</w:t>
      </w:r>
      <w:r w:rsidR="00E76051" w:rsidRPr="00C921DE">
        <w:rPr>
          <w:rFonts w:ascii="GHEA Grapalat" w:hAnsi="GHEA Grapalat"/>
          <w:sz w:val="22"/>
          <w:szCs w:val="22"/>
        </w:rPr>
        <w:t xml:space="preserve"> առաջանցիկ է եղել ՀՆԱ նկատմամբ, ինչի արդյունքում ռ</w:t>
      </w:r>
      <w:r w:rsidR="00CE6410" w:rsidRPr="00C921DE">
        <w:rPr>
          <w:rFonts w:ascii="GHEA Grapalat" w:hAnsi="GHEA Grapalat"/>
          <w:sz w:val="22"/>
          <w:szCs w:val="22"/>
        </w:rPr>
        <w:t>եզիդենտների վարկեր/ՀՆԱ ցուցանիշն</w:t>
      </w:r>
      <w:r w:rsidR="00E76051" w:rsidRPr="00C921DE">
        <w:rPr>
          <w:rFonts w:ascii="GHEA Grapalat" w:hAnsi="GHEA Grapalat"/>
          <w:sz w:val="22"/>
          <w:szCs w:val="22"/>
        </w:rPr>
        <w:t xml:space="preserve"> աճել է 4.3</w:t>
      </w:r>
      <w:r w:rsidR="00CE6410" w:rsidRPr="00C921DE">
        <w:rPr>
          <w:rFonts w:ascii="GHEA Grapalat" w:hAnsi="GHEA Grapalat"/>
          <w:sz w:val="22"/>
          <w:szCs w:val="22"/>
          <w:lang w:val="en-US"/>
        </w:rPr>
        <w:t xml:space="preserve"> </w:t>
      </w:r>
      <w:r w:rsidR="00CE6410" w:rsidRPr="00C921DE">
        <w:rPr>
          <w:rFonts w:ascii="GHEA Grapalat" w:hAnsi="GHEA Grapalat"/>
          <w:sz w:val="22"/>
          <w:szCs w:val="22"/>
        </w:rPr>
        <w:t>տոկոս</w:t>
      </w:r>
      <w:r w:rsidR="00E76051" w:rsidRPr="00C921DE">
        <w:rPr>
          <w:rFonts w:ascii="GHEA Grapalat" w:hAnsi="GHEA Grapalat"/>
          <w:sz w:val="22"/>
          <w:szCs w:val="22"/>
        </w:rPr>
        <w:t>ային կետով և կազմել ՀՆԱ 51</w:t>
      </w:r>
      <w:r w:rsidR="00E76051" w:rsidRPr="00C921DE">
        <w:rPr>
          <w:rFonts w:ascii="Cambria Math" w:hAnsi="Cambria Math" w:cs="Cambria Math"/>
          <w:sz w:val="22"/>
          <w:szCs w:val="22"/>
        </w:rPr>
        <w:t>․</w:t>
      </w:r>
      <w:r w:rsidR="00E76051" w:rsidRPr="00C921DE">
        <w:rPr>
          <w:rFonts w:ascii="GHEA Grapalat" w:hAnsi="GHEA Grapalat"/>
          <w:sz w:val="22"/>
          <w:szCs w:val="22"/>
        </w:rPr>
        <w:t>4%-ը։ Իսկ ռեզիդենտների ավանդներ/ՀՆԱ ցուցանիշ</w:t>
      </w:r>
      <w:r w:rsidR="00CE6410" w:rsidRPr="00C921DE">
        <w:rPr>
          <w:rFonts w:ascii="GHEA Grapalat" w:hAnsi="GHEA Grapalat"/>
          <w:sz w:val="22"/>
          <w:szCs w:val="22"/>
          <w:lang w:val="en-US"/>
        </w:rPr>
        <w:t>ն</w:t>
      </w:r>
      <w:r w:rsidR="00E76051" w:rsidRPr="00C921DE">
        <w:rPr>
          <w:rFonts w:ascii="GHEA Grapalat" w:hAnsi="GHEA Grapalat"/>
          <w:sz w:val="22"/>
          <w:szCs w:val="22"/>
        </w:rPr>
        <w:t xml:space="preserve"> աճել է 2</w:t>
      </w:r>
      <w:r w:rsidR="00CE6410" w:rsidRPr="00C921DE">
        <w:rPr>
          <w:rFonts w:ascii="GHEA Grapalat" w:hAnsi="GHEA Grapalat"/>
          <w:sz w:val="22"/>
          <w:szCs w:val="22"/>
          <w:lang w:val="en-US"/>
        </w:rPr>
        <w:t xml:space="preserve"> </w:t>
      </w:r>
      <w:r w:rsidR="00CE6410" w:rsidRPr="00C921DE">
        <w:rPr>
          <w:rFonts w:ascii="GHEA Grapalat" w:hAnsi="GHEA Grapalat"/>
          <w:sz w:val="22"/>
          <w:szCs w:val="22"/>
        </w:rPr>
        <w:t>տոկոս</w:t>
      </w:r>
      <w:r w:rsidR="00E76051" w:rsidRPr="00C921DE">
        <w:rPr>
          <w:rFonts w:ascii="GHEA Grapalat" w:hAnsi="GHEA Grapalat"/>
          <w:sz w:val="22"/>
          <w:szCs w:val="22"/>
        </w:rPr>
        <w:t>ային կետով և կազմել ՀՆԱ 45</w:t>
      </w:r>
      <w:r w:rsidR="00E76051" w:rsidRPr="00C921DE">
        <w:rPr>
          <w:rFonts w:ascii="Cambria Math" w:hAnsi="Cambria Math" w:cs="Cambria Math"/>
          <w:sz w:val="22"/>
          <w:szCs w:val="22"/>
        </w:rPr>
        <w:t>․</w:t>
      </w:r>
      <w:r w:rsidR="00E76051" w:rsidRPr="00C921DE">
        <w:rPr>
          <w:rFonts w:ascii="GHEA Grapalat" w:hAnsi="GHEA Grapalat"/>
          <w:sz w:val="22"/>
          <w:szCs w:val="22"/>
        </w:rPr>
        <w:t>5%-ը։ Ընդ որում, ի տարբերություն 2022 թվականի, երբ վարկավորման</w:t>
      </w:r>
      <w:r w:rsidR="00D218FE" w:rsidRPr="00C921DE">
        <w:rPr>
          <w:rFonts w:ascii="GHEA Grapalat" w:hAnsi="GHEA Grapalat"/>
          <w:sz w:val="22"/>
          <w:szCs w:val="22"/>
          <w:lang w:val="en-US"/>
        </w:rPr>
        <w:t xml:space="preserve"> նկատմամբ</w:t>
      </w:r>
      <w:r w:rsidR="00E76051" w:rsidRPr="00C921DE">
        <w:rPr>
          <w:rFonts w:ascii="GHEA Grapalat" w:hAnsi="GHEA Grapalat"/>
          <w:sz w:val="22"/>
          <w:szCs w:val="22"/>
        </w:rPr>
        <w:t xml:space="preserve"> առաջանցիկ ավանդների ներգրավման պայմաններում բանկային համակարգում լրացուցիչ իրացվելիություն էր կուտակվում, հատկապես 2023</w:t>
      </w:r>
      <w:r w:rsidR="00D218FE" w:rsidRPr="00C921DE">
        <w:rPr>
          <w:rFonts w:ascii="GHEA Grapalat" w:hAnsi="GHEA Grapalat"/>
          <w:sz w:val="22"/>
          <w:szCs w:val="22"/>
          <w:lang w:val="en-US"/>
        </w:rPr>
        <w:t xml:space="preserve"> </w:t>
      </w:r>
      <w:r w:rsidR="00E76051" w:rsidRPr="00C921DE">
        <w:rPr>
          <w:rFonts w:ascii="GHEA Grapalat" w:hAnsi="GHEA Grapalat"/>
          <w:sz w:val="22"/>
          <w:szCs w:val="22"/>
        </w:rPr>
        <w:t>թ</w:t>
      </w:r>
      <w:r w:rsidR="00D218FE" w:rsidRPr="00C921DE">
        <w:rPr>
          <w:rFonts w:ascii="GHEA Grapalat" w:hAnsi="GHEA Grapalat"/>
          <w:sz w:val="22"/>
          <w:szCs w:val="22"/>
          <w:lang w:val="en-US"/>
        </w:rPr>
        <w:t>վականի</w:t>
      </w:r>
      <w:r w:rsidR="00E76051" w:rsidRPr="00C921DE">
        <w:rPr>
          <w:rFonts w:ascii="GHEA Grapalat" w:hAnsi="GHEA Grapalat"/>
          <w:sz w:val="22"/>
          <w:szCs w:val="22"/>
        </w:rPr>
        <w:t xml:space="preserve"> վերջին եռամսյակում տնտեսությանը առաջանցիկ դարձած վարկավորման աճի պայմաններում լրացուցիչ իրացվելիության կուտակումը կանգ է առել: Միաժամանակ, վարկերի աճի արագացմանը զուգահեռ, այն դարձել է առավել ընդգրկուն՝ նախկին կենտրոնացված կառուցվածքի փոխարեն (2022 թվականին և տարվա առաջին կեսին վարկերի աճը պայմանավորվում էր </w:t>
      </w:r>
      <w:r w:rsidR="006303F1" w:rsidRPr="00C921DE">
        <w:rPr>
          <w:rFonts w:ascii="GHEA Grapalat" w:hAnsi="GHEA Grapalat"/>
          <w:sz w:val="22"/>
          <w:szCs w:val="22"/>
        </w:rPr>
        <w:t>հիպոտեկ</w:t>
      </w:r>
      <w:r w:rsidR="00E76051" w:rsidRPr="00C921DE">
        <w:rPr>
          <w:rFonts w:ascii="GHEA Grapalat" w:hAnsi="GHEA Grapalat"/>
          <w:sz w:val="22"/>
          <w:szCs w:val="22"/>
        </w:rPr>
        <w:t xml:space="preserve">ային և սպառողական վարկերի աճերով) ընդգրկելով տնտեսության ոլորտները: </w:t>
      </w:r>
    </w:p>
    <w:p w14:paraId="73A43858" w14:textId="24ABD01F" w:rsidR="00952EF3" w:rsidRPr="00C921DE" w:rsidRDefault="00E76051" w:rsidP="003A2ACB">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 ընթացքում վարկերի ծավալների աճի տեմպը զգալիորեն արագացել է։ 2023 թվականի դեկտեմբերին առևտրային բանկերի կողմից ռեզիդենտներին տրամադրված վարկերի ծավալների աճը նախորդ տարվա նույն ամսվա նկատմամբ կազմել է 21.9%</w:t>
      </w:r>
      <w:r w:rsidRPr="00C921DE">
        <w:rPr>
          <w:rFonts w:ascii="GHEA Grapalat" w:hAnsi="GHEA Grapalat"/>
          <w:sz w:val="22"/>
          <w:szCs w:val="22"/>
          <w:vertAlign w:val="superscript"/>
        </w:rPr>
        <w:footnoteReference w:id="23"/>
      </w:r>
      <w:r w:rsidRPr="00C921DE">
        <w:rPr>
          <w:rFonts w:ascii="GHEA Grapalat" w:hAnsi="GHEA Grapalat"/>
          <w:sz w:val="22"/>
          <w:szCs w:val="22"/>
        </w:rPr>
        <w:t>՝ 2022 թվականի դեկտեմբերին արձանագրված 6.2%-ի համեմատ: Նշված ցուցանիշին 15.8 տոկոսային կետով նպաստել է դրամային վարկերի աճը, իսկ արտարժութային վարկերը նպաստել են 6.1 տոկոսային կետով:</w:t>
      </w:r>
    </w:p>
    <w:p w14:paraId="6E5C0A61" w14:textId="77777777" w:rsidR="00B17C51" w:rsidRPr="00C921DE" w:rsidRDefault="00B17C51" w:rsidP="00B17C51">
      <w:pPr>
        <w:ind w:firstLine="567"/>
        <w:jc w:val="both"/>
        <w:rPr>
          <w:rFonts w:ascii="GHEA Grapalat" w:hAnsi="GHEA Grapalat"/>
          <w:sz w:val="22"/>
          <w:szCs w:val="22"/>
        </w:rPr>
      </w:pPr>
    </w:p>
    <w:p w14:paraId="25EFDF3E" w14:textId="5F48310A" w:rsidR="00E76051" w:rsidRPr="00C921DE" w:rsidRDefault="00E76051" w:rsidP="004C12B8">
      <w:pPr>
        <w:pStyle w:val="a"/>
      </w:pPr>
      <w:r w:rsidRPr="00C921DE">
        <w:t>Ռեզիդենտների վարկերի և ավանդների ծավալների աճը (նախորդ տարվա նկատմամբ, %)</w:t>
      </w:r>
    </w:p>
    <w:p w14:paraId="7E542230" w14:textId="77777777" w:rsidR="00E76051" w:rsidRPr="00C921DE" w:rsidRDefault="00E76051" w:rsidP="00E76051">
      <w:pPr>
        <w:jc w:val="both"/>
        <w:rPr>
          <w:rFonts w:ascii="GHEA Grapalat" w:eastAsia="Calibri" w:hAnsi="GHEA Grapalat" w:cs="Sylfaen"/>
          <w:sz w:val="22"/>
          <w:szCs w:val="22"/>
        </w:rPr>
      </w:pPr>
      <w:r w:rsidRPr="00C921DE">
        <w:rPr>
          <w:rFonts w:ascii="GHEA Grapalat" w:eastAsia="Calibri" w:hAnsi="GHEA Grapalat" w:cs="Sylfaen"/>
          <w:sz w:val="22"/>
          <w:szCs w:val="22"/>
        </w:rPr>
        <w:t xml:space="preserve"> </w:t>
      </w:r>
      <w:r w:rsidRPr="00C921DE">
        <w:rPr>
          <w:rFonts w:ascii="GHEA Grapalat" w:hAnsi="GHEA Grapalat"/>
          <w:sz w:val="28"/>
          <w:lang w:val="en-US"/>
        </w:rPr>
        <w:drawing>
          <wp:inline distT="0" distB="0" distL="0" distR="0" wp14:anchorId="3DB730CC" wp14:editId="2383D6FB">
            <wp:extent cx="2971800" cy="2321781"/>
            <wp:effectExtent l="0" t="0" r="0" b="2540"/>
            <wp:docPr id="46" name="Char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Pr="00C921DE">
        <w:rPr>
          <w:rFonts w:ascii="GHEA Grapalat" w:eastAsia="Calibri" w:hAnsi="GHEA Grapalat" w:cs="Sylfaen"/>
          <w:sz w:val="22"/>
          <w:szCs w:val="22"/>
        </w:rPr>
        <w:t xml:space="preserve"> </w:t>
      </w:r>
      <w:r w:rsidRPr="00C921DE">
        <w:rPr>
          <w:rFonts w:ascii="GHEA Grapalat" w:hAnsi="GHEA Grapalat"/>
          <w:sz w:val="28"/>
          <w:lang w:val="en-US"/>
        </w:rPr>
        <w:drawing>
          <wp:inline distT="0" distB="0" distL="0" distR="0" wp14:anchorId="6CF8C3A6" wp14:editId="0FBE1511">
            <wp:extent cx="3023870" cy="2305879"/>
            <wp:effectExtent l="0" t="0" r="5080" b="18415"/>
            <wp:docPr id="47" name="Char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7CB09561" w14:textId="499C8C93" w:rsidR="00E76051" w:rsidRPr="00C921DE" w:rsidRDefault="00E76051" w:rsidP="00E76051">
      <w:pPr>
        <w:spacing w:after="120" w:line="360" w:lineRule="auto"/>
        <w:jc w:val="both"/>
        <w:rPr>
          <w:rFonts w:ascii="GHEA Grapalat" w:hAnsi="GHEA Grapalat" w:cs="GHEA Grapalat"/>
          <w:i/>
          <w:sz w:val="18"/>
          <w:szCs w:val="18"/>
        </w:rPr>
      </w:pPr>
      <w:r w:rsidRPr="00C921DE">
        <w:rPr>
          <w:rFonts w:ascii="GHEA Grapalat" w:hAnsi="GHEA Grapalat" w:cs="Sylfaen"/>
          <w:i/>
          <w:sz w:val="18"/>
          <w:szCs w:val="18"/>
        </w:rPr>
        <w:t xml:space="preserve">Աղբյուրը՝ ՀՀ ԿԲ և ՀՀ ՖՆ հաշվարկներ: </w:t>
      </w:r>
    </w:p>
    <w:p w14:paraId="17B49C4A" w14:textId="77777777" w:rsidR="00952EF3" w:rsidRPr="00C921DE" w:rsidRDefault="00952EF3" w:rsidP="00CE440B">
      <w:pPr>
        <w:ind w:firstLine="567"/>
        <w:jc w:val="both"/>
        <w:rPr>
          <w:rFonts w:ascii="GHEA Grapalat" w:hAnsi="GHEA Grapalat"/>
          <w:sz w:val="22"/>
          <w:szCs w:val="22"/>
        </w:rPr>
      </w:pPr>
    </w:p>
    <w:p w14:paraId="1D5F9384" w14:textId="4780DB67"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lastRenderedPageBreak/>
        <w:t xml:space="preserve">Վարկերի աճը հիմնականում պայմանավորվել է </w:t>
      </w:r>
      <w:r w:rsidR="006303F1" w:rsidRPr="00C921DE">
        <w:rPr>
          <w:rFonts w:ascii="GHEA Grapalat" w:hAnsi="GHEA Grapalat"/>
          <w:sz w:val="22"/>
          <w:szCs w:val="22"/>
        </w:rPr>
        <w:t>հիպոտեկ</w:t>
      </w:r>
      <w:r w:rsidRPr="00C921DE">
        <w:rPr>
          <w:rFonts w:ascii="GHEA Grapalat" w:hAnsi="GHEA Grapalat"/>
          <w:sz w:val="22"/>
          <w:szCs w:val="22"/>
        </w:rPr>
        <w:t>ային (աճը՝ 26.4%, նպաստումը՝ 5.9 տոկոսային կետ), սպառողական (աճը՝ 21.2%, նպաստումը՝ 5.0 տոկոսային կետ),</w:t>
      </w:r>
      <w:r w:rsidR="00FE3A4C" w:rsidRPr="00C921DE">
        <w:rPr>
          <w:rFonts w:ascii="GHEA Grapalat" w:hAnsi="GHEA Grapalat"/>
          <w:sz w:val="22"/>
          <w:szCs w:val="22"/>
        </w:rPr>
        <w:t xml:space="preserve"> </w:t>
      </w:r>
      <w:r w:rsidRPr="00C921DE">
        <w:rPr>
          <w:rFonts w:ascii="GHEA Grapalat" w:hAnsi="GHEA Grapalat"/>
          <w:sz w:val="22"/>
          <w:szCs w:val="22"/>
        </w:rPr>
        <w:t>շինարարության (աճը՝ 42.4%, նպաստումը՝ 3.9 տոկոսային կետ), առևտրի (աճը՝ 22.0%, նպաստումը՝ 2.7 տոկոսային կետ), սպասարկման (աճը՝ 31.2, նպաստումը՝ 2.0 տոկոսային կետ)</w:t>
      </w:r>
      <w:r w:rsidR="00952EF3" w:rsidRPr="00C921DE">
        <w:rPr>
          <w:rFonts w:ascii="GHEA Grapalat" w:hAnsi="GHEA Grapalat"/>
          <w:sz w:val="22"/>
          <w:szCs w:val="22"/>
          <w:lang w:val="en-US"/>
        </w:rPr>
        <w:t xml:space="preserve"> </w:t>
      </w:r>
      <w:r w:rsidR="00952EF3" w:rsidRPr="00C921DE">
        <w:rPr>
          <w:rFonts w:ascii="GHEA Grapalat" w:hAnsi="GHEA Grapalat"/>
          <w:sz w:val="22"/>
          <w:szCs w:val="22"/>
        </w:rPr>
        <w:t>վարկերով</w:t>
      </w:r>
      <w:r w:rsidRPr="00C921DE">
        <w:rPr>
          <w:rFonts w:ascii="GHEA Grapalat" w:hAnsi="GHEA Grapalat"/>
          <w:sz w:val="22"/>
          <w:szCs w:val="22"/>
        </w:rPr>
        <w:t>, ինչպես նաև առավել փոքր նպաստումներով</w:t>
      </w:r>
      <w:r w:rsidR="0072312B" w:rsidRPr="00C921DE">
        <w:rPr>
          <w:rFonts w:ascii="GHEA Grapalat" w:hAnsi="GHEA Grapalat"/>
          <w:sz w:val="22"/>
          <w:szCs w:val="22"/>
          <w:lang w:val="en-US"/>
        </w:rPr>
        <w:t>՝</w:t>
      </w:r>
      <w:r w:rsidRPr="00C921DE">
        <w:rPr>
          <w:rFonts w:ascii="GHEA Grapalat" w:hAnsi="GHEA Grapalat"/>
          <w:sz w:val="22"/>
          <w:szCs w:val="22"/>
        </w:rPr>
        <w:t xml:space="preserve"> գյուղատնտեսության, տրանսպորտի և կապի ոլորտներին ուղղված վարկերով։ Միաժամանակ, արդյունաբերության ոլորտին ուղղված վարկերը բացասական նպաստում են ունեցել (աճը՝ -2.9%, նպաստումը՝ -0.2 տոկոսային կետ) ընդհանուր վարկերի աճին, ինչը պայմանավորված է եղել և՛ մշակող, և՛ </w:t>
      </w:r>
      <w:r w:rsidR="0072312B" w:rsidRPr="00C921DE">
        <w:rPr>
          <w:rFonts w:ascii="GHEA Grapalat" w:hAnsi="GHEA Grapalat"/>
          <w:sz w:val="22"/>
          <w:szCs w:val="22"/>
        </w:rPr>
        <w:t>հանքագործական արդյունաբերությանն</w:t>
      </w:r>
      <w:r w:rsidRPr="00C921DE">
        <w:rPr>
          <w:rFonts w:ascii="GHEA Grapalat" w:hAnsi="GHEA Grapalat"/>
          <w:sz w:val="22"/>
          <w:szCs w:val="22"/>
        </w:rPr>
        <w:t xml:space="preserve"> ուղղված վարկերի նվազումներով:</w:t>
      </w:r>
    </w:p>
    <w:p w14:paraId="76AAEA5E" w14:textId="5EE6D272"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ռեզիդենտների ավանդների ծավալների աճի տեմպը շարունակել է բարձր մնալ, սակայն ընդհանուր ավանդների աճի տեմպը դանդաղել է: Առևտրային բանկերի կողմից ռեզիդենտներից ներգրավված ավանդներն աճել են 17%</w:t>
      </w:r>
      <w:r w:rsidRPr="00C921DE">
        <w:rPr>
          <w:rFonts w:ascii="GHEA Grapalat" w:hAnsi="GHEA Grapalat"/>
          <w:sz w:val="22"/>
          <w:szCs w:val="22"/>
        </w:rPr>
        <w:noBreakHyphen/>
        <w:t>ով: Ավանդների աճին 13.2 տոկոսային կետով նպաստել է տնային տնտեսությունների ավանդների աճը</w:t>
      </w:r>
      <w:r w:rsidR="0072312B" w:rsidRPr="00C921DE">
        <w:rPr>
          <w:rFonts w:ascii="GHEA Grapalat" w:hAnsi="GHEA Grapalat"/>
          <w:sz w:val="22"/>
          <w:szCs w:val="22"/>
          <w:lang w:val="en-US"/>
        </w:rPr>
        <w:t>,</w:t>
      </w:r>
      <w:r w:rsidRPr="00C921DE">
        <w:rPr>
          <w:rFonts w:ascii="GHEA Grapalat" w:hAnsi="GHEA Grapalat"/>
          <w:sz w:val="22"/>
          <w:szCs w:val="22"/>
        </w:rPr>
        <w:t xml:space="preserve"> իսկ ձեռնարկությունների ավանդները նպաստել են 2</w:t>
      </w:r>
      <w:r w:rsidRPr="00C921DE">
        <w:rPr>
          <w:rFonts w:ascii="Cambria Math" w:hAnsi="Cambria Math" w:cs="Cambria Math"/>
          <w:sz w:val="22"/>
          <w:szCs w:val="22"/>
        </w:rPr>
        <w:t>․</w:t>
      </w:r>
      <w:r w:rsidRPr="00C921DE">
        <w:rPr>
          <w:rFonts w:ascii="GHEA Grapalat" w:hAnsi="GHEA Grapalat"/>
          <w:sz w:val="22"/>
          <w:szCs w:val="22"/>
        </w:rPr>
        <w:t>8 տոկոսային կետով։</w:t>
      </w:r>
      <w:r w:rsidR="00FE3A4C" w:rsidRPr="00C921DE">
        <w:rPr>
          <w:rFonts w:ascii="GHEA Grapalat" w:hAnsi="GHEA Grapalat"/>
          <w:sz w:val="22"/>
          <w:szCs w:val="22"/>
        </w:rPr>
        <w:t xml:space="preserve"> </w:t>
      </w:r>
      <w:r w:rsidRPr="00C921DE">
        <w:rPr>
          <w:rFonts w:ascii="GHEA Grapalat" w:hAnsi="GHEA Grapalat"/>
          <w:sz w:val="22"/>
          <w:szCs w:val="22"/>
        </w:rPr>
        <w:t>Արժութային կառուցվածքի տեսակետից 13 տոկոսային կետով դրական նպաստում է ունեցել դրամային ավանդների աճը, իսկ արտարժութային ավանդների նպաստումը կազմել է 3.9 տոկոսային կետ: Ռեզիդենտների ավանդների աճին ցպահանջ ավանդները նպաստել են 8</w:t>
      </w:r>
      <w:r w:rsidRPr="00C921DE">
        <w:rPr>
          <w:rFonts w:ascii="Cambria Math" w:hAnsi="Cambria Math" w:cs="Cambria Math"/>
          <w:sz w:val="22"/>
          <w:szCs w:val="22"/>
        </w:rPr>
        <w:t>․</w:t>
      </w:r>
      <w:r w:rsidRPr="00C921DE">
        <w:rPr>
          <w:rFonts w:ascii="GHEA Grapalat" w:hAnsi="GHEA Grapalat"/>
          <w:sz w:val="22"/>
          <w:szCs w:val="22"/>
        </w:rPr>
        <w:t>9, իսկ ժամկետային ավանդները՝ 8.1 տոկոսային կետով։</w:t>
      </w:r>
      <w:r w:rsidR="00FE3A4C" w:rsidRPr="00C921DE">
        <w:rPr>
          <w:rFonts w:ascii="GHEA Grapalat" w:hAnsi="GHEA Grapalat"/>
          <w:sz w:val="22"/>
          <w:szCs w:val="22"/>
        </w:rPr>
        <w:t xml:space="preserve"> </w:t>
      </w:r>
    </w:p>
    <w:p w14:paraId="15EE19ED" w14:textId="09EB632C"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Ոչ ռեզիդենտների ավանդների աճի տեմպը 2022 թվականի տարեվերջի կտրուկ արագացումից հետո դանդաղել է՝ 2023 թվականի դեկտեմբերին կազմելով -5.0%։ Ոչ ռեզիդենտների ավանդների կազմում արտարժութային ավա</w:t>
      </w:r>
      <w:r w:rsidR="007A5B3D" w:rsidRPr="00C921DE">
        <w:rPr>
          <w:rFonts w:ascii="GHEA Grapalat" w:hAnsi="GHEA Grapalat"/>
          <w:sz w:val="22"/>
          <w:szCs w:val="22"/>
          <w:lang w:val="en-US"/>
        </w:rPr>
        <w:t>ն</w:t>
      </w:r>
      <w:r w:rsidRPr="00C921DE">
        <w:rPr>
          <w:rFonts w:ascii="GHEA Grapalat" w:hAnsi="GHEA Grapalat"/>
          <w:sz w:val="22"/>
          <w:szCs w:val="22"/>
        </w:rPr>
        <w:t>դների աճը կազմել է -8.4% (նպաստումը՝ -7.1 տոկոսային կետ), դրամային ավանդների աճը կազմել է 14.1%, նպաստումը՝ 2.1 տոկոսային կետ: Միաժամանակ, ոչ ռեզիդենտների ավանդների ընթացիկ ցուցանիշները 2022 փետրվարի ցուցանիշի համեմատ (մինչև ՌԴ-ից մարդկանց ու կապիտալի ներհոսքը դեպի ՀՀ)</w:t>
      </w:r>
      <w:r w:rsidR="00772891" w:rsidRPr="00C921DE">
        <w:rPr>
          <w:rFonts w:ascii="GHEA Grapalat" w:hAnsi="GHEA Grapalat"/>
          <w:sz w:val="22"/>
          <w:szCs w:val="22"/>
        </w:rPr>
        <w:t xml:space="preserve"> շարունակում են</w:t>
      </w:r>
      <w:r w:rsidRPr="00C921DE">
        <w:rPr>
          <w:rFonts w:ascii="GHEA Grapalat" w:hAnsi="GHEA Grapalat"/>
          <w:sz w:val="22"/>
          <w:szCs w:val="22"/>
        </w:rPr>
        <w:t xml:space="preserve"> զգալիորեն բարձր մնալ՝ 2023 թվականի վերջի դրությամբ շուրջ 55%-ով կամ 485 մլրդ դրամով։</w:t>
      </w:r>
    </w:p>
    <w:p w14:paraId="6A6563A6" w14:textId="5E90DFE6"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ընթացքում ավանդների դոլարայնացման մակարդակը` ի համեմատ նախորդ տարվա նվազել է 4.6 տոկոսային կետով` դեկտեմբերին կազմելով 50.5%, իսկ վարկերի դոլարայնացման մակարդակը նվազել է 0.7 տոկոսային կետով` կազմելով 35.6%: Միայն ռեզիդենտների ցուցանիշները դիտարկելու դեպքում, ավանդների դոլարայնացումը նախորդ տարվա համեմատ նվազել է 3 տոկոսային կետով՝ կազմելով 40.6%, իսկ վարկերի դոլարայնացումը նվազել է 1.4 տոկոսային կետով՝ կազմելով 34.2%։ </w:t>
      </w:r>
    </w:p>
    <w:p w14:paraId="4EACCD3E" w14:textId="77777777" w:rsidR="00E76051" w:rsidRPr="00C921DE" w:rsidRDefault="00E76051" w:rsidP="00496B87">
      <w:pPr>
        <w:spacing w:line="360" w:lineRule="auto"/>
        <w:ind w:firstLine="567"/>
        <w:jc w:val="both"/>
        <w:rPr>
          <w:rFonts w:ascii="GHEA Grapalat" w:hAnsi="GHEA Grapalat"/>
          <w:sz w:val="22"/>
          <w:szCs w:val="22"/>
        </w:rPr>
      </w:pPr>
    </w:p>
    <w:p w14:paraId="564A999D" w14:textId="1F8F4F00" w:rsidR="00E76051" w:rsidRPr="00C921DE" w:rsidRDefault="00E76051" w:rsidP="004C12B8">
      <w:pPr>
        <w:pStyle w:val="a"/>
        <w:rPr>
          <w:rFonts w:ascii="Cambria Math" w:eastAsia="GHEA Grapalat" w:hAnsi="Cambria Math"/>
        </w:rPr>
      </w:pPr>
      <w:r w:rsidRPr="00C921DE">
        <w:rPr>
          <w:rFonts w:eastAsia="GHEA Grapalat"/>
        </w:rPr>
        <w:lastRenderedPageBreak/>
        <w:t>ՀՀ բանկերի վարկային և ավանդային պորտֆելները, 2019-2023թթ</w:t>
      </w:r>
      <w:r w:rsidRPr="00C921DE">
        <w:rPr>
          <w:rFonts w:ascii="Cambria Math" w:eastAsia="GHEA Grapalat" w:hAnsi="Cambria Math" w:cs="Cambria Math"/>
        </w:rPr>
        <w:t>․</w:t>
      </w:r>
      <w:r w:rsidRPr="00C921DE">
        <w:rPr>
          <w:rFonts w:eastAsia="GHEA Grapalat"/>
        </w:rPr>
        <w:t xml:space="preserve"> </w:t>
      </w:r>
    </w:p>
    <w:p w14:paraId="06F410ED" w14:textId="77777777" w:rsidR="00E76051" w:rsidRPr="00C921DE" w:rsidRDefault="00E76051" w:rsidP="00E76051">
      <w:pPr>
        <w:spacing w:line="360" w:lineRule="auto"/>
        <w:jc w:val="both"/>
        <w:rPr>
          <w:rFonts w:ascii="GHEA Grapalat" w:eastAsia="Calibri" w:hAnsi="GHEA Grapalat" w:cs="Sylfaen"/>
          <w:sz w:val="22"/>
          <w:szCs w:val="22"/>
        </w:rPr>
      </w:pPr>
      <w:r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lang w:val="en-US"/>
        </w:rPr>
        <w:drawing>
          <wp:inline distT="0" distB="0" distL="0" distR="0" wp14:anchorId="489388C4" wp14:editId="71FDA005">
            <wp:extent cx="3170711" cy="2879725"/>
            <wp:effectExtent l="0" t="0" r="10795" b="1587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lang w:val="en-US"/>
        </w:rPr>
        <w:drawing>
          <wp:inline distT="0" distB="0" distL="0" distR="0" wp14:anchorId="2023F19F" wp14:editId="21515384">
            <wp:extent cx="3158836" cy="2879725"/>
            <wp:effectExtent l="0" t="0" r="3810" b="15875"/>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C3A155C" w14:textId="77777777" w:rsidR="00E76051" w:rsidRPr="00C921DE" w:rsidRDefault="00E76051" w:rsidP="00E76051">
      <w:pPr>
        <w:spacing w:after="120" w:line="360" w:lineRule="auto"/>
        <w:jc w:val="both"/>
        <w:rPr>
          <w:rFonts w:ascii="GHEA Grapalat" w:eastAsia="Calibri" w:hAnsi="GHEA Grapalat" w:cs="Sylfaen"/>
          <w:i/>
          <w:iCs/>
          <w:sz w:val="22"/>
          <w:szCs w:val="22"/>
        </w:rPr>
      </w:pPr>
      <w:r w:rsidRPr="00C921DE">
        <w:rPr>
          <w:rFonts w:ascii="GHEA Grapalat" w:hAnsi="GHEA Grapalat"/>
          <w:i/>
          <w:iCs/>
          <w:sz w:val="18"/>
          <w:szCs w:val="18"/>
        </w:rPr>
        <w:t>Աղբյուրը՝ ՀՀ ԿԲ, ՀՀ ՖՆ հաշվարկներ</w:t>
      </w:r>
    </w:p>
    <w:p w14:paraId="12B5F327" w14:textId="77777777" w:rsidR="00772891" w:rsidRPr="00C921DE" w:rsidRDefault="00772891" w:rsidP="00CE440B">
      <w:pPr>
        <w:ind w:firstLine="567"/>
        <w:jc w:val="both"/>
        <w:rPr>
          <w:rFonts w:ascii="GHEA Grapalat" w:hAnsi="GHEA Grapalat"/>
          <w:sz w:val="22"/>
          <w:szCs w:val="22"/>
        </w:rPr>
      </w:pPr>
    </w:p>
    <w:p w14:paraId="3B524C47" w14:textId="55FDC6EA"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cs="GHEA Grapalat"/>
          <w:b/>
          <w:i/>
          <w:sz w:val="22"/>
          <w:szCs w:val="22"/>
        </w:rPr>
        <w:t>Վարկերի և ավանդների տոկոսադրույքներ:</w:t>
      </w:r>
      <w:r w:rsidRPr="00C921DE">
        <w:rPr>
          <w:rFonts w:ascii="GHEA Grapalat" w:hAnsi="GHEA Grapalat" w:cs="GHEA Grapalat"/>
          <w:sz w:val="22"/>
          <w:szCs w:val="22"/>
        </w:rPr>
        <w:t xml:space="preserve"> </w:t>
      </w:r>
      <w:r w:rsidRPr="00C921DE">
        <w:rPr>
          <w:rFonts w:ascii="GHEA Grapalat" w:hAnsi="GHEA Grapalat"/>
          <w:sz w:val="22"/>
          <w:szCs w:val="22"/>
        </w:rPr>
        <w:t>Վարկերի և ավանդների տոկոսադրույքները հիմնականում տատանվում են իրենց միջին մակարդակների շուրջ, սակայն առանձին դեպքերում դրանք դրսևորել են աճի միտումներ (մասնավորապես՝ հիպո</w:t>
      </w:r>
      <w:r w:rsidR="00B52A30" w:rsidRPr="00C921DE">
        <w:rPr>
          <w:rFonts w:ascii="GHEA Grapalat" w:hAnsi="GHEA Grapalat"/>
          <w:sz w:val="22"/>
          <w:szCs w:val="22"/>
          <w:lang w:val="en-US"/>
        </w:rPr>
        <w:t>տեկ</w:t>
      </w:r>
      <w:r w:rsidRPr="00C921DE">
        <w:rPr>
          <w:rFonts w:ascii="GHEA Grapalat" w:hAnsi="GHEA Grapalat"/>
          <w:sz w:val="22"/>
          <w:szCs w:val="22"/>
        </w:rPr>
        <w:t xml:space="preserve">ային և սպառողական վարկատեսակները), ինչը հուշում է դրանց նկատմամբ բարձր պահանջարկի </w:t>
      </w:r>
      <w:r w:rsidR="00B52A30" w:rsidRPr="00C921DE">
        <w:rPr>
          <w:rFonts w:ascii="GHEA Grapalat" w:hAnsi="GHEA Grapalat"/>
          <w:sz w:val="22"/>
          <w:szCs w:val="22"/>
          <w:lang w:val="en-US"/>
        </w:rPr>
        <w:t>մասին</w:t>
      </w:r>
      <w:r w:rsidRPr="00C921DE">
        <w:rPr>
          <w:rFonts w:ascii="GHEA Grapalat" w:hAnsi="GHEA Grapalat"/>
          <w:sz w:val="22"/>
          <w:szCs w:val="22"/>
        </w:rPr>
        <w:t>: 2023 թվականի ընթացքում ՀՀ դրամով վարկավորման (մինչև մեկ տարի ժամկետով) միջին տարեկան տոկոսադրույքը կազմել է 12.4%՝ նախորդ տարվա նկատմամբ աճելով 0.6 տոկոսային կետով: ՀՀ դրամային ավանդների (մինչև մեկ տարի ժամկետով) միջին տոկոսադրույքը կազմել է 8.4%՝ նվազելով 0.1 տոկոսային կետով:</w:t>
      </w:r>
      <w:r w:rsidRPr="00C921DE">
        <w:rPr>
          <w:rFonts w:ascii="GHEA Grapalat" w:hAnsi="GHEA Grapalat"/>
          <w:sz w:val="22"/>
          <w:szCs w:val="22"/>
        </w:rPr>
        <w:tab/>
      </w:r>
    </w:p>
    <w:p w14:paraId="5F45222C" w14:textId="016EA429"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Արտարժույթով ավանդների (մինչև մեկ տարի ժամկետով) տոկոսադրույք</w:t>
      </w:r>
      <w:r w:rsidR="00B52A30" w:rsidRPr="00C921DE">
        <w:rPr>
          <w:rFonts w:ascii="GHEA Grapalat" w:hAnsi="GHEA Grapalat"/>
          <w:sz w:val="22"/>
          <w:szCs w:val="22"/>
          <w:lang w:val="en-US"/>
        </w:rPr>
        <w:t>ն</w:t>
      </w:r>
      <w:r w:rsidRPr="00C921DE">
        <w:rPr>
          <w:rFonts w:ascii="GHEA Grapalat" w:hAnsi="GHEA Grapalat"/>
          <w:sz w:val="22"/>
          <w:szCs w:val="22"/>
        </w:rPr>
        <w:t xml:space="preserve"> աճել է 0.6 տոկոսային կետով՝ կազմելով 2.5%, իսկ վարկերի (մինչև մեկ տարի ժամկետով) տոկոսադրույքը կազմել է 7.8%:</w:t>
      </w:r>
    </w:p>
    <w:p w14:paraId="7A3CDEC7" w14:textId="63E3D8AC"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Ֆինանսական շուկայում արտարժույթով և դրամով միջին կշռված (մինչև 1 տարի ժամկետով) տոկոսադրույքների միջև միջին սպրեդը 2023 թվականին նախորդ տարվա նկատմամբ աճել է 0.2 տոկոսային կետով և կազմել 5</w:t>
      </w:r>
      <w:r w:rsidRPr="00C921DE">
        <w:rPr>
          <w:rFonts w:ascii="Cambria Math" w:hAnsi="Cambria Math" w:cs="Cambria Math"/>
          <w:sz w:val="22"/>
          <w:szCs w:val="22"/>
        </w:rPr>
        <w:t>․</w:t>
      </w:r>
      <w:r w:rsidRPr="00C921DE">
        <w:rPr>
          <w:rFonts w:ascii="GHEA Grapalat" w:hAnsi="GHEA Grapalat"/>
          <w:sz w:val="22"/>
          <w:szCs w:val="22"/>
        </w:rPr>
        <w:t>4 տոկոս: Դրամով վարկերի և ավանդների միջև տոկոսադրույքների սպրեդը կազմել է 4.3%՝ աճելով 0.9 տոկսային կետով, իսկ արտարժույթով վարկերի և ավանդների սպրեդը նվազել է 0.2 տոկոսային կետով՝ կազմելով 5.1%:</w:t>
      </w:r>
    </w:p>
    <w:p w14:paraId="0C3B6E9C" w14:textId="79988C3B"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cs="GHEA Grapalat"/>
          <w:b/>
          <w:i/>
          <w:sz w:val="22"/>
          <w:szCs w:val="22"/>
        </w:rPr>
        <w:lastRenderedPageBreak/>
        <w:t>ՀՀ պետական պարտատոմսերի շուկա</w:t>
      </w:r>
      <w:r w:rsidR="00BB1FE3" w:rsidRPr="00C921DE">
        <w:rPr>
          <w:rStyle w:val="FootnoteReference"/>
          <w:rFonts w:ascii="GHEA Grapalat" w:hAnsi="GHEA Grapalat"/>
          <w:sz w:val="22"/>
          <w:szCs w:val="22"/>
        </w:rPr>
        <w:footnoteReference w:id="24"/>
      </w:r>
      <w:r w:rsidRPr="00C921DE">
        <w:rPr>
          <w:rFonts w:ascii="GHEA Grapalat" w:hAnsi="GHEA Grapalat" w:cs="GHEA Grapalat"/>
          <w:b/>
          <w:i/>
          <w:sz w:val="22"/>
          <w:szCs w:val="22"/>
        </w:rPr>
        <w:t>:</w:t>
      </w:r>
      <w:r w:rsidRPr="00C921DE">
        <w:rPr>
          <w:rFonts w:ascii="GHEA Grapalat" w:hAnsi="GHEA Grapalat" w:cs="GHEA Grapalat"/>
          <w:sz w:val="22"/>
          <w:szCs w:val="22"/>
        </w:rPr>
        <w:t xml:space="preserve"> </w:t>
      </w:r>
      <w:r w:rsidRPr="00C921DE">
        <w:rPr>
          <w:rFonts w:ascii="GHEA Grapalat" w:hAnsi="GHEA Grapalat"/>
          <w:sz w:val="22"/>
          <w:szCs w:val="22"/>
        </w:rPr>
        <w:t>ՀՀ պետական պարտատոմսերի շուկայում ՊՊ եկամտաբերությունները նվազել են 202</w:t>
      </w:r>
      <w:r w:rsidR="00F430A6" w:rsidRPr="00C921DE">
        <w:rPr>
          <w:rFonts w:ascii="GHEA Grapalat" w:hAnsi="GHEA Grapalat"/>
          <w:sz w:val="22"/>
          <w:szCs w:val="22"/>
          <w:lang w:val="en-US"/>
        </w:rPr>
        <w:t>3</w:t>
      </w:r>
      <w:r w:rsidR="00E767A4" w:rsidRPr="00C921DE">
        <w:rPr>
          <w:rFonts w:ascii="GHEA Grapalat" w:hAnsi="GHEA Grapalat"/>
          <w:sz w:val="22"/>
          <w:szCs w:val="22"/>
          <w:lang w:val="en-US"/>
        </w:rPr>
        <w:t xml:space="preserve"> </w:t>
      </w:r>
      <w:r w:rsidRPr="00C921DE">
        <w:rPr>
          <w:rFonts w:ascii="GHEA Grapalat" w:hAnsi="GHEA Grapalat"/>
          <w:sz w:val="22"/>
          <w:szCs w:val="22"/>
        </w:rPr>
        <w:t>թ</w:t>
      </w:r>
      <w:r w:rsidR="00E767A4" w:rsidRPr="00C921DE">
        <w:rPr>
          <w:rFonts w:ascii="GHEA Grapalat" w:hAnsi="GHEA Grapalat"/>
          <w:sz w:val="22"/>
          <w:szCs w:val="22"/>
          <w:lang w:val="en-US"/>
        </w:rPr>
        <w:t>վական</w:t>
      </w:r>
      <w:r w:rsidRPr="00C921DE">
        <w:rPr>
          <w:rFonts w:ascii="GHEA Grapalat" w:hAnsi="GHEA Grapalat"/>
          <w:sz w:val="22"/>
          <w:szCs w:val="22"/>
        </w:rPr>
        <w:t>ի վերջի դրությամբ, ինչին նպաստել է ՀՀ ԿԲ կողմից դրամավարկային քաղաքականության մեղմացումը, ինչպես նաև պարտատոմսեր</w:t>
      </w:r>
      <w:r w:rsidR="00E767A4" w:rsidRPr="00C921DE">
        <w:rPr>
          <w:rFonts w:ascii="GHEA Grapalat" w:hAnsi="GHEA Grapalat"/>
          <w:sz w:val="22"/>
          <w:szCs w:val="22"/>
        </w:rPr>
        <w:t>ի նկատմամբ բարձր պահանջարկը, որն</w:t>
      </w:r>
      <w:r w:rsidRPr="00C921DE">
        <w:rPr>
          <w:rFonts w:ascii="GHEA Grapalat" w:hAnsi="GHEA Grapalat"/>
          <w:sz w:val="22"/>
          <w:szCs w:val="22"/>
        </w:rPr>
        <w:t xml:space="preserve"> օժանդակություն է գտել բանկային համակարգում կուտակված լրացուցիչ իրացվելիությամբ: Եթե 2022 թվականին տեղաբաշխված պետական պարտատոմսերի միջին կշռված եկամտաբերությունը կազմել էր 11.1%, ապա 2023 թվականի</w:t>
      </w:r>
      <w:r w:rsidR="00E767A4" w:rsidRPr="00C921DE">
        <w:rPr>
          <w:rFonts w:ascii="GHEA Grapalat" w:hAnsi="GHEA Grapalat"/>
          <w:sz w:val="22"/>
          <w:szCs w:val="22"/>
          <w:lang w:val="en-US"/>
        </w:rPr>
        <w:t>ն</w:t>
      </w:r>
      <w:r w:rsidRPr="00C921DE">
        <w:rPr>
          <w:rFonts w:ascii="GHEA Grapalat" w:hAnsi="GHEA Grapalat"/>
          <w:sz w:val="22"/>
          <w:szCs w:val="22"/>
        </w:rPr>
        <w:t xml:space="preserve"> այն կազմել է 10.8% կամ շուրջ 0.3 տոկոսային կետով քիչ: </w:t>
      </w:r>
    </w:p>
    <w:p w14:paraId="5F0F02F4" w14:textId="6C48BD73"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2023</w:t>
      </w:r>
      <w:r w:rsidR="00036DCE" w:rsidRPr="00C921DE">
        <w:rPr>
          <w:rFonts w:ascii="GHEA Grapalat" w:hAnsi="GHEA Grapalat"/>
          <w:sz w:val="22"/>
          <w:szCs w:val="22"/>
        </w:rPr>
        <w:t xml:space="preserve"> </w:t>
      </w:r>
      <w:r w:rsidRPr="00C921DE">
        <w:rPr>
          <w:rFonts w:ascii="GHEA Grapalat" w:hAnsi="GHEA Grapalat"/>
          <w:sz w:val="22"/>
          <w:szCs w:val="22"/>
        </w:rPr>
        <w:t xml:space="preserve">թվականին տեղաբաշխված </w:t>
      </w:r>
      <w:r w:rsidR="00F430A6" w:rsidRPr="00C921DE">
        <w:rPr>
          <w:rFonts w:ascii="GHEA Grapalat" w:hAnsi="GHEA Grapalat"/>
          <w:sz w:val="22"/>
          <w:szCs w:val="22"/>
          <w:lang w:val="en-US"/>
        </w:rPr>
        <w:t>գանձա</w:t>
      </w:r>
      <w:r w:rsidRPr="00C921DE">
        <w:rPr>
          <w:rFonts w:ascii="GHEA Grapalat" w:hAnsi="GHEA Grapalat"/>
          <w:sz w:val="22"/>
          <w:szCs w:val="22"/>
        </w:rPr>
        <w:t xml:space="preserve">պետական </w:t>
      </w:r>
      <w:r w:rsidR="00F430A6" w:rsidRPr="00C921DE">
        <w:rPr>
          <w:rFonts w:ascii="GHEA Grapalat" w:hAnsi="GHEA Grapalat"/>
          <w:sz w:val="22"/>
          <w:szCs w:val="22"/>
          <w:lang w:val="en-US"/>
        </w:rPr>
        <w:t xml:space="preserve">շուկայական </w:t>
      </w:r>
      <w:r w:rsidRPr="00C921DE">
        <w:rPr>
          <w:rFonts w:ascii="GHEA Grapalat" w:hAnsi="GHEA Grapalat"/>
          <w:sz w:val="22"/>
          <w:szCs w:val="22"/>
        </w:rPr>
        <w:t xml:space="preserve">պարտատոմսերի ծավալը կազմել է </w:t>
      </w:r>
      <w:r w:rsidR="006A477A" w:rsidRPr="00C921DE">
        <w:rPr>
          <w:rFonts w:ascii="GHEA Grapalat" w:hAnsi="GHEA Grapalat"/>
          <w:sz w:val="22"/>
          <w:szCs w:val="22"/>
          <w:lang w:val="en-US"/>
        </w:rPr>
        <w:t>826.5</w:t>
      </w:r>
      <w:r w:rsidRPr="00C921DE">
        <w:rPr>
          <w:rFonts w:ascii="GHEA Grapalat" w:hAnsi="GHEA Grapalat"/>
          <w:sz w:val="22"/>
          <w:szCs w:val="22"/>
        </w:rPr>
        <w:t xml:space="preserve"> մլրդ դրամ՝ 2022 թվականի 436 մլրդ դրամի դիմաց, իսկ տեղաբաշխման միջին կշռված ժամկետայնությունը կազմել է 2381 օր՝ 2022 թվականի նույն ժամանակահատվածի 1762 օր ցուցանիշի համեմատ:</w:t>
      </w:r>
    </w:p>
    <w:p w14:paraId="5DF131E4" w14:textId="3CF93AB6"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2023 թվականին պետական (շուկայական) պարտատոմսերի նկատմամբ պահանջարկը գերազանցել է տեղաբաշխման ցուցանիշը 2.1 անգամ (2022 թվականի նույն ժամանակահատվածում՝ 2 անգամ), իսկ տեղաբաշխման ենթակա ծավալ/տեղաբաշխված ծավալ միջին հարաբերակցությունը կազմել է 1.2 (2022 թվականի նույն ժամանակահատվածում` 1.3):</w:t>
      </w:r>
    </w:p>
    <w:p w14:paraId="404E20F3" w14:textId="77777777" w:rsidR="007839C9" w:rsidRPr="00C921DE" w:rsidRDefault="007839C9" w:rsidP="007839C9">
      <w:pPr>
        <w:ind w:firstLine="567"/>
        <w:jc w:val="both"/>
        <w:rPr>
          <w:rFonts w:ascii="GHEA Grapalat" w:hAnsi="GHEA Grapalat"/>
          <w:sz w:val="22"/>
          <w:szCs w:val="22"/>
        </w:rPr>
      </w:pPr>
    </w:p>
    <w:p w14:paraId="5A1A0AE0" w14:textId="03C6010F" w:rsidR="00E76051" w:rsidRPr="00C921DE" w:rsidRDefault="00E76051" w:rsidP="004C12B8">
      <w:pPr>
        <w:pStyle w:val="a"/>
        <w:rPr>
          <w:rFonts w:eastAsia="Calibri"/>
        </w:rPr>
      </w:pPr>
      <w:r w:rsidRPr="00C921DE">
        <w:rPr>
          <w:rFonts w:eastAsia="GHEA Grapalat"/>
        </w:rPr>
        <w:t>ՀՀ</w:t>
      </w:r>
      <w:r w:rsidR="00FE3A4C" w:rsidRPr="00C921DE">
        <w:rPr>
          <w:rFonts w:eastAsia="GHEA Grapalat"/>
        </w:rPr>
        <w:t xml:space="preserve"> </w:t>
      </w:r>
      <w:r w:rsidRPr="00C921DE">
        <w:rPr>
          <w:rFonts w:eastAsia="GHEA Grapalat"/>
        </w:rPr>
        <w:t>պետական պարտատոմսերի առաջնային շուկայի զարգացումները 2019-2023թթ</w:t>
      </w:r>
      <w:r w:rsidRPr="00C921DE">
        <w:rPr>
          <w:rFonts w:ascii="Cambria Math" w:eastAsia="GHEA Grapalat" w:hAnsi="Cambria Math" w:cs="Cambria Math"/>
        </w:rPr>
        <w:t>․</w:t>
      </w:r>
      <w:r w:rsidRPr="00C921DE">
        <w:rPr>
          <w:rFonts w:eastAsia="GHEA Grapalat"/>
        </w:rPr>
        <w:t xml:space="preserve"> </w:t>
      </w:r>
    </w:p>
    <w:p w14:paraId="34201E4C" w14:textId="77777777" w:rsidR="00E76051" w:rsidRPr="00C921DE" w:rsidRDefault="00E76051" w:rsidP="00E76051">
      <w:pPr>
        <w:spacing w:line="360" w:lineRule="auto"/>
        <w:jc w:val="both"/>
        <w:rPr>
          <w:rFonts w:ascii="GHEA Grapalat" w:eastAsia="Calibri" w:hAnsi="GHEA Grapalat" w:cs="Sylfaen"/>
          <w:sz w:val="22"/>
          <w:szCs w:val="22"/>
        </w:rPr>
      </w:pPr>
      <w:r w:rsidRPr="00C921DE">
        <w:rPr>
          <w:rFonts w:ascii="GHEA Grapalat" w:eastAsia="Calibri" w:hAnsi="GHEA Grapalat" w:cs="Sylfaen"/>
          <w:sz w:val="22"/>
          <w:szCs w:val="22"/>
          <w:lang w:val="en-US"/>
        </w:rPr>
        <w:drawing>
          <wp:inline distT="0" distB="0" distL="0" distR="0" wp14:anchorId="7C94DFC3" wp14:editId="2FE477BB">
            <wp:extent cx="3110865" cy="2433099"/>
            <wp:effectExtent l="0" t="0" r="13335" b="571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lang w:val="en-US"/>
        </w:rPr>
        <w:drawing>
          <wp:inline distT="0" distB="0" distL="0" distR="0" wp14:anchorId="56F9F3FC" wp14:editId="510199A8">
            <wp:extent cx="3239770" cy="2441051"/>
            <wp:effectExtent l="0" t="0" r="17780" b="1651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F372B2A" w14:textId="7CD19D95" w:rsidR="00E76051" w:rsidRPr="00C921DE" w:rsidRDefault="00E76051" w:rsidP="007839C9">
      <w:pPr>
        <w:spacing w:line="360" w:lineRule="auto"/>
        <w:jc w:val="both"/>
        <w:rPr>
          <w:rFonts w:ascii="GHEA Grapalat" w:hAnsi="GHEA Grapalat"/>
          <w:i/>
          <w:sz w:val="18"/>
          <w:szCs w:val="18"/>
        </w:rPr>
      </w:pPr>
      <w:r w:rsidRPr="00C921DE">
        <w:rPr>
          <w:rFonts w:ascii="GHEA Grapalat" w:hAnsi="GHEA Grapalat"/>
          <w:i/>
          <w:sz w:val="18"/>
          <w:szCs w:val="18"/>
        </w:rPr>
        <w:t>Աղբյուրը՝ ՀՀ ՖՆ</w:t>
      </w:r>
    </w:p>
    <w:p w14:paraId="44616E22" w14:textId="77777777" w:rsidR="006A477A" w:rsidRPr="00C921DE" w:rsidRDefault="006A477A" w:rsidP="00176CD4">
      <w:pPr>
        <w:spacing w:after="120"/>
        <w:jc w:val="both"/>
        <w:rPr>
          <w:rFonts w:ascii="GHEA Grapalat" w:eastAsia="Calibri" w:hAnsi="GHEA Grapalat" w:cs="Sylfaen"/>
          <w:i/>
          <w:sz w:val="18"/>
        </w:rPr>
      </w:pPr>
      <w:r w:rsidRPr="00C921DE">
        <w:rPr>
          <w:rFonts w:ascii="GHEA Grapalat" w:eastAsia="Calibri" w:hAnsi="GHEA Grapalat" w:cs="Sylfaen"/>
          <w:i/>
          <w:sz w:val="18"/>
        </w:rPr>
        <w:t>*2023թ</w:t>
      </w:r>
      <w:r w:rsidRPr="00C921DE">
        <w:rPr>
          <w:rFonts w:ascii="Cambria Math" w:eastAsia="Calibri" w:hAnsi="Cambria Math" w:cs="Cambria Math"/>
          <w:i/>
          <w:sz w:val="18"/>
        </w:rPr>
        <w:t>․</w:t>
      </w:r>
      <w:r w:rsidRPr="00C921DE">
        <w:rPr>
          <w:rFonts w:ascii="GHEA Grapalat" w:eastAsia="Calibri" w:hAnsi="GHEA Grapalat" w:cs="Sylfaen"/>
          <w:i/>
          <w:sz w:val="18"/>
        </w:rPr>
        <w:t xml:space="preserve"> տեղաբաշխման ծավալի ցուցանիշը չի ներառում ՀՀ կառավարության 2023 թվականի դեկտեմբերի 28-ի N 2326-Ն որոշմամբ տեղաբաշխված 206.4 մլրդ դրամ ծավալով պարտատոմսը։</w:t>
      </w:r>
    </w:p>
    <w:p w14:paraId="127FD722" w14:textId="171D8546"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cs="GHEA Grapalat"/>
          <w:b/>
          <w:i/>
          <w:sz w:val="22"/>
          <w:szCs w:val="22"/>
        </w:rPr>
        <w:lastRenderedPageBreak/>
        <w:t>ՀՀ եվրապարտատոմսերի երկրորդային շուկա:</w:t>
      </w:r>
      <w:r w:rsidRPr="00C921DE">
        <w:rPr>
          <w:rFonts w:ascii="GHEA Grapalat" w:hAnsi="GHEA Grapalat" w:cs="GHEA Grapalat"/>
          <w:sz w:val="22"/>
          <w:szCs w:val="22"/>
        </w:rPr>
        <w:t xml:space="preserve"> </w:t>
      </w:r>
      <w:r w:rsidRPr="00C921DE">
        <w:rPr>
          <w:rFonts w:ascii="GHEA Grapalat" w:hAnsi="GHEA Grapalat"/>
          <w:sz w:val="22"/>
          <w:szCs w:val="22"/>
        </w:rPr>
        <w:t>Չնայած միջազգային ֆինանսական շուկայում տոկոսադրույքների աճի պահպանվող միտումներին, ՀՀ եվրապարտատոմսերի երկրորդային շուկայում եկամտաբերությունները 2023 թվականին 2022 թվականի համեմատ նվազել են, ինչը պայմանավորված է եղել երկրի ռիսկի հավելավճարի զգալի նվազմամբ։</w:t>
      </w:r>
      <w:r w:rsidR="00FE3A4C" w:rsidRPr="00C921DE">
        <w:rPr>
          <w:rFonts w:ascii="GHEA Grapalat" w:hAnsi="GHEA Grapalat"/>
          <w:sz w:val="22"/>
          <w:szCs w:val="22"/>
        </w:rPr>
        <w:t xml:space="preserve"> </w:t>
      </w:r>
      <w:r w:rsidRPr="00C921DE">
        <w:rPr>
          <w:rFonts w:ascii="GHEA Grapalat" w:hAnsi="GHEA Grapalat"/>
          <w:sz w:val="22"/>
          <w:szCs w:val="22"/>
        </w:rPr>
        <w:t>Միջազգային կապիտալի շուկայում 2015 թվականին 7.5% եկամտաբերությամբ թողարկված պետական արտարժութային պարտատոմսերի եկամտաբերությունը 2023 թվականին միջինում կազմել է 6.3%՝ 2022 թվականի</w:t>
      </w:r>
      <w:r w:rsidR="001F529B" w:rsidRPr="00C921DE">
        <w:rPr>
          <w:rFonts w:ascii="GHEA Grapalat" w:hAnsi="GHEA Grapalat"/>
          <w:sz w:val="22"/>
          <w:szCs w:val="22"/>
          <w:lang w:val="en-US"/>
        </w:rPr>
        <w:t>ն</w:t>
      </w:r>
      <w:r w:rsidRPr="00C921DE">
        <w:rPr>
          <w:rFonts w:ascii="GHEA Grapalat" w:hAnsi="GHEA Grapalat"/>
          <w:sz w:val="22"/>
          <w:szCs w:val="22"/>
        </w:rPr>
        <w:t xml:space="preserve"> արձանագրված 6.8%-ի դիմաց, 2019 թվականին 4.2% եկամտաբերությամբ թողարկված պարտատոմսերի եկամտաբերությունը միջինում կազմել է 7.4</w:t>
      </w:r>
      <w:r w:rsidR="001F529B" w:rsidRPr="00C921DE">
        <w:rPr>
          <w:rFonts w:ascii="GHEA Grapalat" w:hAnsi="GHEA Grapalat"/>
          <w:sz w:val="22"/>
          <w:szCs w:val="22"/>
        </w:rPr>
        <w:t>%` 2022 թվականին</w:t>
      </w:r>
      <w:r w:rsidRPr="00C921DE">
        <w:rPr>
          <w:rFonts w:ascii="GHEA Grapalat" w:hAnsi="GHEA Grapalat"/>
          <w:sz w:val="22"/>
          <w:szCs w:val="22"/>
        </w:rPr>
        <w:t xml:space="preserve"> գրանցված 7.5%-ի դիմաց, իսկ 2021 թվականի փետրվարին 3.9% եկամտաբերությամբ թողարկված պարտատոմսերի եկամտաբերությունը միջինում կազմել է 7.6%` նախորդ տարվա 7.61%-ի համեմատությամբ։</w:t>
      </w:r>
    </w:p>
    <w:p w14:paraId="4D6CE3E8" w14:textId="6FEEF4F7" w:rsidR="00E76051" w:rsidRPr="00C921DE" w:rsidRDefault="00E76051" w:rsidP="00E76051">
      <w:pPr>
        <w:spacing w:line="360" w:lineRule="auto"/>
        <w:ind w:firstLine="567"/>
        <w:jc w:val="both"/>
        <w:rPr>
          <w:rFonts w:ascii="GHEA Grapalat" w:hAnsi="GHEA Grapalat"/>
          <w:sz w:val="22"/>
          <w:szCs w:val="22"/>
        </w:rPr>
      </w:pPr>
      <w:r w:rsidRPr="00C921DE">
        <w:rPr>
          <w:rFonts w:ascii="GHEA Grapalat" w:hAnsi="GHEA Grapalat"/>
          <w:sz w:val="22"/>
          <w:szCs w:val="22"/>
        </w:rPr>
        <w:t>Պետք է նշել, որ 2023</w:t>
      </w:r>
      <w:r w:rsidR="001F529B" w:rsidRPr="00C921DE">
        <w:rPr>
          <w:rFonts w:ascii="GHEA Grapalat" w:hAnsi="GHEA Grapalat"/>
          <w:sz w:val="22"/>
          <w:szCs w:val="22"/>
          <w:lang w:val="en-US"/>
        </w:rPr>
        <w:t xml:space="preserve"> </w:t>
      </w:r>
      <w:r w:rsidRPr="00C921DE">
        <w:rPr>
          <w:rFonts w:ascii="GHEA Grapalat" w:hAnsi="GHEA Grapalat"/>
          <w:sz w:val="22"/>
          <w:szCs w:val="22"/>
        </w:rPr>
        <w:t>թ</w:t>
      </w:r>
      <w:r w:rsidR="001F529B" w:rsidRPr="00C921DE">
        <w:rPr>
          <w:rFonts w:ascii="GHEA Grapalat" w:hAnsi="GHEA Grapalat"/>
          <w:sz w:val="22"/>
          <w:szCs w:val="22"/>
          <w:lang w:val="en-US"/>
        </w:rPr>
        <w:t>վականին</w:t>
      </w:r>
      <w:r w:rsidRPr="00C921DE">
        <w:rPr>
          <w:rFonts w:ascii="GHEA Grapalat" w:hAnsi="GHEA Grapalat"/>
          <w:sz w:val="22"/>
          <w:szCs w:val="22"/>
        </w:rPr>
        <w:t xml:space="preserve"> տոկոսադրույքները զարգացած երկրներում պահպանվել են</w:t>
      </w:r>
      <w:r w:rsidR="00FE3A4C" w:rsidRPr="00C921DE">
        <w:rPr>
          <w:rFonts w:ascii="GHEA Grapalat" w:hAnsi="GHEA Grapalat"/>
          <w:sz w:val="22"/>
          <w:szCs w:val="22"/>
        </w:rPr>
        <w:t xml:space="preserve"> </w:t>
      </w:r>
      <w:r w:rsidRPr="00C921DE">
        <w:rPr>
          <w:rFonts w:ascii="GHEA Grapalat" w:hAnsi="GHEA Grapalat"/>
          <w:sz w:val="22"/>
          <w:szCs w:val="22"/>
        </w:rPr>
        <w:t>բարձր մակարդակում՝ կենտրոնական բանկերի կողմից շարունակվող կոշտ դրամավարկային քաղաքականության դիրքի պահպանմամբ պայմանավորված։ Այսպես, ԱՄՆ 10 տարի ժամկետայնությամբ պետական պարտատոմսերի եկամտաբերությունը միջինում կազմել է 3.96%` 2022</w:t>
      </w:r>
      <w:r w:rsidR="00AC0111" w:rsidRPr="00C921DE">
        <w:rPr>
          <w:rFonts w:ascii="GHEA Grapalat" w:hAnsi="GHEA Grapalat"/>
          <w:sz w:val="22"/>
          <w:szCs w:val="22"/>
          <w:lang w:val="en-US"/>
        </w:rPr>
        <w:t xml:space="preserve"> </w:t>
      </w:r>
      <w:r w:rsidRPr="00C921DE">
        <w:rPr>
          <w:rFonts w:ascii="GHEA Grapalat" w:hAnsi="GHEA Grapalat"/>
          <w:sz w:val="22"/>
          <w:szCs w:val="22"/>
        </w:rPr>
        <w:t>թ</w:t>
      </w:r>
      <w:r w:rsidR="00AC0111" w:rsidRPr="00C921DE">
        <w:rPr>
          <w:rFonts w:ascii="GHEA Grapalat" w:hAnsi="GHEA Grapalat"/>
          <w:sz w:val="22"/>
          <w:szCs w:val="22"/>
          <w:lang w:val="en-US"/>
        </w:rPr>
        <w:t>վականի</w:t>
      </w:r>
      <w:r w:rsidRPr="00C921DE">
        <w:rPr>
          <w:rFonts w:ascii="GHEA Grapalat" w:hAnsi="GHEA Grapalat"/>
          <w:sz w:val="22"/>
          <w:szCs w:val="22"/>
        </w:rPr>
        <w:t xml:space="preserve"> 2.95%-ի համեմատությամբ։ Չնայած դրան, զարգաց</w:t>
      </w:r>
      <w:r w:rsidR="00AC0111" w:rsidRPr="00C921DE">
        <w:rPr>
          <w:rFonts w:ascii="GHEA Grapalat" w:hAnsi="GHEA Grapalat"/>
          <w:sz w:val="22"/>
          <w:szCs w:val="22"/>
        </w:rPr>
        <w:t>ող երկրների ռիսկի հավելավճարներն</w:t>
      </w:r>
      <w:r w:rsidRPr="00C921DE">
        <w:rPr>
          <w:rFonts w:ascii="GHEA Grapalat" w:hAnsi="GHEA Grapalat"/>
          <w:sz w:val="22"/>
          <w:szCs w:val="22"/>
        </w:rPr>
        <w:t xml:space="preserve"> էականորեն նվազել են, և 2021-2022թթ</w:t>
      </w:r>
      <w:r w:rsidRPr="00C921DE">
        <w:rPr>
          <w:rFonts w:ascii="Cambria Math" w:hAnsi="Cambria Math" w:cs="Cambria Math"/>
          <w:sz w:val="22"/>
          <w:szCs w:val="22"/>
        </w:rPr>
        <w:t>․</w:t>
      </w:r>
      <w:r w:rsidRPr="00C921DE">
        <w:rPr>
          <w:rFonts w:ascii="GHEA Grapalat" w:hAnsi="GHEA Grapalat"/>
          <w:sz w:val="22"/>
          <w:szCs w:val="22"/>
        </w:rPr>
        <w:t xml:space="preserve"> զգալի աճից հետո 2023</w:t>
      </w:r>
      <w:r w:rsidR="00AC0111" w:rsidRPr="00C921DE">
        <w:rPr>
          <w:rFonts w:ascii="GHEA Grapalat" w:hAnsi="GHEA Grapalat"/>
          <w:sz w:val="22"/>
          <w:szCs w:val="22"/>
          <w:lang w:val="en-US"/>
        </w:rPr>
        <w:t xml:space="preserve"> </w:t>
      </w:r>
      <w:r w:rsidRPr="00C921DE">
        <w:rPr>
          <w:rFonts w:ascii="GHEA Grapalat" w:hAnsi="GHEA Grapalat"/>
          <w:sz w:val="22"/>
          <w:szCs w:val="22"/>
        </w:rPr>
        <w:t>թ</w:t>
      </w:r>
      <w:r w:rsidR="00AC0111" w:rsidRPr="00C921DE">
        <w:rPr>
          <w:rFonts w:ascii="GHEA Grapalat" w:hAnsi="GHEA Grapalat"/>
          <w:sz w:val="22"/>
          <w:szCs w:val="22"/>
          <w:lang w:val="en-US"/>
        </w:rPr>
        <w:t>վական</w:t>
      </w:r>
      <w:r w:rsidRPr="00C921DE">
        <w:rPr>
          <w:rFonts w:ascii="GHEA Grapalat" w:hAnsi="GHEA Grapalat"/>
          <w:sz w:val="22"/>
          <w:szCs w:val="22"/>
        </w:rPr>
        <w:t>ի ընթացքում մոտեցել են նախկին մակարդակներին, ինչը պայմանավորված է ինչպես զարգացած երկրներում տոկոսադրույքի հետագա նվազման սպասումներով, այնպես էլ առանձին զարգացող երկրներում աճի դրական միտումներով։</w:t>
      </w:r>
      <w:r w:rsidR="00FE3A4C" w:rsidRPr="00C921DE">
        <w:rPr>
          <w:rFonts w:ascii="GHEA Grapalat" w:hAnsi="GHEA Grapalat"/>
          <w:sz w:val="22"/>
          <w:szCs w:val="22"/>
        </w:rPr>
        <w:t xml:space="preserve"> </w:t>
      </w:r>
    </w:p>
    <w:p w14:paraId="657009BB" w14:textId="77777777" w:rsidR="00E76051" w:rsidRPr="00C921DE" w:rsidRDefault="00E76051" w:rsidP="00B7674E">
      <w:pPr>
        <w:ind w:firstLine="567"/>
        <w:jc w:val="both"/>
        <w:rPr>
          <w:rFonts w:ascii="GHEA Grapalat" w:hAnsi="GHEA Grapalat"/>
          <w:sz w:val="22"/>
          <w:szCs w:val="22"/>
        </w:rPr>
      </w:pPr>
    </w:p>
    <w:p w14:paraId="16322B98" w14:textId="59D87E4B" w:rsidR="00E76051" w:rsidRPr="00C921DE" w:rsidRDefault="00E76051" w:rsidP="004C12B8">
      <w:pPr>
        <w:pStyle w:val="a"/>
        <w:rPr>
          <w:rFonts w:eastAsia="GHEA Grapalat"/>
        </w:rPr>
      </w:pPr>
      <w:r w:rsidRPr="00C921DE">
        <w:rPr>
          <w:rFonts w:eastAsia="GHEA Grapalat"/>
        </w:rPr>
        <w:t>ՀՀ եվրոբոնդերի եկամտաբերությունները և ռիսկի հավելավճարը 2019-2023թթ</w:t>
      </w:r>
      <w:r w:rsidRPr="00C921DE">
        <w:rPr>
          <w:rFonts w:ascii="Cambria Math" w:eastAsia="GHEA Grapalat" w:hAnsi="Cambria Math" w:cs="Cambria Math"/>
        </w:rPr>
        <w:t>․</w:t>
      </w:r>
      <w:r w:rsidRPr="00C921DE">
        <w:rPr>
          <w:rFonts w:eastAsia="GHEA Grapalat"/>
        </w:rPr>
        <w:t xml:space="preserve"> </w:t>
      </w:r>
    </w:p>
    <w:p w14:paraId="1DBF25D6" w14:textId="77777777" w:rsidR="00E76051" w:rsidRPr="00C921DE" w:rsidRDefault="00E76051" w:rsidP="00E76051">
      <w:pPr>
        <w:spacing w:line="276" w:lineRule="auto"/>
        <w:jc w:val="both"/>
        <w:rPr>
          <w:rFonts w:ascii="GHEA Grapalat" w:hAnsi="GHEA Grapalat" w:cs="GHEA Grapalat"/>
          <w:sz w:val="22"/>
          <w:szCs w:val="22"/>
          <w:lang w:val="en-US"/>
        </w:rPr>
      </w:pPr>
      <w:r w:rsidRPr="00C921DE">
        <w:rPr>
          <w:rFonts w:ascii="GHEA Grapalat" w:hAnsi="GHEA Grapalat" w:cs="GHEA Grapalat"/>
          <w:sz w:val="22"/>
          <w:szCs w:val="22"/>
          <w:lang w:val="en-US"/>
        </w:rPr>
        <w:drawing>
          <wp:inline distT="0" distB="0" distL="0" distR="0" wp14:anchorId="1E318A20" wp14:editId="224EAD79">
            <wp:extent cx="3170555" cy="2671638"/>
            <wp:effectExtent l="0" t="0" r="10795" b="1460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sidRPr="00C921DE">
        <w:rPr>
          <w:rFonts w:ascii="GHEA Grapalat" w:hAnsi="GHEA Grapalat" w:cs="GHEA Grapalat"/>
          <w:sz w:val="22"/>
          <w:szCs w:val="22"/>
          <w:lang w:val="en-US"/>
        </w:rPr>
        <w:drawing>
          <wp:inline distT="0" distB="0" distL="0" distR="0" wp14:anchorId="4729F2D3" wp14:editId="267C51EF">
            <wp:extent cx="3239770" cy="2687541"/>
            <wp:effectExtent l="0" t="0" r="17780" b="1778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91B3E63" w14:textId="77777777" w:rsidR="00E76051" w:rsidRPr="00C921DE" w:rsidRDefault="00E76051" w:rsidP="00E76051">
      <w:pPr>
        <w:spacing w:after="120"/>
        <w:jc w:val="both"/>
        <w:rPr>
          <w:rFonts w:ascii="GHEA Grapalat" w:hAnsi="GHEA Grapalat" w:cs="GHEA Grapalat"/>
          <w:i/>
          <w:iCs/>
          <w:sz w:val="22"/>
          <w:szCs w:val="22"/>
        </w:rPr>
      </w:pPr>
      <w:r w:rsidRPr="00C921DE">
        <w:rPr>
          <w:rFonts w:ascii="GHEA Grapalat" w:hAnsi="GHEA Grapalat"/>
          <w:i/>
          <w:iCs/>
          <w:sz w:val="18"/>
          <w:szCs w:val="18"/>
        </w:rPr>
        <w:t>Աղբյուրը՝ ՀՀ ՖՆ։ Ռիսկի հավելավճարը ՀՀ ՖՆ գնահատումներն են՝ հաշվարկված որպես ՀՀ եվրոբոնդերի և ԱՄՆ պետական պարտատոմսերի եկամտաբերությունների տարբերություն</w:t>
      </w:r>
    </w:p>
    <w:p w14:paraId="353525EC" w14:textId="77777777" w:rsidR="00E76051" w:rsidRPr="00C921DE" w:rsidRDefault="00E76051" w:rsidP="00E76051">
      <w:pPr>
        <w:spacing w:line="360" w:lineRule="auto"/>
        <w:ind w:firstLine="567"/>
        <w:jc w:val="both"/>
        <w:rPr>
          <w:rFonts w:ascii="GHEA Grapalat" w:eastAsia="Calibri" w:hAnsi="GHEA Grapalat" w:cs="Sylfaen"/>
          <w:sz w:val="22"/>
          <w:szCs w:val="22"/>
        </w:rPr>
      </w:pPr>
    </w:p>
    <w:p w14:paraId="52FC8CED" w14:textId="77777777" w:rsidR="00E76051" w:rsidRPr="00C921DE" w:rsidRDefault="00E76051" w:rsidP="00E76051">
      <w:pPr>
        <w:spacing w:line="360" w:lineRule="auto"/>
        <w:ind w:firstLine="567"/>
        <w:jc w:val="both"/>
        <w:rPr>
          <w:rFonts w:ascii="GHEA Grapalat" w:eastAsia="GHEA Grapalat" w:hAnsi="GHEA Grapalat" w:cs="GHEA Grapalat"/>
          <w:b/>
          <w:u w:val="single"/>
        </w:rPr>
      </w:pPr>
      <w:r w:rsidRPr="00C921DE">
        <w:rPr>
          <w:rFonts w:ascii="GHEA Grapalat" w:eastAsia="Calibri" w:hAnsi="GHEA Grapalat" w:cs="Sylfaen"/>
          <w:sz w:val="22"/>
          <w:szCs w:val="22"/>
        </w:rPr>
        <w:t>ՀՀ երկրի ռիսկի հավելավճարը նախորդ տարվա համեմատ էականորեն նվազել է, ինչը պայմանավորված է Հայաստանի տնտեսական միջավայրի բարելավմամբ և տնտեսական շոկի հաղթահարմանն ուղղված խելամիտ մակրոտնտեսական քաղաքականություններով ու դրանց արդյունքներով, վերջիններով ամրապնդվող՝ ՀՀ սուվերեն վարկանիշի դրական զարգացումներով, ՀՀ բանկային համակարգի իրացվելիության դիրքի բարելավման արդյունքում ՀՀ եվրոբոնդերի նկատմամբ պահանջարկի աճով, ինչպես նաև զարգացող երկրների ռիսկի հավելավճարի` 2022 թվականի աճից հետո դեպի ներքև որոշակի ճշգրտմամբ։ 2025 թվականին մարվող եվրապարտատոմսերի ռիսկի հավելավճարը 2023 թվականին կազմել է 164 բազիսային կետ՝ նախորդ տարվա 375 տոկոսային կետ ցուցանիշի դիմաց, 2029 թվականին մարվող պարտատոմսերինը՝ 336 բազիսային կետ՝ նախորդ տարվա 459 բազիսային կետ ցուցանիշի դիմաց, իսկ 2031 թվականին մարվող պարտատոմսերինը՝ 351 բազիսային կետ՝ նախորդ տարվա 456 բազիսային կետ ցուցանիշի դիմաց։</w:t>
      </w:r>
    </w:p>
    <w:p w14:paraId="687D6686" w14:textId="77777777" w:rsidR="001C411D" w:rsidRPr="00C921DE" w:rsidRDefault="001C411D" w:rsidP="00400A22">
      <w:pPr>
        <w:spacing w:line="360" w:lineRule="auto"/>
        <w:ind w:firstLine="567"/>
        <w:jc w:val="both"/>
        <w:rPr>
          <w:rFonts w:ascii="GHEA Grapalat" w:hAnsi="GHEA Grapalat" w:cs="Sylfaen"/>
          <w:sz w:val="22"/>
          <w:szCs w:val="22"/>
        </w:rPr>
      </w:pPr>
    </w:p>
    <w:p w14:paraId="2DD3231C" w14:textId="77777777" w:rsidR="001C411D" w:rsidRPr="00C921DE" w:rsidRDefault="001C411D" w:rsidP="00BC60C6">
      <w:pPr>
        <w:pStyle w:val="Heading2"/>
        <w:spacing w:before="0"/>
        <w:ind w:firstLine="0"/>
      </w:pPr>
      <w:bookmarkStart w:id="86" w:name="_Toc100315621"/>
      <w:bookmarkStart w:id="87" w:name="_Toc163745450"/>
      <w:r w:rsidRPr="00C921DE">
        <w:t>ՀԱՐԿԱԲՅՈՒՋԵՏԱՅԻՆ ՔԱՂԱՔԱԿԱՆՈՒԹՅԱՆ ՀԻՄՆԱԿԱՆ ԶԱՐԳԱՑՈՒՄՆԵՐԸ</w:t>
      </w:r>
      <w:bookmarkEnd w:id="86"/>
      <w:bookmarkEnd w:id="87"/>
      <w:r w:rsidRPr="00C921DE">
        <w:t xml:space="preserve"> </w:t>
      </w:r>
    </w:p>
    <w:p w14:paraId="17D19895" w14:textId="410EA0B2"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2023 թվականին հարկաբյուջետային քաղաքականությունն ուղղված է եղել ՀՀ կառավարության 2021-2026թթ. ծրագրին համահունչ թիրախավորված 7% տնտեսական աճի ապահովմանը՝ ապահովելով պետական ներդրումների մակարդակի բարձրացում և ծախսերի իրականացման արդյունավետության աճ, ինչպես նաև՝ պարտքի կայունության պահպանմանը: Այդ նպատակներից ելնելով</w:t>
      </w:r>
      <w:r w:rsidR="006010FE" w:rsidRPr="00C921DE">
        <w:rPr>
          <w:rFonts w:ascii="GHEA Grapalat" w:eastAsia="Calibri" w:hAnsi="GHEA Grapalat" w:cs="Sylfaen"/>
          <w:sz w:val="22"/>
          <w:szCs w:val="22"/>
        </w:rPr>
        <w:t>՝</w:t>
      </w:r>
      <w:r w:rsidRPr="00C921DE">
        <w:rPr>
          <w:rFonts w:ascii="GHEA Grapalat" w:eastAsia="Calibri" w:hAnsi="GHEA Grapalat" w:cs="Sylfaen"/>
          <w:sz w:val="22"/>
          <w:szCs w:val="22"/>
        </w:rPr>
        <w:t xml:space="preserve"> տարվա ընթացքում կանխատեսվածից բարձր տնտեսական աճի պայմաններում կառավարությունը պլանավորված չեզոք հարկաբյուջետային քաղաքականության դիրքի փոխարեն ունեցել է զսպող դիրք (առավելապես պայմանավորված պետական բյուջեի եկամուտների առաջանցիկ աճով)՝ միևնույն ժամանակ իրականացնելով տնտեսական ներուժի բարձրացմանը միտված միջոցառումներ և նպաստելով պարտքի կայունության ապահովմանը: </w:t>
      </w:r>
    </w:p>
    <w:p w14:paraId="5ED73BEE" w14:textId="3E00905B"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GHEA Grapalat" w:hAnsi="GHEA Grapalat" w:cs="GHEA Grapalat"/>
          <w:b/>
          <w:i/>
          <w:sz w:val="22"/>
          <w:szCs w:val="22"/>
        </w:rPr>
        <w:t>Պետական բյուջեի եկամուտները:</w:t>
      </w:r>
      <w:r w:rsidRPr="00C921DE">
        <w:rPr>
          <w:rFonts w:ascii="GHEA Grapalat" w:eastAsia="GHEA Grapalat" w:hAnsi="GHEA Grapalat" w:cs="GHEA Grapalat"/>
          <w:sz w:val="22"/>
          <w:szCs w:val="22"/>
        </w:rPr>
        <w:t xml:space="preserve"> </w:t>
      </w:r>
      <w:r w:rsidRPr="00C921DE">
        <w:rPr>
          <w:rFonts w:ascii="GHEA Grapalat" w:eastAsia="Calibri" w:hAnsi="GHEA Grapalat" w:cs="Sylfaen"/>
          <w:sz w:val="22"/>
          <w:szCs w:val="22"/>
        </w:rPr>
        <w:t xml:space="preserve">2023 թվականին ՀՀ պետական բյուջեի եկամուտները շարունակել են աճել բարձր տեմպերով՝ պայմանավորված հիմնականում բարձր տնտեսական աճի պայմաններում հարկման բազաների ընդլայնմամբ, ինչպես նաև հարկային վարչարարության ջանքերով: 2023 թվականի արդյունքներով ՀՀ պետական բյուջեի ընդհանուր եկամուտները կազմել են 2,358.8 մլրդ դրամ՝ նախորդ տարվա համեմատ աճելով 14.3%-ով, </w:t>
      </w:r>
      <w:r w:rsidR="00D52D0F" w:rsidRPr="00C921DE">
        <w:rPr>
          <w:rFonts w:ascii="GHEA Grapalat" w:eastAsia="Calibri" w:hAnsi="GHEA Grapalat" w:cs="Sylfaen"/>
          <w:sz w:val="22"/>
          <w:szCs w:val="22"/>
          <w:lang w:val="en-US"/>
        </w:rPr>
        <w:t>իսկ</w:t>
      </w:r>
      <w:r w:rsidRPr="00C921DE">
        <w:rPr>
          <w:rFonts w:ascii="GHEA Grapalat" w:eastAsia="Calibri" w:hAnsi="GHEA Grapalat" w:cs="Sylfaen"/>
          <w:sz w:val="22"/>
          <w:szCs w:val="22"/>
        </w:rPr>
        <w:t xml:space="preserve"> ՀՆԱ-ի նկատմամբ կազմել են</w:t>
      </w:r>
      <w:r w:rsidR="00D52D0F" w:rsidRPr="00C921DE">
        <w:rPr>
          <w:rFonts w:ascii="GHEA Grapalat" w:eastAsia="Calibri" w:hAnsi="GHEA Grapalat" w:cs="Sylfaen"/>
          <w:sz w:val="22"/>
          <w:szCs w:val="22"/>
        </w:rPr>
        <w:t xml:space="preserve"> 24.8%</w:t>
      </w:r>
      <w:r w:rsidRPr="00C921DE">
        <w:rPr>
          <w:rFonts w:ascii="GHEA Grapalat" w:eastAsia="Calibri" w:hAnsi="GHEA Grapalat" w:cs="Sylfaen"/>
          <w:sz w:val="22"/>
          <w:szCs w:val="22"/>
        </w:rPr>
        <w:t xml:space="preserve">՝ նախորդ տարվա 24.3%-ի դիմաց, ինչը հիմնականում պայմանավորված է եղել ՀՆԱ-ի նկատմամբ հարկային եկամուտների կշռի ավելացմամբ: </w:t>
      </w:r>
    </w:p>
    <w:p w14:paraId="02231552" w14:textId="4E538F7D" w:rsidR="00E76051" w:rsidRPr="00C921DE" w:rsidRDefault="00E76051" w:rsidP="004C12B8">
      <w:pPr>
        <w:pStyle w:val="a"/>
        <w:rPr>
          <w:rFonts w:eastAsia="Calibri" w:cs="GHEA Grapalat"/>
        </w:rPr>
      </w:pPr>
      <w:r w:rsidRPr="00C921DE">
        <w:lastRenderedPageBreak/>
        <w:t>Պետական</w:t>
      </w:r>
      <w:r w:rsidRPr="00C921DE">
        <w:rPr>
          <w:rFonts w:eastAsia="Calibri"/>
        </w:rPr>
        <w:t xml:space="preserve"> բյուջեի եկամուտները և ծախսերը 2019-2023թթ.</w:t>
      </w:r>
    </w:p>
    <w:p w14:paraId="16F5A7EF" w14:textId="77777777" w:rsidR="00E76051" w:rsidRPr="00C921DE" w:rsidRDefault="00E76051" w:rsidP="00E76051">
      <w:pPr>
        <w:rPr>
          <w:rFonts w:ascii="GHEA Grapalat" w:eastAsia="GHEA Grapalat" w:hAnsi="GHEA Grapalat" w:cs="GHEA Grapalat"/>
          <w:sz w:val="22"/>
          <w:szCs w:val="22"/>
        </w:rPr>
      </w:pPr>
      <w:r w:rsidRPr="00C921DE">
        <w:rPr>
          <w:rFonts w:ascii="GHEA Grapalat" w:hAnsi="GHEA Grapalat"/>
          <w:sz w:val="22"/>
          <w:szCs w:val="22"/>
          <w:lang w:val="en-US"/>
        </w:rPr>
        <w:drawing>
          <wp:inline distT="0" distB="0" distL="0" distR="0" wp14:anchorId="1E6A9EF8" wp14:editId="3E0D9C2A">
            <wp:extent cx="3162300" cy="3695700"/>
            <wp:effectExtent l="0" t="0" r="0" b="0"/>
            <wp:docPr id="51" name="Objec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Pr="00C921DE">
        <w:rPr>
          <w:rFonts w:ascii="GHEA Grapalat" w:eastAsia="GHEA Grapalat" w:hAnsi="GHEA Grapalat" w:cs="GHEA Grapalat"/>
          <w:sz w:val="22"/>
          <w:szCs w:val="22"/>
        </w:rPr>
        <w:t xml:space="preserve"> </w:t>
      </w:r>
      <w:r w:rsidRPr="00C921DE">
        <w:rPr>
          <w:rFonts w:ascii="GHEA Grapalat" w:hAnsi="GHEA Grapalat"/>
          <w:sz w:val="22"/>
          <w:szCs w:val="22"/>
          <w:lang w:val="en-US"/>
        </w:rPr>
        <w:drawing>
          <wp:inline distT="0" distB="0" distL="0" distR="0" wp14:anchorId="61A898D3" wp14:editId="1BFBBF2E">
            <wp:extent cx="3238500" cy="3707130"/>
            <wp:effectExtent l="0" t="0" r="0" b="7620"/>
            <wp:docPr id="52" name="Object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93837B1" w14:textId="77777777" w:rsidR="00E76051" w:rsidRPr="00C921DE" w:rsidRDefault="00E76051" w:rsidP="00E76051">
      <w:pPr>
        <w:spacing w:after="120" w:line="360" w:lineRule="auto"/>
        <w:rPr>
          <w:rFonts w:ascii="GHEA Grapalat" w:eastAsia="GHEA Grapalat" w:hAnsi="GHEA Grapalat" w:cs="GHEA Grapalat"/>
          <w:i/>
          <w:sz w:val="18"/>
          <w:szCs w:val="18"/>
        </w:rPr>
      </w:pPr>
      <w:r w:rsidRPr="00C921DE">
        <w:rPr>
          <w:rFonts w:ascii="GHEA Grapalat" w:eastAsia="GHEA Grapalat" w:hAnsi="GHEA Grapalat" w:cs="GHEA Grapalat"/>
          <w:i/>
          <w:sz w:val="18"/>
          <w:szCs w:val="18"/>
        </w:rPr>
        <w:t>Աղբյուրը՝ ՀՀ ՖՆ</w:t>
      </w:r>
    </w:p>
    <w:p w14:paraId="2CBD772A" w14:textId="047EAF4A" w:rsidR="00E76051" w:rsidRPr="00C921DE" w:rsidRDefault="00E76051" w:rsidP="00E76051">
      <w:pPr>
        <w:jc w:val="both"/>
        <w:rPr>
          <w:rFonts w:ascii="GHEA Grapalat" w:eastAsia="Calibri" w:hAnsi="GHEA Grapalat" w:cs="Sylfaen"/>
          <w:sz w:val="18"/>
          <w:szCs w:val="18"/>
        </w:rPr>
      </w:pPr>
      <w:r w:rsidRPr="00C921DE">
        <w:rPr>
          <w:rFonts w:ascii="GHEA Grapalat" w:eastAsia="Calibri" w:hAnsi="GHEA Grapalat" w:cs="Sylfaen"/>
          <w:sz w:val="18"/>
          <w:szCs w:val="18"/>
        </w:rPr>
        <w:t>*-ով նշված ցուցանիշը ներառում է հարկային եկամուտները և հիպո</w:t>
      </w:r>
      <w:r w:rsidR="00D52D0F" w:rsidRPr="00C921DE">
        <w:rPr>
          <w:rFonts w:ascii="GHEA Grapalat" w:eastAsia="Calibri" w:hAnsi="GHEA Grapalat" w:cs="Sylfaen"/>
          <w:sz w:val="18"/>
          <w:szCs w:val="18"/>
          <w:lang w:val="en-US"/>
        </w:rPr>
        <w:t>տեկ</w:t>
      </w:r>
      <w:r w:rsidRPr="00C921DE">
        <w:rPr>
          <w:rFonts w:ascii="GHEA Grapalat" w:eastAsia="Calibri" w:hAnsi="GHEA Grapalat" w:cs="Sylfaen"/>
          <w:sz w:val="18"/>
          <w:szCs w:val="18"/>
        </w:rPr>
        <w:t>ային վարկերի տոկոսագումարների դիմաց եկամտային հարկի վերադարձը</w:t>
      </w:r>
    </w:p>
    <w:p w14:paraId="30CEAFDF" w14:textId="77777777" w:rsidR="00D52D0F" w:rsidRPr="00C921DE" w:rsidRDefault="00D52D0F" w:rsidP="00E76051">
      <w:pPr>
        <w:spacing w:line="360" w:lineRule="auto"/>
        <w:ind w:firstLine="567"/>
        <w:jc w:val="both"/>
        <w:rPr>
          <w:rFonts w:ascii="GHEA Grapalat" w:eastAsia="Calibri" w:hAnsi="GHEA Grapalat" w:cs="Sylfaen"/>
          <w:sz w:val="22"/>
          <w:szCs w:val="22"/>
        </w:rPr>
      </w:pPr>
    </w:p>
    <w:p w14:paraId="7B915561" w14:textId="316FD499"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2023 թվականին հարկերը և տուրքերը կազմել են 2,221.9 մլրդ դրամ՝ նախորդ տարվա համեմատ աճելով 15.4%-ով: Հարկային եկամուտների աճը հիմնականում պայմանավորված է հարկման բազաների (հիմնականում նախորդ տարվա շահույթների, ներմուծման, սպառման և աշխատավարձերի) աճով, ինչպես նաև հարկային վարչարարության ջանքերով: Միևնույն ժամանակ, հարկային եկամուտների աճին հակազդել են եկամտային հարկի դրույքաչափի նվազումը և վերադարձի ծավալների աճը</w:t>
      </w:r>
      <w:r w:rsidRPr="00C921DE">
        <w:rPr>
          <w:rFonts w:ascii="GHEA Grapalat" w:eastAsia="Calibri" w:hAnsi="GHEA Grapalat" w:cs="Sylfaen"/>
          <w:sz w:val="22"/>
          <w:szCs w:val="22"/>
          <w:vertAlign w:val="superscript"/>
        </w:rPr>
        <w:footnoteReference w:id="25"/>
      </w:r>
      <w:r w:rsidRPr="00C921DE">
        <w:rPr>
          <w:rFonts w:ascii="GHEA Grapalat" w:eastAsia="Calibri" w:hAnsi="GHEA Grapalat" w:cs="Sylfaen"/>
          <w:sz w:val="22"/>
          <w:szCs w:val="22"/>
        </w:rPr>
        <w:t>, ինչպես նաև մետաղական հանքանյութերի նկատմամբ արտահանման տուրքի գործողության դադարեցումը (2022 թվականի սեպտեմբերի 1-ից): Այս պայմաններում հարկեր</w:t>
      </w:r>
      <w:r w:rsidR="00B14617" w:rsidRPr="00C921DE">
        <w:rPr>
          <w:rFonts w:ascii="GHEA Grapalat" w:eastAsia="Calibri" w:hAnsi="GHEA Grapalat" w:cs="Sylfaen"/>
          <w:sz w:val="22"/>
          <w:szCs w:val="22"/>
          <w:lang w:val="en-US"/>
        </w:rPr>
        <w:t>ը</w:t>
      </w:r>
      <w:r w:rsidRPr="00C921DE">
        <w:rPr>
          <w:rFonts w:ascii="GHEA Grapalat" w:eastAsia="Calibri" w:hAnsi="GHEA Grapalat" w:cs="Sylfaen"/>
          <w:sz w:val="22"/>
          <w:szCs w:val="22"/>
        </w:rPr>
        <w:t xml:space="preserve"> և տուրքերը կազմել են ՀՆԱ-ի 23.4%-ը՝ նախորդ տարվա նկատմամբ բարելավելով 0.7 տոկոսային կետով (ընդ որում, </w:t>
      </w:r>
      <w:r w:rsidR="00B14617" w:rsidRPr="00C921DE">
        <w:rPr>
          <w:rFonts w:ascii="GHEA Grapalat" w:eastAsia="Calibri" w:hAnsi="GHEA Grapalat" w:cs="Sylfaen"/>
          <w:sz w:val="22"/>
          <w:szCs w:val="22"/>
        </w:rPr>
        <w:t>հիպո</w:t>
      </w:r>
      <w:r w:rsidR="00B14617" w:rsidRPr="00C921DE">
        <w:rPr>
          <w:rFonts w:ascii="GHEA Grapalat" w:eastAsia="Calibri" w:hAnsi="GHEA Grapalat" w:cs="Sylfaen"/>
          <w:sz w:val="22"/>
          <w:szCs w:val="22"/>
          <w:lang w:val="en-US"/>
        </w:rPr>
        <w:t>տեկ</w:t>
      </w:r>
      <w:r w:rsidRPr="00C921DE">
        <w:rPr>
          <w:rFonts w:ascii="GHEA Grapalat" w:eastAsia="Calibri" w:hAnsi="GHEA Grapalat" w:cs="Sylfaen"/>
          <w:sz w:val="22"/>
          <w:szCs w:val="22"/>
        </w:rPr>
        <w:t>ի տոկոսագումարների դիմաց եկամտային հարկի վերադարձը հաշվի առնելու դեպքում հարկային եկամուտներ/ՀՆԱ ցուցանիշը կկազմի 23.9%` 2022</w:t>
      </w:r>
      <w:r w:rsidR="00B14617" w:rsidRPr="00C921DE">
        <w:rPr>
          <w:rFonts w:ascii="GHEA Grapalat" w:eastAsia="Calibri" w:hAnsi="GHEA Grapalat" w:cs="Sylfaen"/>
          <w:sz w:val="22"/>
          <w:szCs w:val="22"/>
          <w:lang w:val="en-US"/>
        </w:rPr>
        <w:t xml:space="preserve"> </w:t>
      </w:r>
      <w:r w:rsidRPr="00C921DE">
        <w:rPr>
          <w:rFonts w:ascii="GHEA Grapalat" w:eastAsia="Calibri" w:hAnsi="GHEA Grapalat" w:cs="Sylfaen"/>
          <w:sz w:val="22"/>
          <w:szCs w:val="22"/>
        </w:rPr>
        <w:t>թ</w:t>
      </w:r>
      <w:r w:rsidR="00B14617" w:rsidRPr="00C921DE">
        <w:rPr>
          <w:rFonts w:ascii="GHEA Grapalat" w:eastAsia="Calibri" w:hAnsi="GHEA Grapalat" w:cs="Sylfaen"/>
          <w:sz w:val="22"/>
          <w:szCs w:val="22"/>
          <w:lang w:val="en-US"/>
        </w:rPr>
        <w:t>վական</w:t>
      </w:r>
      <w:r w:rsidRPr="00C921DE">
        <w:rPr>
          <w:rFonts w:ascii="GHEA Grapalat" w:eastAsia="Calibri" w:hAnsi="GHEA Grapalat" w:cs="Sylfaen"/>
          <w:sz w:val="22"/>
          <w:szCs w:val="22"/>
        </w:rPr>
        <w:t>ի 23.1% ցուցանիշի դիմաց, իսկ հարկեր/ՀՆԱ բարելավումը կկազմի 0.8</w:t>
      </w:r>
      <w:r w:rsidR="00B14617" w:rsidRPr="00C921DE">
        <w:rPr>
          <w:rFonts w:ascii="GHEA Grapalat" w:eastAsia="Calibri" w:hAnsi="GHEA Grapalat" w:cs="Sylfaen"/>
          <w:sz w:val="22"/>
          <w:szCs w:val="22"/>
          <w:lang w:val="en-US"/>
        </w:rPr>
        <w:t xml:space="preserve"> տոկոս</w:t>
      </w:r>
      <w:r w:rsidRPr="00C921DE">
        <w:rPr>
          <w:rFonts w:ascii="GHEA Grapalat" w:eastAsia="Calibri" w:hAnsi="GHEA Grapalat" w:cs="Sylfaen"/>
          <w:sz w:val="22"/>
          <w:szCs w:val="22"/>
        </w:rPr>
        <w:t>ային կետ</w:t>
      </w:r>
      <w:r w:rsidR="009B6D4D" w:rsidRPr="00C921DE">
        <w:rPr>
          <w:rFonts w:ascii="GHEA Grapalat" w:eastAsia="Calibri" w:hAnsi="GHEA Grapalat" w:cs="Sylfaen"/>
          <w:sz w:val="22"/>
          <w:szCs w:val="22"/>
        </w:rPr>
        <w:t>):</w:t>
      </w:r>
    </w:p>
    <w:p w14:paraId="4944E002" w14:textId="77777777" w:rsidR="00534329" w:rsidRPr="00C921DE" w:rsidRDefault="00534329" w:rsidP="00E76051">
      <w:pPr>
        <w:spacing w:line="360" w:lineRule="auto"/>
        <w:ind w:firstLine="567"/>
        <w:jc w:val="both"/>
        <w:rPr>
          <w:rFonts w:ascii="GHEA Grapalat" w:eastAsia="Calibri" w:hAnsi="GHEA Grapalat" w:cs="Sylfaen"/>
          <w:sz w:val="22"/>
          <w:szCs w:val="22"/>
        </w:rPr>
      </w:pPr>
    </w:p>
    <w:p w14:paraId="11856340" w14:textId="2FCBBE7E" w:rsidR="00E76051" w:rsidRPr="00C921DE" w:rsidRDefault="00E76051" w:rsidP="004C12B8">
      <w:pPr>
        <w:pStyle w:val="a"/>
      </w:pPr>
      <w:r w:rsidRPr="00C921DE">
        <w:t xml:space="preserve">Պետական բյուջեի հարկատեսակների կշիռը ՀՆԱ-ում 2022-2023թթ. </w:t>
      </w:r>
    </w:p>
    <w:p w14:paraId="453D4F36" w14:textId="3677F4AA" w:rsidR="00E76051" w:rsidRPr="00C921DE" w:rsidRDefault="00E76051" w:rsidP="00E76051">
      <w:pPr>
        <w:spacing w:line="360" w:lineRule="auto"/>
        <w:ind w:firstLine="90"/>
        <w:jc w:val="both"/>
        <w:rPr>
          <w:rFonts w:ascii="GHEA Grapalat" w:eastAsia="GHEA Grapalat" w:hAnsi="GHEA Grapalat" w:cs="GHEA Grapalat"/>
          <w:sz w:val="22"/>
          <w:szCs w:val="22"/>
          <w:lang w:val="en-US"/>
        </w:rPr>
      </w:pPr>
      <w:r w:rsidRPr="00C921DE">
        <w:rPr>
          <w:rFonts w:ascii="GHEA Grapalat" w:eastAsia="GHEA Grapalat" w:hAnsi="GHEA Grapalat" w:cs="GHEA Grapalat"/>
          <w:sz w:val="22"/>
          <w:szCs w:val="22"/>
        </w:rPr>
        <w:t xml:space="preserve"> </w:t>
      </w:r>
      <w:r w:rsidR="00534329" w:rsidRPr="00C921DE">
        <w:rPr>
          <w:rFonts w:ascii="GHEA Grapalat" w:hAnsi="GHEA Grapalat"/>
          <w:sz w:val="22"/>
          <w:szCs w:val="22"/>
          <w:lang w:val="en-US"/>
        </w:rPr>
        <w:drawing>
          <wp:inline distT="0" distB="0" distL="0" distR="0" wp14:anchorId="3EE32040" wp14:editId="2A590780">
            <wp:extent cx="3733800" cy="3609975"/>
            <wp:effectExtent l="0" t="0" r="0" b="9525"/>
            <wp:docPr id="53" name="Object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sidR="00534329" w:rsidRPr="00C921DE">
        <w:rPr>
          <w:rFonts w:ascii="GHEA Grapalat" w:eastAsia="GHEA Grapalat" w:hAnsi="GHEA Grapalat" w:cs="GHEA Grapalat"/>
          <w:sz w:val="22"/>
          <w:szCs w:val="22"/>
          <w:lang w:val="en-US"/>
        </w:rPr>
        <w:t xml:space="preserve"> </w:t>
      </w:r>
      <w:r w:rsidR="00534329" w:rsidRPr="00C921DE">
        <w:rPr>
          <w:rFonts w:ascii="GHEA Grapalat" w:eastAsia="GHEA Grapalat" w:hAnsi="GHEA Grapalat" w:cs="GHEA Grapalat"/>
          <w:sz w:val="22"/>
          <w:szCs w:val="22"/>
          <w:lang w:val="en-US"/>
        </w:rPr>
        <w:drawing>
          <wp:inline distT="0" distB="0" distL="0" distR="0" wp14:anchorId="32F1E983" wp14:editId="523DEEDC">
            <wp:extent cx="2495550" cy="3607408"/>
            <wp:effectExtent l="0" t="0" r="0" b="12700"/>
            <wp:docPr id="54" name="Object 4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C14B6F6" w14:textId="77777777" w:rsidR="00E76051" w:rsidRPr="00C921DE" w:rsidRDefault="00E76051" w:rsidP="00E76051">
      <w:pPr>
        <w:spacing w:after="120" w:line="360" w:lineRule="auto"/>
        <w:ind w:firstLine="91"/>
        <w:jc w:val="both"/>
        <w:rPr>
          <w:rFonts w:ascii="GHEA Grapalat" w:eastAsia="GHEA Grapalat" w:hAnsi="GHEA Grapalat" w:cs="GHEA Grapalat"/>
          <w:i/>
          <w:iCs/>
          <w:sz w:val="18"/>
          <w:szCs w:val="18"/>
        </w:rPr>
      </w:pPr>
      <w:r w:rsidRPr="00C921DE">
        <w:rPr>
          <w:rFonts w:ascii="GHEA Grapalat" w:eastAsia="GHEA Grapalat" w:hAnsi="GHEA Grapalat" w:cs="GHEA Grapalat"/>
          <w:i/>
          <w:iCs/>
          <w:sz w:val="18"/>
          <w:szCs w:val="18"/>
        </w:rPr>
        <w:t>Աղբյուրը՝ ՀՀ ՖՆ</w:t>
      </w:r>
    </w:p>
    <w:p w14:paraId="21BBEE3C" w14:textId="77777777" w:rsidR="00E76051" w:rsidRPr="00C921DE" w:rsidRDefault="00E76051" w:rsidP="001706D2">
      <w:pPr>
        <w:ind w:firstLine="567"/>
        <w:jc w:val="both"/>
        <w:rPr>
          <w:rFonts w:ascii="GHEA Grapalat" w:eastAsia="Calibri" w:hAnsi="GHEA Grapalat" w:cs="Sylfaen"/>
          <w:sz w:val="22"/>
          <w:szCs w:val="22"/>
        </w:rPr>
      </w:pPr>
    </w:p>
    <w:p w14:paraId="41AF38BB" w14:textId="10C2791D"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2023 թվականին նախորդ տարվա համեմատ այլ եկամուտները և պաշտոնական դրամաշնորհները ՀՆԱ-ի նկատմամբ նվազել են համապատասխանաբար 0.13 և 0.04 տոկոսային կետերով, նախորդ տարվա նկատմամբ այլ եկամուտների աճը կազմել է 1.3</w:t>
      </w:r>
      <w:r w:rsidR="007B6DBA"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 իսկ պաշտոնական դրամաշնորհների նվազումը կազմել է 12.5</w:t>
      </w:r>
      <w:r w:rsidR="007B6DBA"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w:t>
      </w:r>
    </w:p>
    <w:p w14:paraId="7A203BF7" w14:textId="36957CC4" w:rsidR="00E76051" w:rsidRPr="00C921DE" w:rsidRDefault="00E76051" w:rsidP="007B6DBA">
      <w:pPr>
        <w:spacing w:line="360" w:lineRule="auto"/>
        <w:ind w:firstLine="567"/>
        <w:jc w:val="both"/>
        <w:rPr>
          <w:rFonts w:ascii="GHEA Grapalat" w:eastAsia="Calibri" w:hAnsi="GHEA Grapalat" w:cs="Sylfaen"/>
          <w:sz w:val="22"/>
          <w:szCs w:val="22"/>
        </w:rPr>
      </w:pPr>
      <w:r w:rsidRPr="00C921DE">
        <w:rPr>
          <w:rFonts w:ascii="GHEA Grapalat" w:eastAsia="GHEA Grapalat" w:hAnsi="GHEA Grapalat" w:cs="GHEA Grapalat"/>
          <w:b/>
          <w:i/>
          <w:sz w:val="22"/>
          <w:szCs w:val="22"/>
        </w:rPr>
        <w:t>Պետական բյուջեի ծախսերը:</w:t>
      </w:r>
      <w:r w:rsidRPr="00C921DE">
        <w:rPr>
          <w:rFonts w:ascii="GHEA Grapalat" w:eastAsia="GHEA Grapalat" w:hAnsi="GHEA Grapalat" w:cs="GHEA Grapalat"/>
          <w:sz w:val="22"/>
          <w:szCs w:val="22"/>
        </w:rPr>
        <w:t xml:space="preserve"> </w:t>
      </w:r>
      <w:r w:rsidRPr="00C921DE">
        <w:rPr>
          <w:rFonts w:ascii="GHEA Grapalat" w:eastAsia="Calibri" w:hAnsi="GHEA Grapalat" w:cs="Sylfaen"/>
          <w:sz w:val="22"/>
          <w:szCs w:val="22"/>
        </w:rPr>
        <w:t>2023 թվականին պետական բյուջեի ծախսերը կազմել են</w:t>
      </w:r>
      <w:r w:rsidR="007B6DBA" w:rsidRPr="00C921DE">
        <w:rPr>
          <w:rFonts w:ascii="GHEA Grapalat" w:eastAsia="Calibri" w:hAnsi="GHEA Grapalat" w:cs="Sylfaen"/>
          <w:sz w:val="22"/>
          <w:szCs w:val="22"/>
        </w:rPr>
        <w:t xml:space="preserve"> 2,547.6</w:t>
      </w:r>
      <w:r w:rsidR="007B6DBA" w:rsidRPr="00C921DE">
        <w:rPr>
          <w:rFonts w:ascii="Calibri" w:eastAsia="Calibri" w:hAnsi="Calibri" w:cs="Calibri"/>
          <w:sz w:val="22"/>
          <w:szCs w:val="22"/>
          <w:lang w:val="en-US"/>
        </w:rPr>
        <w:t> </w:t>
      </w:r>
      <w:r w:rsidRPr="00C921DE">
        <w:rPr>
          <w:rFonts w:ascii="GHEA Grapalat" w:eastAsia="Calibri" w:hAnsi="GHEA Grapalat" w:cs="Sylfaen"/>
          <w:sz w:val="22"/>
          <w:szCs w:val="22"/>
        </w:rPr>
        <w:t xml:space="preserve">մլրդ դրամ՝ նախորդ տարվա համեմատ աճելով 13.6%-ով: Ընդ որում, ընթացիկ ծախսերը կազմել են 2,075.1 մլրդ դրամ` նախորդ տարվա համեմատ աճելով 11.4%-ով: Պետական բյուջեի ծախսերի կշիռը ՀՆԱ-ում 2022 թվականի նկատմամբ ավելացել է 0.4 տոկոսային կետով՝ կազմելով 26.8%, որում ընթացիկ ծախսերի կշիռը նվազել է 0.07 տոկոսային կետով՝ կազմելով 21.8%: </w:t>
      </w:r>
    </w:p>
    <w:p w14:paraId="41A9715C" w14:textId="36E8D769"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Ոչ ֆինանսական ակտիվների հետ գործառնությունները կազմել են 472.6 մլրդ դրամ, որում ոչ ֆինանսական ակտիվների գծով ծախսերը (կապիտալ ծախսեր) կազմել են 494.4 մլրդ դրամ` նախորդ տարվա նկատմամբ աճելով 27%-ով: Ոչ ֆինանսական ակտիվների հետ գործառնությունների կշիռը ՀՆԱ-ում աճել է 0.5 տոկոսային կետով՝ կազմելով 5.0%, իսկ ոչ ֆինանսական ակտիվների գծով ծախսեր</w:t>
      </w:r>
      <w:r w:rsidR="007B6DBA" w:rsidRPr="00C921DE">
        <w:rPr>
          <w:rFonts w:ascii="GHEA Grapalat" w:eastAsia="Calibri" w:hAnsi="GHEA Grapalat" w:cs="Sylfaen"/>
          <w:sz w:val="22"/>
          <w:szCs w:val="22"/>
          <w:lang w:val="en-US"/>
        </w:rPr>
        <w:t>ն</w:t>
      </w:r>
      <w:r w:rsidRPr="00C921DE">
        <w:rPr>
          <w:rFonts w:ascii="GHEA Grapalat" w:eastAsia="Calibri" w:hAnsi="GHEA Grapalat" w:cs="Sylfaen"/>
          <w:sz w:val="22"/>
          <w:szCs w:val="22"/>
        </w:rPr>
        <w:t xml:space="preserve"> ավելացել են 0.63 տոկոսային կետով՝ կազմել</w:t>
      </w:r>
      <w:r w:rsidR="007B6DBA" w:rsidRPr="00C921DE">
        <w:rPr>
          <w:rFonts w:ascii="GHEA Grapalat" w:eastAsia="Calibri" w:hAnsi="GHEA Grapalat" w:cs="Sylfaen"/>
          <w:sz w:val="22"/>
          <w:szCs w:val="22"/>
          <w:lang w:val="en-US"/>
        </w:rPr>
        <w:t>ով</w:t>
      </w:r>
      <w:r w:rsidRPr="00C921DE">
        <w:rPr>
          <w:rFonts w:ascii="GHEA Grapalat" w:eastAsia="Calibri" w:hAnsi="GHEA Grapalat" w:cs="Sylfaen"/>
          <w:sz w:val="22"/>
          <w:szCs w:val="22"/>
        </w:rPr>
        <w:t xml:space="preserve"> ՀՆԱ-ի 5.2%-ը: Ոչ ֆինանսական ակտիվների հետ գործառնություններում չներառված՝ համայնքներին տրվող կապիտալ բնույթի </w:t>
      </w:r>
      <w:r w:rsidRPr="00C921DE">
        <w:rPr>
          <w:rFonts w:ascii="GHEA Grapalat" w:eastAsia="Calibri" w:hAnsi="GHEA Grapalat" w:cs="Sylfaen"/>
          <w:sz w:val="22"/>
          <w:szCs w:val="22"/>
        </w:rPr>
        <w:lastRenderedPageBreak/>
        <w:t>սուբվենցիաների գծով ծախսերը կազմել են 31.8 մլրդ դրամ, որոնք նախորդ տարվա նկատմամբ աճել</w:t>
      </w:r>
      <w:r w:rsidR="007B6DBA" w:rsidRPr="00C921DE">
        <w:rPr>
          <w:rFonts w:ascii="GHEA Grapalat" w:eastAsia="Calibri" w:hAnsi="GHEA Grapalat" w:cs="Sylfaen"/>
          <w:sz w:val="22"/>
          <w:szCs w:val="22"/>
          <w:lang w:val="en-US"/>
        </w:rPr>
        <w:t xml:space="preserve"> են</w:t>
      </w:r>
      <w:r w:rsidRPr="00C921DE">
        <w:rPr>
          <w:rFonts w:ascii="GHEA Grapalat" w:eastAsia="Calibri" w:hAnsi="GHEA Grapalat" w:cs="Sylfaen"/>
          <w:sz w:val="22"/>
          <w:szCs w:val="22"/>
        </w:rPr>
        <w:t xml:space="preserve"> 63%-ով (ընդ որում, դրանց ծավալը 32</w:t>
      </w:r>
      <w:r w:rsidRPr="00C921DE">
        <w:rPr>
          <w:rFonts w:ascii="Cambria Math" w:eastAsia="Calibri" w:hAnsi="Cambria Math" w:cs="Cambria Math"/>
          <w:sz w:val="22"/>
          <w:szCs w:val="22"/>
        </w:rPr>
        <w:t>․</w:t>
      </w:r>
      <w:r w:rsidRPr="00C921DE">
        <w:rPr>
          <w:rFonts w:ascii="GHEA Grapalat" w:eastAsia="Calibri" w:hAnsi="GHEA Grapalat" w:cs="Sylfaen"/>
          <w:sz w:val="22"/>
          <w:szCs w:val="22"/>
        </w:rPr>
        <w:t>2%-ով գերազանցել է բյուջեի պլանային ցուցանիշը):</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2023 թվականին կապիտալ ծախսերի կատարողականը ճշտված ծրագրի նկատմամբ կազմել է 95.8%՝ նախորդ տարվա 94.9%-ի համեմատ բարելավվելով 0.9 տոկոսային կետով, մինչդեռ պետական բյուջեի տարեկան պլանի նկատմամբ կատարողականը կազմել է 88.6%։ Հատկանշական է, որ արտաքին աջակցությամբ իրականացվող ծրագրերի կատարողականը (առանց պետական բյուջեի համաֆինանսավորման)</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ճշտված ծրագրի նկատմամբ կազմել է 92.5%, իսկ բյուջեի նախնական պլանային ցուցանիշի նկատմամբ կազմել է ընդամենը 58.9%: Կատարողականի համեմատաբար ցածր ցուցանիշները ցույց են տալիս, որ կապիտալ ծրագրերի կառավարման և իրականացման արդյունավետության բարձրացման խնդիրը շարունակում է մնալ արդիական։ Միաժամանակ, պետք է նշել, որ կապիտալ ծախսերի կատարումը վերջին տարիներին ուղեկցվում է դրանց պլանավորված ծավալների շարունակական ավելացմամբ, ինչը զսպում է կատարողականի առավել արագ բարելավումը։</w:t>
      </w:r>
    </w:p>
    <w:p w14:paraId="1C6EAF5D" w14:textId="77777777" w:rsidR="00E76051" w:rsidRPr="00C921DE" w:rsidRDefault="00E76051" w:rsidP="00E76051">
      <w:pPr>
        <w:spacing w:line="360" w:lineRule="auto"/>
        <w:ind w:firstLine="567"/>
        <w:jc w:val="both"/>
        <w:rPr>
          <w:rFonts w:ascii="GHEA Grapalat" w:eastAsia="Calibri" w:hAnsi="GHEA Grapalat" w:cs="Sylfaen"/>
          <w:sz w:val="22"/>
          <w:szCs w:val="22"/>
        </w:rPr>
      </w:pPr>
    </w:p>
    <w:tbl>
      <w:tblPr>
        <w:tblStyle w:val="TableGrid2"/>
        <w:tblW w:w="10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5104"/>
      </w:tblGrid>
      <w:tr w:rsidR="00E76051" w:rsidRPr="00C921DE" w14:paraId="21B0427A" w14:textId="77777777" w:rsidTr="000F4C56">
        <w:tc>
          <w:tcPr>
            <w:tcW w:w="5046" w:type="dxa"/>
          </w:tcPr>
          <w:p w14:paraId="5D4A4D90" w14:textId="2A2CD00E" w:rsidR="00E76051" w:rsidRPr="00C921DE" w:rsidRDefault="00E76051" w:rsidP="003C0883">
            <w:pPr>
              <w:pStyle w:val="a"/>
              <w:rPr>
                <w:rFonts w:eastAsia="Calibri"/>
              </w:rPr>
            </w:pPr>
            <w:r w:rsidRPr="00C921DE">
              <w:t>Պետական</w:t>
            </w:r>
            <w:r w:rsidRPr="00C921DE">
              <w:rPr>
                <w:rFonts w:eastAsia="Calibri"/>
              </w:rPr>
              <w:t xml:space="preserve"> բյուջեի ընթացիկ ծախսերը 2019-2023</w:t>
            </w:r>
            <w:r w:rsidR="003C0883" w:rsidRPr="00C921DE">
              <w:rPr>
                <w:rFonts w:eastAsia="Calibri"/>
              </w:rPr>
              <w:t>թթ.</w:t>
            </w:r>
          </w:p>
        </w:tc>
        <w:tc>
          <w:tcPr>
            <w:tcW w:w="5046" w:type="dxa"/>
          </w:tcPr>
          <w:p w14:paraId="068E71CC" w14:textId="180FAA64" w:rsidR="00E76051" w:rsidRPr="00C921DE" w:rsidRDefault="00E76051" w:rsidP="003C0883">
            <w:pPr>
              <w:pStyle w:val="a"/>
              <w:rPr>
                <w:rFonts w:eastAsia="Calibri"/>
              </w:rPr>
            </w:pPr>
            <w:r w:rsidRPr="00C921DE">
              <w:rPr>
                <w:rFonts w:eastAsia="Calibri"/>
              </w:rPr>
              <w:t>Պետական բյուջեի ոչ ֆինանսական ակտիվների գծով ծախսերը 2019-2023</w:t>
            </w:r>
            <w:r w:rsidR="003C0883" w:rsidRPr="00C921DE">
              <w:rPr>
                <w:rFonts w:eastAsia="Calibri"/>
              </w:rPr>
              <w:t>թթ.</w:t>
            </w:r>
          </w:p>
        </w:tc>
      </w:tr>
      <w:tr w:rsidR="00E76051" w:rsidRPr="00C921DE" w14:paraId="13AEACF1" w14:textId="77777777" w:rsidTr="000F4C56">
        <w:tc>
          <w:tcPr>
            <w:tcW w:w="5046" w:type="dxa"/>
          </w:tcPr>
          <w:p w14:paraId="01F311F9" w14:textId="77777777" w:rsidR="00E76051" w:rsidRPr="00C921DE" w:rsidRDefault="00E76051" w:rsidP="000F4C56">
            <w:pPr>
              <w:spacing w:before="60" w:line="360" w:lineRule="auto"/>
              <w:jc w:val="both"/>
              <w:rPr>
                <w:rFonts w:ascii="GHEA Grapalat" w:hAnsi="GHEA Grapalat" w:cs="GHEA Grapalat"/>
                <w:sz w:val="22"/>
                <w:szCs w:val="22"/>
              </w:rPr>
            </w:pPr>
            <w:r w:rsidRPr="00C921DE">
              <w:rPr>
                <w:rFonts w:ascii="GHEA Grapalat" w:eastAsia="GHEA Grapalat" w:hAnsi="GHEA Grapalat" w:cs="GHEA Grapalat"/>
                <w:b/>
                <w:lang w:val="en-US"/>
              </w:rPr>
              <w:drawing>
                <wp:inline distT="0" distB="0" distL="0" distR="0" wp14:anchorId="7CEA1B50" wp14:editId="3C26C2F9">
                  <wp:extent cx="3133725" cy="2879725"/>
                  <wp:effectExtent l="0" t="0" r="9525" b="15875"/>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tc>
        <w:tc>
          <w:tcPr>
            <w:tcW w:w="5046" w:type="dxa"/>
          </w:tcPr>
          <w:p w14:paraId="65053427" w14:textId="77777777" w:rsidR="00E76051" w:rsidRPr="00C921DE" w:rsidRDefault="00E76051" w:rsidP="000F4C56">
            <w:pPr>
              <w:spacing w:before="60" w:line="360" w:lineRule="auto"/>
              <w:jc w:val="both"/>
              <w:rPr>
                <w:rFonts w:ascii="GHEA Grapalat" w:hAnsi="GHEA Grapalat" w:cs="GHEA Grapalat"/>
                <w:sz w:val="22"/>
                <w:szCs w:val="22"/>
              </w:rPr>
            </w:pPr>
            <w:r w:rsidRPr="00C921DE">
              <w:rPr>
                <w:rFonts w:ascii="GHEA Grapalat" w:eastAsia="GHEA Grapalat" w:hAnsi="GHEA Grapalat" w:cs="GHEA Grapalat"/>
                <w:b/>
                <w:lang w:val="en-US"/>
              </w:rPr>
              <w:drawing>
                <wp:inline distT="0" distB="0" distL="0" distR="0" wp14:anchorId="3612AE7D" wp14:editId="6B4586D4">
                  <wp:extent cx="3125470" cy="2879725"/>
                  <wp:effectExtent l="0" t="0" r="17780" b="15875"/>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tc>
      </w:tr>
    </w:tbl>
    <w:p w14:paraId="2F2D4BD4" w14:textId="77777777" w:rsidR="00E76051" w:rsidRPr="00C921DE" w:rsidRDefault="00E76051" w:rsidP="00E76051">
      <w:pPr>
        <w:spacing w:line="336" w:lineRule="auto"/>
        <w:ind w:firstLine="567"/>
        <w:jc w:val="both"/>
        <w:rPr>
          <w:rFonts w:ascii="GHEA Grapalat" w:eastAsia="GHEA Grapalat" w:hAnsi="GHEA Grapalat" w:cs="GHEA Grapalat"/>
          <w:sz w:val="22"/>
          <w:szCs w:val="22"/>
        </w:rPr>
      </w:pPr>
    </w:p>
    <w:p w14:paraId="77C2D948" w14:textId="25B80A09"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hAnsi="GHEA Grapalat" w:cs="GHEA Grapalat"/>
          <w:b/>
          <w:i/>
          <w:sz w:val="22"/>
          <w:szCs w:val="22"/>
        </w:rPr>
        <w:t>Պետական աջակցության ծրագրերը:</w:t>
      </w:r>
      <w:r w:rsidRPr="00C921DE">
        <w:rPr>
          <w:rFonts w:ascii="GHEA Grapalat" w:hAnsi="GHEA Grapalat" w:cs="GHEA Grapalat"/>
          <w:sz w:val="22"/>
          <w:szCs w:val="22"/>
        </w:rPr>
        <w:t xml:space="preserve"> </w:t>
      </w:r>
      <w:r w:rsidR="00580842" w:rsidRPr="00C921DE">
        <w:rPr>
          <w:rFonts w:ascii="GHEA Grapalat" w:eastAsia="Calibri" w:hAnsi="GHEA Grapalat" w:cs="Sylfaen"/>
          <w:sz w:val="22"/>
          <w:szCs w:val="22"/>
        </w:rPr>
        <w:t xml:space="preserve">Տնտեսական ներուժի բարձրացմանը, առանձին ոլորտներում առաջացող հիմնախնդիրներին ուղղված հարկաբյուջետային աջակցության ծրագրերը 2023 թվականին շարունակական են եղել, իսկ ԼՂ-ից բռնի տեղահանված բնակչության կարիքները </w:t>
      </w:r>
      <w:r w:rsidR="00580842" w:rsidRPr="00C921DE">
        <w:rPr>
          <w:rFonts w:ascii="GHEA Grapalat" w:eastAsia="Calibri" w:hAnsi="GHEA Grapalat" w:cs="Sylfaen"/>
          <w:sz w:val="22"/>
          <w:szCs w:val="22"/>
        </w:rPr>
        <w:lastRenderedPageBreak/>
        <w:t>հասց</w:t>
      </w:r>
      <w:r w:rsidR="00E05DF8" w:rsidRPr="00C921DE">
        <w:rPr>
          <w:rFonts w:ascii="GHEA Grapalat" w:eastAsia="Calibri" w:hAnsi="GHEA Grapalat" w:cs="Sylfaen"/>
          <w:sz w:val="22"/>
          <w:szCs w:val="22"/>
          <w:lang w:val="en-US"/>
        </w:rPr>
        <w:t>ե</w:t>
      </w:r>
      <w:r w:rsidR="00580842" w:rsidRPr="00C921DE">
        <w:rPr>
          <w:rFonts w:ascii="GHEA Grapalat" w:eastAsia="Calibri" w:hAnsi="GHEA Grapalat" w:cs="Sylfaen"/>
          <w:sz w:val="22"/>
          <w:szCs w:val="22"/>
        </w:rPr>
        <w:t xml:space="preserve">ագրվել են պետական աջակցության գործիքներով: </w:t>
      </w:r>
      <w:r w:rsidRPr="00C921DE">
        <w:rPr>
          <w:rFonts w:ascii="GHEA Grapalat" w:eastAsia="Calibri" w:hAnsi="GHEA Grapalat" w:cs="Sylfaen"/>
          <w:sz w:val="22"/>
          <w:szCs w:val="22"/>
        </w:rPr>
        <w:t>Տնտեսության արդիականացմանը պետական աջակցության միջոցառման ներքո, որը ներառում է արտադրական կարողությունների արդիականացման՝ նոր մեքենա-սարքավորումների ձեռքբերման նպատակով տրամադրված վարկերի/լիզինգի տոկոսադ</w:t>
      </w:r>
      <w:r w:rsidR="00E05DF8" w:rsidRPr="00C921DE">
        <w:rPr>
          <w:rFonts w:ascii="GHEA Grapalat" w:eastAsia="Calibri" w:hAnsi="GHEA Grapalat" w:cs="Sylfaen"/>
          <w:sz w:val="22"/>
          <w:szCs w:val="22"/>
          <w:lang w:val="en-US"/>
        </w:rPr>
        <w:t>ր</w:t>
      </w:r>
      <w:r w:rsidRPr="00C921DE">
        <w:rPr>
          <w:rFonts w:ascii="GHEA Grapalat" w:eastAsia="Calibri" w:hAnsi="GHEA Grapalat" w:cs="Sylfaen"/>
          <w:sz w:val="22"/>
          <w:szCs w:val="22"/>
        </w:rPr>
        <w:t>ույքների սուբսիդավորում, տնտեսավարողներին որպես աջակցություն տրամադրվել է 7.9</w:t>
      </w:r>
      <w:r w:rsidRPr="00C921DE">
        <w:rPr>
          <w:rFonts w:ascii="Calibri" w:eastAsia="Calibri" w:hAnsi="Calibri" w:cs="Calibri"/>
          <w:sz w:val="22"/>
          <w:szCs w:val="22"/>
        </w:rPr>
        <w:t> </w:t>
      </w:r>
      <w:r w:rsidRPr="00C921DE">
        <w:rPr>
          <w:rFonts w:ascii="GHEA Grapalat" w:eastAsia="Calibri" w:hAnsi="GHEA Grapalat" w:cs="Sylfaen"/>
          <w:sz w:val="22"/>
          <w:szCs w:val="22"/>
        </w:rPr>
        <w:t xml:space="preserve">մլրդ դրամ։ Իսկ «Պետական աջակցություն տեղեկատվական տեխնոլոգիաների ոլորտում գործունեություն իրականացնող առևտրային կազմակերպություններին և անհատ ձեռնարկատերերին» </w:t>
      </w:r>
      <w:r w:rsidR="00E23FB7" w:rsidRPr="00C921DE">
        <w:rPr>
          <w:rFonts w:ascii="GHEA Grapalat" w:eastAsia="Calibri" w:hAnsi="GHEA Grapalat" w:cs="Sylfaen"/>
          <w:sz w:val="22"/>
          <w:szCs w:val="22"/>
          <w:lang w:val="en-US"/>
        </w:rPr>
        <w:t>միջոցառման</w:t>
      </w:r>
      <w:r w:rsidRPr="00C921DE">
        <w:rPr>
          <w:rFonts w:ascii="GHEA Grapalat" w:eastAsia="Calibri" w:hAnsi="GHEA Grapalat" w:cs="Sylfaen"/>
          <w:sz w:val="22"/>
          <w:szCs w:val="22"/>
        </w:rPr>
        <w:t xml:space="preserve"> գծով, որով ՏՏ ոլորտի կազմակերպություններն օժանդակություն են ստանում նոր աշխատակիցների վճարած եկամտային հարկի 50%-ի չափով, փաստացի ծախսերը 2023 թվականին կազմել են շուրջ 12.7 մլրդ դրամ: </w:t>
      </w:r>
    </w:p>
    <w:p w14:paraId="0916941F" w14:textId="73FE0279"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Հաշվետու ժամանակահատվածում գյուղատնտեսության ոլորտի ծախսերի աճը կազմել է 13.0%</w:t>
      </w:r>
      <w:r w:rsidR="00F958C8" w:rsidRPr="00C921DE">
        <w:rPr>
          <w:rFonts w:ascii="GHEA Grapalat" w:eastAsia="Calibri" w:hAnsi="GHEA Grapalat" w:cs="Sylfaen"/>
          <w:sz w:val="22"/>
          <w:szCs w:val="22"/>
          <w:lang w:val="en-US"/>
        </w:rPr>
        <w:t>, որոնք</w:t>
      </w:r>
      <w:r w:rsidRPr="00C921DE">
        <w:rPr>
          <w:rFonts w:ascii="GHEA Grapalat" w:eastAsia="Calibri" w:hAnsi="GHEA Grapalat" w:cs="Sylfaen"/>
          <w:sz w:val="22"/>
          <w:szCs w:val="22"/>
        </w:rPr>
        <w:t xml:space="preserve"> նախորդ տարվա 37.1 մլրդ դրամից դարձել են 42.0 մլրդ դրամ, որում գյուղատնտեսության խթանման ծրագրերը կազմել են 16.2 մլրդ դրամ, գյուղատնտեսության արդիականացման ծրագրերը՝ 17.5 մլրդ դրամ, բուսաբուծության խթանմանը և բույսերի պաշտպանությանն ուղղված ծախսերը՝</w:t>
      </w:r>
      <w:r w:rsidR="00F958C8" w:rsidRPr="00C921DE">
        <w:rPr>
          <w:rFonts w:ascii="GHEA Grapalat" w:eastAsia="Calibri" w:hAnsi="GHEA Grapalat" w:cs="Sylfaen"/>
          <w:sz w:val="22"/>
          <w:szCs w:val="22"/>
        </w:rPr>
        <w:t xml:space="preserve"> 4.9</w:t>
      </w:r>
      <w:r w:rsidR="00F958C8" w:rsidRPr="00C921DE">
        <w:rPr>
          <w:rFonts w:ascii="Calibri" w:eastAsia="Calibri" w:hAnsi="Calibri" w:cs="Calibri"/>
          <w:sz w:val="22"/>
          <w:szCs w:val="22"/>
          <w:lang w:val="en-US"/>
        </w:rPr>
        <w:t> </w:t>
      </w:r>
      <w:r w:rsidRPr="00C921DE">
        <w:rPr>
          <w:rFonts w:ascii="GHEA Grapalat" w:eastAsia="Calibri" w:hAnsi="GHEA Grapalat" w:cs="Sylfaen"/>
          <w:sz w:val="22"/>
          <w:szCs w:val="22"/>
        </w:rPr>
        <w:t>մլրդ դրամ և անասնաբուժական ծառայություններին ուղղված ծախսերը՝ 2.5 մլրդ դրամ: Գյուղատնտեսության արդիականացման ծրագրում ՀՀ ինտենսիվ այգեգործության զարգացման նպատակով սուբսիդավորումը կազմել է 8.9 մլրդ դրամ, իսկ ՀՀ ագրոպարենային ոլորտի սարքավորումների</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լիզինգի</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 xml:space="preserve">աջակցության </w:t>
      </w:r>
      <w:r w:rsidR="00F958C8" w:rsidRPr="00C921DE">
        <w:rPr>
          <w:rFonts w:ascii="GHEA Grapalat" w:eastAsia="Calibri" w:hAnsi="GHEA Grapalat" w:cs="Sylfaen"/>
          <w:sz w:val="22"/>
          <w:szCs w:val="22"/>
        </w:rPr>
        <w:t>ծախսերը՝</w:t>
      </w:r>
      <w:r w:rsidRPr="00C921DE">
        <w:rPr>
          <w:rFonts w:ascii="GHEA Grapalat" w:eastAsia="Calibri" w:hAnsi="GHEA Grapalat" w:cs="Sylfaen"/>
          <w:sz w:val="22"/>
          <w:szCs w:val="22"/>
        </w:rPr>
        <w:t xml:space="preserve"> 3.6</w:t>
      </w:r>
      <w:r w:rsidRPr="00C921DE">
        <w:rPr>
          <w:rFonts w:ascii="Calibri" w:eastAsia="Calibri" w:hAnsi="Calibri" w:cs="Calibri"/>
          <w:sz w:val="22"/>
          <w:szCs w:val="22"/>
        </w:rPr>
        <w:t> </w:t>
      </w:r>
      <w:r w:rsidRPr="00C921DE">
        <w:rPr>
          <w:rFonts w:ascii="GHEA Grapalat" w:eastAsia="Calibri" w:hAnsi="GHEA Grapalat" w:cs="Sylfaen"/>
          <w:sz w:val="22"/>
          <w:szCs w:val="22"/>
        </w:rPr>
        <w:t>մլրդ դրամ: Գյուղատնտեսության խթանման ծրագրում գյուղատնտեսական վարկերի տոկոսադրույքների սուբսիդավորումը կազմել է 8.5 մլրդ դրամ, իսկ գյուղատնտեսական հումքի մթերումների (գնումների) նպատակով</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տրամադրվող վարկերի տոկոսադրույքների</w:t>
      </w:r>
      <w:r w:rsidR="00B630A4" w:rsidRPr="00C921DE">
        <w:rPr>
          <w:rFonts w:ascii="GHEA Grapalat" w:eastAsia="Calibri" w:hAnsi="GHEA Grapalat" w:cs="Sylfaen"/>
          <w:sz w:val="22"/>
          <w:szCs w:val="22"/>
          <w:lang w:val="en-US"/>
        </w:rPr>
        <w:t xml:space="preserve"> </w:t>
      </w:r>
      <w:r w:rsidR="00B630A4" w:rsidRPr="00C921DE">
        <w:rPr>
          <w:rFonts w:ascii="GHEA Grapalat" w:eastAsia="Calibri" w:hAnsi="GHEA Grapalat" w:cs="Sylfaen"/>
          <w:sz w:val="22"/>
          <w:szCs w:val="22"/>
        </w:rPr>
        <w:t>սուբսիդավորումը</w:t>
      </w:r>
      <w:r w:rsidR="00B630A4"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 xml:space="preserve"> 3.8 մլրդ դրամ։ </w:t>
      </w:r>
    </w:p>
    <w:p w14:paraId="423D3191" w14:textId="1439B8F2" w:rsidR="00E76051" w:rsidRPr="00C921DE" w:rsidRDefault="00E76051" w:rsidP="00E76051">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 xml:space="preserve">2023 թվականին ՀՀ պետական բյուջեից Լեռնային Ղարաբաղին տրամադրված միջպետական վարկի ծավալը կազմել է 150.99 մլրդ դրամ: </w:t>
      </w:r>
      <w:r w:rsidR="001C21E9" w:rsidRPr="00C921DE">
        <w:rPr>
          <w:rFonts w:ascii="GHEA Grapalat" w:eastAsia="Calibri" w:hAnsi="GHEA Grapalat" w:cs="Sylfaen"/>
          <w:sz w:val="22"/>
          <w:szCs w:val="22"/>
        </w:rPr>
        <w:t>2023 թվականին ԼՂ-ից բռնի տեղահանված բնակչության սոցիալական, բնակարանային և այլ կարիքների համար տրված պետական աջակցության ընդհանուր չափը կազմել է 38.4 մլրդ դրամ</w:t>
      </w:r>
      <w:r w:rsidR="00FF1399" w:rsidRPr="00C921DE">
        <w:rPr>
          <w:rStyle w:val="FootnoteReference"/>
          <w:rFonts w:ascii="GHEA Grapalat" w:eastAsia="Calibri" w:hAnsi="GHEA Grapalat"/>
          <w:sz w:val="22"/>
          <w:szCs w:val="22"/>
        </w:rPr>
        <w:footnoteReference w:id="26"/>
      </w:r>
      <w:r w:rsidR="001C21E9" w:rsidRPr="00C921DE">
        <w:rPr>
          <w:rFonts w:ascii="GHEA Grapalat" w:eastAsia="Calibri" w:hAnsi="GHEA Grapalat" w:cs="Sylfaen"/>
          <w:sz w:val="22"/>
          <w:szCs w:val="22"/>
        </w:rPr>
        <w:t>:</w:t>
      </w:r>
    </w:p>
    <w:p w14:paraId="40A36C61" w14:textId="1548FFEE" w:rsidR="00E76051" w:rsidRPr="00C921DE" w:rsidRDefault="00E76051" w:rsidP="00E74C94">
      <w:pPr>
        <w:spacing w:line="360" w:lineRule="auto"/>
        <w:ind w:firstLine="567"/>
        <w:jc w:val="both"/>
        <w:rPr>
          <w:rFonts w:ascii="GHEA Grapalat" w:eastAsia="Calibri" w:hAnsi="GHEA Grapalat" w:cs="Sylfaen"/>
          <w:sz w:val="22"/>
          <w:szCs w:val="22"/>
        </w:rPr>
      </w:pPr>
      <w:r w:rsidRPr="00C921DE">
        <w:rPr>
          <w:rFonts w:ascii="GHEA Grapalat" w:eastAsia="GHEA Grapalat" w:hAnsi="GHEA Grapalat" w:cs="GHEA Grapalat"/>
          <w:b/>
          <w:i/>
          <w:sz w:val="22"/>
          <w:szCs w:val="22"/>
        </w:rPr>
        <w:t>Պետական բյուջեի պակասուրդը և կառավարության պարտքը:</w:t>
      </w:r>
      <w:r w:rsidRPr="00C921DE">
        <w:rPr>
          <w:rFonts w:ascii="GHEA Grapalat" w:eastAsia="GHEA Grapalat" w:hAnsi="GHEA Grapalat" w:cs="GHEA Grapalat"/>
          <w:sz w:val="22"/>
          <w:szCs w:val="22"/>
        </w:rPr>
        <w:t xml:space="preserve"> </w:t>
      </w:r>
      <w:bookmarkStart w:id="88" w:name="_Hlk131890248"/>
      <w:r w:rsidRPr="00C921DE">
        <w:rPr>
          <w:rFonts w:ascii="GHEA Grapalat" w:eastAsia="Calibri" w:hAnsi="GHEA Grapalat" w:cs="Sylfaen"/>
          <w:sz w:val="22"/>
          <w:szCs w:val="22"/>
        </w:rPr>
        <w:t>2023 թվականին բարձր տնտեսական աճ</w:t>
      </w:r>
      <w:r w:rsidR="00E74C94" w:rsidRPr="00C921DE">
        <w:rPr>
          <w:rFonts w:ascii="GHEA Grapalat" w:eastAsia="Calibri" w:hAnsi="GHEA Grapalat" w:cs="Sylfaen"/>
          <w:sz w:val="22"/>
          <w:szCs w:val="22"/>
          <w:lang w:val="en-US"/>
        </w:rPr>
        <w:t>ի</w:t>
      </w:r>
      <w:r w:rsidRPr="00C921DE">
        <w:rPr>
          <w:rFonts w:ascii="GHEA Grapalat" w:eastAsia="Calibri" w:hAnsi="GHEA Grapalat" w:cs="Sylfaen"/>
          <w:sz w:val="22"/>
          <w:szCs w:val="22"/>
        </w:rPr>
        <w:t xml:space="preserve"> և պարտքի կայունության ապահովմանն ուղղված հարկաբյուջետային քաղաքականության</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 xml:space="preserve">արդյունքում պետական բյուջեի պակասուրդը պահպանվել է ցածր մակարդակում, ինչն օժանդակել է նաև կառավարության պարտքի բեռի՝ 50%-ից ցածր մակարդակում </w:t>
      </w:r>
      <w:r w:rsidRPr="00C921DE">
        <w:rPr>
          <w:rFonts w:ascii="GHEA Grapalat" w:eastAsia="Calibri" w:hAnsi="GHEA Grapalat" w:cs="Sylfaen"/>
          <w:sz w:val="22"/>
          <w:szCs w:val="22"/>
        </w:rPr>
        <w:lastRenderedPageBreak/>
        <w:t xml:space="preserve">պահպանման նպատակի իրագործմանը։ </w:t>
      </w:r>
      <w:bookmarkEnd w:id="88"/>
      <w:r w:rsidRPr="00C921DE">
        <w:rPr>
          <w:rFonts w:ascii="GHEA Grapalat" w:eastAsia="Calibri" w:hAnsi="GHEA Grapalat" w:cs="Sylfaen"/>
          <w:sz w:val="22"/>
          <w:szCs w:val="22"/>
        </w:rPr>
        <w:t>2023 թվականին պետական բյուջեի պակասուրդը կազմել է 188.9 մլրդ դրամ</w:t>
      </w:r>
      <w:r w:rsidR="00E74C94"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 xml:space="preserve"> նախորդ տարվա 179.5 մլրդ դրամի համեմատ, իսկ պետական բյուջեի պակասուրդ/ՀՆԱ ցուցանիշը կազմել է 2.0%՝ նախորդ տարվա համեմատ նվազելով 0.1 տոկոսային կետով: ՀՀ կառավարության պարտք/ՀՆԱ ցուցանիշը կազմել է 48.1%՝ նախորդ տարվա նկատմամբ աճելով 1.4 տոկոսային կետով:</w:t>
      </w:r>
    </w:p>
    <w:p w14:paraId="5881A3DF" w14:textId="79A9ED2C" w:rsidR="00E76051" w:rsidRPr="00C921DE" w:rsidRDefault="00E76051" w:rsidP="00E74C94">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Կառավարության պարտք/ՀՆԱ ցուցանիշի աճը պայմանավորվել է պարտքի այլ հոսքերով, նախորդ տարվա համեմատությամբ ՀՀ դրամի որոշակի արժեզրկմամբ և պարտքի իրական տոկոսադրույքի աճով։ Կառավարության պարտք/ՀՆԱ ցուցանիշի 1.4 տոկոսային կետով աճին 3.5 տոկոսային կետով նպաստել է պետական բյուջեից զուտ վարկավորումը և ԼՂ կառավարության</w:t>
      </w:r>
      <w:r w:rsidR="009230C7" w:rsidRPr="00C921DE">
        <w:rPr>
          <w:rFonts w:ascii="GHEA Grapalat" w:eastAsia="Calibri" w:hAnsi="GHEA Grapalat" w:cs="Sylfaen"/>
          <w:sz w:val="22"/>
          <w:szCs w:val="22"/>
          <w:lang w:val="en-US"/>
        </w:rPr>
        <w:t>,</w:t>
      </w:r>
      <w:r w:rsidR="008D730E" w:rsidRPr="00C921DE">
        <w:rPr>
          <w:rFonts w:ascii="GHEA Grapalat" w:eastAsia="Calibri" w:hAnsi="GHEA Grapalat" w:cs="Sylfaen"/>
          <w:sz w:val="22"/>
          <w:szCs w:val="22"/>
          <w:lang w:val="en-US"/>
        </w:rPr>
        <w:t xml:space="preserve"> </w:t>
      </w:r>
      <w:r w:rsidR="009230C7" w:rsidRPr="00C921DE">
        <w:rPr>
          <w:rFonts w:ascii="GHEA Grapalat" w:eastAsia="Calibri" w:hAnsi="GHEA Grapalat" w:cs="Sylfaen"/>
          <w:sz w:val="22"/>
          <w:szCs w:val="22"/>
        </w:rPr>
        <w:t>նրա ստեղծած հիմնադրամների և ԼՂ առանձին ֆիզիկական և իրավաբանական անձանց պարտավորությունների փոխանցման դիմաց պարտատոմսի թողարկումը</w:t>
      </w:r>
      <w:r w:rsidRPr="00C921DE">
        <w:rPr>
          <w:rFonts w:ascii="GHEA Grapalat" w:eastAsia="Calibri" w:hAnsi="GHEA Grapalat" w:cs="Sylfaen"/>
          <w:sz w:val="22"/>
          <w:szCs w:val="22"/>
        </w:rPr>
        <w:t>, 1.</w:t>
      </w:r>
      <w:r w:rsidR="00E152CC" w:rsidRPr="00C921DE">
        <w:rPr>
          <w:rFonts w:ascii="GHEA Grapalat" w:eastAsia="Calibri" w:hAnsi="GHEA Grapalat" w:cs="Sylfaen"/>
          <w:sz w:val="22"/>
          <w:szCs w:val="22"/>
          <w:lang w:val="en-US"/>
        </w:rPr>
        <w:t>6</w:t>
      </w:r>
      <w:r w:rsidRPr="00C921DE">
        <w:rPr>
          <w:rFonts w:ascii="GHEA Grapalat" w:eastAsia="Calibri" w:hAnsi="GHEA Grapalat" w:cs="Sylfaen"/>
          <w:sz w:val="22"/>
          <w:szCs w:val="22"/>
        </w:rPr>
        <w:t xml:space="preserve"> տոկոսային կետով՝</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ԱՄՆ դոլարի նկատմամբ ՀՀ դրամի արժեզրկումը, և 1.</w:t>
      </w:r>
      <w:r w:rsidR="00E152CC" w:rsidRPr="00C921DE">
        <w:rPr>
          <w:rFonts w:ascii="GHEA Grapalat" w:eastAsia="Calibri" w:hAnsi="GHEA Grapalat" w:cs="Sylfaen"/>
          <w:sz w:val="22"/>
          <w:szCs w:val="22"/>
          <w:lang w:val="en-US"/>
        </w:rPr>
        <w:t>6</w:t>
      </w:r>
      <w:r w:rsidRPr="00C921DE">
        <w:rPr>
          <w:rFonts w:ascii="GHEA Grapalat" w:eastAsia="Calibri" w:hAnsi="GHEA Grapalat" w:cs="Sylfaen"/>
          <w:sz w:val="22"/>
          <w:szCs w:val="22"/>
        </w:rPr>
        <w:t xml:space="preserve"> տոկոսային կետով՝ իրական տոկոսադրույքի աճը։</w:t>
      </w:r>
      <w:r w:rsidR="00FE3A4C" w:rsidRPr="00C921DE">
        <w:rPr>
          <w:rFonts w:ascii="GHEA Grapalat" w:eastAsia="Calibri" w:hAnsi="GHEA Grapalat" w:cs="Sylfaen"/>
          <w:sz w:val="22"/>
          <w:szCs w:val="22"/>
        </w:rPr>
        <w:t xml:space="preserve"> </w:t>
      </w:r>
      <w:r w:rsidRPr="00C921DE">
        <w:rPr>
          <w:rFonts w:ascii="GHEA Grapalat" w:eastAsia="Calibri" w:hAnsi="GHEA Grapalat" w:cs="Sylfaen"/>
          <w:sz w:val="22"/>
          <w:szCs w:val="22"/>
        </w:rPr>
        <w:t>Պարտքի աճի ուղղությամբ նպաստող գործոններին հակազդել են տնտեսական աճը</w:t>
      </w:r>
      <w:r w:rsidR="001E44EE" w:rsidRPr="00C921DE">
        <w:rPr>
          <w:rFonts w:ascii="GHEA Grapalat" w:eastAsia="Calibri" w:hAnsi="GHEA Grapalat" w:cs="Sylfaen"/>
          <w:sz w:val="22"/>
          <w:szCs w:val="22"/>
        </w:rPr>
        <w:t xml:space="preserve"> (3.6</w:t>
      </w:r>
      <w:r w:rsidRPr="00C921DE">
        <w:rPr>
          <w:rFonts w:ascii="GHEA Grapalat" w:eastAsia="Calibri" w:hAnsi="GHEA Grapalat" w:cs="Sylfaen"/>
          <w:sz w:val="22"/>
          <w:szCs w:val="22"/>
        </w:rPr>
        <w:t xml:space="preserve"> տոկոսային կետ) և բյուջեի առաջնային հավելուրդը (0.7 տոկոսային կետ)։ </w:t>
      </w:r>
    </w:p>
    <w:p w14:paraId="00788BAA" w14:textId="77777777" w:rsidR="00E76051" w:rsidRPr="00C921DE" w:rsidRDefault="00E76051" w:rsidP="00E74C94">
      <w:pPr>
        <w:spacing w:line="360" w:lineRule="auto"/>
        <w:ind w:firstLine="567"/>
        <w:jc w:val="both"/>
        <w:rPr>
          <w:rFonts w:ascii="GHEA Grapalat" w:eastAsia="Calibri" w:hAnsi="GHEA Grapalat" w:cs="Sylfaen"/>
          <w:sz w:val="22"/>
          <w:szCs w:val="22"/>
        </w:rPr>
      </w:pPr>
    </w:p>
    <w:p w14:paraId="2B92B095" w14:textId="35B77D78" w:rsidR="00E76051" w:rsidRPr="00C921DE" w:rsidRDefault="00E76051" w:rsidP="004C12B8">
      <w:pPr>
        <w:pStyle w:val="a"/>
        <w:rPr>
          <w:rFonts w:eastAsia="Calibri" w:cs="GHEA Grapalat"/>
        </w:rPr>
      </w:pPr>
      <w:r w:rsidRPr="00C921DE">
        <w:rPr>
          <w:rFonts w:eastAsia="Calibri"/>
        </w:rPr>
        <w:t xml:space="preserve">ՀՀ </w:t>
      </w:r>
      <w:r w:rsidRPr="00C921DE">
        <w:t>կառավարության</w:t>
      </w:r>
      <w:r w:rsidRPr="00C921DE">
        <w:rPr>
          <w:rFonts w:eastAsia="Calibri"/>
        </w:rPr>
        <w:t xml:space="preserve"> պարտքի և պակասուրդի դինամիկան</w:t>
      </w:r>
    </w:p>
    <w:p w14:paraId="68F87436" w14:textId="539CD6E7" w:rsidR="00E152CC" w:rsidRPr="00C921DE" w:rsidRDefault="00E152CC" w:rsidP="00E152CC">
      <w:pPr>
        <w:autoSpaceDE w:val="0"/>
        <w:autoSpaceDN w:val="0"/>
        <w:adjustRightInd w:val="0"/>
        <w:spacing w:line="360" w:lineRule="auto"/>
        <w:rPr>
          <w:rFonts w:ascii="GHEA Grapalat" w:hAnsi="GHEA Grapalat"/>
          <w:sz w:val="22"/>
          <w:szCs w:val="22"/>
        </w:rPr>
      </w:pPr>
      <w:r w:rsidRPr="00C921DE">
        <w:rPr>
          <w:rFonts w:ascii="GHEA Grapalat" w:hAnsi="GHEA Grapalat"/>
          <w:sz w:val="22"/>
          <w:szCs w:val="22"/>
          <w:lang w:val="en-US"/>
        </w:rPr>
        <w:drawing>
          <wp:inline distT="0" distB="0" distL="0" distR="0" wp14:anchorId="1E8F39F3" wp14:editId="77AEDC31">
            <wp:extent cx="3162300" cy="2581275"/>
            <wp:effectExtent l="0" t="0" r="0" b="0"/>
            <wp:docPr id="55" name="Object 4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C921DE">
        <w:rPr>
          <w:rFonts w:ascii="GHEA Grapalat" w:hAnsi="GHEA Grapalat"/>
          <w:sz w:val="22"/>
          <w:szCs w:val="22"/>
        </w:rPr>
        <w:t xml:space="preserve"> </w:t>
      </w:r>
      <w:r w:rsidRPr="00C921DE">
        <w:rPr>
          <w:rFonts w:ascii="GHEA Grapalat" w:hAnsi="GHEA Grapalat"/>
          <w:sz w:val="22"/>
          <w:szCs w:val="22"/>
          <w:lang w:val="en-US"/>
        </w:rPr>
        <w:drawing>
          <wp:inline distT="0" distB="0" distL="0" distR="0" wp14:anchorId="0A42377E" wp14:editId="2FB870F8">
            <wp:extent cx="3238500" cy="2554936"/>
            <wp:effectExtent l="0" t="0" r="0" b="17145"/>
            <wp:docPr id="1561898464" name="Object 5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DDE1D24" w14:textId="04773FF7" w:rsidR="00E76051" w:rsidRPr="00C921DE" w:rsidRDefault="00E76051" w:rsidP="00E76051">
      <w:pPr>
        <w:autoSpaceDE w:val="0"/>
        <w:autoSpaceDN w:val="0"/>
        <w:adjustRightInd w:val="0"/>
        <w:spacing w:after="120" w:line="360" w:lineRule="auto"/>
        <w:rPr>
          <w:rFonts w:ascii="GHEA Grapalat" w:hAnsi="GHEA Grapalat"/>
          <w:i/>
          <w:sz w:val="18"/>
          <w:szCs w:val="18"/>
        </w:rPr>
      </w:pPr>
      <w:r w:rsidRPr="00C921DE">
        <w:rPr>
          <w:rFonts w:ascii="GHEA Grapalat" w:hAnsi="GHEA Grapalat"/>
          <w:i/>
          <w:sz w:val="18"/>
          <w:szCs w:val="18"/>
        </w:rPr>
        <w:t>Աղբյուրը՝ ՀՀ ՖՆ</w:t>
      </w:r>
    </w:p>
    <w:p w14:paraId="6DDD88AC" w14:textId="77777777" w:rsidR="00A45D87" w:rsidRPr="00C921DE" w:rsidRDefault="00A45D87" w:rsidP="00A45D87">
      <w:pPr>
        <w:spacing w:line="360" w:lineRule="auto"/>
        <w:ind w:firstLine="567"/>
        <w:jc w:val="both"/>
        <w:rPr>
          <w:rFonts w:ascii="GHEA Grapalat" w:eastAsia="Calibri" w:hAnsi="GHEA Grapalat" w:cs="Sylfaen"/>
          <w:sz w:val="22"/>
          <w:szCs w:val="22"/>
        </w:rPr>
      </w:pPr>
    </w:p>
    <w:p w14:paraId="4D10E0B8" w14:textId="1D9777BA" w:rsidR="00E76051" w:rsidRPr="00C921DE" w:rsidRDefault="00E76051" w:rsidP="004C12B8">
      <w:pPr>
        <w:pStyle w:val="a"/>
        <w:rPr>
          <w:rFonts w:eastAsia="Calibri" w:cs="GHEA Grapalat"/>
        </w:rPr>
      </w:pPr>
      <w:r w:rsidRPr="00C921DE">
        <w:lastRenderedPageBreak/>
        <w:t>Կառավարության</w:t>
      </w:r>
      <w:r w:rsidRPr="00C921DE">
        <w:rPr>
          <w:rFonts w:eastAsia="Calibri"/>
        </w:rPr>
        <w:t xml:space="preserve"> պարտքի բեռի փոփոխությանը նպաստող գործոնները, տոկոսային կետ</w:t>
      </w:r>
    </w:p>
    <w:p w14:paraId="1B89C963" w14:textId="4A3F3FCE" w:rsidR="00E76051" w:rsidRPr="00C921DE" w:rsidRDefault="009C2D59" w:rsidP="00E76051">
      <w:pPr>
        <w:autoSpaceDE w:val="0"/>
        <w:autoSpaceDN w:val="0"/>
        <w:adjustRightInd w:val="0"/>
        <w:spacing w:line="360" w:lineRule="auto"/>
        <w:rPr>
          <w:rFonts w:ascii="GHEA Grapalat" w:hAnsi="GHEA Grapalat"/>
          <w:sz w:val="22"/>
          <w:szCs w:val="22"/>
        </w:rPr>
      </w:pPr>
      <w:r w:rsidRPr="00C921DE">
        <w:rPr>
          <w:rFonts w:ascii="GHEA Grapalat" w:hAnsi="GHEA Grapalat"/>
          <w:sz w:val="22"/>
          <w:szCs w:val="22"/>
          <w:lang w:val="en-US"/>
        </w:rPr>
        <w:drawing>
          <wp:inline distT="0" distB="0" distL="0" distR="0" wp14:anchorId="777F97DA" wp14:editId="74F1741D">
            <wp:extent cx="6429375" cy="2571750"/>
            <wp:effectExtent l="0" t="0" r="0" b="0"/>
            <wp:docPr id="1561898465" name="Chart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FFFACF1" w14:textId="77777777" w:rsidR="00E76051" w:rsidRPr="00C921DE" w:rsidRDefault="00E76051" w:rsidP="00E76051">
      <w:pPr>
        <w:autoSpaceDE w:val="0"/>
        <w:autoSpaceDN w:val="0"/>
        <w:adjustRightInd w:val="0"/>
        <w:spacing w:after="120" w:line="360" w:lineRule="auto"/>
        <w:rPr>
          <w:rFonts w:ascii="GHEA Grapalat" w:hAnsi="GHEA Grapalat"/>
          <w:i/>
          <w:sz w:val="18"/>
          <w:szCs w:val="18"/>
        </w:rPr>
      </w:pPr>
      <w:r w:rsidRPr="00C921DE">
        <w:rPr>
          <w:rFonts w:ascii="GHEA Grapalat" w:hAnsi="GHEA Grapalat"/>
          <w:i/>
          <w:sz w:val="18"/>
          <w:szCs w:val="18"/>
        </w:rPr>
        <w:t>Աղբյուրը՝ ՀՀ ՖՆ</w:t>
      </w:r>
    </w:p>
    <w:p w14:paraId="5E9A4216" w14:textId="10036B2D" w:rsidR="00E76051" w:rsidRPr="00C921DE" w:rsidRDefault="00E76051" w:rsidP="00A45D87">
      <w:pPr>
        <w:ind w:firstLine="567"/>
        <w:jc w:val="both"/>
        <w:rPr>
          <w:rFonts w:ascii="GHEA Grapalat" w:eastAsia="GHEA Grapalat" w:hAnsi="GHEA Grapalat" w:cs="GHEA Grapalat"/>
          <w:b/>
          <w:i/>
          <w:sz w:val="22"/>
          <w:szCs w:val="22"/>
        </w:rPr>
      </w:pPr>
      <w:r w:rsidRPr="00C921DE">
        <w:rPr>
          <w:rFonts w:ascii="GHEA Grapalat" w:hAnsi="GHEA Grapalat"/>
          <w:i/>
          <w:sz w:val="18"/>
          <w:szCs w:val="18"/>
        </w:rPr>
        <w:t>*Ներառում է նաև ՀՀ կառավարության 2023 թվականի դեկտեմբերի 28-ի N 2326-Ն որոշմամբ</w:t>
      </w:r>
      <w:r w:rsidR="00FE3A4C" w:rsidRPr="00C921DE">
        <w:rPr>
          <w:rFonts w:ascii="GHEA Grapalat" w:hAnsi="GHEA Grapalat"/>
          <w:i/>
          <w:sz w:val="18"/>
          <w:szCs w:val="18"/>
        </w:rPr>
        <w:t xml:space="preserve"> </w:t>
      </w:r>
      <w:r w:rsidRPr="00C921DE">
        <w:rPr>
          <w:rFonts w:ascii="GHEA Grapalat" w:hAnsi="GHEA Grapalat"/>
          <w:i/>
          <w:sz w:val="18"/>
          <w:szCs w:val="18"/>
        </w:rPr>
        <w:t xml:space="preserve">206.4 մլրդ դրամ (ՀՆԱ 2.2%) </w:t>
      </w:r>
      <w:r w:rsidR="009C2D59" w:rsidRPr="00C921DE">
        <w:rPr>
          <w:rFonts w:ascii="GHEA Grapalat" w:hAnsi="GHEA Grapalat"/>
          <w:i/>
          <w:sz w:val="18"/>
          <w:szCs w:val="18"/>
        </w:rPr>
        <w:t xml:space="preserve"> ԼՂ կառավարության, նրա ստեղծած հիմնադրամների և ԼՂ առանձին ֆիզիկական և իրավաբանական անձանց պարտավորությունների փոխանցման գործարքի շրջանակներում ՀՀ կառավարության 2023 թվականի դեկտեմբերի 28-ի N 2326-Ն որոշմամբ տեղաբաշխված՝</w:t>
      </w:r>
      <w:r w:rsidR="00544F8F" w:rsidRPr="00C921DE">
        <w:rPr>
          <w:rFonts w:ascii="GHEA Grapalat" w:hAnsi="GHEA Grapalat"/>
          <w:i/>
          <w:sz w:val="18"/>
          <w:szCs w:val="18"/>
        </w:rPr>
        <w:t xml:space="preserve"> </w:t>
      </w:r>
      <w:r w:rsidR="009C2D59" w:rsidRPr="00C921DE">
        <w:rPr>
          <w:rFonts w:ascii="GHEA Grapalat" w:hAnsi="GHEA Grapalat"/>
          <w:i/>
          <w:sz w:val="18"/>
          <w:szCs w:val="18"/>
        </w:rPr>
        <w:t>206.4 մլրդ դրամ ծավալով պարտատոմսը։</w:t>
      </w:r>
    </w:p>
    <w:p w14:paraId="068DA40F" w14:textId="77777777" w:rsidR="001E44EE" w:rsidRPr="00C921DE" w:rsidRDefault="001E44EE" w:rsidP="001E44EE">
      <w:pPr>
        <w:spacing w:line="360" w:lineRule="auto"/>
        <w:ind w:firstLine="567"/>
        <w:jc w:val="both"/>
        <w:rPr>
          <w:rFonts w:ascii="GHEA Grapalat" w:eastAsia="Calibri" w:hAnsi="GHEA Grapalat" w:cs="Sylfaen"/>
          <w:sz w:val="22"/>
          <w:szCs w:val="22"/>
        </w:rPr>
      </w:pPr>
    </w:p>
    <w:p w14:paraId="5EE62A18" w14:textId="64F6170B" w:rsidR="00E76051" w:rsidRPr="00C921DE" w:rsidRDefault="00E76051" w:rsidP="001E44EE">
      <w:pPr>
        <w:spacing w:line="360" w:lineRule="auto"/>
        <w:ind w:firstLine="567"/>
        <w:jc w:val="both"/>
        <w:rPr>
          <w:rFonts w:ascii="GHEA Grapalat" w:eastAsia="Calibri" w:hAnsi="GHEA Grapalat" w:cs="Sylfaen"/>
          <w:sz w:val="22"/>
          <w:szCs w:val="22"/>
        </w:rPr>
      </w:pPr>
      <w:r w:rsidRPr="00C921DE">
        <w:rPr>
          <w:rFonts w:ascii="GHEA Grapalat" w:eastAsia="GHEA Grapalat" w:hAnsi="GHEA Grapalat" w:cs="GHEA Grapalat"/>
          <w:b/>
          <w:i/>
          <w:sz w:val="22"/>
          <w:szCs w:val="22"/>
        </w:rPr>
        <w:t>Հարկաբյուջետային կանոններ:</w:t>
      </w:r>
      <w:r w:rsidRPr="00C921DE">
        <w:rPr>
          <w:rFonts w:ascii="GHEA Grapalat" w:eastAsia="GHEA Grapalat" w:hAnsi="GHEA Grapalat" w:cs="GHEA Grapalat"/>
          <w:sz w:val="22"/>
          <w:szCs w:val="22"/>
        </w:rPr>
        <w:t xml:space="preserve"> </w:t>
      </w:r>
      <w:bookmarkStart w:id="89" w:name="_Hlk131890375"/>
      <w:r w:rsidRPr="00C921DE">
        <w:rPr>
          <w:rFonts w:ascii="GHEA Grapalat" w:eastAsia="Calibri" w:hAnsi="GHEA Grapalat" w:cs="Sylfaen"/>
          <w:sz w:val="22"/>
          <w:szCs w:val="22"/>
        </w:rPr>
        <w:t xml:space="preserve">2023 թվականին հարկաբյուջետային քաղաքականությունը համապատասխանել է հարկաբյուջետային կանոնների ընդհանուր </w:t>
      </w:r>
      <w:r w:rsidR="001E44EE" w:rsidRPr="00C921DE">
        <w:rPr>
          <w:rFonts w:ascii="GHEA Grapalat" w:eastAsia="Calibri" w:hAnsi="GHEA Grapalat" w:cs="Sylfaen"/>
          <w:sz w:val="22"/>
          <w:szCs w:val="22"/>
        </w:rPr>
        <w:t>տրամաբանությանը</w:t>
      </w:r>
      <w:r w:rsidRPr="00C921DE">
        <w:rPr>
          <w:rFonts w:ascii="GHEA Grapalat" w:eastAsia="Calibri" w:hAnsi="GHEA Grapalat" w:cs="Sylfaen"/>
          <w:sz w:val="22"/>
          <w:szCs w:val="22"/>
        </w:rPr>
        <w:t xml:space="preserve"> համահունչ</w:t>
      </w:r>
      <w:r w:rsidR="001E44EE"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 xml:space="preserve"> 2023 թվականի պետական բյուջեի ուղերձում նախանշած քաղաքականությանը։ Այսպես, 2023 թվականին պետական բյուջեի կապիտալ ծախսերը գերազանցել են պետական բյուջեի պակասուրդը շուրջ 283.7 մլրդ դրամով, ինչ</w:t>
      </w:r>
      <w:r w:rsidR="004668B1" w:rsidRPr="00C921DE">
        <w:rPr>
          <w:rFonts w:ascii="GHEA Grapalat" w:eastAsia="Calibri" w:hAnsi="GHEA Grapalat" w:cs="Sylfaen"/>
          <w:sz w:val="22"/>
          <w:szCs w:val="22"/>
          <w:lang w:val="en-US"/>
        </w:rPr>
        <w:t>ն</w:t>
      </w:r>
      <w:r w:rsidRPr="00C921DE">
        <w:rPr>
          <w:rFonts w:ascii="GHEA Grapalat" w:eastAsia="Calibri" w:hAnsi="GHEA Grapalat" w:cs="Sylfaen"/>
          <w:sz w:val="22"/>
          <w:szCs w:val="22"/>
        </w:rPr>
        <w:t xml:space="preserve"> ամրապնդում է երկարաժամկետ հարկաբյուջետային կայունությունը</w:t>
      </w:r>
      <w:r w:rsidR="004668B1"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 xml:space="preserve"> երաշխավորելով, որ կառավարության պարտքի ավելացմանն առաջանցիկ հանրային ենթակառուցվածքներ ձևավորվեն՝ կայուն դարձնելով զուտ պարտքի դիրքը։ </w:t>
      </w:r>
    </w:p>
    <w:p w14:paraId="3EE9CE55" w14:textId="3DD118B2" w:rsidR="00E76051" w:rsidRPr="00C921DE" w:rsidRDefault="00E76051" w:rsidP="001E44EE">
      <w:pPr>
        <w:spacing w:line="360" w:lineRule="auto"/>
        <w:ind w:firstLine="567"/>
        <w:jc w:val="both"/>
        <w:rPr>
          <w:rFonts w:ascii="GHEA Grapalat" w:eastAsia="Calibri" w:hAnsi="GHEA Grapalat" w:cs="Sylfaen"/>
          <w:sz w:val="22"/>
          <w:szCs w:val="22"/>
        </w:rPr>
      </w:pPr>
      <w:r w:rsidRPr="00C921DE">
        <w:rPr>
          <w:rFonts w:ascii="GHEA Grapalat" w:eastAsia="Calibri" w:hAnsi="GHEA Grapalat" w:cs="Sylfaen"/>
          <w:sz w:val="22"/>
          <w:szCs w:val="22"/>
        </w:rPr>
        <w:t xml:space="preserve">Միաժամանակ, ընթացիկ առաջնային ծախսերի աճի տեմպը որոշ չափով շեղված է եղել կանոնով պահանջվող մակարդակից, և շեղման չափը կազմել է 42.6 մլրդ դրամ։ Նշված շեղումը գրանցվել է տարվա ընթացքում պետական բյուջեի եկամուտների պլանի բարձրացման պայմաններում՝ 2023 թվականի պետական բյուջեի մասին ՀՀ օրենքի դրույթներին </w:t>
      </w:r>
      <w:r w:rsidR="004668B1" w:rsidRPr="00C921DE">
        <w:rPr>
          <w:rFonts w:ascii="GHEA Grapalat" w:eastAsia="Calibri" w:hAnsi="GHEA Grapalat" w:cs="Sylfaen"/>
          <w:sz w:val="22"/>
          <w:szCs w:val="22"/>
        </w:rPr>
        <w:t xml:space="preserve">համապատասխան </w:t>
      </w:r>
      <w:r w:rsidRPr="00C921DE">
        <w:rPr>
          <w:rFonts w:ascii="GHEA Grapalat" w:eastAsia="Calibri" w:hAnsi="GHEA Grapalat" w:cs="Sylfaen"/>
          <w:sz w:val="22"/>
          <w:szCs w:val="22"/>
        </w:rPr>
        <w:t xml:space="preserve">(ինչը թույլ է տալիս ավելացնել ծախսերը հարկային եկամուտների ավելացման պարագայում), ինչպես նաև համապատասխանում է հարկաբյուջետային կանոնների տրամաբանությանը։ Բացի այդ, հաշվի առնելով նախորդ տարվա ընթացքում կառավարության պարտքի բեռի նվազումը 50%-ից ներքև մակարդակի, ինչպես նաև բյուջեի պլանային ցուցանիշի համեմատությամբ ընթացիկ ծախսերի ավելացման անհետաձգելի բնույթը (մասնավորապես, բյուջեի </w:t>
      </w:r>
      <w:r w:rsidRPr="00C921DE">
        <w:rPr>
          <w:rFonts w:ascii="GHEA Grapalat" w:eastAsia="Calibri" w:hAnsi="GHEA Grapalat" w:cs="Sylfaen"/>
          <w:sz w:val="22"/>
          <w:szCs w:val="22"/>
        </w:rPr>
        <w:lastRenderedPageBreak/>
        <w:t>ընթացիկ ծախսերի պլանից շեղման հիմնական գործոնը հանդիսացել են ԼՂ-ից բռնի տեղահանված անձանց սոցիալական կարիքների ուղղությամբ կատարված ծախսերը), հաշվարկված շեղումը գնահատվում է որպես երկարաժամկետ ճնշումներ չառաջացնող և հարկաբյուջետային կայունության տեսակետից վտանգներ չի ստեղծում։</w:t>
      </w:r>
      <w:bookmarkEnd w:id="89"/>
    </w:p>
    <w:p w14:paraId="2A9D7722" w14:textId="77777777" w:rsidR="00E76051" w:rsidRPr="00C921DE" w:rsidRDefault="00E76051" w:rsidP="001E44EE">
      <w:pPr>
        <w:spacing w:line="360" w:lineRule="auto"/>
        <w:ind w:firstLine="567"/>
        <w:jc w:val="both"/>
        <w:rPr>
          <w:rFonts w:ascii="GHEA Grapalat" w:eastAsia="Calibri" w:hAnsi="GHEA Grapalat" w:cs="Sylfaen"/>
          <w:sz w:val="22"/>
          <w:szCs w:val="22"/>
        </w:rPr>
      </w:pPr>
    </w:p>
    <w:p w14:paraId="75F02E89" w14:textId="5E6B00ED" w:rsidR="00E76051" w:rsidRPr="00C921DE" w:rsidRDefault="00E76051" w:rsidP="004C12B8">
      <w:pPr>
        <w:pStyle w:val="a"/>
        <w:rPr>
          <w:rFonts w:eastAsia="Calibri" w:cs="GHEA Grapalat"/>
        </w:rPr>
      </w:pPr>
      <w:r w:rsidRPr="00C921DE">
        <w:t>Հարկաբյուջետային</w:t>
      </w:r>
      <w:r w:rsidRPr="00C921DE">
        <w:rPr>
          <w:rFonts w:eastAsia="Calibri"/>
        </w:rPr>
        <w:t xml:space="preserve"> կանոնները և դրանցից շեղումը 2019-2023թթ.</w:t>
      </w:r>
    </w:p>
    <w:p w14:paraId="1A364026" w14:textId="77777777" w:rsidR="00E76051" w:rsidRPr="00C921DE" w:rsidRDefault="00E76051" w:rsidP="00E76051">
      <w:pPr>
        <w:tabs>
          <w:tab w:val="left" w:pos="1035"/>
        </w:tabs>
        <w:rPr>
          <w:rFonts w:ascii="GHEA Grapalat" w:hAnsi="GHEA Grapalat"/>
        </w:rPr>
      </w:pPr>
      <w:r w:rsidRPr="00C921DE">
        <w:rPr>
          <w:rFonts w:ascii="GHEA Grapalat" w:hAnsi="GHEA Grapalat"/>
          <w:lang w:val="en-US"/>
        </w:rPr>
        <w:drawing>
          <wp:inline distT="0" distB="0" distL="0" distR="0" wp14:anchorId="6E2A4CB9" wp14:editId="67CE4E70">
            <wp:extent cx="3143250" cy="2752725"/>
            <wp:effectExtent l="0" t="0" r="0" b="9525"/>
            <wp:docPr id="1561898466" name="Objec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C921DE">
        <w:rPr>
          <w:rFonts w:ascii="GHEA Grapalat" w:hAnsi="GHEA Grapalat"/>
        </w:rPr>
        <w:t xml:space="preserve"> </w:t>
      </w:r>
      <w:r w:rsidRPr="00C921DE">
        <w:rPr>
          <w:rFonts w:ascii="GHEA Grapalat" w:hAnsi="GHEA Grapalat"/>
          <w:lang w:val="en-US"/>
        </w:rPr>
        <w:drawing>
          <wp:inline distT="0" distB="0" distL="0" distR="0" wp14:anchorId="70A41AFE" wp14:editId="62AC6939">
            <wp:extent cx="3114675" cy="2752725"/>
            <wp:effectExtent l="0" t="0" r="9525" b="9525"/>
            <wp:docPr id="1561898467" name="Objec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E47A761" w14:textId="77777777" w:rsidR="00E76051" w:rsidRPr="00C921DE" w:rsidRDefault="00E76051" w:rsidP="00E76051">
      <w:pPr>
        <w:autoSpaceDE w:val="0"/>
        <w:autoSpaceDN w:val="0"/>
        <w:adjustRightInd w:val="0"/>
        <w:spacing w:after="120" w:line="360" w:lineRule="auto"/>
        <w:rPr>
          <w:rFonts w:ascii="GHEA Grapalat" w:hAnsi="GHEA Grapalat"/>
          <w:i/>
          <w:sz w:val="18"/>
          <w:szCs w:val="18"/>
        </w:rPr>
      </w:pPr>
      <w:r w:rsidRPr="00C921DE">
        <w:rPr>
          <w:rFonts w:ascii="GHEA Grapalat" w:hAnsi="GHEA Grapalat"/>
          <w:i/>
          <w:sz w:val="18"/>
          <w:szCs w:val="18"/>
        </w:rPr>
        <w:t>Աղբյուրը՝ ՀՀ ՖՆ</w:t>
      </w:r>
    </w:p>
    <w:p w14:paraId="0DED0936" w14:textId="77777777" w:rsidR="00E76051" w:rsidRPr="00C921DE" w:rsidRDefault="00E76051" w:rsidP="00E76051">
      <w:pPr>
        <w:ind w:firstLine="567"/>
        <w:jc w:val="both"/>
        <w:rPr>
          <w:rFonts w:ascii="GHEA Grapalat" w:eastAsia="GHEA Grapalat" w:hAnsi="GHEA Grapalat" w:cs="GHEA Grapalat"/>
          <w:sz w:val="22"/>
          <w:szCs w:val="22"/>
        </w:rPr>
      </w:pPr>
    </w:p>
    <w:p w14:paraId="59870F58" w14:textId="1BF7C114" w:rsidR="00E76051" w:rsidRPr="00C921DE" w:rsidRDefault="00E76051" w:rsidP="001E44EE">
      <w:pPr>
        <w:spacing w:line="360" w:lineRule="auto"/>
        <w:ind w:firstLine="567"/>
        <w:jc w:val="both"/>
        <w:rPr>
          <w:rFonts w:ascii="GHEA Grapalat" w:eastAsia="Calibri" w:hAnsi="GHEA Grapalat" w:cs="Sylfaen"/>
          <w:sz w:val="22"/>
          <w:szCs w:val="22"/>
        </w:rPr>
      </w:pPr>
      <w:r w:rsidRPr="00C921DE">
        <w:rPr>
          <w:rFonts w:ascii="GHEA Grapalat" w:eastAsia="GHEA Grapalat" w:hAnsi="GHEA Grapalat" w:cs="GHEA Grapalat"/>
          <w:b/>
          <w:i/>
          <w:sz w:val="22"/>
          <w:szCs w:val="22"/>
        </w:rPr>
        <w:t>Հարկաբյուջետային դիրքը և ազդակը:</w:t>
      </w:r>
      <w:r w:rsidRPr="00C921DE">
        <w:rPr>
          <w:rFonts w:ascii="GHEA Grapalat" w:eastAsia="GHEA Grapalat" w:hAnsi="GHEA Grapalat" w:cs="GHEA Grapalat"/>
          <w:sz w:val="22"/>
          <w:szCs w:val="22"/>
        </w:rPr>
        <w:t xml:space="preserve"> </w:t>
      </w:r>
      <w:r w:rsidRPr="00C921DE">
        <w:rPr>
          <w:rFonts w:ascii="GHEA Grapalat" w:eastAsia="Calibri" w:hAnsi="GHEA Grapalat" w:cs="Sylfaen"/>
          <w:sz w:val="22"/>
          <w:szCs w:val="22"/>
        </w:rPr>
        <w:t>2023 թվականի պետական բյուջեի ընդհանուր և առաջնային պակասուրդի ցուցանիշները զգալիորեն ցածր են եղել նախորդ 10 տարիների միջին ցուցանիշներից՝ արտացոլելով կառավարության կողմից նախանշված՝ պարտքի բեռի ապահով մակարդակում պահպանման քաղաքականությունը և սպասվածից ավելի դրական տնտեսական զարգացումները։ Արդյունքում, համախառն պահանջարկի վրա հարկաբյուջետային քաղաքականությունը 2023 թվականին նախորդ տարվա նկատմամբ ունեցել է 0.9 զսպող ազդեցություն` պայմանավորված եկամուտների զսպող (0.7), ծախսերի չեզոք (-0.2) ազդեցություններով: Պետական բյուջեում պլանավորված՝ հարկաբյուջետային քաղաքականության չեզոք դիրքի համեմատությամբ զսպող դիրքի ձևավորումը պայմանավորված է եղել պետական բյուջեի հարկային եկամուտների բարելավման առավել բարձր տեմպով, և ծախսային քաղաքականության</w:t>
      </w:r>
      <w:r w:rsidR="00EA4B04" w:rsidRPr="00C921DE">
        <w:rPr>
          <w:rFonts w:ascii="GHEA Grapalat" w:eastAsia="Calibri" w:hAnsi="GHEA Grapalat" w:cs="Sylfaen"/>
          <w:sz w:val="22"/>
          <w:szCs w:val="22"/>
          <w:lang w:val="en-US"/>
        </w:rPr>
        <w:t>՝</w:t>
      </w:r>
      <w:r w:rsidRPr="00C921DE">
        <w:rPr>
          <w:rFonts w:ascii="GHEA Grapalat" w:eastAsia="Calibri" w:hAnsi="GHEA Grapalat" w:cs="Sylfaen"/>
          <w:sz w:val="22"/>
          <w:szCs w:val="22"/>
        </w:rPr>
        <w:t xml:space="preserve"> կապիտալ ծախսերի գծով</w:t>
      </w:r>
      <w:r w:rsidR="00EA4B04" w:rsidRPr="00C921DE">
        <w:rPr>
          <w:rFonts w:ascii="GHEA Grapalat" w:eastAsia="Calibri" w:hAnsi="GHEA Grapalat" w:cs="Sylfaen"/>
          <w:sz w:val="22"/>
          <w:szCs w:val="22"/>
          <w:lang w:val="en-US"/>
        </w:rPr>
        <w:t xml:space="preserve"> </w:t>
      </w:r>
      <w:r w:rsidR="00EA4B04" w:rsidRPr="00C921DE">
        <w:rPr>
          <w:rFonts w:ascii="GHEA Grapalat" w:eastAsia="Calibri" w:hAnsi="GHEA Grapalat" w:cs="Sylfaen"/>
          <w:sz w:val="22"/>
          <w:szCs w:val="22"/>
        </w:rPr>
        <w:t>առավել զսպված վարքագծով</w:t>
      </w:r>
      <w:r w:rsidRPr="00C921DE">
        <w:rPr>
          <w:rFonts w:ascii="GHEA Grapalat" w:eastAsia="Calibri" w:hAnsi="GHEA Grapalat" w:cs="Sylfaen"/>
          <w:sz w:val="22"/>
          <w:szCs w:val="22"/>
        </w:rPr>
        <w:t xml:space="preserve">։ </w:t>
      </w:r>
    </w:p>
    <w:p w14:paraId="2D647BAF" w14:textId="4C28FAD8" w:rsidR="00E76051" w:rsidRPr="00C921DE" w:rsidRDefault="00E76051" w:rsidP="001E44EE">
      <w:pPr>
        <w:spacing w:line="360" w:lineRule="auto"/>
        <w:ind w:firstLine="567"/>
        <w:jc w:val="both"/>
        <w:rPr>
          <w:rFonts w:ascii="GHEA Grapalat" w:eastAsia="Calibri" w:hAnsi="GHEA Grapalat" w:cs="Sylfaen"/>
          <w:sz w:val="22"/>
          <w:szCs w:val="22"/>
        </w:rPr>
      </w:pPr>
    </w:p>
    <w:p w14:paraId="5B2C16AB" w14:textId="41055273" w:rsidR="00EA4B04" w:rsidRPr="00C921DE" w:rsidRDefault="00EA4B04" w:rsidP="001E44EE">
      <w:pPr>
        <w:spacing w:line="360" w:lineRule="auto"/>
        <w:ind w:firstLine="567"/>
        <w:jc w:val="both"/>
        <w:rPr>
          <w:rFonts w:ascii="GHEA Grapalat" w:eastAsia="Calibri" w:hAnsi="GHEA Grapalat" w:cs="Sylfaen"/>
          <w:sz w:val="22"/>
          <w:szCs w:val="22"/>
        </w:rPr>
      </w:pPr>
    </w:p>
    <w:p w14:paraId="0438DBCD" w14:textId="4B9F8FA0" w:rsidR="00EA4B04" w:rsidRPr="00C921DE" w:rsidRDefault="00EA4B04" w:rsidP="001E44EE">
      <w:pPr>
        <w:spacing w:line="360" w:lineRule="auto"/>
        <w:ind w:firstLine="567"/>
        <w:jc w:val="both"/>
        <w:rPr>
          <w:rFonts w:ascii="GHEA Grapalat" w:eastAsia="Calibri" w:hAnsi="GHEA Grapalat" w:cs="Sylfaen"/>
          <w:sz w:val="22"/>
          <w:szCs w:val="22"/>
        </w:rPr>
      </w:pPr>
    </w:p>
    <w:p w14:paraId="4355CEE8" w14:textId="77777777" w:rsidR="00EA4B04" w:rsidRPr="00C921DE" w:rsidRDefault="00EA4B04" w:rsidP="001E44EE">
      <w:pPr>
        <w:spacing w:line="360" w:lineRule="auto"/>
        <w:ind w:firstLine="567"/>
        <w:jc w:val="both"/>
        <w:rPr>
          <w:rFonts w:ascii="GHEA Grapalat" w:eastAsia="Calibri" w:hAnsi="GHEA Grapalat" w:cs="Sylfaen"/>
          <w:sz w:val="22"/>
          <w:szCs w:val="22"/>
        </w:rPr>
      </w:pPr>
    </w:p>
    <w:p w14:paraId="02E9C4D1" w14:textId="77777777" w:rsidR="00E76051" w:rsidRPr="00C921DE" w:rsidRDefault="00E76051" w:rsidP="00E76051">
      <w:pPr>
        <w:spacing w:line="336" w:lineRule="auto"/>
        <w:jc w:val="both"/>
        <w:rPr>
          <w:rFonts w:ascii="GHEA Grapalat" w:eastAsia="GHEA Grapalat" w:hAnsi="GHEA Grapalat" w:cs="GHEA Grapalat"/>
          <w:sz w:val="22"/>
          <w:szCs w:val="22"/>
        </w:rPr>
      </w:pPr>
      <w:r w:rsidRPr="00C921DE">
        <w:rPr>
          <w:rFonts w:ascii="GHEA Grapalat" w:eastAsia="GHEA Grapalat" w:hAnsi="GHEA Grapalat" w:cs="GHEA Grapalat"/>
          <w:b/>
          <w:sz w:val="22"/>
          <w:szCs w:val="22"/>
        </w:rPr>
        <w:t>Աղյուսակ 2</w:t>
      </w:r>
      <w:r w:rsidRPr="00C921DE">
        <w:rPr>
          <w:rFonts w:ascii="GHEA Grapalat" w:eastAsia="GHEA Grapalat" w:hAnsi="GHEA Grapalat" w:cs="GHEA Grapalat"/>
          <w:sz w:val="22"/>
          <w:szCs w:val="22"/>
        </w:rPr>
        <w:t>. Հարկաբյուջետային ազդակի փոփոխությունները</w:t>
      </w:r>
    </w:p>
    <w:tbl>
      <w:tblPr>
        <w:tblW w:w="10128" w:type="dxa"/>
        <w:jc w:val="center"/>
        <w:tblBorders>
          <w:top w:val="single" w:sz="4" w:space="0" w:color="95B3D7"/>
          <w:left w:val="single" w:sz="4" w:space="0" w:color="95B3D7"/>
          <w:bottom w:val="single" w:sz="4" w:space="0" w:color="95B3D7"/>
          <w:right w:val="single" w:sz="4" w:space="0" w:color="95B3D7"/>
          <w:insideH w:val="single" w:sz="4" w:space="0" w:color="95B3D7"/>
        </w:tblBorders>
        <w:tblLook w:val="04A0" w:firstRow="1" w:lastRow="0" w:firstColumn="1" w:lastColumn="0" w:noHBand="0" w:noVBand="1"/>
      </w:tblPr>
      <w:tblGrid>
        <w:gridCol w:w="2779"/>
        <w:gridCol w:w="2067"/>
        <w:gridCol w:w="2194"/>
        <w:gridCol w:w="1543"/>
        <w:gridCol w:w="1545"/>
      </w:tblGrid>
      <w:tr w:rsidR="00E76051" w:rsidRPr="00C921DE" w14:paraId="58321157" w14:textId="77777777" w:rsidTr="000F4C56">
        <w:trPr>
          <w:trHeight w:val="365"/>
          <w:jc w:val="center"/>
        </w:trPr>
        <w:tc>
          <w:tcPr>
            <w:tcW w:w="2779" w:type="dxa"/>
            <w:tcBorders>
              <w:top w:val="single" w:sz="4" w:space="0" w:color="FFFFFF"/>
              <w:left w:val="single" w:sz="4" w:space="0" w:color="FFFFFF"/>
              <w:bottom w:val="single" w:sz="4" w:space="0" w:color="FFFFFF"/>
              <w:right w:val="single" w:sz="4" w:space="0" w:color="FFFFFF"/>
            </w:tcBorders>
            <w:shd w:val="clear" w:color="auto" w:fill="4F81BD"/>
            <w:noWrap/>
            <w:hideMark/>
          </w:tcPr>
          <w:p w14:paraId="5D302A0A" w14:textId="77777777" w:rsidR="00E76051" w:rsidRPr="00C921DE" w:rsidRDefault="00E76051" w:rsidP="000F4C56">
            <w:pPr>
              <w:rPr>
                <w:rFonts w:ascii="GHEA Grapalat" w:eastAsia="Calibri" w:hAnsi="GHEA Grapalat"/>
                <w:b/>
                <w:bCs/>
                <w:color w:val="000000"/>
                <w:sz w:val="20"/>
                <w:szCs w:val="20"/>
              </w:rPr>
            </w:pPr>
            <w:r w:rsidRPr="00C921DE">
              <w:rPr>
                <w:rFonts w:ascii="Calibri" w:eastAsia="Calibri" w:hAnsi="Calibri" w:cs="Calibri"/>
                <w:b/>
                <w:bCs/>
                <w:color w:val="000000"/>
                <w:sz w:val="20"/>
                <w:szCs w:val="20"/>
              </w:rPr>
              <w:t> </w:t>
            </w:r>
          </w:p>
        </w:tc>
        <w:tc>
          <w:tcPr>
            <w:tcW w:w="5804" w:type="dxa"/>
            <w:gridSpan w:val="3"/>
            <w:tcBorders>
              <w:top w:val="single" w:sz="4" w:space="0" w:color="FFFFFF"/>
              <w:left w:val="single" w:sz="4" w:space="0" w:color="FFFFFF"/>
              <w:bottom w:val="single" w:sz="4" w:space="0" w:color="FFFFFF"/>
              <w:right w:val="single" w:sz="4" w:space="0" w:color="FFFFFF"/>
            </w:tcBorders>
            <w:shd w:val="clear" w:color="auto" w:fill="4F81BD"/>
            <w:hideMark/>
          </w:tcPr>
          <w:p w14:paraId="1BC9B09B" w14:textId="77777777" w:rsidR="00E76051" w:rsidRPr="00C921DE" w:rsidRDefault="00E76051"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2023</w:t>
            </w:r>
          </w:p>
        </w:tc>
        <w:tc>
          <w:tcPr>
            <w:tcW w:w="1545" w:type="dxa"/>
            <w:tcBorders>
              <w:top w:val="single" w:sz="4" w:space="0" w:color="FFFFFF"/>
              <w:left w:val="single" w:sz="4" w:space="0" w:color="FFFFFF"/>
              <w:bottom w:val="single" w:sz="4" w:space="0" w:color="FFFFFF"/>
              <w:right w:val="single" w:sz="4" w:space="0" w:color="FFFFFF"/>
            </w:tcBorders>
            <w:shd w:val="clear" w:color="auto" w:fill="4F81BD"/>
            <w:noWrap/>
            <w:hideMark/>
          </w:tcPr>
          <w:p w14:paraId="2388F52A" w14:textId="77777777" w:rsidR="00E76051" w:rsidRPr="00C921DE" w:rsidRDefault="00E76051" w:rsidP="000F4C56">
            <w:pPr>
              <w:jc w:val="center"/>
              <w:rPr>
                <w:rFonts w:ascii="GHEA Grapalat" w:eastAsia="Calibri" w:hAnsi="GHEA Grapalat"/>
                <w:b/>
                <w:bCs/>
                <w:color w:val="000000"/>
                <w:sz w:val="20"/>
                <w:szCs w:val="20"/>
              </w:rPr>
            </w:pPr>
            <w:r w:rsidRPr="00C921DE">
              <w:rPr>
                <w:rFonts w:ascii="GHEA Grapalat" w:eastAsia="Calibri" w:hAnsi="GHEA Grapalat"/>
                <w:b/>
                <w:bCs/>
                <w:color w:val="FFFFFF"/>
                <w:sz w:val="20"/>
                <w:szCs w:val="20"/>
              </w:rPr>
              <w:t>Շեղում</w:t>
            </w:r>
          </w:p>
        </w:tc>
      </w:tr>
      <w:tr w:rsidR="00E76051" w:rsidRPr="00C921DE" w14:paraId="113625E8" w14:textId="77777777" w:rsidTr="000F4C56">
        <w:trPr>
          <w:trHeight w:val="899"/>
          <w:jc w:val="center"/>
        </w:trPr>
        <w:tc>
          <w:tcPr>
            <w:tcW w:w="2779" w:type="dxa"/>
            <w:tcBorders>
              <w:top w:val="single" w:sz="4" w:space="0" w:color="FFFFFF"/>
              <w:left w:val="single" w:sz="4" w:space="0" w:color="FFFFFF"/>
              <w:bottom w:val="single" w:sz="4" w:space="0" w:color="4F81BD"/>
              <w:right w:val="single" w:sz="4" w:space="0" w:color="FFFFFF"/>
            </w:tcBorders>
            <w:shd w:val="clear" w:color="auto" w:fill="4F81BD"/>
            <w:noWrap/>
            <w:hideMark/>
          </w:tcPr>
          <w:p w14:paraId="13D02295" w14:textId="77777777" w:rsidR="00E76051" w:rsidRPr="00C921DE" w:rsidRDefault="00E76051" w:rsidP="000F4C56">
            <w:pPr>
              <w:rPr>
                <w:rFonts w:ascii="GHEA Grapalat" w:eastAsia="Calibri" w:hAnsi="GHEA Grapalat"/>
                <w:b/>
                <w:bCs/>
                <w:color w:val="000000"/>
                <w:sz w:val="20"/>
                <w:szCs w:val="20"/>
              </w:rPr>
            </w:pPr>
            <w:r w:rsidRPr="00C921DE">
              <w:rPr>
                <w:rFonts w:ascii="Calibri" w:eastAsia="Calibri" w:hAnsi="Calibri" w:cs="Calibri"/>
                <w:b/>
                <w:bCs/>
                <w:color w:val="000000"/>
                <w:sz w:val="20"/>
                <w:szCs w:val="20"/>
              </w:rPr>
              <w:t> </w:t>
            </w:r>
          </w:p>
        </w:tc>
        <w:tc>
          <w:tcPr>
            <w:tcW w:w="2067" w:type="dxa"/>
            <w:tcBorders>
              <w:top w:val="single" w:sz="4" w:space="0" w:color="FFFFFF"/>
              <w:left w:val="single" w:sz="4" w:space="0" w:color="FFFFFF"/>
              <w:bottom w:val="single" w:sz="4" w:space="0" w:color="4F81BD"/>
              <w:right w:val="single" w:sz="4" w:space="0" w:color="FFFFFF"/>
            </w:tcBorders>
            <w:shd w:val="clear" w:color="auto" w:fill="4F81BD"/>
            <w:vAlign w:val="center"/>
            <w:hideMark/>
          </w:tcPr>
          <w:p w14:paraId="32CB57CA" w14:textId="77777777" w:rsidR="00E76051" w:rsidRPr="00C921DE" w:rsidRDefault="00E76051" w:rsidP="000F4C56">
            <w:pPr>
              <w:jc w:val="center"/>
              <w:rPr>
                <w:rFonts w:ascii="GHEA Grapalat" w:eastAsia="Calibri" w:hAnsi="GHEA Grapalat"/>
                <w:sz w:val="20"/>
                <w:szCs w:val="20"/>
              </w:rPr>
            </w:pPr>
            <w:r w:rsidRPr="00C921DE">
              <w:rPr>
                <w:rFonts w:ascii="GHEA Grapalat" w:eastAsia="Calibri" w:hAnsi="GHEA Grapalat"/>
                <w:b/>
                <w:color w:val="FFFFFF"/>
                <w:sz w:val="20"/>
                <w:szCs w:val="20"/>
              </w:rPr>
              <w:t>Կանխատեսում (2023թ</w:t>
            </w:r>
            <w:r w:rsidRPr="00C921DE">
              <w:rPr>
                <w:rFonts w:ascii="Cambria Math" w:eastAsia="Calibri" w:hAnsi="Cambria Math" w:cs="Cambria Math"/>
                <w:b/>
                <w:color w:val="FFFFFF"/>
                <w:sz w:val="20"/>
                <w:szCs w:val="20"/>
              </w:rPr>
              <w:t xml:space="preserve">․ </w:t>
            </w:r>
            <w:r w:rsidRPr="00C921DE">
              <w:rPr>
                <w:rFonts w:ascii="GHEA Grapalat" w:eastAsia="Calibri" w:hAnsi="GHEA Grapalat"/>
                <w:b/>
                <w:color w:val="FFFFFF"/>
                <w:sz w:val="20"/>
                <w:szCs w:val="20"/>
              </w:rPr>
              <w:t>բյուջե)</w:t>
            </w:r>
          </w:p>
        </w:tc>
        <w:tc>
          <w:tcPr>
            <w:tcW w:w="2194" w:type="dxa"/>
            <w:tcBorders>
              <w:top w:val="single" w:sz="4" w:space="0" w:color="FFFFFF"/>
              <w:left w:val="single" w:sz="4" w:space="0" w:color="FFFFFF"/>
              <w:bottom w:val="single" w:sz="4" w:space="0" w:color="4F81BD"/>
              <w:right w:val="single" w:sz="4" w:space="0" w:color="FFFFFF"/>
            </w:tcBorders>
            <w:shd w:val="clear" w:color="auto" w:fill="4F81BD"/>
            <w:vAlign w:val="center"/>
            <w:hideMark/>
          </w:tcPr>
          <w:p w14:paraId="3DF3B9EC" w14:textId="77777777" w:rsidR="00E76051" w:rsidRPr="00C921DE" w:rsidRDefault="00E76051" w:rsidP="000F4C56">
            <w:pPr>
              <w:jc w:val="center"/>
              <w:rPr>
                <w:rFonts w:ascii="GHEA Grapalat" w:eastAsia="Calibri" w:hAnsi="GHEA Grapalat"/>
                <w:sz w:val="20"/>
                <w:szCs w:val="20"/>
              </w:rPr>
            </w:pPr>
            <w:r w:rsidRPr="00C921DE">
              <w:rPr>
                <w:rFonts w:ascii="GHEA Grapalat" w:eastAsia="Calibri" w:hAnsi="GHEA Grapalat"/>
                <w:b/>
                <w:color w:val="FFFFFF"/>
                <w:sz w:val="20"/>
                <w:szCs w:val="20"/>
              </w:rPr>
              <w:t>Կանխատեսման վերանայում (2024թ</w:t>
            </w:r>
            <w:r w:rsidRPr="00C921DE">
              <w:rPr>
                <w:rFonts w:ascii="Cambria Math" w:eastAsia="Calibri" w:hAnsi="Cambria Math" w:cs="Cambria Math"/>
                <w:b/>
                <w:color w:val="FFFFFF"/>
                <w:sz w:val="20"/>
                <w:szCs w:val="20"/>
              </w:rPr>
              <w:t>․</w:t>
            </w:r>
            <w:r w:rsidRPr="00C921DE">
              <w:rPr>
                <w:rFonts w:ascii="GHEA Grapalat" w:eastAsia="Calibri" w:hAnsi="GHEA Grapalat"/>
                <w:b/>
                <w:color w:val="FFFFFF"/>
                <w:sz w:val="20"/>
                <w:szCs w:val="20"/>
              </w:rPr>
              <w:t xml:space="preserve"> </w:t>
            </w:r>
            <w:r w:rsidRPr="00C921DE">
              <w:rPr>
                <w:rFonts w:ascii="GHEA Grapalat" w:eastAsia="Calibri" w:hAnsi="GHEA Grapalat" w:cs="GHEA Grapalat"/>
                <w:b/>
                <w:color w:val="FFFFFF"/>
                <w:sz w:val="20"/>
                <w:szCs w:val="20"/>
              </w:rPr>
              <w:t>բյուջե</w:t>
            </w:r>
            <w:r w:rsidRPr="00C921DE">
              <w:rPr>
                <w:rFonts w:ascii="GHEA Grapalat" w:eastAsia="Calibri" w:hAnsi="GHEA Grapalat"/>
                <w:b/>
                <w:color w:val="FFFFFF"/>
                <w:sz w:val="20"/>
                <w:szCs w:val="20"/>
              </w:rPr>
              <w:t>)</w:t>
            </w:r>
          </w:p>
        </w:tc>
        <w:tc>
          <w:tcPr>
            <w:tcW w:w="1543" w:type="dxa"/>
            <w:tcBorders>
              <w:top w:val="single" w:sz="4" w:space="0" w:color="FFFFFF"/>
              <w:left w:val="single" w:sz="4" w:space="0" w:color="FFFFFF"/>
              <w:bottom w:val="single" w:sz="4" w:space="0" w:color="4F81BD"/>
              <w:right w:val="single" w:sz="4" w:space="0" w:color="FFFFFF"/>
            </w:tcBorders>
            <w:shd w:val="clear" w:color="auto" w:fill="4F81BD"/>
            <w:vAlign w:val="center"/>
            <w:hideMark/>
          </w:tcPr>
          <w:p w14:paraId="4A306EE5" w14:textId="77777777" w:rsidR="00E76051" w:rsidRPr="00C921DE" w:rsidRDefault="00E76051" w:rsidP="000F4C56">
            <w:pPr>
              <w:jc w:val="center"/>
              <w:rPr>
                <w:rFonts w:ascii="GHEA Grapalat" w:eastAsia="Calibri" w:hAnsi="GHEA Grapalat"/>
                <w:sz w:val="20"/>
                <w:szCs w:val="20"/>
              </w:rPr>
            </w:pPr>
            <w:r w:rsidRPr="00C921DE">
              <w:rPr>
                <w:rFonts w:ascii="GHEA Grapalat" w:eastAsia="Calibri" w:hAnsi="GHEA Grapalat"/>
                <w:b/>
                <w:color w:val="FFFFFF"/>
                <w:sz w:val="20"/>
                <w:szCs w:val="20"/>
              </w:rPr>
              <w:t>Փաստացի</w:t>
            </w:r>
          </w:p>
        </w:tc>
        <w:tc>
          <w:tcPr>
            <w:tcW w:w="1545" w:type="dxa"/>
            <w:tcBorders>
              <w:top w:val="single" w:sz="4" w:space="0" w:color="FFFFFF"/>
              <w:left w:val="single" w:sz="4" w:space="0" w:color="FFFFFF"/>
              <w:bottom w:val="single" w:sz="4" w:space="0" w:color="4F81BD"/>
              <w:right w:val="single" w:sz="4" w:space="0" w:color="FFFFFF"/>
            </w:tcBorders>
            <w:shd w:val="clear" w:color="auto" w:fill="4F81BD"/>
            <w:vAlign w:val="center"/>
            <w:hideMark/>
          </w:tcPr>
          <w:p w14:paraId="3F1B3111" w14:textId="77777777" w:rsidR="00E76051" w:rsidRPr="00C921DE" w:rsidRDefault="00E76051" w:rsidP="000F4C56">
            <w:pPr>
              <w:jc w:val="center"/>
              <w:rPr>
                <w:rFonts w:ascii="GHEA Grapalat" w:eastAsia="Calibri" w:hAnsi="GHEA Grapalat"/>
                <w:sz w:val="20"/>
                <w:szCs w:val="20"/>
              </w:rPr>
            </w:pPr>
            <w:r w:rsidRPr="00C921DE">
              <w:rPr>
                <w:rFonts w:ascii="GHEA Grapalat" w:eastAsia="Calibri" w:hAnsi="GHEA Grapalat"/>
                <w:b/>
                <w:color w:val="FFFFFF"/>
                <w:sz w:val="20"/>
                <w:szCs w:val="20"/>
              </w:rPr>
              <w:t>2023թ</w:t>
            </w:r>
            <w:r w:rsidRPr="00C921DE">
              <w:rPr>
                <w:rFonts w:ascii="GHEA Grapalat" w:eastAsia="Calibri" w:hAnsi="GHEA Grapalat"/>
                <w:b/>
                <w:color w:val="FFFFFF"/>
                <w:sz w:val="20"/>
                <w:szCs w:val="20"/>
                <w:lang w:val="en-US"/>
              </w:rPr>
              <w:t>.</w:t>
            </w:r>
            <w:r w:rsidRPr="00C921DE">
              <w:rPr>
                <w:rFonts w:ascii="GHEA Grapalat" w:eastAsia="Calibri" w:hAnsi="GHEA Grapalat"/>
                <w:b/>
                <w:color w:val="FFFFFF"/>
                <w:sz w:val="20"/>
                <w:szCs w:val="20"/>
              </w:rPr>
              <w:t xml:space="preserve"> բյուջեի համեմատ</w:t>
            </w:r>
          </w:p>
        </w:tc>
      </w:tr>
      <w:tr w:rsidR="00E76051" w:rsidRPr="00C921DE" w14:paraId="0D0F2366" w14:textId="77777777" w:rsidTr="000F4C56">
        <w:trPr>
          <w:trHeight w:val="365"/>
          <w:jc w:val="center"/>
        </w:trPr>
        <w:tc>
          <w:tcPr>
            <w:tcW w:w="2779" w:type="dxa"/>
            <w:tcBorders>
              <w:top w:val="single" w:sz="4" w:space="0" w:color="4F81BD"/>
              <w:left w:val="single" w:sz="4" w:space="0" w:color="4F81BD"/>
              <w:bottom w:val="single" w:sz="4" w:space="0" w:color="4F81BD"/>
              <w:right w:val="single" w:sz="4" w:space="0" w:color="4F81BD"/>
            </w:tcBorders>
            <w:shd w:val="clear" w:color="auto" w:fill="FFFFFF"/>
            <w:vAlign w:val="bottom"/>
            <w:hideMark/>
          </w:tcPr>
          <w:p w14:paraId="6558E8C1" w14:textId="77777777" w:rsidR="00E76051" w:rsidRPr="00C921DE" w:rsidRDefault="00E76051" w:rsidP="000F4C56">
            <w:pPr>
              <w:rPr>
                <w:rFonts w:ascii="GHEA Grapalat" w:eastAsia="Calibri" w:hAnsi="GHEA Grapalat"/>
                <w:bCs/>
                <w:color w:val="365F91" w:themeColor="accent1" w:themeShade="BF"/>
                <w:sz w:val="20"/>
                <w:szCs w:val="20"/>
              </w:rPr>
            </w:pPr>
            <w:r w:rsidRPr="00C921DE">
              <w:rPr>
                <w:rFonts w:ascii="GHEA Grapalat" w:eastAsia="Calibri" w:hAnsi="GHEA Grapalat"/>
                <w:bCs/>
                <w:color w:val="365F91" w:themeColor="accent1" w:themeShade="BF"/>
                <w:sz w:val="20"/>
                <w:szCs w:val="20"/>
              </w:rPr>
              <w:t>Հարկաբյուջետային ազդակ</w:t>
            </w:r>
          </w:p>
        </w:tc>
        <w:tc>
          <w:tcPr>
            <w:tcW w:w="2067"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1EE62C27" w14:textId="77777777" w:rsidR="00E76051" w:rsidRPr="00C921DE" w:rsidRDefault="00E76051" w:rsidP="000F4C56">
            <w:pPr>
              <w:jc w:val="center"/>
              <w:rPr>
                <w:rFonts w:ascii="GHEA Grapalat" w:hAnsi="GHEA Grapalat" w:cs="Arial"/>
                <w:color w:val="365F91" w:themeColor="accent1" w:themeShade="BF"/>
                <w:sz w:val="20"/>
                <w:szCs w:val="20"/>
              </w:rPr>
            </w:pPr>
          </w:p>
          <w:p w14:paraId="7F388731"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0.3</w:t>
            </w:r>
          </w:p>
        </w:tc>
        <w:tc>
          <w:tcPr>
            <w:tcW w:w="2194"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36A75764"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-0.9</w:t>
            </w:r>
          </w:p>
        </w:tc>
        <w:tc>
          <w:tcPr>
            <w:tcW w:w="1543"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4CD06315" w14:textId="77777777" w:rsidR="00E76051" w:rsidRPr="00C921DE" w:rsidRDefault="00E76051" w:rsidP="000F4C56">
            <w:pPr>
              <w:jc w:val="center"/>
              <w:rPr>
                <w:rFonts w:ascii="GHEA Grapalat" w:hAnsi="GHEA Grapalat" w:cs="Arial"/>
                <w:color w:val="365F91" w:themeColor="accent1" w:themeShade="BF"/>
                <w:sz w:val="20"/>
                <w:szCs w:val="20"/>
              </w:rPr>
            </w:pPr>
          </w:p>
          <w:p w14:paraId="7175E89A"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-0.9</w:t>
            </w:r>
          </w:p>
        </w:tc>
        <w:tc>
          <w:tcPr>
            <w:tcW w:w="1545"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53696331"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-1.2</w:t>
            </w:r>
          </w:p>
        </w:tc>
      </w:tr>
      <w:tr w:rsidR="00E76051" w:rsidRPr="00C921DE" w14:paraId="68DAB572" w14:textId="77777777" w:rsidTr="000F4C56">
        <w:trPr>
          <w:trHeight w:val="309"/>
          <w:jc w:val="center"/>
        </w:trPr>
        <w:tc>
          <w:tcPr>
            <w:tcW w:w="2779" w:type="dxa"/>
            <w:tcBorders>
              <w:top w:val="single" w:sz="4" w:space="0" w:color="4F81BD"/>
              <w:left w:val="single" w:sz="4" w:space="0" w:color="4F81BD"/>
              <w:bottom w:val="single" w:sz="4" w:space="0" w:color="4F81BD"/>
              <w:right w:val="single" w:sz="4" w:space="0" w:color="4F81BD"/>
            </w:tcBorders>
            <w:shd w:val="clear" w:color="auto" w:fill="FFFFFF"/>
            <w:vAlign w:val="bottom"/>
            <w:hideMark/>
          </w:tcPr>
          <w:p w14:paraId="18CDB64E" w14:textId="77777777" w:rsidR="00E76051" w:rsidRPr="00C921DE" w:rsidRDefault="00E76051" w:rsidP="000F4C56">
            <w:pPr>
              <w:ind w:firstLineChars="137" w:firstLine="274"/>
              <w:rPr>
                <w:rFonts w:ascii="GHEA Grapalat" w:eastAsia="Calibri" w:hAnsi="GHEA Grapalat"/>
                <w:bCs/>
                <w:color w:val="365F91" w:themeColor="accent1" w:themeShade="BF"/>
                <w:sz w:val="20"/>
                <w:szCs w:val="20"/>
              </w:rPr>
            </w:pPr>
            <w:r w:rsidRPr="00C921DE">
              <w:rPr>
                <w:rFonts w:ascii="GHEA Grapalat" w:eastAsia="Calibri" w:hAnsi="GHEA Grapalat"/>
                <w:bCs/>
                <w:color w:val="365F91" w:themeColor="accent1" w:themeShade="BF"/>
                <w:sz w:val="20"/>
                <w:szCs w:val="20"/>
              </w:rPr>
              <w:t>Եկամուտների ազդակ</w:t>
            </w:r>
          </w:p>
        </w:tc>
        <w:tc>
          <w:tcPr>
            <w:tcW w:w="2067"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26D7954B"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-0.3</w:t>
            </w:r>
          </w:p>
        </w:tc>
        <w:tc>
          <w:tcPr>
            <w:tcW w:w="2194"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3787389C"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-0.8</w:t>
            </w:r>
          </w:p>
        </w:tc>
        <w:tc>
          <w:tcPr>
            <w:tcW w:w="1543"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599394C2"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-0.7</w:t>
            </w:r>
          </w:p>
        </w:tc>
        <w:tc>
          <w:tcPr>
            <w:tcW w:w="1545"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0DBEB963"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-0.4</w:t>
            </w:r>
          </w:p>
        </w:tc>
      </w:tr>
      <w:tr w:rsidR="00E76051" w:rsidRPr="00C921DE" w14:paraId="6EE93E9D" w14:textId="77777777" w:rsidTr="000F4C56">
        <w:trPr>
          <w:trHeight w:val="348"/>
          <w:jc w:val="center"/>
        </w:trPr>
        <w:tc>
          <w:tcPr>
            <w:tcW w:w="2779" w:type="dxa"/>
            <w:tcBorders>
              <w:top w:val="single" w:sz="4" w:space="0" w:color="4F81BD"/>
              <w:left w:val="single" w:sz="4" w:space="0" w:color="4F81BD"/>
              <w:bottom w:val="single" w:sz="4" w:space="0" w:color="4F81BD"/>
              <w:right w:val="single" w:sz="4" w:space="0" w:color="4F81BD"/>
            </w:tcBorders>
            <w:shd w:val="clear" w:color="auto" w:fill="FFFFFF"/>
            <w:vAlign w:val="bottom"/>
            <w:hideMark/>
          </w:tcPr>
          <w:p w14:paraId="296FD63E" w14:textId="77777777" w:rsidR="00E76051" w:rsidRPr="00C921DE" w:rsidRDefault="00E76051" w:rsidP="000F4C56">
            <w:pPr>
              <w:ind w:firstLineChars="137" w:firstLine="274"/>
              <w:rPr>
                <w:rFonts w:ascii="GHEA Grapalat" w:eastAsia="Calibri" w:hAnsi="GHEA Grapalat"/>
                <w:bCs/>
                <w:color w:val="365F91" w:themeColor="accent1" w:themeShade="BF"/>
                <w:sz w:val="20"/>
                <w:szCs w:val="20"/>
              </w:rPr>
            </w:pPr>
            <w:r w:rsidRPr="00C921DE">
              <w:rPr>
                <w:rFonts w:ascii="GHEA Grapalat" w:eastAsia="Calibri" w:hAnsi="GHEA Grapalat"/>
                <w:bCs/>
                <w:color w:val="365F91" w:themeColor="accent1" w:themeShade="BF"/>
                <w:sz w:val="20"/>
                <w:szCs w:val="20"/>
              </w:rPr>
              <w:t>Ծախսերի ազդակ</w:t>
            </w:r>
          </w:p>
        </w:tc>
        <w:tc>
          <w:tcPr>
            <w:tcW w:w="2067"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427ADDB8"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0.6</w:t>
            </w:r>
          </w:p>
        </w:tc>
        <w:tc>
          <w:tcPr>
            <w:tcW w:w="2194"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7E98A379"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-0.2</w:t>
            </w:r>
          </w:p>
        </w:tc>
        <w:tc>
          <w:tcPr>
            <w:tcW w:w="1543"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40C44BAC"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-0.2</w:t>
            </w:r>
          </w:p>
        </w:tc>
        <w:tc>
          <w:tcPr>
            <w:tcW w:w="1545" w:type="dxa"/>
            <w:tcBorders>
              <w:top w:val="single" w:sz="4" w:space="0" w:color="4F81BD"/>
              <w:left w:val="single" w:sz="4" w:space="0" w:color="4F81BD"/>
              <w:bottom w:val="single" w:sz="4" w:space="0" w:color="4F81BD"/>
              <w:right w:val="single" w:sz="4" w:space="0" w:color="4F81BD"/>
            </w:tcBorders>
            <w:shd w:val="clear" w:color="auto" w:fill="FFFFFF"/>
            <w:noWrap/>
            <w:vAlign w:val="bottom"/>
            <w:hideMark/>
          </w:tcPr>
          <w:p w14:paraId="4597E2EC" w14:textId="77777777" w:rsidR="00E76051" w:rsidRPr="00C921DE" w:rsidRDefault="00E76051" w:rsidP="000F4C56">
            <w:pPr>
              <w:jc w:val="center"/>
              <w:rPr>
                <w:rFonts w:ascii="GHEA Grapalat" w:hAnsi="GHEA Grapalat" w:cs="Arial"/>
                <w:color w:val="365F91" w:themeColor="accent1" w:themeShade="BF"/>
                <w:sz w:val="20"/>
                <w:szCs w:val="20"/>
              </w:rPr>
            </w:pPr>
            <w:r w:rsidRPr="00C921DE">
              <w:rPr>
                <w:rFonts w:ascii="GHEA Grapalat" w:hAnsi="GHEA Grapalat" w:cs="Arial"/>
                <w:color w:val="365F91" w:themeColor="accent1" w:themeShade="BF"/>
                <w:sz w:val="20"/>
                <w:szCs w:val="20"/>
              </w:rPr>
              <w:t>-0.8</w:t>
            </w:r>
          </w:p>
        </w:tc>
      </w:tr>
    </w:tbl>
    <w:p w14:paraId="051406CC" w14:textId="77777777" w:rsidR="00E76051" w:rsidRPr="00C921DE" w:rsidRDefault="00E76051" w:rsidP="001E2560">
      <w:pPr>
        <w:spacing w:line="360" w:lineRule="auto"/>
        <w:ind w:firstLine="567"/>
        <w:jc w:val="both"/>
        <w:rPr>
          <w:rFonts w:ascii="GHEA Grapalat" w:eastAsia="GHEA Grapalat" w:hAnsi="GHEA Grapalat" w:cs="GHEA Grapalat"/>
          <w:sz w:val="22"/>
          <w:szCs w:val="22"/>
        </w:rPr>
      </w:pPr>
    </w:p>
    <w:p w14:paraId="6C557A07" w14:textId="517EEB14" w:rsidR="00E76051" w:rsidRPr="00C921DE" w:rsidRDefault="00E76051" w:rsidP="004C12B8">
      <w:pPr>
        <w:pStyle w:val="a"/>
        <w:rPr>
          <w:rFonts w:eastAsia="Calibri"/>
        </w:rPr>
      </w:pPr>
      <w:r w:rsidRPr="00C921DE">
        <w:t>Հարկաբյուջետային</w:t>
      </w:r>
      <w:r w:rsidRPr="00C921DE">
        <w:rPr>
          <w:rFonts w:eastAsia="Calibri"/>
        </w:rPr>
        <w:t xml:space="preserve"> դիրքը և ազդակը</w:t>
      </w:r>
      <w:r w:rsidRPr="00C921DE">
        <w:rPr>
          <w:rFonts w:eastAsia="Calibri"/>
          <w:vertAlign w:val="superscript"/>
        </w:rPr>
        <w:footnoteReference w:id="27"/>
      </w:r>
    </w:p>
    <w:p w14:paraId="2637480B" w14:textId="77777777" w:rsidR="00E76051" w:rsidRPr="00C921DE" w:rsidRDefault="00E76051" w:rsidP="00E76051">
      <w:pPr>
        <w:tabs>
          <w:tab w:val="left" w:pos="90"/>
        </w:tabs>
        <w:spacing w:line="360" w:lineRule="auto"/>
        <w:rPr>
          <w:rFonts w:ascii="GHEA Grapalat" w:hAnsi="GHEA Grapalat" w:cs="GHEA Grapalat"/>
          <w:sz w:val="22"/>
          <w:szCs w:val="22"/>
        </w:rPr>
      </w:pPr>
      <w:r w:rsidRPr="00C921DE">
        <w:rPr>
          <w:rFonts w:ascii="GHEA Grapalat" w:hAnsi="GHEA Grapalat"/>
          <w:lang w:val="en-US"/>
        </w:rPr>
        <w:drawing>
          <wp:inline distT="0" distB="0" distL="0" distR="0" wp14:anchorId="0B4D9FBA" wp14:editId="3BF56B40">
            <wp:extent cx="3133725" cy="2800350"/>
            <wp:effectExtent l="0" t="0" r="0" b="0"/>
            <wp:docPr id="1561898468" name="Chart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drawing>
          <wp:inline distT="0" distB="0" distL="0" distR="0" wp14:anchorId="5120576E" wp14:editId="164D74DF">
            <wp:extent cx="3181350" cy="2793889"/>
            <wp:effectExtent l="0" t="0" r="0" b="6985"/>
            <wp:docPr id="1561898469" name="Objec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1D39E3F" w14:textId="77777777" w:rsidR="00E76051" w:rsidRPr="00C921DE" w:rsidRDefault="00E76051" w:rsidP="00E76051">
      <w:pPr>
        <w:tabs>
          <w:tab w:val="left" w:pos="90"/>
        </w:tabs>
        <w:spacing w:after="120" w:line="360" w:lineRule="auto"/>
        <w:rPr>
          <w:rFonts w:ascii="GHEA Grapalat" w:hAnsi="GHEA Grapalat" w:cs="GHEA Grapalat"/>
          <w:sz w:val="22"/>
          <w:szCs w:val="22"/>
        </w:rPr>
      </w:pPr>
      <w:r w:rsidRPr="00C921DE">
        <w:rPr>
          <w:rFonts w:ascii="GHEA Grapalat" w:hAnsi="GHEA Grapalat" w:cs="GHEA Grapalat"/>
          <w:i/>
          <w:iCs/>
          <w:color w:val="000000"/>
          <w:sz w:val="18"/>
          <w:szCs w:val="18"/>
        </w:rPr>
        <w:t>Աղբյուրը՝ ՀՀ ՖՆ գնահատական</w:t>
      </w:r>
    </w:p>
    <w:p w14:paraId="17F6A963" w14:textId="77777777" w:rsidR="001C411D" w:rsidRPr="00C921DE" w:rsidRDefault="001C411D" w:rsidP="00400A22">
      <w:pPr>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 </w:t>
      </w:r>
    </w:p>
    <w:p w14:paraId="2CE0CF14" w14:textId="77777777" w:rsidR="001C411D" w:rsidRPr="00C921DE" w:rsidRDefault="001C411D" w:rsidP="00400A22">
      <w:pPr>
        <w:rPr>
          <w:rFonts w:ascii="GHEA Grapalat" w:hAnsi="GHEA Grapalat"/>
          <w:b/>
          <w:szCs w:val="20"/>
        </w:rPr>
      </w:pPr>
      <w:r w:rsidRPr="00C921DE">
        <w:rPr>
          <w:rFonts w:ascii="GHEA Grapalat" w:hAnsi="GHEA Grapalat"/>
          <w:i/>
        </w:rPr>
        <w:br w:type="page"/>
      </w:r>
    </w:p>
    <w:p w14:paraId="4FFD40FB" w14:textId="77777777" w:rsidR="000F4C56" w:rsidRPr="00C921DE" w:rsidRDefault="000F4C56" w:rsidP="000F4C56">
      <w:pPr>
        <w:spacing w:line="276" w:lineRule="auto"/>
        <w:ind w:firstLine="567"/>
        <w:jc w:val="center"/>
        <w:rPr>
          <w:rFonts w:ascii="GHEA Grapalat" w:eastAsia="GHEA Grapalat" w:hAnsi="GHEA Grapalat" w:cs="GHEA Grapalat"/>
          <w:sz w:val="22"/>
          <w:szCs w:val="22"/>
        </w:rPr>
      </w:pPr>
      <w:r w:rsidRPr="00C921DE">
        <w:rPr>
          <w:rFonts w:ascii="GHEA Grapalat" w:eastAsia="GHEA Grapalat" w:hAnsi="GHEA Grapalat" w:cs="GHEA Grapalat"/>
          <w:b/>
          <w:sz w:val="22"/>
          <w:szCs w:val="22"/>
        </w:rPr>
        <w:lastRenderedPageBreak/>
        <w:t>Աղյուսակ 3:</w:t>
      </w:r>
      <w:r w:rsidRPr="00C921DE">
        <w:rPr>
          <w:rFonts w:ascii="GHEA Grapalat" w:eastAsia="GHEA Grapalat" w:hAnsi="GHEA Grapalat" w:cs="GHEA Grapalat"/>
          <w:sz w:val="22"/>
          <w:szCs w:val="22"/>
        </w:rPr>
        <w:t xml:space="preserve"> Տնտեսության ճյուղերի և ենթաճյուղերի, արտահանման և ներմուծման ապրանքախմբերի հիմնական ցուցանիշները</w:t>
      </w:r>
    </w:p>
    <w:p w14:paraId="41B2B108" w14:textId="77777777" w:rsidR="000F4C56" w:rsidRPr="00C921DE" w:rsidRDefault="000F4C56" w:rsidP="000F4C56">
      <w:pPr>
        <w:jc w:val="center"/>
        <w:rPr>
          <w:rFonts w:ascii="GHEA Grapalat" w:hAnsi="GHEA Grapalat"/>
          <w:b/>
          <w:sz w:val="22"/>
          <w:szCs w:val="20"/>
        </w:rPr>
      </w:pPr>
    </w:p>
    <w:p w14:paraId="7F3E48A8" w14:textId="77777777" w:rsidR="000F4C56" w:rsidRPr="00C921DE" w:rsidRDefault="000F4C56" w:rsidP="000F4C56">
      <w:pPr>
        <w:jc w:val="center"/>
        <w:rPr>
          <w:rFonts w:ascii="GHEA Grapalat" w:hAnsi="GHEA Grapalat"/>
          <w:sz w:val="22"/>
          <w:szCs w:val="20"/>
        </w:rPr>
      </w:pPr>
      <w:r w:rsidRPr="00C921DE">
        <w:rPr>
          <w:rFonts w:ascii="GHEA Grapalat" w:hAnsi="GHEA Grapalat" w:cs="Arial"/>
          <w:b/>
          <w:sz w:val="22"/>
          <w:szCs w:val="20"/>
        </w:rPr>
        <w:t xml:space="preserve">Աղյուսակ 3.1. </w:t>
      </w:r>
      <w:r w:rsidRPr="00C921DE">
        <w:rPr>
          <w:rFonts w:ascii="GHEA Grapalat" w:hAnsi="GHEA Grapalat" w:cs="Arial"/>
          <w:sz w:val="22"/>
          <w:szCs w:val="20"/>
        </w:rPr>
        <w:t>Տնտեսության ճյուղերի և ենթաճյուղերի թողարկման</w:t>
      </w:r>
      <w:r w:rsidRPr="00C921DE">
        <w:rPr>
          <w:rFonts w:ascii="GHEA Grapalat" w:hAnsi="GHEA Grapalat"/>
          <w:sz w:val="22"/>
          <w:szCs w:val="20"/>
        </w:rPr>
        <w:t xml:space="preserve"> </w:t>
      </w:r>
      <w:r w:rsidRPr="00C921DE">
        <w:rPr>
          <w:rFonts w:ascii="GHEA Grapalat" w:hAnsi="GHEA Grapalat" w:cs="Arial"/>
          <w:sz w:val="22"/>
          <w:szCs w:val="20"/>
        </w:rPr>
        <w:t>ծավալների</w:t>
      </w:r>
      <w:r w:rsidRPr="00C921DE">
        <w:rPr>
          <w:rFonts w:ascii="GHEA Grapalat" w:hAnsi="GHEA Grapalat"/>
          <w:sz w:val="22"/>
          <w:szCs w:val="20"/>
        </w:rPr>
        <w:t xml:space="preserve"> </w:t>
      </w:r>
      <w:r w:rsidRPr="00C921DE">
        <w:rPr>
          <w:rFonts w:ascii="GHEA Grapalat" w:hAnsi="GHEA Grapalat" w:cs="Arial"/>
          <w:sz w:val="22"/>
          <w:szCs w:val="20"/>
        </w:rPr>
        <w:t>ցուցանիշները,</w:t>
      </w:r>
      <w:r w:rsidRPr="00C921DE">
        <w:rPr>
          <w:rFonts w:ascii="GHEA Grapalat" w:hAnsi="GHEA Grapalat"/>
          <w:sz w:val="22"/>
          <w:szCs w:val="20"/>
        </w:rPr>
        <w:t xml:space="preserve"> 2023</w:t>
      </w:r>
      <w:r w:rsidRPr="00C921DE">
        <w:rPr>
          <w:rFonts w:ascii="GHEA Grapalat" w:hAnsi="GHEA Grapalat" w:cs="Arial"/>
          <w:sz w:val="22"/>
          <w:szCs w:val="20"/>
        </w:rPr>
        <w:t>թ</w:t>
      </w:r>
      <w:r w:rsidRPr="00C921DE">
        <w:rPr>
          <w:rFonts w:ascii="GHEA Grapalat" w:hAnsi="GHEA Grapalat"/>
          <w:sz w:val="22"/>
          <w:szCs w:val="20"/>
        </w:rPr>
        <w:t>.</w:t>
      </w: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18"/>
        <w:gridCol w:w="1440"/>
        <w:gridCol w:w="1048"/>
        <w:gridCol w:w="1202"/>
        <w:gridCol w:w="1980"/>
      </w:tblGrid>
      <w:tr w:rsidR="000F4C56" w:rsidRPr="00C921DE" w14:paraId="3515FE7F" w14:textId="77777777" w:rsidTr="000F4C56">
        <w:trPr>
          <w:trHeight w:val="540"/>
        </w:trPr>
        <w:tc>
          <w:tcPr>
            <w:tcW w:w="4518" w:type="dxa"/>
            <w:tcBorders>
              <w:top w:val="single" w:sz="4" w:space="0" w:color="4F81BD"/>
              <w:left w:val="single" w:sz="4" w:space="0" w:color="4F81BD"/>
              <w:bottom w:val="single" w:sz="4" w:space="0" w:color="4F81BD"/>
              <w:right w:val="nil"/>
            </w:tcBorders>
            <w:shd w:val="clear" w:color="auto" w:fill="4F81BD"/>
            <w:noWrap/>
            <w:hideMark/>
          </w:tcPr>
          <w:p w14:paraId="1376638C" w14:textId="77777777" w:rsidR="000F4C56" w:rsidRPr="00C921DE" w:rsidRDefault="000F4C56" w:rsidP="000F4C56">
            <w:pPr>
              <w:jc w:val="center"/>
              <w:rPr>
                <w:rFonts w:ascii="GHEA Grapalat" w:eastAsia="Calibri" w:hAnsi="GHEA Grapalat"/>
                <w:b/>
                <w:bCs/>
                <w:i/>
                <w:iCs/>
                <w:color w:val="FF0000"/>
                <w:sz w:val="20"/>
                <w:szCs w:val="20"/>
              </w:rPr>
            </w:pPr>
          </w:p>
        </w:tc>
        <w:tc>
          <w:tcPr>
            <w:tcW w:w="1440" w:type="dxa"/>
            <w:tcBorders>
              <w:top w:val="single" w:sz="4" w:space="0" w:color="4F81BD"/>
              <w:left w:val="nil"/>
              <w:bottom w:val="single" w:sz="4" w:space="0" w:color="4F81BD"/>
              <w:right w:val="nil"/>
            </w:tcBorders>
            <w:shd w:val="clear" w:color="auto" w:fill="4F81BD"/>
            <w:hideMark/>
          </w:tcPr>
          <w:p w14:paraId="3FD5B7EB" w14:textId="77777777" w:rsidR="000F4C56" w:rsidRPr="00C921DE" w:rsidRDefault="000F4C56" w:rsidP="000F4C56">
            <w:pPr>
              <w:jc w:val="center"/>
              <w:rPr>
                <w:rFonts w:ascii="GHEA Grapalat" w:eastAsia="Calibri" w:hAnsi="GHEA Grapalat"/>
                <w:b/>
                <w:bCs/>
                <w:color w:val="FFFFFF"/>
                <w:sz w:val="20"/>
                <w:szCs w:val="20"/>
                <w:lang w:val="en-US"/>
              </w:rPr>
            </w:pPr>
            <w:r w:rsidRPr="00C921DE">
              <w:rPr>
                <w:rFonts w:ascii="GHEA Grapalat" w:eastAsia="Calibri" w:hAnsi="GHEA Grapalat"/>
                <w:b/>
                <w:bCs/>
                <w:color w:val="FFFFFF"/>
                <w:sz w:val="20"/>
                <w:szCs w:val="20"/>
              </w:rPr>
              <w:t>Արժեք</w:t>
            </w:r>
          </w:p>
          <w:p w14:paraId="04FD85D8"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(մլրդ դրամ)</w:t>
            </w:r>
          </w:p>
        </w:tc>
        <w:tc>
          <w:tcPr>
            <w:tcW w:w="1048" w:type="dxa"/>
            <w:tcBorders>
              <w:top w:val="single" w:sz="4" w:space="0" w:color="4F81BD"/>
              <w:left w:val="nil"/>
              <w:bottom w:val="single" w:sz="4" w:space="0" w:color="4F81BD"/>
              <w:right w:val="nil"/>
            </w:tcBorders>
            <w:shd w:val="clear" w:color="auto" w:fill="4F81BD"/>
            <w:hideMark/>
          </w:tcPr>
          <w:p w14:paraId="0D047049"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Կշիռը (%)</w:t>
            </w:r>
          </w:p>
        </w:tc>
        <w:tc>
          <w:tcPr>
            <w:tcW w:w="1202" w:type="dxa"/>
            <w:tcBorders>
              <w:top w:val="single" w:sz="4" w:space="0" w:color="4F81BD"/>
              <w:left w:val="nil"/>
              <w:bottom w:val="single" w:sz="4" w:space="0" w:color="4F81BD"/>
              <w:right w:val="nil"/>
            </w:tcBorders>
            <w:shd w:val="clear" w:color="auto" w:fill="4F81BD"/>
            <w:hideMark/>
          </w:tcPr>
          <w:p w14:paraId="7E545890"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14:paraId="04D6876C"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Նպաստում (տոկոսային</w:t>
            </w:r>
            <w:r w:rsidRPr="00C921DE">
              <w:rPr>
                <w:rFonts w:ascii="GHEA Grapalat" w:eastAsia="Calibri" w:hAnsi="GHEA Grapalat"/>
                <w:b/>
                <w:bCs/>
                <w:color w:val="FFFFFF"/>
                <w:sz w:val="20"/>
                <w:szCs w:val="20"/>
                <w:lang w:val="en-US"/>
              </w:rPr>
              <w:t xml:space="preserve"> </w:t>
            </w:r>
            <w:r w:rsidRPr="00C921DE">
              <w:rPr>
                <w:rFonts w:ascii="GHEA Grapalat" w:eastAsia="Calibri" w:hAnsi="GHEA Grapalat"/>
                <w:b/>
                <w:bCs/>
                <w:color w:val="FFFFFF"/>
                <w:sz w:val="20"/>
                <w:szCs w:val="20"/>
              </w:rPr>
              <w:t>կետ)</w:t>
            </w:r>
            <w:r w:rsidRPr="00C921DE">
              <w:rPr>
                <w:rStyle w:val="FootnoteReference"/>
                <w:rFonts w:ascii="GHEA Grapalat" w:eastAsia="Calibri" w:hAnsi="GHEA Grapalat"/>
                <w:b/>
                <w:bCs/>
                <w:color w:val="FFFFFF"/>
                <w:sz w:val="20"/>
                <w:szCs w:val="20"/>
              </w:rPr>
              <w:footnoteReference w:id="28"/>
            </w:r>
          </w:p>
        </w:tc>
      </w:tr>
      <w:tr w:rsidR="000F4C56" w:rsidRPr="00C921DE" w14:paraId="65D1419E" w14:textId="77777777" w:rsidTr="000F4C56">
        <w:trPr>
          <w:trHeight w:val="285"/>
        </w:trPr>
        <w:tc>
          <w:tcPr>
            <w:tcW w:w="4518" w:type="dxa"/>
            <w:shd w:val="clear" w:color="auto" w:fill="DBE5F1"/>
            <w:noWrap/>
            <w:hideMark/>
          </w:tcPr>
          <w:p w14:paraId="27D113D2"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Ամբողջ արդյունաբերություն, այդ թվում՝</w:t>
            </w:r>
          </w:p>
        </w:tc>
        <w:tc>
          <w:tcPr>
            <w:tcW w:w="1440" w:type="dxa"/>
            <w:shd w:val="clear" w:color="auto" w:fill="DBE5F1"/>
            <w:vAlign w:val="center"/>
          </w:tcPr>
          <w:p w14:paraId="1AF23649"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2783.2</w:t>
            </w:r>
          </w:p>
        </w:tc>
        <w:tc>
          <w:tcPr>
            <w:tcW w:w="1048" w:type="dxa"/>
            <w:shd w:val="clear" w:color="auto" w:fill="DBE5F1"/>
            <w:vAlign w:val="center"/>
          </w:tcPr>
          <w:p w14:paraId="59193D93"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100.0</w:t>
            </w:r>
          </w:p>
        </w:tc>
        <w:tc>
          <w:tcPr>
            <w:tcW w:w="1202" w:type="dxa"/>
            <w:shd w:val="clear" w:color="auto" w:fill="DBE5F1"/>
            <w:vAlign w:val="center"/>
          </w:tcPr>
          <w:p w14:paraId="385C0CF1"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104.1</w:t>
            </w:r>
          </w:p>
        </w:tc>
        <w:tc>
          <w:tcPr>
            <w:tcW w:w="1980" w:type="dxa"/>
            <w:shd w:val="clear" w:color="auto" w:fill="DBE5F1"/>
            <w:vAlign w:val="center"/>
          </w:tcPr>
          <w:p w14:paraId="3E69398A"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4.1</w:t>
            </w:r>
          </w:p>
        </w:tc>
      </w:tr>
      <w:tr w:rsidR="000F4C56" w:rsidRPr="00C921DE" w14:paraId="072FD624" w14:textId="77777777" w:rsidTr="000F4C56">
        <w:trPr>
          <w:trHeight w:val="203"/>
        </w:trPr>
        <w:tc>
          <w:tcPr>
            <w:tcW w:w="4518" w:type="dxa"/>
            <w:shd w:val="clear" w:color="auto" w:fill="auto"/>
            <w:hideMark/>
          </w:tcPr>
          <w:p w14:paraId="27CF261D" w14:textId="77777777" w:rsidR="000F4C56" w:rsidRPr="00C921DE" w:rsidRDefault="000F4C56" w:rsidP="000F4C56">
            <w:pPr>
              <w:rPr>
                <w:rFonts w:ascii="GHEA Grapalat" w:eastAsia="Calibri" w:hAnsi="GHEA Grapalat"/>
                <w:b/>
                <w:bCs/>
                <w:sz w:val="20"/>
                <w:szCs w:val="20"/>
              </w:rPr>
            </w:pPr>
            <w:r w:rsidRPr="00C921DE">
              <w:rPr>
                <w:rFonts w:ascii="Calibri" w:eastAsia="Calibri" w:hAnsi="Calibri" w:cs="Calibri"/>
                <w:b/>
                <w:bCs/>
                <w:sz w:val="20"/>
                <w:szCs w:val="20"/>
              </w:rPr>
              <w:t> </w:t>
            </w:r>
          </w:p>
        </w:tc>
        <w:tc>
          <w:tcPr>
            <w:tcW w:w="1440" w:type="dxa"/>
            <w:shd w:val="clear" w:color="auto" w:fill="auto"/>
            <w:vAlign w:val="center"/>
          </w:tcPr>
          <w:p w14:paraId="50F5E699" w14:textId="77777777" w:rsidR="000F4C56" w:rsidRPr="00C921DE" w:rsidRDefault="000F4C56" w:rsidP="000F4C56">
            <w:pPr>
              <w:jc w:val="center"/>
              <w:rPr>
                <w:rFonts w:ascii="GHEA Grapalat" w:eastAsia="Calibri" w:hAnsi="GHEA Grapalat"/>
                <w:b/>
                <w:sz w:val="20"/>
                <w:szCs w:val="20"/>
              </w:rPr>
            </w:pPr>
          </w:p>
        </w:tc>
        <w:tc>
          <w:tcPr>
            <w:tcW w:w="1048" w:type="dxa"/>
            <w:shd w:val="clear" w:color="auto" w:fill="auto"/>
            <w:vAlign w:val="center"/>
          </w:tcPr>
          <w:p w14:paraId="049C610A" w14:textId="77777777" w:rsidR="000F4C56" w:rsidRPr="00C921DE" w:rsidRDefault="000F4C56" w:rsidP="000F4C56">
            <w:pPr>
              <w:jc w:val="center"/>
              <w:rPr>
                <w:rFonts w:ascii="GHEA Grapalat" w:eastAsia="Calibri" w:hAnsi="GHEA Grapalat"/>
                <w:b/>
                <w:sz w:val="20"/>
                <w:szCs w:val="20"/>
              </w:rPr>
            </w:pPr>
          </w:p>
        </w:tc>
        <w:tc>
          <w:tcPr>
            <w:tcW w:w="1202" w:type="dxa"/>
            <w:shd w:val="clear" w:color="auto" w:fill="auto"/>
            <w:vAlign w:val="center"/>
          </w:tcPr>
          <w:p w14:paraId="7E436DDB" w14:textId="77777777" w:rsidR="000F4C56" w:rsidRPr="00C921DE" w:rsidRDefault="000F4C56" w:rsidP="000F4C56">
            <w:pPr>
              <w:jc w:val="center"/>
              <w:rPr>
                <w:rFonts w:ascii="GHEA Grapalat" w:eastAsia="Calibri" w:hAnsi="GHEA Grapalat"/>
                <w:b/>
                <w:sz w:val="20"/>
                <w:szCs w:val="20"/>
              </w:rPr>
            </w:pPr>
          </w:p>
        </w:tc>
        <w:tc>
          <w:tcPr>
            <w:tcW w:w="1980" w:type="dxa"/>
            <w:shd w:val="clear" w:color="auto" w:fill="auto"/>
            <w:vAlign w:val="center"/>
          </w:tcPr>
          <w:p w14:paraId="7BDA77B8" w14:textId="77777777" w:rsidR="000F4C56" w:rsidRPr="00C921DE" w:rsidRDefault="000F4C56" w:rsidP="000F4C56">
            <w:pPr>
              <w:jc w:val="center"/>
              <w:rPr>
                <w:rFonts w:ascii="GHEA Grapalat" w:eastAsia="Calibri" w:hAnsi="GHEA Grapalat"/>
                <w:b/>
                <w:sz w:val="20"/>
                <w:szCs w:val="20"/>
              </w:rPr>
            </w:pPr>
          </w:p>
        </w:tc>
      </w:tr>
      <w:tr w:rsidR="007B6521" w:rsidRPr="00C921DE" w14:paraId="084B3B15" w14:textId="77777777" w:rsidTr="000F4C56">
        <w:trPr>
          <w:trHeight w:val="570"/>
        </w:trPr>
        <w:tc>
          <w:tcPr>
            <w:tcW w:w="4518" w:type="dxa"/>
            <w:shd w:val="clear" w:color="auto" w:fill="DBE5F1"/>
            <w:hideMark/>
          </w:tcPr>
          <w:p w14:paraId="5136E623" w14:textId="77777777" w:rsidR="007B6521" w:rsidRPr="00C921DE" w:rsidRDefault="007B6521" w:rsidP="007B6521">
            <w:pPr>
              <w:ind w:left="270" w:hanging="180"/>
              <w:rPr>
                <w:rFonts w:ascii="GHEA Grapalat" w:eastAsia="Calibri" w:hAnsi="GHEA Grapalat"/>
                <w:b/>
                <w:bCs/>
                <w:sz w:val="20"/>
                <w:szCs w:val="20"/>
              </w:rPr>
            </w:pPr>
            <w:r w:rsidRPr="00C921DE">
              <w:rPr>
                <w:rFonts w:ascii="GHEA Grapalat" w:eastAsia="Calibri" w:hAnsi="GHEA Grapalat"/>
                <w:b/>
                <w:bCs/>
                <w:sz w:val="20"/>
                <w:szCs w:val="20"/>
              </w:rPr>
              <w:t>հանքագործական արդյունաբերություն և բացահանքերի շահագործում</w:t>
            </w:r>
          </w:p>
        </w:tc>
        <w:tc>
          <w:tcPr>
            <w:tcW w:w="1440" w:type="dxa"/>
            <w:shd w:val="clear" w:color="auto" w:fill="DBE5F1"/>
            <w:vAlign w:val="center"/>
          </w:tcPr>
          <w:p w14:paraId="4227BC5C"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463.2</w:t>
            </w:r>
          </w:p>
        </w:tc>
        <w:tc>
          <w:tcPr>
            <w:tcW w:w="1048" w:type="dxa"/>
            <w:shd w:val="clear" w:color="auto" w:fill="DBE5F1"/>
            <w:vAlign w:val="center"/>
          </w:tcPr>
          <w:p w14:paraId="0971E1A1" w14:textId="6E3368DF"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16.6</w:t>
            </w:r>
          </w:p>
        </w:tc>
        <w:tc>
          <w:tcPr>
            <w:tcW w:w="1202" w:type="dxa"/>
            <w:shd w:val="clear" w:color="auto" w:fill="DBE5F1"/>
            <w:vAlign w:val="center"/>
          </w:tcPr>
          <w:p w14:paraId="70E9868C"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93.6</w:t>
            </w:r>
          </w:p>
        </w:tc>
        <w:tc>
          <w:tcPr>
            <w:tcW w:w="1980" w:type="dxa"/>
            <w:shd w:val="clear" w:color="auto" w:fill="DBE5F1"/>
            <w:vAlign w:val="center"/>
          </w:tcPr>
          <w:p w14:paraId="49DB9761"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-1.2</w:t>
            </w:r>
          </w:p>
        </w:tc>
      </w:tr>
      <w:tr w:rsidR="007B6521" w:rsidRPr="00C921DE" w14:paraId="12C25206" w14:textId="77777777" w:rsidTr="000F4C56">
        <w:trPr>
          <w:trHeight w:val="285"/>
        </w:trPr>
        <w:tc>
          <w:tcPr>
            <w:tcW w:w="4518" w:type="dxa"/>
            <w:shd w:val="clear" w:color="auto" w:fill="auto"/>
            <w:noWrap/>
            <w:hideMark/>
          </w:tcPr>
          <w:p w14:paraId="49265C1C" w14:textId="77777777" w:rsidR="007B6521" w:rsidRPr="00C921DE" w:rsidRDefault="007B6521" w:rsidP="007B6521">
            <w:pPr>
              <w:ind w:left="270" w:hanging="180"/>
              <w:rPr>
                <w:rFonts w:ascii="GHEA Grapalat" w:eastAsia="Calibri" w:hAnsi="GHEA Grapalat"/>
                <w:b/>
                <w:bCs/>
                <w:sz w:val="20"/>
                <w:szCs w:val="20"/>
              </w:rPr>
            </w:pPr>
            <w:r w:rsidRPr="00C921DE">
              <w:rPr>
                <w:rFonts w:ascii="GHEA Grapalat" w:eastAsia="Calibri" w:hAnsi="GHEA Grapalat"/>
                <w:b/>
                <w:bCs/>
                <w:sz w:val="20"/>
                <w:szCs w:val="20"/>
              </w:rPr>
              <w:t>մշակող արդյունաբերություն</w:t>
            </w:r>
          </w:p>
        </w:tc>
        <w:tc>
          <w:tcPr>
            <w:tcW w:w="1440" w:type="dxa"/>
            <w:shd w:val="clear" w:color="auto" w:fill="auto"/>
            <w:vAlign w:val="center"/>
          </w:tcPr>
          <w:p w14:paraId="5FA882F3"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1970.1</w:t>
            </w:r>
          </w:p>
        </w:tc>
        <w:tc>
          <w:tcPr>
            <w:tcW w:w="1048" w:type="dxa"/>
            <w:shd w:val="clear" w:color="auto" w:fill="auto"/>
            <w:vAlign w:val="center"/>
          </w:tcPr>
          <w:p w14:paraId="5EB489E1" w14:textId="454B36D0"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70.8</w:t>
            </w:r>
          </w:p>
        </w:tc>
        <w:tc>
          <w:tcPr>
            <w:tcW w:w="1202" w:type="dxa"/>
            <w:shd w:val="clear" w:color="auto" w:fill="auto"/>
            <w:vAlign w:val="center"/>
          </w:tcPr>
          <w:p w14:paraId="4F1A6244"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106.7</w:t>
            </w:r>
          </w:p>
        </w:tc>
        <w:tc>
          <w:tcPr>
            <w:tcW w:w="1980" w:type="dxa"/>
            <w:shd w:val="clear" w:color="auto" w:fill="auto"/>
            <w:vAlign w:val="center"/>
          </w:tcPr>
          <w:p w14:paraId="4238A943"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4.5</w:t>
            </w:r>
          </w:p>
        </w:tc>
      </w:tr>
      <w:tr w:rsidR="007B6521" w:rsidRPr="00C921DE" w14:paraId="44BAFFD6" w14:textId="77777777" w:rsidTr="000F4C56">
        <w:trPr>
          <w:trHeight w:val="570"/>
        </w:trPr>
        <w:tc>
          <w:tcPr>
            <w:tcW w:w="4518" w:type="dxa"/>
            <w:shd w:val="clear" w:color="auto" w:fill="DBE5F1"/>
            <w:hideMark/>
          </w:tcPr>
          <w:p w14:paraId="43D16C1F" w14:textId="77777777" w:rsidR="007B6521" w:rsidRPr="00C921DE" w:rsidRDefault="007B6521" w:rsidP="007B6521">
            <w:pPr>
              <w:ind w:left="270" w:hanging="180"/>
              <w:rPr>
                <w:rFonts w:ascii="GHEA Grapalat" w:eastAsia="Calibri" w:hAnsi="GHEA Grapalat"/>
                <w:b/>
                <w:bCs/>
                <w:sz w:val="20"/>
                <w:szCs w:val="20"/>
              </w:rPr>
            </w:pPr>
            <w:r w:rsidRPr="00C921DE">
              <w:rPr>
                <w:rFonts w:ascii="GHEA Grapalat" w:eastAsia="Calibri" w:hAnsi="GHEA Grapalat"/>
                <w:b/>
                <w:bCs/>
                <w:sz w:val="20"/>
                <w:szCs w:val="20"/>
              </w:rPr>
              <w:t xml:space="preserve"> էլեկտրաէներգիայի, գազի, գոլորշու և լավորակ օդի մատակարարում</w:t>
            </w:r>
          </w:p>
        </w:tc>
        <w:tc>
          <w:tcPr>
            <w:tcW w:w="1440" w:type="dxa"/>
            <w:shd w:val="clear" w:color="auto" w:fill="DBE5F1"/>
            <w:vAlign w:val="center"/>
          </w:tcPr>
          <w:p w14:paraId="542DC717"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320.3</w:t>
            </w:r>
          </w:p>
        </w:tc>
        <w:tc>
          <w:tcPr>
            <w:tcW w:w="1048" w:type="dxa"/>
            <w:shd w:val="clear" w:color="auto" w:fill="DBE5F1"/>
            <w:vAlign w:val="center"/>
          </w:tcPr>
          <w:p w14:paraId="7B3B916C" w14:textId="71829084"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11.5</w:t>
            </w:r>
          </w:p>
        </w:tc>
        <w:tc>
          <w:tcPr>
            <w:tcW w:w="1202" w:type="dxa"/>
            <w:shd w:val="clear" w:color="auto" w:fill="DBE5F1"/>
            <w:vAlign w:val="center"/>
          </w:tcPr>
          <w:p w14:paraId="3746D4CB"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106.3</w:t>
            </w:r>
          </w:p>
        </w:tc>
        <w:tc>
          <w:tcPr>
            <w:tcW w:w="1980" w:type="dxa"/>
            <w:shd w:val="clear" w:color="auto" w:fill="DBE5F1"/>
            <w:vAlign w:val="center"/>
          </w:tcPr>
          <w:p w14:paraId="335E53A0"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0.8</w:t>
            </w:r>
          </w:p>
        </w:tc>
      </w:tr>
      <w:tr w:rsidR="007B6521" w:rsidRPr="00C921DE" w14:paraId="44960468" w14:textId="77777777" w:rsidTr="000F4C56">
        <w:trPr>
          <w:trHeight w:val="570"/>
        </w:trPr>
        <w:tc>
          <w:tcPr>
            <w:tcW w:w="4518" w:type="dxa"/>
            <w:shd w:val="clear" w:color="auto" w:fill="auto"/>
            <w:hideMark/>
          </w:tcPr>
          <w:p w14:paraId="54F57EFF" w14:textId="77777777" w:rsidR="007B6521" w:rsidRPr="00C921DE" w:rsidRDefault="007B6521" w:rsidP="007B6521">
            <w:pPr>
              <w:ind w:left="270" w:hanging="180"/>
              <w:rPr>
                <w:rFonts w:ascii="GHEA Grapalat" w:eastAsia="Calibri" w:hAnsi="GHEA Grapalat"/>
                <w:b/>
                <w:bCs/>
                <w:sz w:val="20"/>
                <w:szCs w:val="20"/>
              </w:rPr>
            </w:pPr>
            <w:r w:rsidRPr="00C921DE">
              <w:rPr>
                <w:rFonts w:ascii="GHEA Grapalat" w:eastAsia="Calibri" w:hAnsi="GHEA Grapalat"/>
                <w:b/>
                <w:bCs/>
                <w:sz w:val="20"/>
                <w:szCs w:val="20"/>
              </w:rPr>
              <w:t>ջրամատակարարում, կոյուղի, թափոնների կառավարում և վերամշակում</w:t>
            </w:r>
          </w:p>
        </w:tc>
        <w:tc>
          <w:tcPr>
            <w:tcW w:w="1440" w:type="dxa"/>
            <w:shd w:val="clear" w:color="auto" w:fill="auto"/>
            <w:vAlign w:val="center"/>
          </w:tcPr>
          <w:p w14:paraId="6915D6B3"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29.7</w:t>
            </w:r>
          </w:p>
        </w:tc>
        <w:tc>
          <w:tcPr>
            <w:tcW w:w="1048" w:type="dxa"/>
            <w:shd w:val="clear" w:color="auto" w:fill="auto"/>
            <w:vAlign w:val="center"/>
          </w:tcPr>
          <w:p w14:paraId="05DA779C" w14:textId="38EF18AE"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1.1</w:t>
            </w:r>
          </w:p>
        </w:tc>
        <w:tc>
          <w:tcPr>
            <w:tcW w:w="1202" w:type="dxa"/>
            <w:shd w:val="clear" w:color="auto" w:fill="auto"/>
            <w:vAlign w:val="center"/>
          </w:tcPr>
          <w:p w14:paraId="292B4256"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106.1</w:t>
            </w:r>
          </w:p>
        </w:tc>
        <w:tc>
          <w:tcPr>
            <w:tcW w:w="1980" w:type="dxa"/>
            <w:shd w:val="clear" w:color="auto" w:fill="auto"/>
            <w:vAlign w:val="center"/>
          </w:tcPr>
          <w:p w14:paraId="7B9CAC97" w14:textId="77777777" w:rsidR="007B6521" w:rsidRPr="00C921DE" w:rsidRDefault="007B6521" w:rsidP="007B6521">
            <w:pPr>
              <w:jc w:val="center"/>
              <w:rPr>
                <w:rFonts w:ascii="GHEA Grapalat" w:eastAsia="Calibri" w:hAnsi="GHEA Grapalat"/>
                <w:sz w:val="20"/>
                <w:szCs w:val="20"/>
              </w:rPr>
            </w:pPr>
            <w:r w:rsidRPr="00C921DE">
              <w:rPr>
                <w:rFonts w:ascii="GHEA Grapalat" w:hAnsi="GHEA Grapalat"/>
                <w:sz w:val="20"/>
              </w:rPr>
              <w:t>0.1</w:t>
            </w:r>
          </w:p>
        </w:tc>
      </w:tr>
    </w:tbl>
    <w:p w14:paraId="4A33E4D2" w14:textId="77777777" w:rsidR="000F4C56" w:rsidRPr="00C921DE" w:rsidRDefault="000F4C56" w:rsidP="000F4C56">
      <w:pPr>
        <w:rPr>
          <w:rFonts w:ascii="GHEA Grapalat" w:hAnsi="GHEA Grapalat" w:cs="Arial"/>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4518"/>
        <w:gridCol w:w="1440"/>
        <w:gridCol w:w="1080"/>
        <w:gridCol w:w="1170"/>
        <w:gridCol w:w="1980"/>
      </w:tblGrid>
      <w:tr w:rsidR="000F4C56" w:rsidRPr="00C921DE" w14:paraId="6AEAB937" w14:textId="77777777" w:rsidTr="000F4C56">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14:paraId="43DE1A5D" w14:textId="77777777" w:rsidR="000F4C56" w:rsidRPr="00C921DE" w:rsidRDefault="000F4C56" w:rsidP="000F4C56">
            <w:pPr>
              <w:ind w:firstLineChars="400" w:firstLine="800"/>
              <w:rPr>
                <w:rFonts w:ascii="GHEA Grapalat" w:eastAsia="Calibri" w:hAnsi="GHEA Grapalat"/>
                <w:b/>
                <w:bCs/>
                <w:color w:val="FFFFFF"/>
                <w:sz w:val="20"/>
                <w:szCs w:val="20"/>
              </w:rPr>
            </w:pPr>
            <w:r w:rsidRPr="00C921DE">
              <w:rPr>
                <w:rFonts w:ascii="Calibri" w:eastAsia="Calibri" w:hAnsi="Calibri" w:cs="Calibri"/>
                <w:b/>
                <w:bCs/>
                <w:color w:val="FFFFFF"/>
                <w:sz w:val="20"/>
                <w:szCs w:val="20"/>
              </w:rPr>
              <w:t> </w:t>
            </w:r>
          </w:p>
        </w:tc>
        <w:tc>
          <w:tcPr>
            <w:tcW w:w="1440" w:type="dxa"/>
            <w:tcBorders>
              <w:top w:val="single" w:sz="4" w:space="0" w:color="4F81BD"/>
              <w:left w:val="nil"/>
              <w:bottom w:val="single" w:sz="4" w:space="0" w:color="4F81BD"/>
              <w:right w:val="nil"/>
            </w:tcBorders>
            <w:shd w:val="clear" w:color="auto" w:fill="4F81BD"/>
            <w:hideMark/>
          </w:tcPr>
          <w:p w14:paraId="3AA645F7" w14:textId="77777777" w:rsidR="000F4C56" w:rsidRPr="00C921DE" w:rsidRDefault="000F4C56" w:rsidP="000F4C56">
            <w:pPr>
              <w:jc w:val="center"/>
              <w:rPr>
                <w:rFonts w:ascii="GHEA Grapalat" w:eastAsia="Calibri" w:hAnsi="GHEA Grapalat"/>
                <w:b/>
                <w:bCs/>
                <w:color w:val="FFFFFF"/>
                <w:sz w:val="20"/>
                <w:szCs w:val="20"/>
                <w:lang w:val="en-US"/>
              </w:rPr>
            </w:pPr>
            <w:r w:rsidRPr="00C921DE">
              <w:rPr>
                <w:rFonts w:ascii="GHEA Grapalat" w:eastAsia="Calibri" w:hAnsi="GHEA Grapalat"/>
                <w:b/>
                <w:bCs/>
                <w:color w:val="FFFFFF"/>
                <w:sz w:val="20"/>
                <w:szCs w:val="20"/>
              </w:rPr>
              <w:t>Արժեք</w:t>
            </w:r>
          </w:p>
          <w:p w14:paraId="17D6E8F4"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(մլրդ դրամ)</w:t>
            </w:r>
          </w:p>
        </w:tc>
        <w:tc>
          <w:tcPr>
            <w:tcW w:w="1080" w:type="dxa"/>
            <w:tcBorders>
              <w:top w:val="single" w:sz="4" w:space="0" w:color="4F81BD"/>
              <w:left w:val="nil"/>
              <w:bottom w:val="single" w:sz="4" w:space="0" w:color="4F81BD"/>
              <w:right w:val="nil"/>
            </w:tcBorders>
            <w:shd w:val="clear" w:color="auto" w:fill="4F81BD"/>
            <w:hideMark/>
          </w:tcPr>
          <w:p w14:paraId="2AB39269"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Կշիռը (%)</w:t>
            </w:r>
          </w:p>
        </w:tc>
        <w:tc>
          <w:tcPr>
            <w:tcW w:w="1170" w:type="dxa"/>
            <w:tcBorders>
              <w:top w:val="single" w:sz="4" w:space="0" w:color="4F81BD"/>
              <w:left w:val="nil"/>
              <w:bottom w:val="single" w:sz="4" w:space="0" w:color="4F81BD"/>
              <w:right w:val="nil"/>
            </w:tcBorders>
            <w:shd w:val="clear" w:color="auto" w:fill="4F81BD"/>
            <w:hideMark/>
          </w:tcPr>
          <w:p w14:paraId="4604A1B5"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14:paraId="3ABC753F"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Նպաստում (տոկոսային կետ)</w:t>
            </w:r>
          </w:p>
        </w:tc>
      </w:tr>
      <w:tr w:rsidR="000F4C56" w:rsidRPr="00C921DE" w14:paraId="37857EA1" w14:textId="77777777" w:rsidTr="000F4C56">
        <w:trPr>
          <w:trHeight w:val="285"/>
        </w:trPr>
        <w:tc>
          <w:tcPr>
            <w:tcW w:w="4518" w:type="dxa"/>
            <w:shd w:val="clear" w:color="auto" w:fill="DBE5F1"/>
            <w:noWrap/>
            <w:hideMark/>
          </w:tcPr>
          <w:p w14:paraId="49D0702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Գյուղատնտեսություն, անտառային տնտեսություն և ձկնորսություն</w:t>
            </w:r>
          </w:p>
        </w:tc>
        <w:tc>
          <w:tcPr>
            <w:tcW w:w="1440" w:type="dxa"/>
            <w:shd w:val="clear" w:color="auto" w:fill="DBE5F1"/>
            <w:noWrap/>
            <w:vAlign w:val="center"/>
          </w:tcPr>
          <w:p w14:paraId="5C6CA8FE"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1005.8</w:t>
            </w:r>
          </w:p>
        </w:tc>
        <w:tc>
          <w:tcPr>
            <w:tcW w:w="1080" w:type="dxa"/>
            <w:shd w:val="clear" w:color="auto" w:fill="DBE5F1"/>
            <w:noWrap/>
            <w:vAlign w:val="center"/>
          </w:tcPr>
          <w:p w14:paraId="4F9C0405"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100.0</w:t>
            </w:r>
          </w:p>
        </w:tc>
        <w:tc>
          <w:tcPr>
            <w:tcW w:w="1170" w:type="dxa"/>
            <w:shd w:val="clear" w:color="auto" w:fill="DBE5F1"/>
            <w:noWrap/>
            <w:vAlign w:val="center"/>
          </w:tcPr>
          <w:p w14:paraId="2F53154D"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100.0</w:t>
            </w:r>
          </w:p>
        </w:tc>
        <w:tc>
          <w:tcPr>
            <w:tcW w:w="1980" w:type="dxa"/>
            <w:shd w:val="clear" w:color="auto" w:fill="DBE5F1"/>
            <w:vAlign w:val="center"/>
          </w:tcPr>
          <w:p w14:paraId="2164EA84"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0.0</w:t>
            </w:r>
          </w:p>
        </w:tc>
      </w:tr>
      <w:tr w:rsidR="000F4C56" w:rsidRPr="00C921DE" w14:paraId="113A8A55" w14:textId="77777777" w:rsidTr="000F4C56">
        <w:trPr>
          <w:trHeight w:val="285"/>
        </w:trPr>
        <w:tc>
          <w:tcPr>
            <w:tcW w:w="4518" w:type="dxa"/>
            <w:shd w:val="clear" w:color="auto" w:fill="auto"/>
            <w:noWrap/>
            <w:hideMark/>
          </w:tcPr>
          <w:p w14:paraId="1757B491" w14:textId="77777777" w:rsidR="000F4C56" w:rsidRPr="00C921DE" w:rsidRDefault="000F4C56" w:rsidP="000F4C56">
            <w:pPr>
              <w:ind w:firstLineChars="45" w:firstLine="90"/>
              <w:jc w:val="right"/>
              <w:rPr>
                <w:rFonts w:ascii="GHEA Grapalat" w:eastAsia="Calibri" w:hAnsi="GHEA Grapalat"/>
                <w:b/>
                <w:bCs/>
                <w:sz w:val="20"/>
                <w:szCs w:val="20"/>
              </w:rPr>
            </w:pPr>
            <w:r w:rsidRPr="00C921DE">
              <w:rPr>
                <w:rFonts w:ascii="GHEA Grapalat" w:eastAsia="Calibri" w:hAnsi="GHEA Grapalat"/>
                <w:b/>
                <w:bCs/>
                <w:i/>
                <w:iCs/>
                <w:sz w:val="20"/>
                <w:szCs w:val="20"/>
              </w:rPr>
              <w:t>այդ թվում`</w:t>
            </w:r>
          </w:p>
        </w:tc>
        <w:tc>
          <w:tcPr>
            <w:tcW w:w="1440" w:type="dxa"/>
            <w:shd w:val="clear" w:color="auto" w:fill="auto"/>
            <w:vAlign w:val="center"/>
          </w:tcPr>
          <w:p w14:paraId="1AB6DC7F" w14:textId="77777777" w:rsidR="000F4C56" w:rsidRPr="00C921DE" w:rsidRDefault="000F4C56" w:rsidP="000F4C56">
            <w:pPr>
              <w:jc w:val="center"/>
              <w:rPr>
                <w:rFonts w:ascii="GHEA Grapalat" w:eastAsia="Calibri" w:hAnsi="GHEA Grapalat"/>
                <w:b/>
                <w:bCs/>
                <w:sz w:val="20"/>
                <w:szCs w:val="20"/>
              </w:rPr>
            </w:pPr>
          </w:p>
        </w:tc>
        <w:tc>
          <w:tcPr>
            <w:tcW w:w="1080" w:type="dxa"/>
            <w:shd w:val="clear" w:color="auto" w:fill="auto"/>
            <w:noWrap/>
            <w:vAlign w:val="center"/>
          </w:tcPr>
          <w:p w14:paraId="7435A1FD" w14:textId="77777777" w:rsidR="000F4C56" w:rsidRPr="00C921DE" w:rsidRDefault="000F4C56" w:rsidP="000F4C56">
            <w:pPr>
              <w:jc w:val="center"/>
              <w:rPr>
                <w:rFonts w:ascii="GHEA Grapalat" w:eastAsia="Calibri" w:hAnsi="GHEA Grapalat"/>
                <w:b/>
                <w:bCs/>
                <w:sz w:val="20"/>
                <w:szCs w:val="20"/>
              </w:rPr>
            </w:pPr>
          </w:p>
        </w:tc>
        <w:tc>
          <w:tcPr>
            <w:tcW w:w="1170" w:type="dxa"/>
            <w:shd w:val="clear" w:color="auto" w:fill="auto"/>
            <w:noWrap/>
            <w:vAlign w:val="center"/>
          </w:tcPr>
          <w:p w14:paraId="48946D68" w14:textId="77777777" w:rsidR="000F4C56" w:rsidRPr="00C921DE" w:rsidRDefault="000F4C56" w:rsidP="000F4C56">
            <w:pPr>
              <w:jc w:val="center"/>
              <w:rPr>
                <w:rFonts w:ascii="GHEA Grapalat" w:eastAsia="Calibri" w:hAnsi="GHEA Grapalat"/>
                <w:b/>
                <w:bCs/>
                <w:sz w:val="20"/>
                <w:szCs w:val="20"/>
              </w:rPr>
            </w:pPr>
          </w:p>
        </w:tc>
        <w:tc>
          <w:tcPr>
            <w:tcW w:w="1980" w:type="dxa"/>
            <w:shd w:val="clear" w:color="auto" w:fill="auto"/>
            <w:vAlign w:val="center"/>
          </w:tcPr>
          <w:p w14:paraId="01360A6C" w14:textId="77777777" w:rsidR="000F4C56" w:rsidRPr="00C921DE" w:rsidRDefault="000F4C56" w:rsidP="000F4C56">
            <w:pPr>
              <w:jc w:val="center"/>
              <w:rPr>
                <w:rFonts w:ascii="GHEA Grapalat" w:eastAsia="Calibri" w:hAnsi="GHEA Grapalat"/>
                <w:b/>
                <w:bCs/>
                <w:sz w:val="20"/>
                <w:szCs w:val="20"/>
              </w:rPr>
            </w:pPr>
          </w:p>
        </w:tc>
      </w:tr>
      <w:tr w:rsidR="007B6521" w:rsidRPr="00C921DE" w14:paraId="0EDAEB95" w14:textId="77777777" w:rsidTr="000F4C56">
        <w:trPr>
          <w:trHeight w:val="270"/>
        </w:trPr>
        <w:tc>
          <w:tcPr>
            <w:tcW w:w="4518" w:type="dxa"/>
            <w:shd w:val="clear" w:color="auto" w:fill="DBE5F1"/>
            <w:noWrap/>
            <w:hideMark/>
          </w:tcPr>
          <w:p w14:paraId="0DD9A218" w14:textId="77777777" w:rsidR="007B6521" w:rsidRPr="00C921DE" w:rsidRDefault="007B6521" w:rsidP="007B6521">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բուսաբուծություն</w:t>
            </w:r>
          </w:p>
        </w:tc>
        <w:tc>
          <w:tcPr>
            <w:tcW w:w="1440" w:type="dxa"/>
            <w:shd w:val="clear" w:color="auto" w:fill="DBE5F1"/>
            <w:vAlign w:val="center"/>
          </w:tcPr>
          <w:p w14:paraId="712C2F12"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447.6</w:t>
            </w:r>
          </w:p>
        </w:tc>
        <w:tc>
          <w:tcPr>
            <w:tcW w:w="1080" w:type="dxa"/>
            <w:shd w:val="clear" w:color="auto" w:fill="DBE5F1"/>
            <w:noWrap/>
            <w:vAlign w:val="center"/>
          </w:tcPr>
          <w:p w14:paraId="4716BE83" w14:textId="4792A773"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44.5</w:t>
            </w:r>
          </w:p>
        </w:tc>
        <w:tc>
          <w:tcPr>
            <w:tcW w:w="1170" w:type="dxa"/>
            <w:shd w:val="clear" w:color="auto" w:fill="DBE5F1"/>
            <w:noWrap/>
            <w:vAlign w:val="center"/>
          </w:tcPr>
          <w:p w14:paraId="4E977849"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102.7</w:t>
            </w:r>
          </w:p>
        </w:tc>
        <w:tc>
          <w:tcPr>
            <w:tcW w:w="1980" w:type="dxa"/>
            <w:shd w:val="clear" w:color="auto" w:fill="DBE5F1"/>
            <w:vAlign w:val="center"/>
          </w:tcPr>
          <w:p w14:paraId="23EE7A6A"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1.3</w:t>
            </w:r>
          </w:p>
        </w:tc>
      </w:tr>
      <w:tr w:rsidR="007B6521" w:rsidRPr="00C921DE" w14:paraId="68CCC778" w14:textId="77777777" w:rsidTr="000F4C56">
        <w:trPr>
          <w:trHeight w:val="270"/>
        </w:trPr>
        <w:tc>
          <w:tcPr>
            <w:tcW w:w="4518" w:type="dxa"/>
            <w:shd w:val="clear" w:color="auto" w:fill="auto"/>
            <w:noWrap/>
            <w:hideMark/>
          </w:tcPr>
          <w:p w14:paraId="7F8C7A02" w14:textId="77777777" w:rsidR="007B6521" w:rsidRPr="00C921DE" w:rsidRDefault="007B6521" w:rsidP="007B6521">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անասնաբուծություն</w:t>
            </w:r>
          </w:p>
        </w:tc>
        <w:tc>
          <w:tcPr>
            <w:tcW w:w="1440" w:type="dxa"/>
            <w:shd w:val="clear" w:color="auto" w:fill="auto"/>
            <w:vAlign w:val="center"/>
          </w:tcPr>
          <w:p w14:paraId="4B31987C"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500.5</w:t>
            </w:r>
          </w:p>
        </w:tc>
        <w:tc>
          <w:tcPr>
            <w:tcW w:w="1080" w:type="dxa"/>
            <w:shd w:val="clear" w:color="auto" w:fill="auto"/>
            <w:noWrap/>
            <w:vAlign w:val="center"/>
          </w:tcPr>
          <w:p w14:paraId="48B3AD54" w14:textId="602EB141"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49.8</w:t>
            </w:r>
          </w:p>
        </w:tc>
        <w:tc>
          <w:tcPr>
            <w:tcW w:w="1170" w:type="dxa"/>
            <w:shd w:val="clear" w:color="auto" w:fill="auto"/>
            <w:noWrap/>
            <w:vAlign w:val="center"/>
          </w:tcPr>
          <w:p w14:paraId="300D5904"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96.6</w:t>
            </w:r>
          </w:p>
        </w:tc>
        <w:tc>
          <w:tcPr>
            <w:tcW w:w="1980" w:type="dxa"/>
            <w:shd w:val="clear" w:color="auto" w:fill="auto"/>
            <w:vAlign w:val="center"/>
          </w:tcPr>
          <w:p w14:paraId="0B1CBEB4"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-1.6</w:t>
            </w:r>
          </w:p>
        </w:tc>
      </w:tr>
      <w:tr w:rsidR="007B6521" w:rsidRPr="00C921DE" w14:paraId="340BB44B" w14:textId="77777777" w:rsidTr="000F4C56">
        <w:trPr>
          <w:trHeight w:val="285"/>
        </w:trPr>
        <w:tc>
          <w:tcPr>
            <w:tcW w:w="4518" w:type="dxa"/>
            <w:shd w:val="clear" w:color="auto" w:fill="DBE5F1"/>
            <w:noWrap/>
          </w:tcPr>
          <w:p w14:paraId="130D3CC2" w14:textId="77777777" w:rsidR="007B6521" w:rsidRPr="00C921DE" w:rsidRDefault="007B6521" w:rsidP="007B6521">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անտառային տնտեսություն</w:t>
            </w:r>
          </w:p>
        </w:tc>
        <w:tc>
          <w:tcPr>
            <w:tcW w:w="1440" w:type="dxa"/>
            <w:shd w:val="clear" w:color="auto" w:fill="DBE5F1"/>
            <w:vAlign w:val="center"/>
          </w:tcPr>
          <w:p w14:paraId="7DE0A31C"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2.7</w:t>
            </w:r>
          </w:p>
        </w:tc>
        <w:tc>
          <w:tcPr>
            <w:tcW w:w="1080" w:type="dxa"/>
            <w:shd w:val="clear" w:color="auto" w:fill="DBE5F1"/>
            <w:noWrap/>
            <w:vAlign w:val="center"/>
          </w:tcPr>
          <w:p w14:paraId="2DDE51B3" w14:textId="7A52F994"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0.3</w:t>
            </w:r>
          </w:p>
        </w:tc>
        <w:tc>
          <w:tcPr>
            <w:tcW w:w="1170" w:type="dxa"/>
            <w:shd w:val="clear" w:color="auto" w:fill="DBE5F1"/>
            <w:noWrap/>
            <w:vAlign w:val="center"/>
          </w:tcPr>
          <w:p w14:paraId="44F1027D"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122.3</w:t>
            </w:r>
          </w:p>
        </w:tc>
        <w:tc>
          <w:tcPr>
            <w:tcW w:w="1980" w:type="dxa"/>
            <w:shd w:val="clear" w:color="auto" w:fill="DBE5F1"/>
            <w:vAlign w:val="center"/>
          </w:tcPr>
          <w:p w14:paraId="6CF953AB"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0.0</w:t>
            </w:r>
          </w:p>
        </w:tc>
      </w:tr>
      <w:tr w:rsidR="007B6521" w:rsidRPr="00C921DE" w14:paraId="2EDB8B07" w14:textId="77777777" w:rsidTr="000F4C56">
        <w:trPr>
          <w:trHeight w:val="285"/>
        </w:trPr>
        <w:tc>
          <w:tcPr>
            <w:tcW w:w="4518" w:type="dxa"/>
            <w:shd w:val="clear" w:color="auto" w:fill="auto"/>
            <w:noWrap/>
            <w:hideMark/>
          </w:tcPr>
          <w:p w14:paraId="40106DC0" w14:textId="77777777" w:rsidR="007B6521" w:rsidRPr="00C921DE" w:rsidRDefault="007B6521" w:rsidP="007B6521">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ձկնորսություն</w:t>
            </w:r>
          </w:p>
        </w:tc>
        <w:tc>
          <w:tcPr>
            <w:tcW w:w="1440" w:type="dxa"/>
            <w:shd w:val="clear" w:color="auto" w:fill="auto"/>
            <w:vAlign w:val="center"/>
          </w:tcPr>
          <w:p w14:paraId="514F23AF"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55.1</w:t>
            </w:r>
          </w:p>
        </w:tc>
        <w:tc>
          <w:tcPr>
            <w:tcW w:w="1080" w:type="dxa"/>
            <w:shd w:val="clear" w:color="auto" w:fill="auto"/>
            <w:noWrap/>
            <w:vAlign w:val="center"/>
          </w:tcPr>
          <w:p w14:paraId="6418CE9B" w14:textId="5C3DA35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5.5</w:t>
            </w:r>
          </w:p>
        </w:tc>
        <w:tc>
          <w:tcPr>
            <w:tcW w:w="1170" w:type="dxa"/>
            <w:shd w:val="clear" w:color="auto" w:fill="auto"/>
            <w:noWrap/>
            <w:vAlign w:val="center"/>
          </w:tcPr>
          <w:p w14:paraId="26BB0EF0"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103.6</w:t>
            </w:r>
          </w:p>
        </w:tc>
        <w:tc>
          <w:tcPr>
            <w:tcW w:w="1980" w:type="dxa"/>
            <w:shd w:val="clear" w:color="auto" w:fill="auto"/>
            <w:vAlign w:val="center"/>
          </w:tcPr>
          <w:p w14:paraId="7138E5FA" w14:textId="77777777" w:rsidR="007B6521" w:rsidRPr="00C921DE" w:rsidRDefault="007B6521" w:rsidP="007B6521">
            <w:pPr>
              <w:jc w:val="center"/>
              <w:rPr>
                <w:rFonts w:ascii="GHEA Grapalat" w:eastAsia="Calibri" w:hAnsi="GHEA Grapalat"/>
                <w:bCs/>
                <w:sz w:val="20"/>
                <w:szCs w:val="20"/>
              </w:rPr>
            </w:pPr>
            <w:r w:rsidRPr="00C921DE">
              <w:rPr>
                <w:rFonts w:ascii="GHEA Grapalat" w:hAnsi="GHEA Grapalat"/>
                <w:sz w:val="20"/>
              </w:rPr>
              <w:t>0.2</w:t>
            </w:r>
          </w:p>
        </w:tc>
      </w:tr>
    </w:tbl>
    <w:p w14:paraId="377151E7" w14:textId="77777777" w:rsidR="000F4C56" w:rsidRPr="00C921DE" w:rsidRDefault="000F4C56" w:rsidP="000F4C56">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4518"/>
        <w:gridCol w:w="1440"/>
        <w:gridCol w:w="1080"/>
        <w:gridCol w:w="1170"/>
        <w:gridCol w:w="1980"/>
      </w:tblGrid>
      <w:tr w:rsidR="000F4C56" w:rsidRPr="00C921DE" w14:paraId="0B9B1C71" w14:textId="77777777" w:rsidTr="000F4C56">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14:paraId="115FD3E7" w14:textId="77777777" w:rsidR="000F4C56" w:rsidRPr="00C921DE" w:rsidRDefault="000F4C56" w:rsidP="000F4C56">
            <w:pPr>
              <w:jc w:val="center"/>
              <w:rPr>
                <w:rFonts w:ascii="GHEA Grapalat" w:eastAsia="Calibri" w:hAnsi="GHEA Grapalat"/>
                <w:b/>
                <w:bCs/>
                <w:i/>
                <w:iCs/>
                <w:color w:val="FFFFFF"/>
                <w:sz w:val="20"/>
                <w:szCs w:val="20"/>
              </w:rPr>
            </w:pPr>
            <w:r w:rsidRPr="00C921DE">
              <w:rPr>
                <w:rFonts w:ascii="GHEA Grapalat" w:eastAsia="Calibri" w:hAnsi="GHEA Grapalat"/>
                <w:b/>
                <w:bCs/>
                <w:i/>
                <w:iCs/>
                <w:color w:val="FFFFFF"/>
                <w:sz w:val="20"/>
                <w:szCs w:val="20"/>
              </w:rPr>
              <w:t>ըստ ֆինանսավորման աղբյուրների</w:t>
            </w:r>
          </w:p>
        </w:tc>
        <w:tc>
          <w:tcPr>
            <w:tcW w:w="1440" w:type="dxa"/>
            <w:tcBorders>
              <w:top w:val="single" w:sz="4" w:space="0" w:color="4F81BD"/>
              <w:left w:val="nil"/>
              <w:bottom w:val="single" w:sz="4" w:space="0" w:color="4F81BD"/>
              <w:right w:val="nil"/>
            </w:tcBorders>
            <w:shd w:val="clear" w:color="auto" w:fill="4F81BD"/>
            <w:hideMark/>
          </w:tcPr>
          <w:p w14:paraId="2450F540" w14:textId="77777777" w:rsidR="000F4C56" w:rsidRPr="00C921DE" w:rsidRDefault="000F4C56" w:rsidP="000F4C56">
            <w:pPr>
              <w:jc w:val="center"/>
              <w:rPr>
                <w:rFonts w:ascii="GHEA Grapalat" w:eastAsia="Calibri" w:hAnsi="GHEA Grapalat"/>
                <w:b/>
                <w:bCs/>
                <w:color w:val="FFFFFF"/>
                <w:sz w:val="20"/>
                <w:szCs w:val="20"/>
                <w:lang w:val="en-US"/>
              </w:rPr>
            </w:pPr>
            <w:r w:rsidRPr="00C921DE">
              <w:rPr>
                <w:rFonts w:ascii="GHEA Grapalat" w:eastAsia="Calibri" w:hAnsi="GHEA Grapalat"/>
                <w:b/>
                <w:bCs/>
                <w:color w:val="FFFFFF"/>
                <w:sz w:val="20"/>
                <w:szCs w:val="20"/>
              </w:rPr>
              <w:t>Արժեք</w:t>
            </w:r>
          </w:p>
          <w:p w14:paraId="50DD51CB"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(մլրդ դրամ)</w:t>
            </w:r>
          </w:p>
        </w:tc>
        <w:tc>
          <w:tcPr>
            <w:tcW w:w="1080" w:type="dxa"/>
            <w:tcBorders>
              <w:top w:val="single" w:sz="4" w:space="0" w:color="4F81BD"/>
              <w:left w:val="nil"/>
              <w:bottom w:val="single" w:sz="4" w:space="0" w:color="4F81BD"/>
              <w:right w:val="nil"/>
            </w:tcBorders>
            <w:shd w:val="clear" w:color="auto" w:fill="4F81BD"/>
            <w:hideMark/>
          </w:tcPr>
          <w:p w14:paraId="5597C5C4"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Կշիռը (%)</w:t>
            </w:r>
          </w:p>
        </w:tc>
        <w:tc>
          <w:tcPr>
            <w:tcW w:w="1170" w:type="dxa"/>
            <w:tcBorders>
              <w:top w:val="single" w:sz="4" w:space="0" w:color="4F81BD"/>
              <w:left w:val="nil"/>
              <w:bottom w:val="single" w:sz="4" w:space="0" w:color="4F81BD"/>
              <w:right w:val="nil"/>
            </w:tcBorders>
            <w:shd w:val="clear" w:color="auto" w:fill="4F81BD"/>
            <w:hideMark/>
          </w:tcPr>
          <w:p w14:paraId="3A8AD50F"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14:paraId="7B1C66A7"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Նպաստում (տոկոսային կետ)</w:t>
            </w:r>
          </w:p>
        </w:tc>
      </w:tr>
      <w:tr w:rsidR="000F4C56" w:rsidRPr="00C921DE" w14:paraId="69F8119F" w14:textId="77777777" w:rsidTr="000F4C56">
        <w:trPr>
          <w:trHeight w:val="285"/>
        </w:trPr>
        <w:tc>
          <w:tcPr>
            <w:tcW w:w="4518" w:type="dxa"/>
            <w:shd w:val="clear" w:color="auto" w:fill="DBE5F1"/>
            <w:noWrap/>
            <w:hideMark/>
          </w:tcPr>
          <w:p w14:paraId="589ED39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Շինարարություն</w:t>
            </w:r>
          </w:p>
        </w:tc>
        <w:tc>
          <w:tcPr>
            <w:tcW w:w="1440" w:type="dxa"/>
            <w:shd w:val="clear" w:color="auto" w:fill="DBE5F1"/>
            <w:vAlign w:val="center"/>
          </w:tcPr>
          <w:p w14:paraId="602959EB"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619.7</w:t>
            </w:r>
          </w:p>
        </w:tc>
        <w:tc>
          <w:tcPr>
            <w:tcW w:w="1080" w:type="dxa"/>
            <w:shd w:val="clear" w:color="auto" w:fill="DBE5F1"/>
            <w:noWrap/>
            <w:vAlign w:val="center"/>
          </w:tcPr>
          <w:p w14:paraId="2D6B8070"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100.0</w:t>
            </w:r>
          </w:p>
        </w:tc>
        <w:tc>
          <w:tcPr>
            <w:tcW w:w="1170" w:type="dxa"/>
            <w:shd w:val="clear" w:color="auto" w:fill="DBE5F1"/>
            <w:noWrap/>
            <w:vAlign w:val="center"/>
          </w:tcPr>
          <w:p w14:paraId="102B0A07"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114.8</w:t>
            </w:r>
          </w:p>
        </w:tc>
        <w:tc>
          <w:tcPr>
            <w:tcW w:w="1980" w:type="dxa"/>
            <w:shd w:val="clear" w:color="auto" w:fill="DBE5F1"/>
            <w:vAlign w:val="center"/>
          </w:tcPr>
          <w:p w14:paraId="5E2C7101" w14:textId="77777777" w:rsidR="000F4C56" w:rsidRPr="00C921DE" w:rsidRDefault="000F4C56" w:rsidP="000F4C56">
            <w:pPr>
              <w:jc w:val="center"/>
              <w:rPr>
                <w:rFonts w:ascii="GHEA Grapalat" w:eastAsia="Calibri" w:hAnsi="GHEA Grapalat"/>
                <w:b/>
                <w:bCs/>
                <w:sz w:val="20"/>
                <w:szCs w:val="20"/>
              </w:rPr>
            </w:pPr>
            <w:r w:rsidRPr="00C921DE">
              <w:rPr>
                <w:rFonts w:ascii="GHEA Grapalat" w:hAnsi="GHEA Grapalat"/>
                <w:b/>
                <w:sz w:val="20"/>
              </w:rPr>
              <w:t>14.8</w:t>
            </w:r>
          </w:p>
        </w:tc>
      </w:tr>
      <w:tr w:rsidR="000F4C56" w:rsidRPr="00C921DE" w14:paraId="27D94554" w14:textId="77777777" w:rsidTr="000F4C56">
        <w:trPr>
          <w:trHeight w:val="285"/>
        </w:trPr>
        <w:tc>
          <w:tcPr>
            <w:tcW w:w="4518" w:type="dxa"/>
            <w:shd w:val="clear" w:color="auto" w:fill="auto"/>
            <w:noWrap/>
            <w:hideMark/>
          </w:tcPr>
          <w:p w14:paraId="6CC8EDEE" w14:textId="77777777" w:rsidR="000F4C56" w:rsidRPr="00C921DE" w:rsidRDefault="000F4C56" w:rsidP="000F4C56">
            <w:pPr>
              <w:jc w:val="right"/>
              <w:rPr>
                <w:rFonts w:ascii="GHEA Grapalat" w:eastAsia="Calibri" w:hAnsi="GHEA Grapalat"/>
                <w:b/>
                <w:bCs/>
                <w:sz w:val="20"/>
                <w:szCs w:val="20"/>
              </w:rPr>
            </w:pPr>
            <w:r w:rsidRPr="00C921DE">
              <w:rPr>
                <w:rFonts w:ascii="Calibri" w:eastAsia="Calibri" w:hAnsi="Calibri" w:cs="Calibri"/>
                <w:b/>
                <w:bCs/>
                <w:sz w:val="20"/>
                <w:szCs w:val="20"/>
              </w:rPr>
              <w:t> </w:t>
            </w:r>
            <w:r w:rsidRPr="00C921DE">
              <w:rPr>
                <w:rFonts w:ascii="GHEA Grapalat" w:eastAsia="Calibri" w:hAnsi="GHEA Grapalat"/>
                <w:b/>
                <w:bCs/>
                <w:i/>
                <w:iCs/>
                <w:sz w:val="20"/>
                <w:szCs w:val="20"/>
              </w:rPr>
              <w:t>այդ թվում`</w:t>
            </w:r>
          </w:p>
        </w:tc>
        <w:tc>
          <w:tcPr>
            <w:tcW w:w="1440" w:type="dxa"/>
            <w:shd w:val="clear" w:color="auto" w:fill="auto"/>
            <w:noWrap/>
            <w:vAlign w:val="center"/>
          </w:tcPr>
          <w:p w14:paraId="735CB640" w14:textId="77777777" w:rsidR="000F4C56" w:rsidRPr="00C921DE" w:rsidRDefault="000F4C56" w:rsidP="000F4C56">
            <w:pPr>
              <w:jc w:val="center"/>
              <w:rPr>
                <w:rFonts w:ascii="GHEA Grapalat" w:eastAsia="Calibri" w:hAnsi="GHEA Grapalat"/>
                <w:b/>
                <w:bCs/>
                <w:sz w:val="20"/>
                <w:szCs w:val="20"/>
              </w:rPr>
            </w:pPr>
          </w:p>
        </w:tc>
        <w:tc>
          <w:tcPr>
            <w:tcW w:w="1080" w:type="dxa"/>
            <w:shd w:val="clear" w:color="auto" w:fill="auto"/>
            <w:noWrap/>
            <w:vAlign w:val="center"/>
          </w:tcPr>
          <w:p w14:paraId="46C89994" w14:textId="77777777" w:rsidR="000F4C56" w:rsidRPr="00C921DE" w:rsidRDefault="000F4C56" w:rsidP="000F4C56">
            <w:pPr>
              <w:jc w:val="center"/>
              <w:rPr>
                <w:rFonts w:ascii="GHEA Grapalat" w:eastAsia="Calibri" w:hAnsi="GHEA Grapalat"/>
                <w:b/>
                <w:bCs/>
                <w:sz w:val="20"/>
                <w:szCs w:val="20"/>
              </w:rPr>
            </w:pPr>
          </w:p>
        </w:tc>
        <w:tc>
          <w:tcPr>
            <w:tcW w:w="1170" w:type="dxa"/>
            <w:shd w:val="clear" w:color="auto" w:fill="auto"/>
            <w:noWrap/>
            <w:vAlign w:val="center"/>
          </w:tcPr>
          <w:p w14:paraId="18B8A500" w14:textId="77777777" w:rsidR="000F4C56" w:rsidRPr="00C921DE" w:rsidRDefault="000F4C56" w:rsidP="000F4C56">
            <w:pPr>
              <w:jc w:val="center"/>
              <w:rPr>
                <w:rFonts w:ascii="GHEA Grapalat" w:eastAsia="Calibri" w:hAnsi="GHEA Grapalat"/>
                <w:b/>
                <w:bCs/>
                <w:sz w:val="20"/>
                <w:szCs w:val="20"/>
              </w:rPr>
            </w:pPr>
          </w:p>
        </w:tc>
        <w:tc>
          <w:tcPr>
            <w:tcW w:w="1980" w:type="dxa"/>
            <w:shd w:val="clear" w:color="auto" w:fill="auto"/>
            <w:vAlign w:val="center"/>
          </w:tcPr>
          <w:p w14:paraId="7E9EA97E" w14:textId="77777777" w:rsidR="000F4C56" w:rsidRPr="00C921DE" w:rsidRDefault="000F4C56" w:rsidP="000F4C56">
            <w:pPr>
              <w:jc w:val="center"/>
              <w:rPr>
                <w:rFonts w:ascii="GHEA Grapalat" w:eastAsia="Calibri" w:hAnsi="GHEA Grapalat"/>
                <w:b/>
                <w:bCs/>
                <w:sz w:val="20"/>
                <w:szCs w:val="20"/>
              </w:rPr>
            </w:pPr>
          </w:p>
        </w:tc>
      </w:tr>
      <w:tr w:rsidR="001E3A3A" w:rsidRPr="00C921DE" w14:paraId="6635D62A" w14:textId="77777777" w:rsidTr="000F4C56">
        <w:trPr>
          <w:trHeight w:val="270"/>
        </w:trPr>
        <w:tc>
          <w:tcPr>
            <w:tcW w:w="4518" w:type="dxa"/>
            <w:shd w:val="clear" w:color="auto" w:fill="DBE5F1"/>
            <w:noWrap/>
            <w:hideMark/>
          </w:tcPr>
          <w:p w14:paraId="55457969" w14:textId="77777777" w:rsidR="001E3A3A" w:rsidRPr="00C921DE" w:rsidRDefault="001E3A3A" w:rsidP="001E3A3A">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 xml:space="preserve">պետական բյուջեի, </w:t>
            </w:r>
            <w:r w:rsidRPr="00C921DE">
              <w:rPr>
                <w:rFonts w:ascii="GHEA Grapalat" w:eastAsia="Calibri" w:hAnsi="GHEA Grapalat"/>
                <w:b/>
                <w:bCs/>
                <w:i/>
                <w:sz w:val="20"/>
                <w:szCs w:val="20"/>
              </w:rPr>
              <w:t>այդ թվում՝</w:t>
            </w:r>
          </w:p>
        </w:tc>
        <w:tc>
          <w:tcPr>
            <w:tcW w:w="1440" w:type="dxa"/>
            <w:shd w:val="clear" w:color="auto" w:fill="DBE5F1"/>
            <w:vAlign w:val="center"/>
          </w:tcPr>
          <w:p w14:paraId="654F9F70"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158.8</w:t>
            </w:r>
          </w:p>
        </w:tc>
        <w:tc>
          <w:tcPr>
            <w:tcW w:w="1080" w:type="dxa"/>
            <w:shd w:val="clear" w:color="auto" w:fill="DBE5F1"/>
            <w:noWrap/>
            <w:vAlign w:val="center"/>
          </w:tcPr>
          <w:p w14:paraId="3AA473EA" w14:textId="43B0351E"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25.6</w:t>
            </w:r>
          </w:p>
        </w:tc>
        <w:tc>
          <w:tcPr>
            <w:tcW w:w="1170" w:type="dxa"/>
            <w:shd w:val="clear" w:color="auto" w:fill="DBE5F1"/>
            <w:noWrap/>
            <w:vAlign w:val="center"/>
          </w:tcPr>
          <w:p w14:paraId="51FFA4E2"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108.0</w:t>
            </w:r>
          </w:p>
        </w:tc>
        <w:tc>
          <w:tcPr>
            <w:tcW w:w="1980" w:type="dxa"/>
            <w:shd w:val="clear" w:color="auto" w:fill="DBE5F1"/>
            <w:vAlign w:val="center"/>
          </w:tcPr>
          <w:p w14:paraId="576559E0"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2.2</w:t>
            </w:r>
          </w:p>
        </w:tc>
      </w:tr>
      <w:tr w:rsidR="001E3A3A" w:rsidRPr="00C921DE" w14:paraId="50D8D4C3" w14:textId="77777777" w:rsidTr="000F4C56">
        <w:trPr>
          <w:trHeight w:val="270"/>
        </w:trPr>
        <w:tc>
          <w:tcPr>
            <w:tcW w:w="4518" w:type="dxa"/>
            <w:shd w:val="clear" w:color="auto" w:fill="auto"/>
            <w:noWrap/>
            <w:hideMark/>
          </w:tcPr>
          <w:p w14:paraId="3A6609C3" w14:textId="77777777" w:rsidR="001E3A3A" w:rsidRPr="00C921DE" w:rsidRDefault="001E3A3A" w:rsidP="001E3A3A">
            <w:pPr>
              <w:ind w:firstLineChars="45" w:firstLine="90"/>
              <w:jc w:val="center"/>
              <w:rPr>
                <w:rFonts w:ascii="GHEA Grapalat" w:eastAsia="Calibri" w:hAnsi="GHEA Grapalat"/>
                <w:b/>
                <w:bCs/>
                <w:i/>
                <w:iCs/>
                <w:sz w:val="20"/>
                <w:szCs w:val="20"/>
              </w:rPr>
            </w:pPr>
            <w:r w:rsidRPr="00C921DE">
              <w:rPr>
                <w:rFonts w:ascii="GHEA Grapalat" w:eastAsia="Calibri" w:hAnsi="GHEA Grapalat"/>
                <w:b/>
                <w:bCs/>
                <w:i/>
                <w:iCs/>
                <w:sz w:val="20"/>
                <w:szCs w:val="20"/>
              </w:rPr>
              <w:t>միջազգային վարկերի</w:t>
            </w:r>
          </w:p>
        </w:tc>
        <w:tc>
          <w:tcPr>
            <w:tcW w:w="1440" w:type="dxa"/>
            <w:shd w:val="clear" w:color="auto" w:fill="auto"/>
            <w:vAlign w:val="center"/>
          </w:tcPr>
          <w:p w14:paraId="77914505"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37.2</w:t>
            </w:r>
          </w:p>
        </w:tc>
        <w:tc>
          <w:tcPr>
            <w:tcW w:w="1080" w:type="dxa"/>
            <w:shd w:val="clear" w:color="auto" w:fill="auto"/>
            <w:noWrap/>
            <w:vAlign w:val="center"/>
          </w:tcPr>
          <w:p w14:paraId="1B11C016" w14:textId="59F2AB0B"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6.0</w:t>
            </w:r>
          </w:p>
        </w:tc>
        <w:tc>
          <w:tcPr>
            <w:tcW w:w="1170" w:type="dxa"/>
            <w:shd w:val="clear" w:color="auto" w:fill="auto"/>
            <w:noWrap/>
            <w:vAlign w:val="center"/>
          </w:tcPr>
          <w:p w14:paraId="1302DBCB"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100.8</w:t>
            </w:r>
          </w:p>
        </w:tc>
        <w:tc>
          <w:tcPr>
            <w:tcW w:w="1980" w:type="dxa"/>
            <w:shd w:val="clear" w:color="auto" w:fill="auto"/>
            <w:vAlign w:val="center"/>
          </w:tcPr>
          <w:p w14:paraId="6FB6BF61"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0.1</w:t>
            </w:r>
          </w:p>
        </w:tc>
      </w:tr>
      <w:tr w:rsidR="001E3A3A" w:rsidRPr="00C921DE" w14:paraId="7CE54B23" w14:textId="77777777" w:rsidTr="000F4C56">
        <w:trPr>
          <w:trHeight w:val="270"/>
        </w:trPr>
        <w:tc>
          <w:tcPr>
            <w:tcW w:w="4518" w:type="dxa"/>
            <w:shd w:val="clear" w:color="auto" w:fill="DBE5F1"/>
            <w:noWrap/>
            <w:hideMark/>
          </w:tcPr>
          <w:p w14:paraId="296725AB" w14:textId="77777777" w:rsidR="001E3A3A" w:rsidRPr="00C921DE" w:rsidRDefault="001E3A3A" w:rsidP="001E3A3A">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համայնքների միջոցների</w:t>
            </w:r>
          </w:p>
        </w:tc>
        <w:tc>
          <w:tcPr>
            <w:tcW w:w="1440" w:type="dxa"/>
            <w:shd w:val="clear" w:color="auto" w:fill="DBE5F1"/>
            <w:vAlign w:val="center"/>
          </w:tcPr>
          <w:p w14:paraId="751CC904"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39.2</w:t>
            </w:r>
          </w:p>
        </w:tc>
        <w:tc>
          <w:tcPr>
            <w:tcW w:w="1080" w:type="dxa"/>
            <w:shd w:val="clear" w:color="auto" w:fill="DBE5F1"/>
            <w:noWrap/>
            <w:vAlign w:val="center"/>
          </w:tcPr>
          <w:p w14:paraId="6C588B9F" w14:textId="4D98BB75"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6.3</w:t>
            </w:r>
          </w:p>
        </w:tc>
        <w:tc>
          <w:tcPr>
            <w:tcW w:w="1170" w:type="dxa"/>
            <w:shd w:val="clear" w:color="auto" w:fill="DBE5F1"/>
            <w:noWrap/>
            <w:vAlign w:val="center"/>
          </w:tcPr>
          <w:p w14:paraId="1BF145A1"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119.8</w:t>
            </w:r>
          </w:p>
        </w:tc>
        <w:tc>
          <w:tcPr>
            <w:tcW w:w="1980" w:type="dxa"/>
            <w:shd w:val="clear" w:color="auto" w:fill="DBE5F1"/>
            <w:vAlign w:val="center"/>
          </w:tcPr>
          <w:p w14:paraId="1208F680"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1.2</w:t>
            </w:r>
          </w:p>
        </w:tc>
      </w:tr>
      <w:tr w:rsidR="001E3A3A" w:rsidRPr="00C921DE" w14:paraId="1D54E9D4" w14:textId="77777777" w:rsidTr="000F4C56">
        <w:trPr>
          <w:trHeight w:val="270"/>
        </w:trPr>
        <w:tc>
          <w:tcPr>
            <w:tcW w:w="4518" w:type="dxa"/>
            <w:shd w:val="clear" w:color="auto" w:fill="auto"/>
            <w:noWrap/>
            <w:hideMark/>
          </w:tcPr>
          <w:p w14:paraId="0380783A" w14:textId="77777777" w:rsidR="001E3A3A" w:rsidRPr="00C921DE" w:rsidRDefault="001E3A3A" w:rsidP="001E3A3A">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մարդասիրական օգնության միջոցների</w:t>
            </w:r>
          </w:p>
        </w:tc>
        <w:tc>
          <w:tcPr>
            <w:tcW w:w="1440" w:type="dxa"/>
            <w:shd w:val="clear" w:color="auto" w:fill="auto"/>
            <w:vAlign w:val="center"/>
          </w:tcPr>
          <w:p w14:paraId="7290FBF2"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5.5</w:t>
            </w:r>
          </w:p>
        </w:tc>
        <w:tc>
          <w:tcPr>
            <w:tcW w:w="1080" w:type="dxa"/>
            <w:shd w:val="clear" w:color="auto" w:fill="auto"/>
            <w:noWrap/>
            <w:vAlign w:val="center"/>
          </w:tcPr>
          <w:p w14:paraId="3F1E5991" w14:textId="775C5802"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0.9</w:t>
            </w:r>
          </w:p>
        </w:tc>
        <w:tc>
          <w:tcPr>
            <w:tcW w:w="1170" w:type="dxa"/>
            <w:shd w:val="clear" w:color="auto" w:fill="auto"/>
            <w:noWrap/>
            <w:vAlign w:val="center"/>
          </w:tcPr>
          <w:p w14:paraId="0A5EE3D3"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112.7</w:t>
            </w:r>
          </w:p>
        </w:tc>
        <w:tc>
          <w:tcPr>
            <w:tcW w:w="1980" w:type="dxa"/>
            <w:shd w:val="clear" w:color="auto" w:fill="auto"/>
            <w:vAlign w:val="center"/>
          </w:tcPr>
          <w:p w14:paraId="7556C873"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0.1</w:t>
            </w:r>
          </w:p>
        </w:tc>
      </w:tr>
      <w:tr w:rsidR="001E3A3A" w:rsidRPr="00C921DE" w14:paraId="40790AB6" w14:textId="77777777" w:rsidTr="000F4C56">
        <w:trPr>
          <w:trHeight w:val="270"/>
        </w:trPr>
        <w:tc>
          <w:tcPr>
            <w:tcW w:w="4518" w:type="dxa"/>
            <w:shd w:val="clear" w:color="auto" w:fill="DBE5F1"/>
            <w:noWrap/>
            <w:hideMark/>
          </w:tcPr>
          <w:p w14:paraId="5D9B1BD7" w14:textId="77777777" w:rsidR="001E3A3A" w:rsidRPr="00C921DE" w:rsidRDefault="001E3A3A" w:rsidP="001E3A3A">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 xml:space="preserve">կազմակերպությունների միջոցների, </w:t>
            </w:r>
            <w:r w:rsidRPr="00C921DE">
              <w:rPr>
                <w:rFonts w:ascii="GHEA Grapalat" w:eastAsia="Calibri" w:hAnsi="GHEA Grapalat"/>
                <w:b/>
                <w:bCs/>
                <w:i/>
                <w:sz w:val="20"/>
                <w:szCs w:val="20"/>
              </w:rPr>
              <w:t>այդ թվում՝</w:t>
            </w:r>
          </w:p>
        </w:tc>
        <w:tc>
          <w:tcPr>
            <w:tcW w:w="1440" w:type="dxa"/>
            <w:shd w:val="clear" w:color="auto" w:fill="DBE5F1"/>
            <w:vAlign w:val="center"/>
          </w:tcPr>
          <w:p w14:paraId="2287FF4B"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308.7</w:t>
            </w:r>
          </w:p>
        </w:tc>
        <w:tc>
          <w:tcPr>
            <w:tcW w:w="1080" w:type="dxa"/>
            <w:shd w:val="clear" w:color="auto" w:fill="DBE5F1"/>
            <w:noWrap/>
            <w:vAlign w:val="center"/>
          </w:tcPr>
          <w:p w14:paraId="5659A135" w14:textId="2CA94322"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49.8</w:t>
            </w:r>
          </w:p>
        </w:tc>
        <w:tc>
          <w:tcPr>
            <w:tcW w:w="1170" w:type="dxa"/>
            <w:shd w:val="clear" w:color="auto" w:fill="DBE5F1"/>
            <w:noWrap/>
            <w:vAlign w:val="center"/>
          </w:tcPr>
          <w:p w14:paraId="478A5A9A"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121.9</w:t>
            </w:r>
          </w:p>
        </w:tc>
        <w:tc>
          <w:tcPr>
            <w:tcW w:w="1980" w:type="dxa"/>
            <w:shd w:val="clear" w:color="auto" w:fill="DBE5F1"/>
            <w:vAlign w:val="center"/>
          </w:tcPr>
          <w:p w14:paraId="21C29273"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10.3</w:t>
            </w:r>
          </w:p>
        </w:tc>
      </w:tr>
      <w:tr w:rsidR="001E3A3A" w:rsidRPr="00C921DE" w14:paraId="1968B3FD" w14:textId="77777777" w:rsidTr="000F4C56">
        <w:trPr>
          <w:trHeight w:val="270"/>
        </w:trPr>
        <w:tc>
          <w:tcPr>
            <w:tcW w:w="4518" w:type="dxa"/>
            <w:shd w:val="clear" w:color="auto" w:fill="auto"/>
            <w:noWrap/>
            <w:hideMark/>
          </w:tcPr>
          <w:p w14:paraId="7E9CC626" w14:textId="77777777" w:rsidR="001E3A3A" w:rsidRPr="00C921DE" w:rsidRDefault="001E3A3A" w:rsidP="001E3A3A">
            <w:pPr>
              <w:ind w:firstLineChars="45" w:firstLine="90"/>
              <w:jc w:val="center"/>
              <w:rPr>
                <w:rFonts w:ascii="GHEA Grapalat" w:eastAsia="Calibri" w:hAnsi="GHEA Grapalat"/>
                <w:b/>
                <w:bCs/>
                <w:i/>
                <w:iCs/>
                <w:sz w:val="20"/>
                <w:szCs w:val="20"/>
              </w:rPr>
            </w:pPr>
            <w:r w:rsidRPr="00C921DE">
              <w:rPr>
                <w:rFonts w:ascii="GHEA Grapalat" w:eastAsia="Calibri" w:hAnsi="GHEA Grapalat"/>
                <w:b/>
                <w:bCs/>
                <w:i/>
                <w:iCs/>
                <w:sz w:val="20"/>
                <w:szCs w:val="20"/>
              </w:rPr>
              <w:t xml:space="preserve"> օտարերկրյա ներդրողների</w:t>
            </w:r>
          </w:p>
        </w:tc>
        <w:tc>
          <w:tcPr>
            <w:tcW w:w="1440" w:type="dxa"/>
            <w:shd w:val="clear" w:color="auto" w:fill="auto"/>
            <w:vAlign w:val="center"/>
          </w:tcPr>
          <w:p w14:paraId="5F6A9E6F"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4.7</w:t>
            </w:r>
          </w:p>
        </w:tc>
        <w:tc>
          <w:tcPr>
            <w:tcW w:w="1080" w:type="dxa"/>
            <w:shd w:val="clear" w:color="auto" w:fill="auto"/>
            <w:noWrap/>
            <w:vAlign w:val="center"/>
          </w:tcPr>
          <w:p w14:paraId="184CE144" w14:textId="7481334F"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0.8</w:t>
            </w:r>
          </w:p>
        </w:tc>
        <w:tc>
          <w:tcPr>
            <w:tcW w:w="1170" w:type="dxa"/>
            <w:shd w:val="clear" w:color="auto" w:fill="auto"/>
            <w:noWrap/>
            <w:vAlign w:val="center"/>
          </w:tcPr>
          <w:p w14:paraId="586AB87B"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34.3</w:t>
            </w:r>
          </w:p>
        </w:tc>
        <w:tc>
          <w:tcPr>
            <w:tcW w:w="1980" w:type="dxa"/>
            <w:shd w:val="clear" w:color="auto" w:fill="auto"/>
            <w:vAlign w:val="center"/>
          </w:tcPr>
          <w:p w14:paraId="11342B2A"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-1.7</w:t>
            </w:r>
          </w:p>
        </w:tc>
      </w:tr>
      <w:tr w:rsidR="001E3A3A" w:rsidRPr="00C921DE" w14:paraId="34F21D7B" w14:textId="77777777" w:rsidTr="000F4C56">
        <w:trPr>
          <w:trHeight w:val="285"/>
        </w:trPr>
        <w:tc>
          <w:tcPr>
            <w:tcW w:w="4518" w:type="dxa"/>
            <w:shd w:val="clear" w:color="auto" w:fill="DBE5F1"/>
            <w:noWrap/>
            <w:hideMark/>
          </w:tcPr>
          <w:p w14:paraId="60CDC08F" w14:textId="77777777" w:rsidR="001E3A3A" w:rsidRPr="00C921DE" w:rsidRDefault="001E3A3A" w:rsidP="001E3A3A">
            <w:pPr>
              <w:ind w:firstLineChars="45" w:firstLine="90"/>
              <w:rPr>
                <w:rFonts w:ascii="GHEA Grapalat" w:eastAsia="Calibri" w:hAnsi="GHEA Grapalat"/>
                <w:b/>
                <w:bCs/>
                <w:sz w:val="20"/>
                <w:szCs w:val="20"/>
              </w:rPr>
            </w:pPr>
            <w:r w:rsidRPr="00C921DE">
              <w:rPr>
                <w:rFonts w:ascii="GHEA Grapalat" w:eastAsia="Calibri" w:hAnsi="GHEA Grapalat"/>
                <w:b/>
                <w:bCs/>
                <w:sz w:val="20"/>
                <w:szCs w:val="20"/>
              </w:rPr>
              <w:t>բնակչության միջոցների</w:t>
            </w:r>
          </w:p>
        </w:tc>
        <w:tc>
          <w:tcPr>
            <w:tcW w:w="1440" w:type="dxa"/>
            <w:shd w:val="clear" w:color="auto" w:fill="DBE5F1"/>
            <w:vAlign w:val="center"/>
          </w:tcPr>
          <w:p w14:paraId="50610B02"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107.5</w:t>
            </w:r>
          </w:p>
        </w:tc>
        <w:tc>
          <w:tcPr>
            <w:tcW w:w="1080" w:type="dxa"/>
            <w:shd w:val="clear" w:color="auto" w:fill="DBE5F1"/>
            <w:noWrap/>
            <w:vAlign w:val="center"/>
          </w:tcPr>
          <w:p w14:paraId="35F03C7F" w14:textId="1B9A543D"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17.3</w:t>
            </w:r>
          </w:p>
        </w:tc>
        <w:tc>
          <w:tcPr>
            <w:tcW w:w="1170" w:type="dxa"/>
            <w:shd w:val="clear" w:color="auto" w:fill="DBE5F1"/>
            <w:noWrap/>
            <w:vAlign w:val="center"/>
          </w:tcPr>
          <w:p w14:paraId="5C4D95C6"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105.2</w:t>
            </w:r>
          </w:p>
        </w:tc>
        <w:tc>
          <w:tcPr>
            <w:tcW w:w="1980" w:type="dxa"/>
            <w:shd w:val="clear" w:color="auto" w:fill="DBE5F1"/>
            <w:vAlign w:val="center"/>
          </w:tcPr>
          <w:p w14:paraId="2777AB44" w14:textId="77777777" w:rsidR="001E3A3A" w:rsidRPr="00C921DE" w:rsidRDefault="001E3A3A" w:rsidP="001E3A3A">
            <w:pPr>
              <w:jc w:val="center"/>
              <w:rPr>
                <w:rFonts w:ascii="GHEA Grapalat" w:eastAsia="Calibri" w:hAnsi="GHEA Grapalat"/>
                <w:bCs/>
                <w:sz w:val="20"/>
                <w:szCs w:val="20"/>
              </w:rPr>
            </w:pPr>
            <w:r w:rsidRPr="00C921DE">
              <w:rPr>
                <w:rFonts w:ascii="GHEA Grapalat" w:hAnsi="GHEA Grapalat"/>
                <w:sz w:val="20"/>
              </w:rPr>
              <w:t>1.0</w:t>
            </w:r>
          </w:p>
        </w:tc>
      </w:tr>
    </w:tbl>
    <w:p w14:paraId="4761BFFD" w14:textId="77777777" w:rsidR="000F4C56" w:rsidRPr="00C921DE" w:rsidRDefault="000F4C56" w:rsidP="000F4C56">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18"/>
        <w:gridCol w:w="1440"/>
        <w:gridCol w:w="1080"/>
        <w:gridCol w:w="1170"/>
        <w:gridCol w:w="1980"/>
      </w:tblGrid>
      <w:tr w:rsidR="000F4C56" w:rsidRPr="00C921DE" w14:paraId="014AA765" w14:textId="77777777" w:rsidTr="000F4C56">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14:paraId="0C0F319E" w14:textId="77777777" w:rsidR="000F4C56" w:rsidRPr="00C921DE" w:rsidRDefault="000F4C56" w:rsidP="000F4C56">
            <w:pPr>
              <w:ind w:firstLineChars="400" w:firstLine="800"/>
              <w:rPr>
                <w:rFonts w:ascii="GHEA Grapalat" w:eastAsia="Calibri" w:hAnsi="GHEA Grapalat"/>
                <w:b/>
                <w:bCs/>
                <w:color w:val="FFFFFF"/>
                <w:sz w:val="20"/>
                <w:szCs w:val="20"/>
              </w:rPr>
            </w:pPr>
            <w:r w:rsidRPr="00C921DE">
              <w:rPr>
                <w:rFonts w:ascii="Calibri" w:eastAsia="Calibri" w:hAnsi="Calibri" w:cs="Calibri"/>
                <w:b/>
                <w:bCs/>
                <w:color w:val="FFFFFF"/>
                <w:sz w:val="20"/>
                <w:szCs w:val="20"/>
              </w:rPr>
              <w:t> </w:t>
            </w:r>
          </w:p>
        </w:tc>
        <w:tc>
          <w:tcPr>
            <w:tcW w:w="1440" w:type="dxa"/>
            <w:tcBorders>
              <w:top w:val="single" w:sz="4" w:space="0" w:color="4F81BD"/>
              <w:left w:val="nil"/>
              <w:bottom w:val="single" w:sz="4" w:space="0" w:color="4F81BD"/>
              <w:right w:val="nil"/>
            </w:tcBorders>
            <w:shd w:val="clear" w:color="auto" w:fill="4F81BD"/>
            <w:hideMark/>
          </w:tcPr>
          <w:p w14:paraId="3DEF32AC" w14:textId="77777777" w:rsidR="000F4C56" w:rsidRPr="00C921DE" w:rsidRDefault="000F4C56" w:rsidP="000F4C56">
            <w:pPr>
              <w:jc w:val="center"/>
              <w:rPr>
                <w:rFonts w:ascii="GHEA Grapalat" w:eastAsia="Calibri" w:hAnsi="GHEA Grapalat"/>
                <w:b/>
                <w:bCs/>
                <w:color w:val="FFFFFF"/>
                <w:sz w:val="20"/>
                <w:szCs w:val="20"/>
                <w:lang w:val="en-US"/>
              </w:rPr>
            </w:pPr>
            <w:r w:rsidRPr="00C921DE">
              <w:rPr>
                <w:rFonts w:ascii="GHEA Grapalat" w:eastAsia="Calibri" w:hAnsi="GHEA Grapalat"/>
                <w:b/>
                <w:bCs/>
                <w:color w:val="FFFFFF"/>
                <w:sz w:val="20"/>
                <w:szCs w:val="20"/>
              </w:rPr>
              <w:t>Արժեք</w:t>
            </w:r>
          </w:p>
          <w:p w14:paraId="1C77B3C6"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(մլրդ դրամ)</w:t>
            </w:r>
          </w:p>
        </w:tc>
        <w:tc>
          <w:tcPr>
            <w:tcW w:w="1080" w:type="dxa"/>
            <w:tcBorders>
              <w:top w:val="single" w:sz="4" w:space="0" w:color="4F81BD"/>
              <w:left w:val="nil"/>
              <w:bottom w:val="single" w:sz="4" w:space="0" w:color="4F81BD"/>
              <w:right w:val="nil"/>
            </w:tcBorders>
            <w:shd w:val="clear" w:color="auto" w:fill="4F81BD"/>
            <w:hideMark/>
          </w:tcPr>
          <w:p w14:paraId="37386AC1"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Կշիռը (%)</w:t>
            </w:r>
          </w:p>
        </w:tc>
        <w:tc>
          <w:tcPr>
            <w:tcW w:w="1170" w:type="dxa"/>
            <w:tcBorders>
              <w:top w:val="single" w:sz="4" w:space="0" w:color="4F81BD"/>
              <w:left w:val="nil"/>
              <w:bottom w:val="single" w:sz="4" w:space="0" w:color="4F81BD"/>
              <w:right w:val="nil"/>
            </w:tcBorders>
            <w:shd w:val="clear" w:color="auto" w:fill="4F81BD"/>
            <w:hideMark/>
          </w:tcPr>
          <w:p w14:paraId="0A642DF5"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14:paraId="4043BA30"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Նպաստում (տոկոսային կետ)</w:t>
            </w:r>
          </w:p>
        </w:tc>
      </w:tr>
      <w:tr w:rsidR="000F4C56" w:rsidRPr="00C921DE" w14:paraId="0F1FB51B" w14:textId="77777777" w:rsidTr="000F4C56">
        <w:trPr>
          <w:trHeight w:val="285"/>
        </w:trPr>
        <w:tc>
          <w:tcPr>
            <w:tcW w:w="4518" w:type="dxa"/>
            <w:shd w:val="clear" w:color="auto" w:fill="DBE5F1"/>
            <w:noWrap/>
            <w:hideMark/>
          </w:tcPr>
          <w:p w14:paraId="28048D02"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Առևտուր</w:t>
            </w:r>
          </w:p>
        </w:tc>
        <w:tc>
          <w:tcPr>
            <w:tcW w:w="1440" w:type="dxa"/>
            <w:shd w:val="clear" w:color="auto" w:fill="DBE5F1"/>
            <w:vAlign w:val="center"/>
          </w:tcPr>
          <w:p w14:paraId="51A24BDC"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5492.4</w:t>
            </w:r>
          </w:p>
        </w:tc>
        <w:tc>
          <w:tcPr>
            <w:tcW w:w="1080" w:type="dxa"/>
            <w:shd w:val="clear" w:color="auto" w:fill="DBE5F1"/>
            <w:noWrap/>
            <w:vAlign w:val="center"/>
          </w:tcPr>
          <w:p w14:paraId="5A451CDC"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100.0</w:t>
            </w:r>
          </w:p>
        </w:tc>
        <w:tc>
          <w:tcPr>
            <w:tcW w:w="1170" w:type="dxa"/>
            <w:shd w:val="clear" w:color="auto" w:fill="DBE5F1"/>
            <w:noWrap/>
            <w:vAlign w:val="center"/>
          </w:tcPr>
          <w:p w14:paraId="287115AA"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125.7</w:t>
            </w:r>
          </w:p>
        </w:tc>
        <w:tc>
          <w:tcPr>
            <w:tcW w:w="1980" w:type="dxa"/>
            <w:shd w:val="clear" w:color="auto" w:fill="DBE5F1"/>
            <w:vAlign w:val="center"/>
          </w:tcPr>
          <w:p w14:paraId="1558EA42"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25.7</w:t>
            </w:r>
          </w:p>
        </w:tc>
      </w:tr>
      <w:tr w:rsidR="000F4C56" w:rsidRPr="00C921DE" w14:paraId="64C43D91" w14:textId="77777777" w:rsidTr="000F4C56">
        <w:trPr>
          <w:trHeight w:val="285"/>
        </w:trPr>
        <w:tc>
          <w:tcPr>
            <w:tcW w:w="4518" w:type="dxa"/>
            <w:shd w:val="clear" w:color="auto" w:fill="auto"/>
            <w:noWrap/>
            <w:hideMark/>
          </w:tcPr>
          <w:p w14:paraId="4E737917" w14:textId="77777777" w:rsidR="000F4C56" w:rsidRPr="00C921DE" w:rsidRDefault="000F4C56" w:rsidP="000F4C56">
            <w:pPr>
              <w:jc w:val="right"/>
              <w:rPr>
                <w:rFonts w:ascii="GHEA Grapalat" w:eastAsia="Calibri" w:hAnsi="GHEA Grapalat"/>
                <w:b/>
                <w:bCs/>
                <w:sz w:val="20"/>
                <w:szCs w:val="20"/>
              </w:rPr>
            </w:pPr>
            <w:r w:rsidRPr="00C921DE">
              <w:rPr>
                <w:rFonts w:ascii="Calibri" w:eastAsia="Calibri" w:hAnsi="Calibri" w:cs="Calibri"/>
                <w:b/>
                <w:bCs/>
                <w:sz w:val="20"/>
                <w:szCs w:val="20"/>
              </w:rPr>
              <w:t> </w:t>
            </w:r>
            <w:r w:rsidRPr="00C921DE">
              <w:rPr>
                <w:rFonts w:ascii="GHEA Grapalat" w:eastAsia="Calibri" w:hAnsi="GHEA Grapalat"/>
                <w:b/>
                <w:bCs/>
                <w:i/>
                <w:iCs/>
                <w:sz w:val="20"/>
                <w:szCs w:val="20"/>
              </w:rPr>
              <w:t>այդ թվում`</w:t>
            </w:r>
          </w:p>
        </w:tc>
        <w:tc>
          <w:tcPr>
            <w:tcW w:w="1440" w:type="dxa"/>
            <w:shd w:val="clear" w:color="auto" w:fill="auto"/>
            <w:vAlign w:val="center"/>
          </w:tcPr>
          <w:p w14:paraId="3EF94E9B" w14:textId="77777777" w:rsidR="000F4C56" w:rsidRPr="00C921DE" w:rsidRDefault="000F4C56" w:rsidP="000F4C56">
            <w:pPr>
              <w:jc w:val="center"/>
              <w:rPr>
                <w:rFonts w:ascii="GHEA Grapalat" w:eastAsia="Calibri" w:hAnsi="GHEA Grapalat"/>
                <w:b/>
                <w:sz w:val="20"/>
                <w:szCs w:val="20"/>
              </w:rPr>
            </w:pPr>
          </w:p>
        </w:tc>
        <w:tc>
          <w:tcPr>
            <w:tcW w:w="1080" w:type="dxa"/>
            <w:shd w:val="clear" w:color="auto" w:fill="auto"/>
            <w:noWrap/>
            <w:vAlign w:val="center"/>
          </w:tcPr>
          <w:p w14:paraId="7D4975AF" w14:textId="77777777" w:rsidR="000F4C56" w:rsidRPr="00C921DE" w:rsidRDefault="000F4C56" w:rsidP="000F4C56">
            <w:pPr>
              <w:jc w:val="center"/>
              <w:rPr>
                <w:rFonts w:ascii="GHEA Grapalat" w:eastAsia="Calibri" w:hAnsi="GHEA Grapalat"/>
                <w:b/>
                <w:sz w:val="20"/>
                <w:szCs w:val="20"/>
              </w:rPr>
            </w:pPr>
          </w:p>
        </w:tc>
        <w:tc>
          <w:tcPr>
            <w:tcW w:w="1170" w:type="dxa"/>
            <w:shd w:val="clear" w:color="auto" w:fill="auto"/>
            <w:noWrap/>
            <w:vAlign w:val="center"/>
          </w:tcPr>
          <w:p w14:paraId="0634B190" w14:textId="77777777" w:rsidR="000F4C56" w:rsidRPr="00C921DE" w:rsidRDefault="000F4C56" w:rsidP="000F4C56">
            <w:pPr>
              <w:jc w:val="center"/>
              <w:rPr>
                <w:rFonts w:ascii="GHEA Grapalat" w:eastAsia="Calibri" w:hAnsi="GHEA Grapalat"/>
                <w:b/>
                <w:sz w:val="20"/>
                <w:szCs w:val="20"/>
              </w:rPr>
            </w:pPr>
          </w:p>
        </w:tc>
        <w:tc>
          <w:tcPr>
            <w:tcW w:w="1980" w:type="dxa"/>
            <w:shd w:val="clear" w:color="auto" w:fill="auto"/>
            <w:vAlign w:val="center"/>
          </w:tcPr>
          <w:p w14:paraId="2E8CA5E0" w14:textId="77777777" w:rsidR="000F4C56" w:rsidRPr="00C921DE" w:rsidRDefault="000F4C56" w:rsidP="000F4C56">
            <w:pPr>
              <w:jc w:val="center"/>
              <w:rPr>
                <w:rFonts w:ascii="GHEA Grapalat" w:eastAsia="Calibri" w:hAnsi="GHEA Grapalat"/>
                <w:b/>
                <w:sz w:val="20"/>
                <w:szCs w:val="20"/>
              </w:rPr>
            </w:pPr>
          </w:p>
        </w:tc>
      </w:tr>
      <w:tr w:rsidR="001E3A3A" w:rsidRPr="00C921DE" w14:paraId="2658BA72" w14:textId="77777777" w:rsidTr="000F4C56">
        <w:trPr>
          <w:trHeight w:val="270"/>
        </w:trPr>
        <w:tc>
          <w:tcPr>
            <w:tcW w:w="4518" w:type="dxa"/>
            <w:shd w:val="clear" w:color="auto" w:fill="DBE5F1"/>
            <w:noWrap/>
            <w:hideMark/>
          </w:tcPr>
          <w:p w14:paraId="577AD08C" w14:textId="77777777" w:rsidR="001E3A3A" w:rsidRPr="00C921DE" w:rsidRDefault="001E3A3A" w:rsidP="001E3A3A">
            <w:pPr>
              <w:ind w:firstLineChars="200" w:firstLine="400"/>
              <w:rPr>
                <w:rFonts w:ascii="GHEA Grapalat" w:eastAsia="Calibri" w:hAnsi="GHEA Grapalat"/>
                <w:b/>
                <w:bCs/>
                <w:sz w:val="20"/>
                <w:szCs w:val="20"/>
              </w:rPr>
            </w:pPr>
            <w:r w:rsidRPr="00C921DE">
              <w:rPr>
                <w:rFonts w:ascii="GHEA Grapalat" w:eastAsia="Calibri" w:hAnsi="GHEA Grapalat"/>
                <w:b/>
                <w:bCs/>
                <w:sz w:val="20"/>
                <w:szCs w:val="20"/>
              </w:rPr>
              <w:t>մանրածախ առևտուր</w:t>
            </w:r>
          </w:p>
        </w:tc>
        <w:tc>
          <w:tcPr>
            <w:tcW w:w="1440" w:type="dxa"/>
            <w:shd w:val="clear" w:color="auto" w:fill="DBE5F1"/>
            <w:vAlign w:val="center"/>
          </w:tcPr>
          <w:p w14:paraId="1D9F61C7"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1811.4</w:t>
            </w:r>
          </w:p>
        </w:tc>
        <w:tc>
          <w:tcPr>
            <w:tcW w:w="1080" w:type="dxa"/>
            <w:shd w:val="clear" w:color="auto" w:fill="DBE5F1"/>
            <w:noWrap/>
            <w:vAlign w:val="center"/>
          </w:tcPr>
          <w:p w14:paraId="0676DDBF" w14:textId="0A9E696D"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33.0</w:t>
            </w:r>
          </w:p>
        </w:tc>
        <w:tc>
          <w:tcPr>
            <w:tcW w:w="1170" w:type="dxa"/>
            <w:shd w:val="clear" w:color="auto" w:fill="DBE5F1"/>
            <w:noWrap/>
            <w:vAlign w:val="center"/>
          </w:tcPr>
          <w:p w14:paraId="1925A2AF"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111.1</w:t>
            </w:r>
          </w:p>
        </w:tc>
        <w:tc>
          <w:tcPr>
            <w:tcW w:w="1980" w:type="dxa"/>
            <w:shd w:val="clear" w:color="auto" w:fill="DBE5F1"/>
            <w:vAlign w:val="center"/>
          </w:tcPr>
          <w:p w14:paraId="53DED330"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4.2</w:t>
            </w:r>
          </w:p>
        </w:tc>
      </w:tr>
      <w:tr w:rsidR="001E3A3A" w:rsidRPr="00C921DE" w14:paraId="160EF205" w14:textId="77777777" w:rsidTr="000F4C56">
        <w:trPr>
          <w:trHeight w:val="270"/>
        </w:trPr>
        <w:tc>
          <w:tcPr>
            <w:tcW w:w="4518" w:type="dxa"/>
            <w:shd w:val="clear" w:color="auto" w:fill="auto"/>
            <w:noWrap/>
            <w:hideMark/>
          </w:tcPr>
          <w:p w14:paraId="34F5715F" w14:textId="77777777" w:rsidR="001E3A3A" w:rsidRPr="00C921DE" w:rsidRDefault="001E3A3A" w:rsidP="001E3A3A">
            <w:pPr>
              <w:ind w:firstLineChars="200" w:firstLine="400"/>
              <w:rPr>
                <w:rFonts w:ascii="GHEA Grapalat" w:eastAsia="Calibri" w:hAnsi="GHEA Grapalat"/>
                <w:b/>
                <w:bCs/>
                <w:sz w:val="20"/>
                <w:szCs w:val="20"/>
              </w:rPr>
            </w:pPr>
            <w:r w:rsidRPr="00C921DE">
              <w:rPr>
                <w:rFonts w:ascii="GHEA Grapalat" w:eastAsia="Calibri" w:hAnsi="GHEA Grapalat"/>
                <w:b/>
                <w:bCs/>
                <w:sz w:val="20"/>
                <w:szCs w:val="20"/>
              </w:rPr>
              <w:t>մեծածախ առևտուր</w:t>
            </w:r>
          </w:p>
        </w:tc>
        <w:tc>
          <w:tcPr>
            <w:tcW w:w="1440" w:type="dxa"/>
            <w:shd w:val="clear" w:color="auto" w:fill="auto"/>
            <w:vAlign w:val="center"/>
          </w:tcPr>
          <w:p w14:paraId="470B07B4"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3421.4</w:t>
            </w:r>
          </w:p>
        </w:tc>
        <w:tc>
          <w:tcPr>
            <w:tcW w:w="1080" w:type="dxa"/>
            <w:shd w:val="clear" w:color="auto" w:fill="auto"/>
            <w:noWrap/>
            <w:vAlign w:val="center"/>
          </w:tcPr>
          <w:p w14:paraId="0D335518" w14:textId="7A3F3616"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62.3</w:t>
            </w:r>
          </w:p>
        </w:tc>
        <w:tc>
          <w:tcPr>
            <w:tcW w:w="1170" w:type="dxa"/>
            <w:shd w:val="clear" w:color="auto" w:fill="auto"/>
            <w:noWrap/>
            <w:vAlign w:val="center"/>
          </w:tcPr>
          <w:p w14:paraId="05541EE3"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134.4</w:t>
            </w:r>
          </w:p>
        </w:tc>
        <w:tc>
          <w:tcPr>
            <w:tcW w:w="1980" w:type="dxa"/>
            <w:shd w:val="clear" w:color="auto" w:fill="auto"/>
            <w:vAlign w:val="center"/>
          </w:tcPr>
          <w:p w14:paraId="0731A18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20.0</w:t>
            </w:r>
          </w:p>
        </w:tc>
      </w:tr>
      <w:tr w:rsidR="001E3A3A" w:rsidRPr="00C921DE" w14:paraId="6530047C" w14:textId="77777777" w:rsidTr="000F4C56">
        <w:trPr>
          <w:trHeight w:val="285"/>
        </w:trPr>
        <w:tc>
          <w:tcPr>
            <w:tcW w:w="4518" w:type="dxa"/>
            <w:shd w:val="clear" w:color="auto" w:fill="DBE5F1"/>
            <w:noWrap/>
            <w:hideMark/>
          </w:tcPr>
          <w:p w14:paraId="566756D9" w14:textId="77777777" w:rsidR="001E3A3A" w:rsidRPr="00C921DE" w:rsidRDefault="001E3A3A" w:rsidP="001E3A3A">
            <w:pPr>
              <w:ind w:firstLineChars="200" w:firstLine="400"/>
              <w:rPr>
                <w:rFonts w:ascii="GHEA Grapalat" w:eastAsia="Calibri" w:hAnsi="GHEA Grapalat"/>
                <w:b/>
                <w:bCs/>
                <w:sz w:val="20"/>
                <w:szCs w:val="20"/>
              </w:rPr>
            </w:pPr>
            <w:r w:rsidRPr="00C921DE">
              <w:rPr>
                <w:rFonts w:ascii="GHEA Grapalat" w:eastAsia="Calibri" w:hAnsi="GHEA Grapalat"/>
                <w:b/>
                <w:bCs/>
                <w:sz w:val="20"/>
                <w:szCs w:val="20"/>
              </w:rPr>
              <w:lastRenderedPageBreak/>
              <w:t>ավտոմեքենաների առևտուր</w:t>
            </w:r>
          </w:p>
        </w:tc>
        <w:tc>
          <w:tcPr>
            <w:tcW w:w="1440" w:type="dxa"/>
            <w:shd w:val="clear" w:color="auto" w:fill="DBE5F1"/>
            <w:vAlign w:val="center"/>
          </w:tcPr>
          <w:p w14:paraId="557BA30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259.6</w:t>
            </w:r>
          </w:p>
        </w:tc>
        <w:tc>
          <w:tcPr>
            <w:tcW w:w="1080" w:type="dxa"/>
            <w:shd w:val="clear" w:color="auto" w:fill="DBE5F1"/>
            <w:noWrap/>
            <w:vAlign w:val="center"/>
          </w:tcPr>
          <w:p w14:paraId="032A992B" w14:textId="660AF2BC"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4.7</w:t>
            </w:r>
          </w:p>
        </w:tc>
        <w:tc>
          <w:tcPr>
            <w:tcW w:w="1170" w:type="dxa"/>
            <w:shd w:val="clear" w:color="auto" w:fill="DBE5F1"/>
            <w:vAlign w:val="center"/>
          </w:tcPr>
          <w:p w14:paraId="1442B4A1"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135.8</w:t>
            </w:r>
          </w:p>
        </w:tc>
        <w:tc>
          <w:tcPr>
            <w:tcW w:w="1980" w:type="dxa"/>
            <w:shd w:val="clear" w:color="auto" w:fill="DBE5F1"/>
            <w:vAlign w:val="center"/>
          </w:tcPr>
          <w:p w14:paraId="5E184C32"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1.5</w:t>
            </w:r>
          </w:p>
        </w:tc>
      </w:tr>
    </w:tbl>
    <w:p w14:paraId="7E28FF94" w14:textId="77777777" w:rsidR="000F4C56" w:rsidRPr="00C921DE" w:rsidRDefault="000F4C56" w:rsidP="000F4C56">
      <w:pPr>
        <w:rPr>
          <w:rFonts w:ascii="GHEA Grapalat" w:hAnsi="GHEA Grapalat"/>
          <w:b/>
          <w:sz w:val="20"/>
          <w:szCs w:val="20"/>
        </w:rPr>
      </w:pPr>
    </w:p>
    <w:tbl>
      <w:tblPr>
        <w:tblW w:w="10188"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518"/>
        <w:gridCol w:w="1440"/>
        <w:gridCol w:w="1080"/>
        <w:gridCol w:w="1170"/>
        <w:gridCol w:w="1980"/>
      </w:tblGrid>
      <w:tr w:rsidR="000F4C56" w:rsidRPr="00C921DE" w14:paraId="32A8E67C" w14:textId="77777777" w:rsidTr="000F4C56">
        <w:trPr>
          <w:trHeight w:val="570"/>
        </w:trPr>
        <w:tc>
          <w:tcPr>
            <w:tcW w:w="4518" w:type="dxa"/>
            <w:tcBorders>
              <w:top w:val="single" w:sz="4" w:space="0" w:color="4F81BD"/>
              <w:left w:val="single" w:sz="4" w:space="0" w:color="4F81BD"/>
              <w:bottom w:val="single" w:sz="4" w:space="0" w:color="4F81BD"/>
              <w:right w:val="nil"/>
            </w:tcBorders>
            <w:shd w:val="clear" w:color="auto" w:fill="4F81BD"/>
            <w:noWrap/>
            <w:hideMark/>
          </w:tcPr>
          <w:p w14:paraId="05E1DE9C" w14:textId="77777777" w:rsidR="000F4C56" w:rsidRPr="00C921DE" w:rsidRDefault="000F4C56" w:rsidP="000F4C56">
            <w:pPr>
              <w:rPr>
                <w:rFonts w:ascii="GHEA Grapalat" w:eastAsia="Calibri" w:hAnsi="GHEA Grapalat"/>
                <w:b/>
                <w:bCs/>
                <w:color w:val="FFFFFF"/>
                <w:sz w:val="20"/>
                <w:szCs w:val="20"/>
              </w:rPr>
            </w:pPr>
            <w:r w:rsidRPr="00C921DE">
              <w:rPr>
                <w:rFonts w:ascii="Calibri" w:eastAsia="Calibri" w:hAnsi="Calibri" w:cs="Calibri"/>
                <w:b/>
                <w:bCs/>
                <w:color w:val="FFFFFF"/>
                <w:sz w:val="20"/>
                <w:szCs w:val="20"/>
              </w:rPr>
              <w:t> </w:t>
            </w:r>
          </w:p>
        </w:tc>
        <w:tc>
          <w:tcPr>
            <w:tcW w:w="1440" w:type="dxa"/>
            <w:tcBorders>
              <w:top w:val="single" w:sz="4" w:space="0" w:color="4F81BD"/>
              <w:left w:val="nil"/>
              <w:bottom w:val="single" w:sz="4" w:space="0" w:color="4F81BD"/>
              <w:right w:val="nil"/>
            </w:tcBorders>
            <w:shd w:val="clear" w:color="auto" w:fill="4F81BD"/>
            <w:hideMark/>
          </w:tcPr>
          <w:p w14:paraId="4525B44E" w14:textId="77777777" w:rsidR="000F4C56" w:rsidRPr="00C921DE" w:rsidRDefault="000F4C56" w:rsidP="000F4C56">
            <w:pPr>
              <w:jc w:val="center"/>
              <w:rPr>
                <w:rFonts w:ascii="GHEA Grapalat" w:eastAsia="Calibri" w:hAnsi="GHEA Grapalat"/>
                <w:b/>
                <w:bCs/>
                <w:color w:val="FFFFFF"/>
                <w:sz w:val="20"/>
                <w:szCs w:val="20"/>
                <w:lang w:val="en-US"/>
              </w:rPr>
            </w:pPr>
            <w:r w:rsidRPr="00C921DE">
              <w:rPr>
                <w:rFonts w:ascii="GHEA Grapalat" w:eastAsia="Calibri" w:hAnsi="GHEA Grapalat"/>
                <w:b/>
                <w:bCs/>
                <w:color w:val="FFFFFF"/>
                <w:sz w:val="20"/>
                <w:szCs w:val="20"/>
              </w:rPr>
              <w:t>Արժեք</w:t>
            </w:r>
          </w:p>
          <w:p w14:paraId="5282DF90"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(մլրդ դրամ)</w:t>
            </w:r>
          </w:p>
        </w:tc>
        <w:tc>
          <w:tcPr>
            <w:tcW w:w="1080" w:type="dxa"/>
            <w:tcBorders>
              <w:top w:val="single" w:sz="4" w:space="0" w:color="4F81BD"/>
              <w:left w:val="nil"/>
              <w:bottom w:val="single" w:sz="4" w:space="0" w:color="4F81BD"/>
              <w:right w:val="nil"/>
            </w:tcBorders>
            <w:shd w:val="clear" w:color="auto" w:fill="4F81BD"/>
            <w:hideMark/>
          </w:tcPr>
          <w:p w14:paraId="01C77F3E"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Կշիռը (%)</w:t>
            </w:r>
          </w:p>
        </w:tc>
        <w:tc>
          <w:tcPr>
            <w:tcW w:w="1170" w:type="dxa"/>
            <w:tcBorders>
              <w:top w:val="single" w:sz="4" w:space="0" w:color="4F81BD"/>
              <w:left w:val="nil"/>
              <w:bottom w:val="single" w:sz="4" w:space="0" w:color="4F81BD"/>
              <w:right w:val="nil"/>
            </w:tcBorders>
            <w:shd w:val="clear" w:color="auto" w:fill="4F81BD"/>
            <w:hideMark/>
          </w:tcPr>
          <w:p w14:paraId="5D691E86"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Աճի ինդեքս</w:t>
            </w:r>
          </w:p>
        </w:tc>
        <w:tc>
          <w:tcPr>
            <w:tcW w:w="1980" w:type="dxa"/>
            <w:tcBorders>
              <w:top w:val="single" w:sz="4" w:space="0" w:color="4F81BD"/>
              <w:left w:val="nil"/>
              <w:bottom w:val="single" w:sz="4" w:space="0" w:color="4F81BD"/>
              <w:right w:val="single" w:sz="4" w:space="0" w:color="4F81BD"/>
            </w:tcBorders>
            <w:shd w:val="clear" w:color="auto" w:fill="4F81BD"/>
            <w:hideMark/>
          </w:tcPr>
          <w:p w14:paraId="24C4F2F2"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Նպաստում (տոկոսային կետ)</w:t>
            </w:r>
          </w:p>
        </w:tc>
      </w:tr>
      <w:tr w:rsidR="000F4C56" w:rsidRPr="00C921DE" w14:paraId="4FE955AA" w14:textId="77777777" w:rsidTr="000F4C56">
        <w:trPr>
          <w:trHeight w:val="285"/>
        </w:trPr>
        <w:tc>
          <w:tcPr>
            <w:tcW w:w="4518" w:type="dxa"/>
            <w:shd w:val="clear" w:color="auto" w:fill="DBE5F1"/>
            <w:noWrap/>
            <w:hideMark/>
          </w:tcPr>
          <w:p w14:paraId="149F0235"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Ծառայություններ</w:t>
            </w:r>
          </w:p>
        </w:tc>
        <w:tc>
          <w:tcPr>
            <w:tcW w:w="1440" w:type="dxa"/>
            <w:shd w:val="clear" w:color="auto" w:fill="DBE5F1"/>
            <w:noWrap/>
            <w:vAlign w:val="center"/>
          </w:tcPr>
          <w:p w14:paraId="332478F5"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3025.9</w:t>
            </w:r>
          </w:p>
        </w:tc>
        <w:tc>
          <w:tcPr>
            <w:tcW w:w="1080" w:type="dxa"/>
            <w:shd w:val="clear" w:color="auto" w:fill="DBE5F1"/>
            <w:noWrap/>
            <w:vAlign w:val="center"/>
          </w:tcPr>
          <w:p w14:paraId="19411058"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100.0</w:t>
            </w:r>
          </w:p>
        </w:tc>
        <w:tc>
          <w:tcPr>
            <w:tcW w:w="1170" w:type="dxa"/>
            <w:shd w:val="clear" w:color="auto" w:fill="DBE5F1"/>
            <w:noWrap/>
            <w:vAlign w:val="center"/>
          </w:tcPr>
          <w:p w14:paraId="701CC26D"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110.3</w:t>
            </w:r>
          </w:p>
        </w:tc>
        <w:tc>
          <w:tcPr>
            <w:tcW w:w="1980" w:type="dxa"/>
            <w:shd w:val="clear" w:color="auto" w:fill="DBE5F1"/>
            <w:vAlign w:val="center"/>
          </w:tcPr>
          <w:p w14:paraId="1A5BD439" w14:textId="77777777" w:rsidR="000F4C56" w:rsidRPr="00C921DE" w:rsidRDefault="000F4C56" w:rsidP="000F4C56">
            <w:pPr>
              <w:jc w:val="center"/>
              <w:rPr>
                <w:rFonts w:ascii="GHEA Grapalat" w:eastAsia="Calibri" w:hAnsi="GHEA Grapalat"/>
                <w:b/>
                <w:sz w:val="20"/>
                <w:szCs w:val="20"/>
              </w:rPr>
            </w:pPr>
            <w:r w:rsidRPr="00C921DE">
              <w:rPr>
                <w:rFonts w:ascii="GHEA Grapalat" w:hAnsi="GHEA Grapalat"/>
                <w:b/>
                <w:sz w:val="20"/>
              </w:rPr>
              <w:t>10.3</w:t>
            </w:r>
          </w:p>
        </w:tc>
      </w:tr>
      <w:tr w:rsidR="000F4C56" w:rsidRPr="00C921DE" w14:paraId="56DED6FE" w14:textId="77777777" w:rsidTr="000F4C56">
        <w:trPr>
          <w:trHeight w:val="285"/>
        </w:trPr>
        <w:tc>
          <w:tcPr>
            <w:tcW w:w="4518" w:type="dxa"/>
            <w:shd w:val="clear" w:color="auto" w:fill="auto"/>
            <w:noWrap/>
            <w:hideMark/>
          </w:tcPr>
          <w:p w14:paraId="4588351F" w14:textId="77777777" w:rsidR="000F4C56" w:rsidRPr="00C921DE" w:rsidRDefault="000F4C56" w:rsidP="000F4C56">
            <w:pPr>
              <w:jc w:val="right"/>
              <w:rPr>
                <w:rFonts w:ascii="GHEA Grapalat" w:eastAsia="Calibri" w:hAnsi="GHEA Grapalat"/>
                <w:b/>
                <w:bCs/>
                <w:sz w:val="20"/>
                <w:szCs w:val="20"/>
              </w:rPr>
            </w:pPr>
            <w:r w:rsidRPr="00C921DE">
              <w:rPr>
                <w:rFonts w:ascii="Calibri" w:eastAsia="Calibri" w:hAnsi="Calibri" w:cs="Calibri"/>
                <w:b/>
                <w:bCs/>
                <w:sz w:val="20"/>
                <w:szCs w:val="20"/>
              </w:rPr>
              <w:t> </w:t>
            </w:r>
            <w:r w:rsidRPr="00C921DE">
              <w:rPr>
                <w:rFonts w:ascii="GHEA Grapalat" w:eastAsia="Calibri" w:hAnsi="GHEA Grapalat"/>
                <w:b/>
                <w:bCs/>
                <w:i/>
                <w:iCs/>
                <w:sz w:val="20"/>
                <w:szCs w:val="20"/>
              </w:rPr>
              <w:t>այդ թվում`</w:t>
            </w:r>
          </w:p>
        </w:tc>
        <w:tc>
          <w:tcPr>
            <w:tcW w:w="1440" w:type="dxa"/>
            <w:shd w:val="clear" w:color="auto" w:fill="auto"/>
            <w:noWrap/>
            <w:vAlign w:val="center"/>
          </w:tcPr>
          <w:p w14:paraId="156AC25A" w14:textId="77777777" w:rsidR="000F4C56" w:rsidRPr="00C921DE" w:rsidRDefault="000F4C56" w:rsidP="000F4C56">
            <w:pPr>
              <w:jc w:val="center"/>
              <w:rPr>
                <w:rFonts w:ascii="GHEA Grapalat" w:eastAsia="Calibri" w:hAnsi="GHEA Grapalat"/>
                <w:b/>
                <w:sz w:val="20"/>
                <w:szCs w:val="20"/>
              </w:rPr>
            </w:pPr>
          </w:p>
        </w:tc>
        <w:tc>
          <w:tcPr>
            <w:tcW w:w="1080" w:type="dxa"/>
            <w:shd w:val="clear" w:color="auto" w:fill="auto"/>
            <w:noWrap/>
            <w:vAlign w:val="center"/>
          </w:tcPr>
          <w:p w14:paraId="3BAEB33D" w14:textId="77777777" w:rsidR="000F4C56" w:rsidRPr="00C921DE" w:rsidRDefault="000F4C56" w:rsidP="000F4C56">
            <w:pPr>
              <w:jc w:val="center"/>
              <w:rPr>
                <w:rFonts w:ascii="GHEA Grapalat" w:eastAsia="Calibri" w:hAnsi="GHEA Grapalat"/>
                <w:b/>
                <w:sz w:val="20"/>
                <w:szCs w:val="20"/>
              </w:rPr>
            </w:pPr>
          </w:p>
        </w:tc>
        <w:tc>
          <w:tcPr>
            <w:tcW w:w="1170" w:type="dxa"/>
            <w:shd w:val="clear" w:color="auto" w:fill="auto"/>
            <w:noWrap/>
            <w:vAlign w:val="center"/>
          </w:tcPr>
          <w:p w14:paraId="381EFC02" w14:textId="77777777" w:rsidR="000F4C56" w:rsidRPr="00C921DE" w:rsidRDefault="000F4C56" w:rsidP="000F4C56">
            <w:pPr>
              <w:jc w:val="center"/>
              <w:rPr>
                <w:rFonts w:ascii="GHEA Grapalat" w:eastAsia="Calibri" w:hAnsi="GHEA Grapalat"/>
                <w:b/>
                <w:sz w:val="20"/>
                <w:szCs w:val="20"/>
              </w:rPr>
            </w:pPr>
          </w:p>
        </w:tc>
        <w:tc>
          <w:tcPr>
            <w:tcW w:w="1980" w:type="dxa"/>
            <w:shd w:val="clear" w:color="auto" w:fill="auto"/>
            <w:vAlign w:val="center"/>
          </w:tcPr>
          <w:p w14:paraId="17B6B232" w14:textId="77777777" w:rsidR="000F4C56" w:rsidRPr="00C921DE" w:rsidRDefault="000F4C56" w:rsidP="000F4C56">
            <w:pPr>
              <w:jc w:val="center"/>
              <w:rPr>
                <w:rFonts w:ascii="GHEA Grapalat" w:eastAsia="Calibri" w:hAnsi="GHEA Grapalat"/>
                <w:b/>
                <w:sz w:val="20"/>
                <w:szCs w:val="20"/>
              </w:rPr>
            </w:pPr>
          </w:p>
        </w:tc>
      </w:tr>
      <w:tr w:rsidR="001E3A3A" w:rsidRPr="00C921DE" w14:paraId="13C60578" w14:textId="77777777" w:rsidTr="000F4C56">
        <w:trPr>
          <w:trHeight w:val="270"/>
        </w:trPr>
        <w:tc>
          <w:tcPr>
            <w:tcW w:w="4518" w:type="dxa"/>
            <w:shd w:val="clear" w:color="auto" w:fill="DBE5F1"/>
            <w:hideMark/>
          </w:tcPr>
          <w:p w14:paraId="3DEABC45"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 xml:space="preserve">կացության և հանրային սննդի կազմակերպում </w:t>
            </w:r>
          </w:p>
        </w:tc>
        <w:tc>
          <w:tcPr>
            <w:tcW w:w="1440" w:type="dxa"/>
            <w:shd w:val="clear" w:color="auto" w:fill="DBE5F1"/>
            <w:noWrap/>
            <w:vAlign w:val="center"/>
          </w:tcPr>
          <w:p w14:paraId="71456F6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311.5</w:t>
            </w:r>
          </w:p>
        </w:tc>
        <w:tc>
          <w:tcPr>
            <w:tcW w:w="1080" w:type="dxa"/>
            <w:shd w:val="clear" w:color="auto" w:fill="DBE5F1"/>
            <w:noWrap/>
            <w:vAlign w:val="center"/>
          </w:tcPr>
          <w:p w14:paraId="0FD0393C" w14:textId="4D0F032B"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10.3</w:t>
            </w:r>
          </w:p>
        </w:tc>
        <w:tc>
          <w:tcPr>
            <w:tcW w:w="1170" w:type="dxa"/>
            <w:shd w:val="clear" w:color="auto" w:fill="DBE5F1"/>
            <w:noWrap/>
            <w:vAlign w:val="center"/>
          </w:tcPr>
          <w:p w14:paraId="423072DC"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118.8</w:t>
            </w:r>
          </w:p>
        </w:tc>
        <w:tc>
          <w:tcPr>
            <w:tcW w:w="1980" w:type="dxa"/>
            <w:shd w:val="clear" w:color="auto" w:fill="DBE5F1"/>
            <w:vAlign w:val="center"/>
          </w:tcPr>
          <w:p w14:paraId="57B34760"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1.8</w:t>
            </w:r>
          </w:p>
        </w:tc>
      </w:tr>
      <w:tr w:rsidR="001E3A3A" w:rsidRPr="00C921DE" w14:paraId="46A2A823" w14:textId="77777777" w:rsidTr="000F4C56">
        <w:trPr>
          <w:trHeight w:val="270"/>
        </w:trPr>
        <w:tc>
          <w:tcPr>
            <w:tcW w:w="4518" w:type="dxa"/>
            <w:shd w:val="clear" w:color="auto" w:fill="auto"/>
            <w:hideMark/>
          </w:tcPr>
          <w:p w14:paraId="2ECC8D09"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մշակույթ, զվարճություններ և հանգիստ</w:t>
            </w:r>
          </w:p>
        </w:tc>
        <w:tc>
          <w:tcPr>
            <w:tcW w:w="1440" w:type="dxa"/>
            <w:shd w:val="clear" w:color="auto" w:fill="auto"/>
            <w:noWrap/>
            <w:vAlign w:val="center"/>
          </w:tcPr>
          <w:p w14:paraId="784B4DD6"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270.7</w:t>
            </w:r>
          </w:p>
        </w:tc>
        <w:tc>
          <w:tcPr>
            <w:tcW w:w="1080" w:type="dxa"/>
            <w:shd w:val="clear" w:color="auto" w:fill="auto"/>
            <w:noWrap/>
            <w:vAlign w:val="center"/>
          </w:tcPr>
          <w:p w14:paraId="7BF5F417" w14:textId="53F95F89"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8.9</w:t>
            </w:r>
          </w:p>
        </w:tc>
        <w:tc>
          <w:tcPr>
            <w:tcW w:w="1170" w:type="dxa"/>
            <w:shd w:val="clear" w:color="auto" w:fill="auto"/>
            <w:noWrap/>
            <w:vAlign w:val="center"/>
          </w:tcPr>
          <w:p w14:paraId="25A1FF2F"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109.6</w:t>
            </w:r>
          </w:p>
        </w:tc>
        <w:tc>
          <w:tcPr>
            <w:tcW w:w="1980" w:type="dxa"/>
            <w:shd w:val="clear" w:color="auto" w:fill="auto"/>
            <w:vAlign w:val="center"/>
          </w:tcPr>
          <w:p w14:paraId="52C7660B"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0.9</w:t>
            </w:r>
          </w:p>
        </w:tc>
      </w:tr>
      <w:tr w:rsidR="001E3A3A" w:rsidRPr="00C921DE" w14:paraId="204B749F" w14:textId="77777777" w:rsidTr="000F4C56">
        <w:trPr>
          <w:trHeight w:val="270"/>
        </w:trPr>
        <w:tc>
          <w:tcPr>
            <w:tcW w:w="4518" w:type="dxa"/>
            <w:shd w:val="clear" w:color="auto" w:fill="DBE5F1"/>
            <w:hideMark/>
          </w:tcPr>
          <w:p w14:paraId="69190F05"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 xml:space="preserve">կրթություն </w:t>
            </w:r>
          </w:p>
        </w:tc>
        <w:tc>
          <w:tcPr>
            <w:tcW w:w="1440" w:type="dxa"/>
            <w:shd w:val="clear" w:color="auto" w:fill="DBE5F1"/>
            <w:noWrap/>
            <w:vAlign w:val="center"/>
          </w:tcPr>
          <w:p w14:paraId="01621786"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75.4</w:t>
            </w:r>
          </w:p>
        </w:tc>
        <w:tc>
          <w:tcPr>
            <w:tcW w:w="1080" w:type="dxa"/>
            <w:shd w:val="clear" w:color="auto" w:fill="DBE5F1"/>
            <w:noWrap/>
            <w:vAlign w:val="center"/>
          </w:tcPr>
          <w:p w14:paraId="2B2D27F4" w14:textId="20D2FF96"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2.5</w:t>
            </w:r>
          </w:p>
        </w:tc>
        <w:tc>
          <w:tcPr>
            <w:tcW w:w="1170" w:type="dxa"/>
            <w:shd w:val="clear" w:color="auto" w:fill="DBE5F1"/>
            <w:noWrap/>
            <w:vAlign w:val="center"/>
          </w:tcPr>
          <w:p w14:paraId="7E627EED"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107.1</w:t>
            </w:r>
          </w:p>
        </w:tc>
        <w:tc>
          <w:tcPr>
            <w:tcW w:w="1980" w:type="dxa"/>
            <w:shd w:val="clear" w:color="auto" w:fill="DBE5F1"/>
            <w:vAlign w:val="center"/>
          </w:tcPr>
          <w:p w14:paraId="23AC33C9"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0.2</w:t>
            </w:r>
          </w:p>
        </w:tc>
      </w:tr>
      <w:tr w:rsidR="001E3A3A" w:rsidRPr="00C921DE" w14:paraId="4DAB25DC" w14:textId="77777777" w:rsidTr="000F4C56">
        <w:trPr>
          <w:trHeight w:val="540"/>
        </w:trPr>
        <w:tc>
          <w:tcPr>
            <w:tcW w:w="4518" w:type="dxa"/>
            <w:shd w:val="clear" w:color="auto" w:fill="auto"/>
            <w:hideMark/>
          </w:tcPr>
          <w:p w14:paraId="09C5BFFF"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 xml:space="preserve">առողջապահություն և բնակչության սոցիալական սպասարկում </w:t>
            </w:r>
          </w:p>
        </w:tc>
        <w:tc>
          <w:tcPr>
            <w:tcW w:w="1440" w:type="dxa"/>
            <w:shd w:val="clear" w:color="auto" w:fill="auto"/>
            <w:noWrap/>
            <w:vAlign w:val="center"/>
          </w:tcPr>
          <w:p w14:paraId="02635103"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142.8</w:t>
            </w:r>
          </w:p>
        </w:tc>
        <w:tc>
          <w:tcPr>
            <w:tcW w:w="1080" w:type="dxa"/>
            <w:shd w:val="clear" w:color="auto" w:fill="auto"/>
            <w:noWrap/>
            <w:vAlign w:val="center"/>
          </w:tcPr>
          <w:p w14:paraId="37279C7C" w14:textId="59A3D7C9"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4.7</w:t>
            </w:r>
          </w:p>
        </w:tc>
        <w:tc>
          <w:tcPr>
            <w:tcW w:w="1170" w:type="dxa"/>
            <w:shd w:val="clear" w:color="auto" w:fill="auto"/>
            <w:noWrap/>
            <w:vAlign w:val="center"/>
          </w:tcPr>
          <w:p w14:paraId="05AB03F7"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103.7</w:t>
            </w:r>
          </w:p>
        </w:tc>
        <w:tc>
          <w:tcPr>
            <w:tcW w:w="1980" w:type="dxa"/>
            <w:shd w:val="clear" w:color="auto" w:fill="auto"/>
            <w:vAlign w:val="center"/>
          </w:tcPr>
          <w:p w14:paraId="0CC3C6B8"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0.2</w:t>
            </w:r>
          </w:p>
        </w:tc>
      </w:tr>
      <w:tr w:rsidR="001E3A3A" w:rsidRPr="00C921DE" w14:paraId="1802E672" w14:textId="77777777" w:rsidTr="000F4C56">
        <w:trPr>
          <w:trHeight w:val="270"/>
        </w:trPr>
        <w:tc>
          <w:tcPr>
            <w:tcW w:w="4518" w:type="dxa"/>
            <w:shd w:val="clear" w:color="auto" w:fill="DBE5F1"/>
            <w:hideMark/>
          </w:tcPr>
          <w:p w14:paraId="39D8386C"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անշարժ գույքի հետ կապված գործունեություն</w:t>
            </w:r>
          </w:p>
        </w:tc>
        <w:tc>
          <w:tcPr>
            <w:tcW w:w="1440" w:type="dxa"/>
            <w:shd w:val="clear" w:color="auto" w:fill="DBE5F1"/>
            <w:noWrap/>
            <w:vAlign w:val="center"/>
          </w:tcPr>
          <w:p w14:paraId="36F9565C"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119.4</w:t>
            </w:r>
          </w:p>
        </w:tc>
        <w:tc>
          <w:tcPr>
            <w:tcW w:w="1080" w:type="dxa"/>
            <w:shd w:val="clear" w:color="auto" w:fill="DBE5F1"/>
            <w:noWrap/>
            <w:vAlign w:val="center"/>
          </w:tcPr>
          <w:p w14:paraId="1672DA12" w14:textId="7D9A1FFE"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3.9</w:t>
            </w:r>
          </w:p>
        </w:tc>
        <w:tc>
          <w:tcPr>
            <w:tcW w:w="1170" w:type="dxa"/>
            <w:shd w:val="clear" w:color="auto" w:fill="DBE5F1"/>
            <w:noWrap/>
            <w:vAlign w:val="center"/>
          </w:tcPr>
          <w:p w14:paraId="4F24A56D"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108.7</w:t>
            </w:r>
          </w:p>
        </w:tc>
        <w:tc>
          <w:tcPr>
            <w:tcW w:w="1980" w:type="dxa"/>
            <w:shd w:val="clear" w:color="auto" w:fill="DBE5F1"/>
            <w:vAlign w:val="center"/>
          </w:tcPr>
          <w:p w14:paraId="4BEB2BF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0.3</w:t>
            </w:r>
          </w:p>
        </w:tc>
      </w:tr>
      <w:tr w:rsidR="001E3A3A" w:rsidRPr="00C921DE" w14:paraId="60F3B683" w14:textId="77777777" w:rsidTr="000F4C56">
        <w:trPr>
          <w:trHeight w:val="270"/>
        </w:trPr>
        <w:tc>
          <w:tcPr>
            <w:tcW w:w="4518" w:type="dxa"/>
            <w:shd w:val="clear" w:color="auto" w:fill="auto"/>
            <w:hideMark/>
          </w:tcPr>
          <w:p w14:paraId="424F67F9"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 xml:space="preserve">տեղեկատվություն և կապ </w:t>
            </w:r>
          </w:p>
        </w:tc>
        <w:tc>
          <w:tcPr>
            <w:tcW w:w="1440" w:type="dxa"/>
            <w:shd w:val="clear" w:color="auto" w:fill="auto"/>
            <w:noWrap/>
            <w:vAlign w:val="center"/>
          </w:tcPr>
          <w:p w14:paraId="7B549D03"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629.4</w:t>
            </w:r>
          </w:p>
        </w:tc>
        <w:tc>
          <w:tcPr>
            <w:tcW w:w="1080" w:type="dxa"/>
            <w:shd w:val="clear" w:color="auto" w:fill="auto"/>
            <w:noWrap/>
            <w:vAlign w:val="center"/>
          </w:tcPr>
          <w:p w14:paraId="781868F5" w14:textId="1CCA5BA5"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20.8</w:t>
            </w:r>
          </w:p>
        </w:tc>
        <w:tc>
          <w:tcPr>
            <w:tcW w:w="1170" w:type="dxa"/>
            <w:shd w:val="clear" w:color="auto" w:fill="auto"/>
            <w:noWrap/>
            <w:vAlign w:val="center"/>
          </w:tcPr>
          <w:p w14:paraId="5B7F7C5C"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135.4</w:t>
            </w:r>
          </w:p>
        </w:tc>
        <w:tc>
          <w:tcPr>
            <w:tcW w:w="1980" w:type="dxa"/>
            <w:shd w:val="clear" w:color="auto" w:fill="auto"/>
            <w:vAlign w:val="center"/>
          </w:tcPr>
          <w:p w14:paraId="44D2AAE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6.4</w:t>
            </w:r>
          </w:p>
        </w:tc>
      </w:tr>
      <w:tr w:rsidR="001E3A3A" w:rsidRPr="00C921DE" w14:paraId="7D781BA4" w14:textId="77777777" w:rsidTr="000F4C56">
        <w:trPr>
          <w:trHeight w:val="270"/>
        </w:trPr>
        <w:tc>
          <w:tcPr>
            <w:tcW w:w="4518" w:type="dxa"/>
            <w:shd w:val="clear" w:color="auto" w:fill="DBE5F1"/>
            <w:hideMark/>
          </w:tcPr>
          <w:p w14:paraId="00ADA1D3"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 xml:space="preserve">տրանսպորտ </w:t>
            </w:r>
          </w:p>
        </w:tc>
        <w:tc>
          <w:tcPr>
            <w:tcW w:w="1440" w:type="dxa"/>
            <w:shd w:val="clear" w:color="auto" w:fill="DBE5F1"/>
            <w:noWrap/>
            <w:vAlign w:val="center"/>
          </w:tcPr>
          <w:p w14:paraId="2025D427"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394.9</w:t>
            </w:r>
          </w:p>
        </w:tc>
        <w:tc>
          <w:tcPr>
            <w:tcW w:w="1080" w:type="dxa"/>
            <w:shd w:val="clear" w:color="auto" w:fill="DBE5F1"/>
            <w:noWrap/>
            <w:vAlign w:val="center"/>
          </w:tcPr>
          <w:p w14:paraId="66488DFF" w14:textId="1A2A92E6"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13.1</w:t>
            </w:r>
          </w:p>
        </w:tc>
        <w:tc>
          <w:tcPr>
            <w:tcW w:w="1170" w:type="dxa"/>
            <w:shd w:val="clear" w:color="auto" w:fill="DBE5F1"/>
            <w:noWrap/>
            <w:vAlign w:val="center"/>
          </w:tcPr>
          <w:p w14:paraId="087C4CF7"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115.9</w:t>
            </w:r>
          </w:p>
        </w:tc>
        <w:tc>
          <w:tcPr>
            <w:tcW w:w="1980" w:type="dxa"/>
            <w:shd w:val="clear" w:color="auto" w:fill="DBE5F1"/>
            <w:vAlign w:val="center"/>
          </w:tcPr>
          <w:p w14:paraId="23A148F1"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2.0</w:t>
            </w:r>
          </w:p>
        </w:tc>
      </w:tr>
      <w:tr w:rsidR="001E3A3A" w:rsidRPr="00C921DE" w14:paraId="7AF5D149" w14:textId="77777777" w:rsidTr="000F4C56">
        <w:trPr>
          <w:trHeight w:val="270"/>
        </w:trPr>
        <w:tc>
          <w:tcPr>
            <w:tcW w:w="4518" w:type="dxa"/>
            <w:shd w:val="clear" w:color="auto" w:fill="auto"/>
            <w:hideMark/>
          </w:tcPr>
          <w:p w14:paraId="03C95778"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վարչարարական և օժանդակ գործունեություն</w:t>
            </w:r>
          </w:p>
        </w:tc>
        <w:tc>
          <w:tcPr>
            <w:tcW w:w="1440" w:type="dxa"/>
            <w:shd w:val="clear" w:color="auto" w:fill="auto"/>
            <w:noWrap/>
            <w:vAlign w:val="center"/>
          </w:tcPr>
          <w:p w14:paraId="5E2D57DB"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101.1</w:t>
            </w:r>
          </w:p>
        </w:tc>
        <w:tc>
          <w:tcPr>
            <w:tcW w:w="1080" w:type="dxa"/>
            <w:shd w:val="clear" w:color="auto" w:fill="auto"/>
            <w:noWrap/>
            <w:vAlign w:val="center"/>
          </w:tcPr>
          <w:p w14:paraId="0C904E6B" w14:textId="6E523FBE"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3.3</w:t>
            </w:r>
          </w:p>
        </w:tc>
        <w:tc>
          <w:tcPr>
            <w:tcW w:w="1170" w:type="dxa"/>
            <w:shd w:val="clear" w:color="auto" w:fill="auto"/>
            <w:noWrap/>
            <w:vAlign w:val="center"/>
          </w:tcPr>
          <w:p w14:paraId="171D1AE4"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106.5</w:t>
            </w:r>
          </w:p>
        </w:tc>
        <w:tc>
          <w:tcPr>
            <w:tcW w:w="1980" w:type="dxa"/>
            <w:shd w:val="clear" w:color="auto" w:fill="auto"/>
            <w:vAlign w:val="center"/>
          </w:tcPr>
          <w:p w14:paraId="529D6343"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0.2</w:t>
            </w:r>
          </w:p>
        </w:tc>
      </w:tr>
      <w:tr w:rsidR="001E3A3A" w:rsidRPr="00C921DE" w14:paraId="69EF1DBD" w14:textId="77777777" w:rsidTr="000F4C56">
        <w:trPr>
          <w:trHeight w:val="270"/>
        </w:trPr>
        <w:tc>
          <w:tcPr>
            <w:tcW w:w="4518" w:type="dxa"/>
            <w:shd w:val="clear" w:color="auto" w:fill="DBE5F1"/>
            <w:hideMark/>
          </w:tcPr>
          <w:p w14:paraId="436AD674"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 xml:space="preserve">մասնագիտ., գիտական և տեխ. գործունեություն </w:t>
            </w:r>
          </w:p>
        </w:tc>
        <w:tc>
          <w:tcPr>
            <w:tcW w:w="1440" w:type="dxa"/>
            <w:shd w:val="clear" w:color="auto" w:fill="DBE5F1"/>
            <w:noWrap/>
            <w:vAlign w:val="center"/>
          </w:tcPr>
          <w:p w14:paraId="74B20092"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144.8</w:t>
            </w:r>
          </w:p>
        </w:tc>
        <w:tc>
          <w:tcPr>
            <w:tcW w:w="1080" w:type="dxa"/>
            <w:shd w:val="clear" w:color="auto" w:fill="DBE5F1"/>
            <w:noWrap/>
            <w:vAlign w:val="center"/>
          </w:tcPr>
          <w:p w14:paraId="6BCCD879" w14:textId="64645315"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4.8</w:t>
            </w:r>
          </w:p>
        </w:tc>
        <w:tc>
          <w:tcPr>
            <w:tcW w:w="1170" w:type="dxa"/>
            <w:shd w:val="clear" w:color="auto" w:fill="DBE5F1"/>
            <w:noWrap/>
            <w:vAlign w:val="center"/>
          </w:tcPr>
          <w:p w14:paraId="2C99887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106.9</w:t>
            </w:r>
          </w:p>
        </w:tc>
        <w:tc>
          <w:tcPr>
            <w:tcW w:w="1980" w:type="dxa"/>
            <w:shd w:val="clear" w:color="auto" w:fill="DBE5F1"/>
            <w:vAlign w:val="center"/>
          </w:tcPr>
          <w:p w14:paraId="1915872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0.3</w:t>
            </w:r>
          </w:p>
        </w:tc>
      </w:tr>
      <w:tr w:rsidR="001E3A3A" w:rsidRPr="00C921DE" w14:paraId="67AD6E9B" w14:textId="77777777" w:rsidTr="000F4C56">
        <w:trPr>
          <w:trHeight w:val="270"/>
        </w:trPr>
        <w:tc>
          <w:tcPr>
            <w:tcW w:w="4518" w:type="dxa"/>
            <w:shd w:val="clear" w:color="auto" w:fill="auto"/>
            <w:hideMark/>
          </w:tcPr>
          <w:p w14:paraId="1554C071"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ֆինանսական և ապահովագրական գործունեություն</w:t>
            </w:r>
          </w:p>
        </w:tc>
        <w:tc>
          <w:tcPr>
            <w:tcW w:w="1440" w:type="dxa"/>
            <w:shd w:val="clear" w:color="auto" w:fill="auto"/>
            <w:noWrap/>
            <w:vAlign w:val="center"/>
          </w:tcPr>
          <w:p w14:paraId="6F676E4A"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808.3</w:t>
            </w:r>
          </w:p>
        </w:tc>
        <w:tc>
          <w:tcPr>
            <w:tcW w:w="1080" w:type="dxa"/>
            <w:shd w:val="clear" w:color="auto" w:fill="auto"/>
            <w:noWrap/>
            <w:vAlign w:val="center"/>
          </w:tcPr>
          <w:p w14:paraId="6DFEF268" w14:textId="77D43E9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26.7</w:t>
            </w:r>
          </w:p>
        </w:tc>
        <w:tc>
          <w:tcPr>
            <w:tcW w:w="1170" w:type="dxa"/>
            <w:shd w:val="clear" w:color="auto" w:fill="auto"/>
            <w:noWrap/>
            <w:vAlign w:val="center"/>
          </w:tcPr>
          <w:p w14:paraId="68A684C7"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93.1</w:t>
            </w:r>
          </w:p>
        </w:tc>
        <w:tc>
          <w:tcPr>
            <w:tcW w:w="1980" w:type="dxa"/>
            <w:shd w:val="clear" w:color="auto" w:fill="auto"/>
            <w:vAlign w:val="center"/>
          </w:tcPr>
          <w:p w14:paraId="5740B004"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-2.1</w:t>
            </w:r>
          </w:p>
        </w:tc>
      </w:tr>
      <w:tr w:rsidR="001E3A3A" w:rsidRPr="00C921DE" w14:paraId="1FA301E5" w14:textId="77777777" w:rsidTr="000F4C56">
        <w:trPr>
          <w:trHeight w:val="285"/>
        </w:trPr>
        <w:tc>
          <w:tcPr>
            <w:tcW w:w="4518" w:type="dxa"/>
            <w:shd w:val="clear" w:color="auto" w:fill="DBE5F1"/>
            <w:hideMark/>
          </w:tcPr>
          <w:p w14:paraId="03791265" w14:textId="77777777" w:rsidR="001E3A3A" w:rsidRPr="00C921DE" w:rsidRDefault="001E3A3A" w:rsidP="001E3A3A">
            <w:pPr>
              <w:ind w:leftChars="82" w:left="377" w:hangingChars="90" w:hanging="180"/>
              <w:rPr>
                <w:rFonts w:ascii="GHEA Grapalat" w:eastAsia="Calibri" w:hAnsi="GHEA Grapalat"/>
                <w:b/>
                <w:bCs/>
                <w:sz w:val="20"/>
                <w:szCs w:val="20"/>
              </w:rPr>
            </w:pPr>
            <w:r w:rsidRPr="00C921DE">
              <w:rPr>
                <w:rFonts w:ascii="GHEA Grapalat" w:eastAsia="Calibri" w:hAnsi="GHEA Grapalat"/>
                <w:b/>
                <w:bCs/>
                <w:sz w:val="20"/>
                <w:szCs w:val="20"/>
              </w:rPr>
              <w:t>սպասարկման այլ ծառայություններ</w:t>
            </w:r>
          </w:p>
        </w:tc>
        <w:tc>
          <w:tcPr>
            <w:tcW w:w="1440" w:type="dxa"/>
            <w:shd w:val="clear" w:color="auto" w:fill="DBE5F1"/>
            <w:noWrap/>
            <w:vAlign w:val="center"/>
          </w:tcPr>
          <w:p w14:paraId="56C35740"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27.6</w:t>
            </w:r>
          </w:p>
        </w:tc>
        <w:tc>
          <w:tcPr>
            <w:tcW w:w="1080" w:type="dxa"/>
            <w:shd w:val="clear" w:color="auto" w:fill="DBE5F1"/>
            <w:noWrap/>
            <w:vAlign w:val="center"/>
          </w:tcPr>
          <w:p w14:paraId="1EF712AF" w14:textId="247231A0"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0.9</w:t>
            </w:r>
          </w:p>
        </w:tc>
        <w:tc>
          <w:tcPr>
            <w:tcW w:w="1170" w:type="dxa"/>
            <w:shd w:val="clear" w:color="auto" w:fill="DBE5F1"/>
            <w:noWrap/>
            <w:vAlign w:val="center"/>
          </w:tcPr>
          <w:p w14:paraId="079494A7"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106.3</w:t>
            </w:r>
          </w:p>
        </w:tc>
        <w:tc>
          <w:tcPr>
            <w:tcW w:w="1980" w:type="dxa"/>
            <w:shd w:val="clear" w:color="auto" w:fill="DBE5F1"/>
            <w:vAlign w:val="center"/>
          </w:tcPr>
          <w:p w14:paraId="6A176C4F" w14:textId="77777777" w:rsidR="001E3A3A" w:rsidRPr="00C921DE" w:rsidRDefault="001E3A3A" w:rsidP="001E3A3A">
            <w:pPr>
              <w:jc w:val="center"/>
              <w:rPr>
                <w:rFonts w:ascii="GHEA Grapalat" w:eastAsia="Calibri" w:hAnsi="GHEA Grapalat"/>
                <w:sz w:val="20"/>
                <w:szCs w:val="20"/>
              </w:rPr>
            </w:pPr>
            <w:r w:rsidRPr="00C921DE">
              <w:rPr>
                <w:rFonts w:ascii="GHEA Grapalat" w:hAnsi="GHEA Grapalat"/>
                <w:sz w:val="20"/>
              </w:rPr>
              <w:t>0.1</w:t>
            </w:r>
          </w:p>
        </w:tc>
      </w:tr>
    </w:tbl>
    <w:p w14:paraId="4B8C76F2" w14:textId="77777777" w:rsidR="000F4C56" w:rsidRPr="00C921DE" w:rsidRDefault="000F4C56" w:rsidP="000F4C56">
      <w:pPr>
        <w:jc w:val="center"/>
        <w:rPr>
          <w:rFonts w:ascii="GHEA Grapalat" w:hAnsi="GHEA Grapalat"/>
          <w:b/>
          <w:sz w:val="22"/>
          <w:szCs w:val="20"/>
        </w:rPr>
      </w:pPr>
    </w:p>
    <w:p w14:paraId="66BC0A10" w14:textId="77777777" w:rsidR="000F4C56" w:rsidRPr="00C921DE" w:rsidRDefault="000F4C56" w:rsidP="000F4C56">
      <w:pPr>
        <w:jc w:val="center"/>
        <w:rPr>
          <w:rFonts w:ascii="GHEA Grapalat" w:hAnsi="GHEA Grapalat"/>
          <w:sz w:val="22"/>
          <w:szCs w:val="20"/>
        </w:rPr>
      </w:pPr>
      <w:r w:rsidRPr="00C921DE">
        <w:rPr>
          <w:rFonts w:ascii="GHEA Grapalat" w:hAnsi="GHEA Grapalat"/>
          <w:b/>
          <w:sz w:val="22"/>
          <w:szCs w:val="20"/>
        </w:rPr>
        <w:t xml:space="preserve">Աղյուսակ 3.2. </w:t>
      </w:r>
      <w:r w:rsidRPr="00C921DE">
        <w:rPr>
          <w:rFonts w:ascii="GHEA Grapalat" w:hAnsi="GHEA Grapalat"/>
          <w:sz w:val="22"/>
          <w:szCs w:val="20"/>
        </w:rPr>
        <w:t>Արտահանման ապրանքային կառուցվածքը և նպաստումները 2023 թվականի</w:t>
      </w:r>
      <w:r w:rsidRPr="00C921DE" w:rsidDel="00911C8A">
        <w:rPr>
          <w:rFonts w:ascii="GHEA Grapalat" w:hAnsi="GHEA Grapalat"/>
          <w:sz w:val="22"/>
          <w:szCs w:val="20"/>
        </w:rPr>
        <w:t xml:space="preserve"> </w:t>
      </w:r>
      <w:r w:rsidRPr="00C921DE">
        <w:rPr>
          <w:rFonts w:ascii="GHEA Grapalat" w:hAnsi="GHEA Grapalat"/>
          <w:sz w:val="22"/>
          <w:szCs w:val="20"/>
        </w:rPr>
        <w:t>արտահանման աճին</w:t>
      </w:r>
    </w:p>
    <w:p w14:paraId="56DAF415" w14:textId="77777777" w:rsidR="000F4C56" w:rsidRPr="00C921DE" w:rsidRDefault="000F4C56" w:rsidP="000F4C56">
      <w:pPr>
        <w:jc w:val="center"/>
        <w:rPr>
          <w:rFonts w:ascii="GHEA Grapalat" w:hAnsi="GHEA Grapalat" w:cs="Arial"/>
          <w:szCs w:val="20"/>
        </w:rPr>
      </w:pPr>
    </w:p>
    <w:tbl>
      <w:tblPr>
        <w:tblW w:w="1062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091"/>
        <w:gridCol w:w="1134"/>
        <w:gridCol w:w="992"/>
        <w:gridCol w:w="1015"/>
        <w:gridCol w:w="1395"/>
      </w:tblGrid>
      <w:tr w:rsidR="000F4C56" w:rsidRPr="00C921DE" w14:paraId="143E678E" w14:textId="77777777" w:rsidTr="000F4C56">
        <w:tc>
          <w:tcPr>
            <w:tcW w:w="6091" w:type="dxa"/>
            <w:tcBorders>
              <w:top w:val="single" w:sz="4" w:space="0" w:color="4F81BD"/>
              <w:left w:val="single" w:sz="4" w:space="0" w:color="4F81BD"/>
              <w:bottom w:val="single" w:sz="4" w:space="0" w:color="4F81BD"/>
              <w:right w:val="nil"/>
            </w:tcBorders>
            <w:shd w:val="clear" w:color="auto" w:fill="4F81BD"/>
          </w:tcPr>
          <w:p w14:paraId="28D2B587" w14:textId="77777777" w:rsidR="000F4C56" w:rsidRPr="00C921DE" w:rsidRDefault="000F4C56" w:rsidP="000F4C56">
            <w:pP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ԱՐՏԱՀԱՆՈՒՄ</w:t>
            </w:r>
          </w:p>
        </w:tc>
        <w:tc>
          <w:tcPr>
            <w:tcW w:w="1134" w:type="dxa"/>
            <w:tcBorders>
              <w:top w:val="single" w:sz="4" w:space="0" w:color="4F81BD"/>
              <w:left w:val="nil"/>
              <w:bottom w:val="single" w:sz="4" w:space="0" w:color="4F81BD"/>
              <w:right w:val="nil"/>
            </w:tcBorders>
            <w:shd w:val="clear" w:color="auto" w:fill="4F81BD"/>
          </w:tcPr>
          <w:p w14:paraId="368AC519"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 xml:space="preserve">Ծավալ </w:t>
            </w:r>
            <w:r w:rsidRPr="00C921DE">
              <w:rPr>
                <w:rFonts w:ascii="GHEA Grapalat" w:eastAsia="Calibri" w:hAnsi="GHEA Grapalat" w:cs="Sylfaen"/>
                <w:b/>
                <w:bCs/>
                <w:color w:val="FFFFFF"/>
                <w:sz w:val="20"/>
                <w:szCs w:val="20"/>
              </w:rPr>
              <w:t>(մլն ԱՄՆ դոլար)</w:t>
            </w:r>
          </w:p>
        </w:tc>
        <w:tc>
          <w:tcPr>
            <w:tcW w:w="992" w:type="dxa"/>
            <w:tcBorders>
              <w:top w:val="single" w:sz="4" w:space="0" w:color="4F81BD"/>
              <w:left w:val="nil"/>
              <w:bottom w:val="single" w:sz="4" w:space="0" w:color="4F81BD"/>
              <w:right w:val="nil"/>
            </w:tcBorders>
            <w:shd w:val="clear" w:color="auto" w:fill="4F81BD"/>
          </w:tcPr>
          <w:p w14:paraId="04B82DBF"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cs="Sylfaen"/>
                <w:b/>
                <w:bCs/>
                <w:color w:val="FFFFFF"/>
                <w:sz w:val="20"/>
                <w:szCs w:val="20"/>
              </w:rPr>
              <w:t xml:space="preserve">Կշիռ </w:t>
            </w:r>
            <w:r w:rsidRPr="00C921DE">
              <w:rPr>
                <w:rFonts w:ascii="GHEA Grapalat" w:eastAsia="Calibri" w:hAnsi="GHEA Grapalat" w:cs="Sylfaen"/>
                <w:b/>
                <w:bCs/>
                <w:color w:val="FFFFFF"/>
                <w:sz w:val="20"/>
                <w:szCs w:val="20"/>
                <w:lang w:val="ru-RU"/>
              </w:rPr>
              <w:t>(</w:t>
            </w:r>
            <w:r w:rsidRPr="00C921DE">
              <w:rPr>
                <w:rFonts w:ascii="GHEA Grapalat" w:eastAsia="Calibri" w:hAnsi="GHEA Grapalat" w:cs="Sylfaen"/>
                <w:b/>
                <w:bCs/>
                <w:color w:val="FFFFFF"/>
                <w:sz w:val="20"/>
                <w:szCs w:val="20"/>
              </w:rPr>
              <w:t>տոկոս</w:t>
            </w:r>
            <w:r w:rsidRPr="00C921DE">
              <w:rPr>
                <w:rFonts w:ascii="GHEA Grapalat" w:eastAsia="Calibri" w:hAnsi="GHEA Grapalat" w:cs="Sylfaen"/>
                <w:b/>
                <w:bCs/>
                <w:color w:val="FFFFFF"/>
                <w:sz w:val="20"/>
                <w:szCs w:val="20"/>
                <w:lang w:val="ru-RU"/>
              </w:rPr>
              <w:t>)</w:t>
            </w:r>
          </w:p>
        </w:tc>
        <w:tc>
          <w:tcPr>
            <w:tcW w:w="1015" w:type="dxa"/>
            <w:tcBorders>
              <w:top w:val="single" w:sz="4" w:space="0" w:color="4F81BD"/>
              <w:left w:val="nil"/>
              <w:bottom w:val="single" w:sz="4" w:space="0" w:color="4F81BD"/>
              <w:right w:val="nil"/>
            </w:tcBorders>
            <w:shd w:val="clear" w:color="auto" w:fill="4F81BD"/>
          </w:tcPr>
          <w:p w14:paraId="28BFADD0"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cs="Sylfaen"/>
                <w:b/>
                <w:bCs/>
                <w:color w:val="FFFFFF"/>
                <w:sz w:val="20"/>
                <w:szCs w:val="20"/>
              </w:rPr>
              <w:t xml:space="preserve">Աճ </w:t>
            </w:r>
            <w:r w:rsidRPr="00C921DE">
              <w:rPr>
                <w:rFonts w:ascii="GHEA Grapalat" w:eastAsia="Calibri" w:hAnsi="GHEA Grapalat" w:cs="Sylfaen"/>
                <w:b/>
                <w:bCs/>
                <w:color w:val="FFFFFF"/>
                <w:sz w:val="20"/>
                <w:szCs w:val="20"/>
                <w:lang w:val="ru-RU"/>
              </w:rPr>
              <w:t>(</w:t>
            </w:r>
            <w:r w:rsidRPr="00C921DE">
              <w:rPr>
                <w:rFonts w:ascii="GHEA Grapalat" w:eastAsia="Calibri" w:hAnsi="GHEA Grapalat" w:cs="Sylfaen"/>
                <w:b/>
                <w:bCs/>
                <w:color w:val="FFFFFF"/>
                <w:sz w:val="20"/>
                <w:szCs w:val="20"/>
              </w:rPr>
              <w:t>տոկոս</w:t>
            </w:r>
            <w:r w:rsidRPr="00C921DE">
              <w:rPr>
                <w:rFonts w:ascii="GHEA Grapalat" w:eastAsia="Calibri" w:hAnsi="GHEA Grapalat" w:cs="Sylfaen"/>
                <w:b/>
                <w:bCs/>
                <w:color w:val="FFFFFF"/>
                <w:sz w:val="20"/>
                <w:szCs w:val="20"/>
                <w:lang w:val="ru-RU"/>
              </w:rPr>
              <w:t>)</w:t>
            </w:r>
          </w:p>
        </w:tc>
        <w:tc>
          <w:tcPr>
            <w:tcW w:w="1395" w:type="dxa"/>
            <w:tcBorders>
              <w:top w:val="single" w:sz="4" w:space="0" w:color="4F81BD"/>
              <w:left w:val="nil"/>
              <w:bottom w:val="single" w:sz="4" w:space="0" w:color="4F81BD"/>
              <w:right w:val="single" w:sz="4" w:space="0" w:color="4F81BD"/>
            </w:tcBorders>
            <w:shd w:val="clear" w:color="auto" w:fill="4F81BD"/>
          </w:tcPr>
          <w:p w14:paraId="5C7BCB98" w14:textId="77777777" w:rsidR="000F4C56" w:rsidRPr="00C921DE" w:rsidRDefault="000F4C56" w:rsidP="000F4C56">
            <w:pPr>
              <w:jc w:val="center"/>
              <w:rPr>
                <w:rFonts w:ascii="GHEA Grapalat" w:eastAsia="Calibri" w:hAnsi="GHEA Grapalat"/>
                <w:b/>
                <w:bCs/>
                <w:color w:val="FFFFFF"/>
                <w:sz w:val="20"/>
                <w:szCs w:val="20"/>
                <w:lang w:val="ru-RU"/>
              </w:rPr>
            </w:pPr>
            <w:r w:rsidRPr="00C921DE">
              <w:rPr>
                <w:rFonts w:ascii="GHEA Grapalat" w:eastAsia="Calibri" w:hAnsi="GHEA Grapalat" w:cs="Sylfaen"/>
                <w:b/>
                <w:bCs/>
                <w:color w:val="FFFFFF"/>
                <w:sz w:val="20"/>
                <w:szCs w:val="20"/>
              </w:rPr>
              <w:t xml:space="preserve">Նպաստում </w:t>
            </w:r>
            <w:r w:rsidRPr="00C921DE">
              <w:rPr>
                <w:rFonts w:ascii="GHEA Grapalat" w:eastAsia="Calibri" w:hAnsi="GHEA Grapalat" w:cs="Sylfaen"/>
                <w:b/>
                <w:bCs/>
                <w:color w:val="FFFFFF"/>
                <w:sz w:val="20"/>
                <w:szCs w:val="20"/>
                <w:lang w:val="ru-RU"/>
              </w:rPr>
              <w:t>(</w:t>
            </w:r>
            <w:r w:rsidRPr="00C921DE">
              <w:rPr>
                <w:rFonts w:ascii="GHEA Grapalat" w:eastAsia="Calibri" w:hAnsi="GHEA Grapalat" w:cs="Sylfaen"/>
                <w:b/>
                <w:bCs/>
                <w:color w:val="FFFFFF"/>
                <w:sz w:val="20"/>
                <w:szCs w:val="20"/>
              </w:rPr>
              <w:t>տոկոսային կետ</w:t>
            </w:r>
            <w:r w:rsidRPr="00C921DE">
              <w:rPr>
                <w:rFonts w:ascii="GHEA Grapalat" w:eastAsia="Calibri" w:hAnsi="GHEA Grapalat" w:cs="Sylfaen"/>
                <w:b/>
                <w:bCs/>
                <w:color w:val="FFFFFF"/>
                <w:sz w:val="20"/>
                <w:szCs w:val="20"/>
                <w:lang w:val="ru-RU"/>
              </w:rPr>
              <w:t>)</w:t>
            </w:r>
          </w:p>
        </w:tc>
      </w:tr>
      <w:tr w:rsidR="000F4C56" w:rsidRPr="00C921DE" w14:paraId="43DCA928" w14:textId="77777777" w:rsidTr="000F4C56">
        <w:tc>
          <w:tcPr>
            <w:tcW w:w="6091" w:type="dxa"/>
            <w:shd w:val="clear" w:color="auto" w:fill="DBE5F1"/>
          </w:tcPr>
          <w:p w14:paraId="39176430"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 xml:space="preserve">ԸՆԴԱՄԵՆԸ </w:t>
            </w:r>
          </w:p>
        </w:tc>
        <w:tc>
          <w:tcPr>
            <w:tcW w:w="1134" w:type="dxa"/>
            <w:shd w:val="clear" w:color="auto" w:fill="DBE5F1"/>
            <w:vAlign w:val="bottom"/>
          </w:tcPr>
          <w:p w14:paraId="516B68B7" w14:textId="77777777" w:rsidR="000F4C56" w:rsidRPr="00C921DE" w:rsidRDefault="000F4C56" w:rsidP="000F4C56">
            <w:pPr>
              <w:jc w:val="center"/>
              <w:rPr>
                <w:rFonts w:ascii="GHEA Grapalat" w:eastAsia="Calibri" w:hAnsi="GHEA Grapalat"/>
                <w:b/>
                <w:color w:val="000000"/>
                <w:sz w:val="20"/>
                <w:szCs w:val="20"/>
              </w:rPr>
            </w:pPr>
            <w:r w:rsidRPr="00C921DE">
              <w:rPr>
                <w:rFonts w:ascii="GHEA Grapalat" w:eastAsia="Calibri" w:hAnsi="GHEA Grapalat" w:cs="Arial"/>
                <w:b/>
                <w:bCs/>
                <w:sz w:val="20"/>
                <w:szCs w:val="20"/>
              </w:rPr>
              <w:t>8415.2</w:t>
            </w:r>
          </w:p>
        </w:tc>
        <w:tc>
          <w:tcPr>
            <w:tcW w:w="992" w:type="dxa"/>
            <w:shd w:val="clear" w:color="auto" w:fill="DBE5F1"/>
            <w:vAlign w:val="bottom"/>
          </w:tcPr>
          <w:p w14:paraId="209D282C" w14:textId="77777777" w:rsidR="000F4C56" w:rsidRPr="00C921DE" w:rsidRDefault="000F4C56" w:rsidP="000F4C56">
            <w:pPr>
              <w:jc w:val="center"/>
              <w:rPr>
                <w:rFonts w:ascii="GHEA Grapalat" w:eastAsia="Calibri" w:hAnsi="GHEA Grapalat" w:cs="Arial"/>
                <w:b/>
                <w:bCs/>
                <w:sz w:val="20"/>
                <w:szCs w:val="20"/>
              </w:rPr>
            </w:pPr>
            <w:r w:rsidRPr="00C921DE">
              <w:rPr>
                <w:rFonts w:ascii="GHEA Grapalat" w:eastAsia="Calibri" w:hAnsi="GHEA Grapalat" w:cs="Arial"/>
                <w:b/>
                <w:bCs/>
                <w:sz w:val="20"/>
                <w:szCs w:val="20"/>
              </w:rPr>
              <w:t>100</w:t>
            </w:r>
          </w:p>
        </w:tc>
        <w:tc>
          <w:tcPr>
            <w:tcW w:w="1015" w:type="dxa"/>
            <w:shd w:val="clear" w:color="auto" w:fill="DBE5F1"/>
            <w:vAlign w:val="bottom"/>
          </w:tcPr>
          <w:p w14:paraId="481AE4D8" w14:textId="77777777" w:rsidR="000F4C56" w:rsidRPr="00C921DE" w:rsidRDefault="000F4C56" w:rsidP="000F4C56">
            <w:pPr>
              <w:jc w:val="center"/>
              <w:rPr>
                <w:rFonts w:ascii="GHEA Grapalat" w:eastAsia="Calibri" w:hAnsi="GHEA Grapalat"/>
                <w:b/>
                <w:sz w:val="20"/>
                <w:szCs w:val="20"/>
              </w:rPr>
            </w:pPr>
            <w:r w:rsidRPr="00C921DE">
              <w:rPr>
                <w:rFonts w:ascii="GHEA Grapalat" w:eastAsia="Calibri" w:hAnsi="GHEA Grapalat" w:cs="Arial"/>
                <w:b/>
                <w:bCs/>
                <w:sz w:val="20"/>
                <w:szCs w:val="20"/>
              </w:rPr>
              <w:t>55.3</w:t>
            </w:r>
          </w:p>
        </w:tc>
        <w:tc>
          <w:tcPr>
            <w:tcW w:w="1395" w:type="dxa"/>
            <w:shd w:val="clear" w:color="auto" w:fill="DBE5F1"/>
            <w:vAlign w:val="bottom"/>
          </w:tcPr>
          <w:p w14:paraId="4ACA0989" w14:textId="77777777" w:rsidR="000F4C56" w:rsidRPr="00C921DE" w:rsidRDefault="000F4C56" w:rsidP="000F4C56">
            <w:pPr>
              <w:jc w:val="center"/>
              <w:rPr>
                <w:rFonts w:ascii="GHEA Grapalat" w:eastAsia="Calibri" w:hAnsi="GHEA Grapalat"/>
                <w:b/>
                <w:sz w:val="20"/>
                <w:szCs w:val="20"/>
              </w:rPr>
            </w:pPr>
            <w:r w:rsidRPr="00C921DE">
              <w:rPr>
                <w:rFonts w:ascii="GHEA Grapalat" w:eastAsia="Calibri" w:hAnsi="GHEA Grapalat" w:cs="Arial"/>
                <w:b/>
                <w:bCs/>
                <w:sz w:val="20"/>
                <w:szCs w:val="20"/>
              </w:rPr>
              <w:t>55.3</w:t>
            </w:r>
          </w:p>
        </w:tc>
      </w:tr>
      <w:tr w:rsidR="000F4C56" w:rsidRPr="00C921DE" w14:paraId="7C341DF2" w14:textId="77777777" w:rsidTr="000F4C56">
        <w:tc>
          <w:tcPr>
            <w:tcW w:w="6091" w:type="dxa"/>
            <w:shd w:val="clear" w:color="auto" w:fill="auto"/>
          </w:tcPr>
          <w:p w14:paraId="03523BF3"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Կենդանի կենդանիներ և կենդանական ծագման արտադրանք</w:t>
            </w:r>
          </w:p>
        </w:tc>
        <w:tc>
          <w:tcPr>
            <w:tcW w:w="1134" w:type="dxa"/>
            <w:shd w:val="clear" w:color="auto" w:fill="auto"/>
            <w:vAlign w:val="bottom"/>
          </w:tcPr>
          <w:p w14:paraId="04D299A5" w14:textId="77777777" w:rsidR="000F4C56" w:rsidRPr="00C921DE" w:rsidRDefault="000F4C56" w:rsidP="000F4C56">
            <w:pPr>
              <w:jc w:val="center"/>
              <w:rPr>
                <w:rFonts w:ascii="GHEA Grapalat" w:hAnsi="GHEA Grapalat" w:cs="Calibri"/>
                <w:noProof w:val="0"/>
                <w:color w:val="000000"/>
                <w:sz w:val="20"/>
                <w:szCs w:val="20"/>
                <w:lang w:val="en-US"/>
              </w:rPr>
            </w:pPr>
            <w:r w:rsidRPr="00C921DE">
              <w:rPr>
                <w:rFonts w:ascii="GHEA Grapalat" w:hAnsi="GHEA Grapalat" w:cs="Calibri"/>
                <w:color w:val="000000"/>
                <w:sz w:val="20"/>
                <w:szCs w:val="20"/>
              </w:rPr>
              <w:t>98.2</w:t>
            </w:r>
          </w:p>
        </w:tc>
        <w:tc>
          <w:tcPr>
            <w:tcW w:w="992" w:type="dxa"/>
            <w:shd w:val="clear" w:color="auto" w:fill="auto"/>
            <w:vAlign w:val="bottom"/>
          </w:tcPr>
          <w:p w14:paraId="1E5D038C" w14:textId="77777777" w:rsidR="000F4C56" w:rsidRPr="00C921DE" w:rsidRDefault="000F4C56" w:rsidP="000F4C56">
            <w:pPr>
              <w:jc w:val="center"/>
              <w:rPr>
                <w:rFonts w:ascii="GHEA Grapalat" w:hAnsi="GHEA Grapalat" w:cs="Calibri"/>
                <w:noProof w:val="0"/>
                <w:color w:val="000000"/>
                <w:sz w:val="20"/>
                <w:szCs w:val="20"/>
                <w:lang w:val="en-US"/>
              </w:rPr>
            </w:pPr>
            <w:r w:rsidRPr="00C921DE">
              <w:rPr>
                <w:rFonts w:ascii="GHEA Grapalat" w:hAnsi="GHEA Grapalat" w:cs="Calibri"/>
                <w:color w:val="000000"/>
                <w:sz w:val="20"/>
                <w:szCs w:val="20"/>
              </w:rPr>
              <w:t>1.2</w:t>
            </w:r>
          </w:p>
        </w:tc>
        <w:tc>
          <w:tcPr>
            <w:tcW w:w="1015" w:type="dxa"/>
            <w:shd w:val="clear" w:color="auto" w:fill="auto"/>
            <w:vAlign w:val="bottom"/>
          </w:tcPr>
          <w:p w14:paraId="715DC998" w14:textId="77777777" w:rsidR="000F4C56" w:rsidRPr="00C921DE" w:rsidRDefault="000F4C56" w:rsidP="000F4C56">
            <w:pPr>
              <w:jc w:val="center"/>
              <w:rPr>
                <w:rFonts w:ascii="GHEA Grapalat" w:hAnsi="GHEA Grapalat" w:cs="Calibri"/>
                <w:noProof w:val="0"/>
                <w:color w:val="000000"/>
                <w:sz w:val="20"/>
                <w:szCs w:val="20"/>
                <w:lang w:val="en-US"/>
              </w:rPr>
            </w:pPr>
            <w:r w:rsidRPr="00C921DE">
              <w:rPr>
                <w:rFonts w:ascii="GHEA Grapalat" w:hAnsi="GHEA Grapalat" w:cs="Calibri"/>
                <w:color w:val="000000"/>
                <w:sz w:val="20"/>
                <w:szCs w:val="20"/>
              </w:rPr>
              <w:t>-42.5</w:t>
            </w:r>
          </w:p>
        </w:tc>
        <w:tc>
          <w:tcPr>
            <w:tcW w:w="1395" w:type="dxa"/>
            <w:shd w:val="clear" w:color="auto" w:fill="auto"/>
            <w:vAlign w:val="bottom"/>
          </w:tcPr>
          <w:p w14:paraId="360BC292" w14:textId="77777777" w:rsidR="000F4C56" w:rsidRPr="00C921DE" w:rsidRDefault="000F4C56" w:rsidP="000F4C56">
            <w:pPr>
              <w:jc w:val="center"/>
              <w:rPr>
                <w:rFonts w:ascii="GHEA Grapalat" w:hAnsi="GHEA Grapalat" w:cs="Calibri"/>
                <w:noProof w:val="0"/>
                <w:color w:val="000000"/>
                <w:sz w:val="20"/>
                <w:szCs w:val="20"/>
                <w:lang w:val="en-US"/>
              </w:rPr>
            </w:pPr>
            <w:r w:rsidRPr="00C921DE">
              <w:rPr>
                <w:rFonts w:ascii="GHEA Grapalat" w:hAnsi="GHEA Grapalat" w:cs="Calibri"/>
                <w:color w:val="000000"/>
                <w:sz w:val="20"/>
                <w:szCs w:val="20"/>
              </w:rPr>
              <w:t>-1.3</w:t>
            </w:r>
          </w:p>
        </w:tc>
      </w:tr>
      <w:tr w:rsidR="000F4C56" w:rsidRPr="00C921DE" w14:paraId="4F8D0D0C" w14:textId="77777777" w:rsidTr="000F4C56">
        <w:tc>
          <w:tcPr>
            <w:tcW w:w="6091" w:type="dxa"/>
            <w:shd w:val="clear" w:color="auto" w:fill="DBE5F1"/>
          </w:tcPr>
          <w:p w14:paraId="766DD4FB"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Բուսական ծագման արտադրանք</w:t>
            </w:r>
          </w:p>
        </w:tc>
        <w:tc>
          <w:tcPr>
            <w:tcW w:w="1134" w:type="dxa"/>
            <w:shd w:val="clear" w:color="auto" w:fill="DBE5F1"/>
            <w:vAlign w:val="bottom"/>
          </w:tcPr>
          <w:p w14:paraId="6E909BFD"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182.6</w:t>
            </w:r>
          </w:p>
        </w:tc>
        <w:tc>
          <w:tcPr>
            <w:tcW w:w="992" w:type="dxa"/>
            <w:shd w:val="clear" w:color="auto" w:fill="DBE5F1"/>
            <w:vAlign w:val="bottom"/>
          </w:tcPr>
          <w:p w14:paraId="3CBD2E0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2.2</w:t>
            </w:r>
          </w:p>
        </w:tc>
        <w:tc>
          <w:tcPr>
            <w:tcW w:w="1015" w:type="dxa"/>
            <w:shd w:val="clear" w:color="auto" w:fill="DBE5F1"/>
            <w:vAlign w:val="bottom"/>
          </w:tcPr>
          <w:p w14:paraId="409B726C"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-19.2</w:t>
            </w:r>
          </w:p>
        </w:tc>
        <w:tc>
          <w:tcPr>
            <w:tcW w:w="1395" w:type="dxa"/>
            <w:shd w:val="clear" w:color="auto" w:fill="DBE5F1"/>
            <w:vAlign w:val="bottom"/>
          </w:tcPr>
          <w:p w14:paraId="268175B3"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-0.8</w:t>
            </w:r>
          </w:p>
        </w:tc>
      </w:tr>
      <w:tr w:rsidR="000F4C56" w:rsidRPr="00C921DE" w14:paraId="50026F7A" w14:textId="77777777" w:rsidTr="000F4C56">
        <w:tc>
          <w:tcPr>
            <w:tcW w:w="6091" w:type="dxa"/>
            <w:shd w:val="clear" w:color="auto" w:fill="auto"/>
          </w:tcPr>
          <w:p w14:paraId="713A67F6"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Կենդանական և բուսական ծագման յուղեր և ճարպեր</w:t>
            </w:r>
          </w:p>
        </w:tc>
        <w:tc>
          <w:tcPr>
            <w:tcW w:w="1134" w:type="dxa"/>
            <w:shd w:val="clear" w:color="auto" w:fill="auto"/>
            <w:vAlign w:val="bottom"/>
          </w:tcPr>
          <w:p w14:paraId="68B34A11"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1.5</w:t>
            </w:r>
          </w:p>
        </w:tc>
        <w:tc>
          <w:tcPr>
            <w:tcW w:w="992" w:type="dxa"/>
            <w:shd w:val="clear" w:color="auto" w:fill="auto"/>
            <w:vAlign w:val="bottom"/>
          </w:tcPr>
          <w:p w14:paraId="412D5833"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0.0</w:t>
            </w:r>
          </w:p>
        </w:tc>
        <w:tc>
          <w:tcPr>
            <w:tcW w:w="1015" w:type="dxa"/>
            <w:shd w:val="clear" w:color="auto" w:fill="auto"/>
            <w:vAlign w:val="bottom"/>
          </w:tcPr>
          <w:p w14:paraId="039D7732"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-79.7</w:t>
            </w:r>
          </w:p>
        </w:tc>
        <w:tc>
          <w:tcPr>
            <w:tcW w:w="1395" w:type="dxa"/>
            <w:shd w:val="clear" w:color="auto" w:fill="auto"/>
            <w:vAlign w:val="bottom"/>
          </w:tcPr>
          <w:p w14:paraId="4AF2646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r>
      <w:tr w:rsidR="000F4C56" w:rsidRPr="00C921DE" w14:paraId="280FDD9E" w14:textId="77777777" w:rsidTr="000F4C56">
        <w:tc>
          <w:tcPr>
            <w:tcW w:w="6091" w:type="dxa"/>
            <w:shd w:val="clear" w:color="auto" w:fill="DBE5F1"/>
          </w:tcPr>
          <w:p w14:paraId="087B6DAC"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Պատրաստի սննդի արտադրանք</w:t>
            </w:r>
          </w:p>
        </w:tc>
        <w:tc>
          <w:tcPr>
            <w:tcW w:w="1134" w:type="dxa"/>
            <w:shd w:val="clear" w:color="auto" w:fill="DBE5F1"/>
            <w:vAlign w:val="bottom"/>
          </w:tcPr>
          <w:p w14:paraId="022B0481"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885.1</w:t>
            </w:r>
          </w:p>
        </w:tc>
        <w:tc>
          <w:tcPr>
            <w:tcW w:w="992" w:type="dxa"/>
            <w:shd w:val="clear" w:color="auto" w:fill="DBE5F1"/>
            <w:vAlign w:val="bottom"/>
          </w:tcPr>
          <w:p w14:paraId="47587200"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10.5</w:t>
            </w:r>
          </w:p>
        </w:tc>
        <w:tc>
          <w:tcPr>
            <w:tcW w:w="1015" w:type="dxa"/>
            <w:shd w:val="clear" w:color="auto" w:fill="DBE5F1"/>
            <w:vAlign w:val="bottom"/>
          </w:tcPr>
          <w:p w14:paraId="271A3921"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0.3</w:t>
            </w:r>
          </w:p>
        </w:tc>
        <w:tc>
          <w:tcPr>
            <w:tcW w:w="1395" w:type="dxa"/>
            <w:shd w:val="clear" w:color="auto" w:fill="DBE5F1"/>
            <w:vAlign w:val="bottom"/>
          </w:tcPr>
          <w:p w14:paraId="340E6A4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r>
      <w:tr w:rsidR="000F4C56" w:rsidRPr="00C921DE" w14:paraId="1200ACE0" w14:textId="77777777" w:rsidTr="000F4C56">
        <w:tc>
          <w:tcPr>
            <w:tcW w:w="6091" w:type="dxa"/>
            <w:shd w:val="clear" w:color="auto" w:fill="auto"/>
          </w:tcPr>
          <w:p w14:paraId="03B5B63E"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Հանքահումքային արտադրանք</w:t>
            </w:r>
          </w:p>
        </w:tc>
        <w:tc>
          <w:tcPr>
            <w:tcW w:w="1134" w:type="dxa"/>
            <w:shd w:val="clear" w:color="auto" w:fill="auto"/>
            <w:vAlign w:val="bottom"/>
          </w:tcPr>
          <w:p w14:paraId="6D1D12B5"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887.7</w:t>
            </w:r>
          </w:p>
        </w:tc>
        <w:tc>
          <w:tcPr>
            <w:tcW w:w="992" w:type="dxa"/>
            <w:shd w:val="clear" w:color="auto" w:fill="auto"/>
            <w:vAlign w:val="bottom"/>
          </w:tcPr>
          <w:p w14:paraId="0F638DB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10.5</w:t>
            </w:r>
          </w:p>
        </w:tc>
        <w:tc>
          <w:tcPr>
            <w:tcW w:w="1015" w:type="dxa"/>
            <w:shd w:val="clear" w:color="auto" w:fill="auto"/>
            <w:vAlign w:val="bottom"/>
          </w:tcPr>
          <w:p w14:paraId="79403E94"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-13.6</w:t>
            </w:r>
          </w:p>
        </w:tc>
        <w:tc>
          <w:tcPr>
            <w:tcW w:w="1395" w:type="dxa"/>
            <w:shd w:val="clear" w:color="auto" w:fill="auto"/>
            <w:vAlign w:val="bottom"/>
          </w:tcPr>
          <w:p w14:paraId="30ADAE33"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-2.6</w:t>
            </w:r>
          </w:p>
        </w:tc>
      </w:tr>
      <w:tr w:rsidR="000F4C56" w:rsidRPr="00C921DE" w14:paraId="092BF5FC" w14:textId="77777777" w:rsidTr="000F4C56">
        <w:tc>
          <w:tcPr>
            <w:tcW w:w="6091" w:type="dxa"/>
            <w:shd w:val="clear" w:color="auto" w:fill="DBE5F1"/>
          </w:tcPr>
          <w:p w14:paraId="3EF4D8C1"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Քիմիայի և դրա հետ կապված արդյունաբերության ճյուղերի արտադրանք</w:t>
            </w:r>
          </w:p>
        </w:tc>
        <w:tc>
          <w:tcPr>
            <w:tcW w:w="1134" w:type="dxa"/>
            <w:shd w:val="clear" w:color="auto" w:fill="DBE5F1"/>
            <w:vAlign w:val="bottom"/>
          </w:tcPr>
          <w:p w14:paraId="522C339D"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120.9</w:t>
            </w:r>
          </w:p>
        </w:tc>
        <w:tc>
          <w:tcPr>
            <w:tcW w:w="992" w:type="dxa"/>
            <w:shd w:val="clear" w:color="auto" w:fill="DBE5F1"/>
            <w:vAlign w:val="bottom"/>
          </w:tcPr>
          <w:p w14:paraId="04C4DD2A"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1.4</w:t>
            </w:r>
          </w:p>
        </w:tc>
        <w:tc>
          <w:tcPr>
            <w:tcW w:w="1015" w:type="dxa"/>
            <w:shd w:val="clear" w:color="auto" w:fill="DBE5F1"/>
            <w:vAlign w:val="bottom"/>
          </w:tcPr>
          <w:p w14:paraId="0F65408B"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44.9</w:t>
            </w:r>
          </w:p>
        </w:tc>
        <w:tc>
          <w:tcPr>
            <w:tcW w:w="1395" w:type="dxa"/>
            <w:shd w:val="clear" w:color="auto" w:fill="DBE5F1"/>
            <w:vAlign w:val="bottom"/>
          </w:tcPr>
          <w:p w14:paraId="3A69D562"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0.7</w:t>
            </w:r>
          </w:p>
        </w:tc>
      </w:tr>
      <w:tr w:rsidR="000F4C56" w:rsidRPr="00C921DE" w14:paraId="145C0F2A" w14:textId="77777777" w:rsidTr="000F4C56">
        <w:tc>
          <w:tcPr>
            <w:tcW w:w="6091" w:type="dxa"/>
            <w:shd w:val="clear" w:color="auto" w:fill="auto"/>
          </w:tcPr>
          <w:p w14:paraId="76886ECE"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Պլաստմասսա և դրանցից իրեր, կաուչուկ և ռետինե իրեր</w:t>
            </w:r>
          </w:p>
        </w:tc>
        <w:tc>
          <w:tcPr>
            <w:tcW w:w="1134" w:type="dxa"/>
            <w:shd w:val="clear" w:color="auto" w:fill="auto"/>
            <w:vAlign w:val="bottom"/>
          </w:tcPr>
          <w:p w14:paraId="6B0FBFC2"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66.4</w:t>
            </w:r>
          </w:p>
        </w:tc>
        <w:tc>
          <w:tcPr>
            <w:tcW w:w="992" w:type="dxa"/>
            <w:shd w:val="clear" w:color="auto" w:fill="auto"/>
            <w:vAlign w:val="bottom"/>
          </w:tcPr>
          <w:p w14:paraId="563C571B"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0.8</w:t>
            </w:r>
          </w:p>
        </w:tc>
        <w:tc>
          <w:tcPr>
            <w:tcW w:w="1015" w:type="dxa"/>
            <w:shd w:val="clear" w:color="auto" w:fill="auto"/>
            <w:vAlign w:val="bottom"/>
          </w:tcPr>
          <w:p w14:paraId="63E69AB9"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5.3</w:t>
            </w:r>
          </w:p>
        </w:tc>
        <w:tc>
          <w:tcPr>
            <w:tcW w:w="1395" w:type="dxa"/>
            <w:shd w:val="clear" w:color="auto" w:fill="auto"/>
            <w:vAlign w:val="bottom"/>
          </w:tcPr>
          <w:p w14:paraId="20CA84F9"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r>
      <w:tr w:rsidR="000F4C56" w:rsidRPr="00C921DE" w14:paraId="308C1E78" w14:textId="77777777" w:rsidTr="000F4C56">
        <w:tc>
          <w:tcPr>
            <w:tcW w:w="6091" w:type="dxa"/>
            <w:shd w:val="clear" w:color="auto" w:fill="DBE5F1"/>
          </w:tcPr>
          <w:p w14:paraId="2ABE7568"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Կաշվի հումք, կաշի, մորթի և դրանցից պատրաստված իրեր</w:t>
            </w:r>
          </w:p>
        </w:tc>
        <w:tc>
          <w:tcPr>
            <w:tcW w:w="1134" w:type="dxa"/>
            <w:shd w:val="clear" w:color="auto" w:fill="DBE5F1"/>
            <w:vAlign w:val="bottom"/>
          </w:tcPr>
          <w:p w14:paraId="67AAE4A1"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22.0</w:t>
            </w:r>
          </w:p>
        </w:tc>
        <w:tc>
          <w:tcPr>
            <w:tcW w:w="992" w:type="dxa"/>
            <w:shd w:val="clear" w:color="auto" w:fill="DBE5F1"/>
            <w:vAlign w:val="bottom"/>
          </w:tcPr>
          <w:p w14:paraId="2211EA21"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0.3</w:t>
            </w:r>
          </w:p>
        </w:tc>
        <w:tc>
          <w:tcPr>
            <w:tcW w:w="1015" w:type="dxa"/>
            <w:shd w:val="clear" w:color="auto" w:fill="DBE5F1"/>
            <w:vAlign w:val="bottom"/>
          </w:tcPr>
          <w:p w14:paraId="244FAE3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97.6</w:t>
            </w:r>
          </w:p>
        </w:tc>
        <w:tc>
          <w:tcPr>
            <w:tcW w:w="1395" w:type="dxa"/>
            <w:shd w:val="clear" w:color="auto" w:fill="DBE5F1"/>
            <w:vAlign w:val="bottom"/>
          </w:tcPr>
          <w:p w14:paraId="1FDB0644"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0.2</w:t>
            </w:r>
          </w:p>
        </w:tc>
      </w:tr>
      <w:tr w:rsidR="000F4C56" w:rsidRPr="00C921DE" w14:paraId="2B7A27F1" w14:textId="77777777" w:rsidTr="000F4C56">
        <w:tc>
          <w:tcPr>
            <w:tcW w:w="6091" w:type="dxa"/>
            <w:shd w:val="clear" w:color="auto" w:fill="auto"/>
          </w:tcPr>
          <w:p w14:paraId="0A79AB2D"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 xml:space="preserve">Փայտ և փայտյա իրեր </w:t>
            </w:r>
          </w:p>
        </w:tc>
        <w:tc>
          <w:tcPr>
            <w:tcW w:w="1134" w:type="dxa"/>
            <w:shd w:val="clear" w:color="auto" w:fill="auto"/>
            <w:vAlign w:val="bottom"/>
          </w:tcPr>
          <w:p w14:paraId="78A89F0E"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9.4</w:t>
            </w:r>
          </w:p>
        </w:tc>
        <w:tc>
          <w:tcPr>
            <w:tcW w:w="992" w:type="dxa"/>
            <w:shd w:val="clear" w:color="auto" w:fill="auto"/>
            <w:vAlign w:val="bottom"/>
          </w:tcPr>
          <w:p w14:paraId="77EAE7C0"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c>
          <w:tcPr>
            <w:tcW w:w="1015" w:type="dxa"/>
            <w:shd w:val="clear" w:color="auto" w:fill="auto"/>
            <w:vAlign w:val="bottom"/>
          </w:tcPr>
          <w:p w14:paraId="09C9A0C5"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97.9</w:t>
            </w:r>
          </w:p>
        </w:tc>
        <w:tc>
          <w:tcPr>
            <w:tcW w:w="1395" w:type="dxa"/>
            <w:shd w:val="clear" w:color="auto" w:fill="auto"/>
            <w:vAlign w:val="bottom"/>
          </w:tcPr>
          <w:p w14:paraId="17296E53"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r>
      <w:tr w:rsidR="000F4C56" w:rsidRPr="00C921DE" w14:paraId="10B2B679" w14:textId="77777777" w:rsidTr="000F4C56">
        <w:tc>
          <w:tcPr>
            <w:tcW w:w="6091" w:type="dxa"/>
            <w:shd w:val="clear" w:color="auto" w:fill="DBE5F1"/>
          </w:tcPr>
          <w:p w14:paraId="085B0E76"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Թուղթ և թղթից իրեր</w:t>
            </w:r>
          </w:p>
        </w:tc>
        <w:tc>
          <w:tcPr>
            <w:tcW w:w="1134" w:type="dxa"/>
            <w:shd w:val="clear" w:color="auto" w:fill="DBE5F1"/>
            <w:vAlign w:val="bottom"/>
          </w:tcPr>
          <w:p w14:paraId="28468A67"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4.8</w:t>
            </w:r>
          </w:p>
        </w:tc>
        <w:tc>
          <w:tcPr>
            <w:tcW w:w="992" w:type="dxa"/>
            <w:shd w:val="clear" w:color="auto" w:fill="DBE5F1"/>
            <w:vAlign w:val="bottom"/>
          </w:tcPr>
          <w:p w14:paraId="35385A79"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c>
          <w:tcPr>
            <w:tcW w:w="1015" w:type="dxa"/>
            <w:shd w:val="clear" w:color="auto" w:fill="DBE5F1"/>
            <w:vAlign w:val="bottom"/>
          </w:tcPr>
          <w:p w14:paraId="4DF3B19E"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-29.2</w:t>
            </w:r>
          </w:p>
        </w:tc>
        <w:tc>
          <w:tcPr>
            <w:tcW w:w="1395" w:type="dxa"/>
            <w:shd w:val="clear" w:color="auto" w:fill="DBE5F1"/>
            <w:vAlign w:val="bottom"/>
          </w:tcPr>
          <w:p w14:paraId="18F1D630"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0.0</w:t>
            </w:r>
          </w:p>
        </w:tc>
      </w:tr>
      <w:tr w:rsidR="000F4C56" w:rsidRPr="00C921DE" w14:paraId="095CF96A" w14:textId="77777777" w:rsidTr="000F4C56">
        <w:tc>
          <w:tcPr>
            <w:tcW w:w="6091" w:type="dxa"/>
            <w:shd w:val="clear" w:color="auto" w:fill="auto"/>
          </w:tcPr>
          <w:p w14:paraId="330EFAED"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Մանածագործական իրեր</w:t>
            </w:r>
          </w:p>
        </w:tc>
        <w:tc>
          <w:tcPr>
            <w:tcW w:w="1134" w:type="dxa"/>
            <w:shd w:val="clear" w:color="auto" w:fill="auto"/>
            <w:vAlign w:val="bottom"/>
          </w:tcPr>
          <w:p w14:paraId="60BD2E10"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357.7</w:t>
            </w:r>
          </w:p>
        </w:tc>
        <w:tc>
          <w:tcPr>
            <w:tcW w:w="992" w:type="dxa"/>
            <w:shd w:val="clear" w:color="auto" w:fill="auto"/>
            <w:vAlign w:val="bottom"/>
          </w:tcPr>
          <w:p w14:paraId="549CFF17"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4.3</w:t>
            </w:r>
          </w:p>
        </w:tc>
        <w:tc>
          <w:tcPr>
            <w:tcW w:w="1015" w:type="dxa"/>
            <w:shd w:val="clear" w:color="auto" w:fill="auto"/>
            <w:vAlign w:val="bottom"/>
          </w:tcPr>
          <w:p w14:paraId="25F3090C"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59.4</w:t>
            </w:r>
          </w:p>
        </w:tc>
        <w:tc>
          <w:tcPr>
            <w:tcW w:w="1395" w:type="dxa"/>
            <w:shd w:val="clear" w:color="auto" w:fill="auto"/>
            <w:vAlign w:val="bottom"/>
          </w:tcPr>
          <w:p w14:paraId="77AED637"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2.5</w:t>
            </w:r>
          </w:p>
        </w:tc>
      </w:tr>
      <w:tr w:rsidR="000F4C56" w:rsidRPr="00C921DE" w14:paraId="504C02D3" w14:textId="77777777" w:rsidTr="000F4C56">
        <w:tc>
          <w:tcPr>
            <w:tcW w:w="6091" w:type="dxa"/>
            <w:shd w:val="clear" w:color="auto" w:fill="DBE5F1"/>
          </w:tcPr>
          <w:p w14:paraId="4ED90DAE"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Կոշկեղեն, գլխարկներ, հովանոցներ</w:t>
            </w:r>
          </w:p>
        </w:tc>
        <w:tc>
          <w:tcPr>
            <w:tcW w:w="1134" w:type="dxa"/>
            <w:shd w:val="clear" w:color="auto" w:fill="DBE5F1"/>
            <w:vAlign w:val="bottom"/>
          </w:tcPr>
          <w:p w14:paraId="77EEB28F"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41.5</w:t>
            </w:r>
          </w:p>
        </w:tc>
        <w:tc>
          <w:tcPr>
            <w:tcW w:w="992" w:type="dxa"/>
            <w:shd w:val="clear" w:color="auto" w:fill="DBE5F1"/>
            <w:vAlign w:val="bottom"/>
          </w:tcPr>
          <w:p w14:paraId="1B451CCD"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0.5</w:t>
            </w:r>
          </w:p>
        </w:tc>
        <w:tc>
          <w:tcPr>
            <w:tcW w:w="1015" w:type="dxa"/>
            <w:shd w:val="clear" w:color="auto" w:fill="DBE5F1"/>
            <w:vAlign w:val="bottom"/>
          </w:tcPr>
          <w:p w14:paraId="456E99E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228.0</w:t>
            </w:r>
          </w:p>
        </w:tc>
        <w:tc>
          <w:tcPr>
            <w:tcW w:w="1395" w:type="dxa"/>
            <w:shd w:val="clear" w:color="auto" w:fill="DBE5F1"/>
            <w:vAlign w:val="bottom"/>
          </w:tcPr>
          <w:p w14:paraId="3F12D39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0.5</w:t>
            </w:r>
          </w:p>
        </w:tc>
      </w:tr>
      <w:tr w:rsidR="000F4C56" w:rsidRPr="00C921DE" w14:paraId="22B7B2FF" w14:textId="77777777" w:rsidTr="000F4C56">
        <w:tc>
          <w:tcPr>
            <w:tcW w:w="6091" w:type="dxa"/>
            <w:shd w:val="clear" w:color="auto" w:fill="auto"/>
          </w:tcPr>
          <w:p w14:paraId="0F15309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Իրեր քարից, գիպսից, ցեմենտից</w:t>
            </w:r>
          </w:p>
        </w:tc>
        <w:tc>
          <w:tcPr>
            <w:tcW w:w="1134" w:type="dxa"/>
            <w:shd w:val="clear" w:color="auto" w:fill="auto"/>
            <w:vAlign w:val="bottom"/>
          </w:tcPr>
          <w:p w14:paraId="3AF700AE"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37.2</w:t>
            </w:r>
          </w:p>
        </w:tc>
        <w:tc>
          <w:tcPr>
            <w:tcW w:w="992" w:type="dxa"/>
            <w:shd w:val="clear" w:color="auto" w:fill="auto"/>
            <w:vAlign w:val="bottom"/>
          </w:tcPr>
          <w:p w14:paraId="30E1E08A"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0.4</w:t>
            </w:r>
          </w:p>
        </w:tc>
        <w:tc>
          <w:tcPr>
            <w:tcW w:w="1015" w:type="dxa"/>
            <w:shd w:val="clear" w:color="auto" w:fill="auto"/>
            <w:vAlign w:val="bottom"/>
          </w:tcPr>
          <w:p w14:paraId="646FD2FD"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-0.1</w:t>
            </w:r>
          </w:p>
        </w:tc>
        <w:tc>
          <w:tcPr>
            <w:tcW w:w="1395" w:type="dxa"/>
            <w:shd w:val="clear" w:color="auto" w:fill="auto"/>
            <w:vAlign w:val="bottom"/>
          </w:tcPr>
          <w:p w14:paraId="30FE3157"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0.0</w:t>
            </w:r>
          </w:p>
        </w:tc>
      </w:tr>
      <w:tr w:rsidR="000F4C56" w:rsidRPr="00C921DE" w14:paraId="2E67B8D6" w14:textId="77777777" w:rsidTr="000F4C56">
        <w:tc>
          <w:tcPr>
            <w:tcW w:w="6091" w:type="dxa"/>
            <w:shd w:val="clear" w:color="auto" w:fill="DBE5F1"/>
          </w:tcPr>
          <w:p w14:paraId="7C5A92A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Թանկարժեք և կիսաթանկարժեք քարեր, թանկարժեք մետաղներ և դրանցից իրեր</w:t>
            </w:r>
          </w:p>
        </w:tc>
        <w:tc>
          <w:tcPr>
            <w:tcW w:w="1134" w:type="dxa"/>
            <w:shd w:val="clear" w:color="auto" w:fill="DBE5F1"/>
            <w:vAlign w:val="bottom"/>
          </w:tcPr>
          <w:p w14:paraId="39BA50AA"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3211.9</w:t>
            </w:r>
          </w:p>
        </w:tc>
        <w:tc>
          <w:tcPr>
            <w:tcW w:w="992" w:type="dxa"/>
            <w:shd w:val="clear" w:color="auto" w:fill="DBE5F1"/>
            <w:vAlign w:val="bottom"/>
          </w:tcPr>
          <w:p w14:paraId="3BB564CC"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38.2</w:t>
            </w:r>
          </w:p>
        </w:tc>
        <w:tc>
          <w:tcPr>
            <w:tcW w:w="1015" w:type="dxa"/>
            <w:shd w:val="clear" w:color="auto" w:fill="DBE5F1"/>
            <w:vAlign w:val="bottom"/>
          </w:tcPr>
          <w:p w14:paraId="38E8B42F"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224.6</w:t>
            </w:r>
          </w:p>
        </w:tc>
        <w:tc>
          <w:tcPr>
            <w:tcW w:w="1395" w:type="dxa"/>
            <w:shd w:val="clear" w:color="auto" w:fill="DBE5F1"/>
            <w:vAlign w:val="bottom"/>
          </w:tcPr>
          <w:p w14:paraId="52555341"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41.0</w:t>
            </w:r>
          </w:p>
        </w:tc>
      </w:tr>
      <w:tr w:rsidR="000F4C56" w:rsidRPr="00C921DE" w14:paraId="4028FFE1" w14:textId="77777777" w:rsidTr="000F4C56">
        <w:tc>
          <w:tcPr>
            <w:tcW w:w="6091" w:type="dxa"/>
            <w:shd w:val="clear" w:color="auto" w:fill="auto"/>
          </w:tcPr>
          <w:p w14:paraId="5C2AA383"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Ոչ թանկարժեք մետաղներ և դրանցից պատրաստված իրեր</w:t>
            </w:r>
          </w:p>
        </w:tc>
        <w:tc>
          <w:tcPr>
            <w:tcW w:w="1134" w:type="dxa"/>
            <w:shd w:val="clear" w:color="auto" w:fill="auto"/>
            <w:vAlign w:val="bottom"/>
          </w:tcPr>
          <w:p w14:paraId="6ACFB42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452.2</w:t>
            </w:r>
          </w:p>
        </w:tc>
        <w:tc>
          <w:tcPr>
            <w:tcW w:w="992" w:type="dxa"/>
            <w:shd w:val="clear" w:color="auto" w:fill="auto"/>
            <w:vAlign w:val="bottom"/>
          </w:tcPr>
          <w:p w14:paraId="3D3F14A9"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5.4</w:t>
            </w:r>
          </w:p>
        </w:tc>
        <w:tc>
          <w:tcPr>
            <w:tcW w:w="1015" w:type="dxa"/>
            <w:shd w:val="clear" w:color="auto" w:fill="auto"/>
            <w:vAlign w:val="bottom"/>
          </w:tcPr>
          <w:p w14:paraId="38085ECD"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-1.8</w:t>
            </w:r>
          </w:p>
        </w:tc>
        <w:tc>
          <w:tcPr>
            <w:tcW w:w="1395" w:type="dxa"/>
            <w:shd w:val="clear" w:color="auto" w:fill="auto"/>
            <w:vAlign w:val="bottom"/>
          </w:tcPr>
          <w:p w14:paraId="3429BC49"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-0.2</w:t>
            </w:r>
          </w:p>
        </w:tc>
      </w:tr>
      <w:tr w:rsidR="000F4C56" w:rsidRPr="00C921DE" w14:paraId="06C81919" w14:textId="77777777" w:rsidTr="000F4C56">
        <w:tc>
          <w:tcPr>
            <w:tcW w:w="6091" w:type="dxa"/>
            <w:shd w:val="clear" w:color="auto" w:fill="DBE5F1"/>
          </w:tcPr>
          <w:p w14:paraId="7FED3FE3"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lastRenderedPageBreak/>
              <w:t>Մեքենաներ, սարքավորումներ և մեխանիզմներ</w:t>
            </w:r>
          </w:p>
        </w:tc>
        <w:tc>
          <w:tcPr>
            <w:tcW w:w="1134" w:type="dxa"/>
            <w:shd w:val="clear" w:color="auto" w:fill="DBE5F1"/>
            <w:vAlign w:val="bottom"/>
          </w:tcPr>
          <w:p w14:paraId="4BB8EFE9"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1290.9</w:t>
            </w:r>
          </w:p>
        </w:tc>
        <w:tc>
          <w:tcPr>
            <w:tcW w:w="992" w:type="dxa"/>
            <w:shd w:val="clear" w:color="auto" w:fill="DBE5F1"/>
            <w:vAlign w:val="bottom"/>
          </w:tcPr>
          <w:p w14:paraId="10D88EA5"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15.3</w:t>
            </w:r>
          </w:p>
        </w:tc>
        <w:tc>
          <w:tcPr>
            <w:tcW w:w="1015" w:type="dxa"/>
            <w:shd w:val="clear" w:color="auto" w:fill="DBE5F1"/>
            <w:vAlign w:val="bottom"/>
          </w:tcPr>
          <w:p w14:paraId="5EE510FA"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79.6</w:t>
            </w:r>
          </w:p>
        </w:tc>
        <w:tc>
          <w:tcPr>
            <w:tcW w:w="1395" w:type="dxa"/>
            <w:shd w:val="clear" w:color="auto" w:fill="DBE5F1"/>
            <w:vAlign w:val="bottom"/>
          </w:tcPr>
          <w:p w14:paraId="14C93A23" w14:textId="77777777" w:rsidR="000F4C56" w:rsidRPr="00C921DE" w:rsidRDefault="000F4C56" w:rsidP="000F4C56">
            <w:pPr>
              <w:jc w:val="center"/>
              <w:rPr>
                <w:rFonts w:ascii="GHEA Grapalat" w:hAnsi="GHEA Grapalat" w:cs="Calibri"/>
                <w:b/>
                <w:color w:val="000000"/>
                <w:sz w:val="20"/>
                <w:szCs w:val="20"/>
              </w:rPr>
            </w:pPr>
            <w:r w:rsidRPr="00C921DE">
              <w:rPr>
                <w:rFonts w:ascii="GHEA Grapalat" w:hAnsi="GHEA Grapalat" w:cs="Calibri"/>
                <w:b/>
                <w:color w:val="000000"/>
                <w:sz w:val="20"/>
                <w:szCs w:val="20"/>
              </w:rPr>
              <w:t>10.6</w:t>
            </w:r>
          </w:p>
        </w:tc>
      </w:tr>
      <w:tr w:rsidR="000F4C56" w:rsidRPr="00C921DE" w14:paraId="35D5AC20" w14:textId="77777777" w:rsidTr="000F4C56">
        <w:tc>
          <w:tcPr>
            <w:tcW w:w="6091" w:type="dxa"/>
            <w:shd w:val="clear" w:color="auto" w:fill="auto"/>
          </w:tcPr>
          <w:p w14:paraId="45779964"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Վերգետնյա, օդային և ջրային տրանսպորտի միջոցներ</w:t>
            </w:r>
          </w:p>
        </w:tc>
        <w:tc>
          <w:tcPr>
            <w:tcW w:w="1134" w:type="dxa"/>
            <w:shd w:val="clear" w:color="auto" w:fill="auto"/>
            <w:vAlign w:val="bottom"/>
          </w:tcPr>
          <w:p w14:paraId="18446BD8"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548.3</w:t>
            </w:r>
          </w:p>
        </w:tc>
        <w:tc>
          <w:tcPr>
            <w:tcW w:w="992" w:type="dxa"/>
            <w:shd w:val="clear" w:color="auto" w:fill="auto"/>
            <w:vAlign w:val="bottom"/>
          </w:tcPr>
          <w:p w14:paraId="13EA0122"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6.5</w:t>
            </w:r>
          </w:p>
        </w:tc>
        <w:tc>
          <w:tcPr>
            <w:tcW w:w="1015" w:type="dxa"/>
            <w:shd w:val="clear" w:color="auto" w:fill="auto"/>
            <w:vAlign w:val="bottom"/>
          </w:tcPr>
          <w:p w14:paraId="133A29A8"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64.9</w:t>
            </w:r>
          </w:p>
        </w:tc>
        <w:tc>
          <w:tcPr>
            <w:tcW w:w="1395" w:type="dxa"/>
            <w:shd w:val="clear" w:color="auto" w:fill="auto"/>
            <w:vAlign w:val="bottom"/>
          </w:tcPr>
          <w:p w14:paraId="395CBD44"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4.0</w:t>
            </w:r>
          </w:p>
        </w:tc>
      </w:tr>
      <w:tr w:rsidR="000F4C56" w:rsidRPr="00C921DE" w14:paraId="01C33188" w14:textId="77777777" w:rsidTr="000F4C56">
        <w:tc>
          <w:tcPr>
            <w:tcW w:w="6091" w:type="dxa"/>
            <w:shd w:val="clear" w:color="auto" w:fill="DBE5F1"/>
          </w:tcPr>
          <w:p w14:paraId="613919F8"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Սարքեր և ապարատներ</w:t>
            </w:r>
          </w:p>
        </w:tc>
        <w:tc>
          <w:tcPr>
            <w:tcW w:w="1134" w:type="dxa"/>
            <w:shd w:val="clear" w:color="auto" w:fill="DBE5F1"/>
            <w:vAlign w:val="bottom"/>
          </w:tcPr>
          <w:p w14:paraId="66A630D5"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143.0</w:t>
            </w:r>
          </w:p>
        </w:tc>
        <w:tc>
          <w:tcPr>
            <w:tcW w:w="992" w:type="dxa"/>
            <w:shd w:val="clear" w:color="auto" w:fill="DBE5F1"/>
            <w:vAlign w:val="bottom"/>
          </w:tcPr>
          <w:p w14:paraId="10AC513F"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1.7</w:t>
            </w:r>
          </w:p>
        </w:tc>
        <w:tc>
          <w:tcPr>
            <w:tcW w:w="1015" w:type="dxa"/>
            <w:shd w:val="clear" w:color="auto" w:fill="DBE5F1"/>
            <w:vAlign w:val="bottom"/>
          </w:tcPr>
          <w:p w14:paraId="3DB586A6"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21.6</w:t>
            </w:r>
          </w:p>
        </w:tc>
        <w:tc>
          <w:tcPr>
            <w:tcW w:w="1395" w:type="dxa"/>
            <w:shd w:val="clear" w:color="auto" w:fill="DBE5F1"/>
            <w:vAlign w:val="bottom"/>
          </w:tcPr>
          <w:p w14:paraId="77FB60F3"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0.5</w:t>
            </w:r>
          </w:p>
        </w:tc>
      </w:tr>
      <w:tr w:rsidR="000F4C56" w:rsidRPr="00C921DE" w14:paraId="25A2FEE3" w14:textId="77777777" w:rsidTr="000F4C56">
        <w:tc>
          <w:tcPr>
            <w:tcW w:w="6091" w:type="dxa"/>
            <w:shd w:val="clear" w:color="auto" w:fill="auto"/>
          </w:tcPr>
          <w:p w14:paraId="384FED92"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Տարբեր արդյունաբերական ապրանքներ</w:t>
            </w:r>
          </w:p>
        </w:tc>
        <w:tc>
          <w:tcPr>
            <w:tcW w:w="1134" w:type="dxa"/>
            <w:shd w:val="clear" w:color="auto" w:fill="auto"/>
            <w:vAlign w:val="bottom"/>
          </w:tcPr>
          <w:p w14:paraId="6D59D899"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53.3</w:t>
            </w:r>
          </w:p>
        </w:tc>
        <w:tc>
          <w:tcPr>
            <w:tcW w:w="992" w:type="dxa"/>
            <w:shd w:val="clear" w:color="auto" w:fill="auto"/>
            <w:vAlign w:val="bottom"/>
          </w:tcPr>
          <w:p w14:paraId="2AD75F44"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0.6</w:t>
            </w:r>
          </w:p>
        </w:tc>
        <w:tc>
          <w:tcPr>
            <w:tcW w:w="1015" w:type="dxa"/>
            <w:shd w:val="clear" w:color="auto" w:fill="auto"/>
            <w:vAlign w:val="bottom"/>
          </w:tcPr>
          <w:p w14:paraId="236E8CF2"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34.9</w:t>
            </w:r>
          </w:p>
        </w:tc>
        <w:tc>
          <w:tcPr>
            <w:tcW w:w="1395" w:type="dxa"/>
            <w:shd w:val="clear" w:color="auto" w:fill="auto"/>
            <w:vAlign w:val="bottom"/>
          </w:tcPr>
          <w:p w14:paraId="6321E033" w14:textId="77777777" w:rsidR="000F4C56" w:rsidRPr="00C921DE" w:rsidRDefault="000F4C56" w:rsidP="000F4C56">
            <w:pPr>
              <w:jc w:val="center"/>
              <w:rPr>
                <w:rFonts w:ascii="GHEA Grapalat" w:hAnsi="GHEA Grapalat" w:cs="Calibri"/>
                <w:color w:val="000000"/>
                <w:sz w:val="20"/>
                <w:szCs w:val="20"/>
              </w:rPr>
            </w:pPr>
            <w:r w:rsidRPr="00C921DE">
              <w:rPr>
                <w:rFonts w:ascii="GHEA Grapalat" w:hAnsi="GHEA Grapalat" w:cs="Calibri"/>
                <w:color w:val="000000"/>
                <w:sz w:val="20"/>
                <w:szCs w:val="20"/>
              </w:rPr>
              <w:t>0.3</w:t>
            </w:r>
          </w:p>
        </w:tc>
      </w:tr>
      <w:tr w:rsidR="000F4C56" w:rsidRPr="00C921DE" w14:paraId="48B732AA" w14:textId="77777777" w:rsidTr="000F4C56">
        <w:tc>
          <w:tcPr>
            <w:tcW w:w="6091" w:type="dxa"/>
            <w:shd w:val="clear" w:color="auto" w:fill="DBE5F1"/>
          </w:tcPr>
          <w:p w14:paraId="791915B1"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Արվեստի ստեղծագործություններ</w:t>
            </w:r>
          </w:p>
        </w:tc>
        <w:tc>
          <w:tcPr>
            <w:tcW w:w="1134" w:type="dxa"/>
            <w:shd w:val="clear" w:color="auto" w:fill="DBE5F1"/>
            <w:vAlign w:val="bottom"/>
          </w:tcPr>
          <w:p w14:paraId="52620F3A" w14:textId="77777777" w:rsidR="000F4C56" w:rsidRPr="00C921DE" w:rsidRDefault="000F4C56" w:rsidP="000F4C56">
            <w:pPr>
              <w:jc w:val="center"/>
              <w:rPr>
                <w:rFonts w:ascii="GHEA Grapalat" w:hAnsi="GHEA Grapalat" w:cs="Calibri"/>
                <w:color w:val="000000"/>
                <w:sz w:val="22"/>
                <w:szCs w:val="22"/>
              </w:rPr>
            </w:pPr>
            <w:r w:rsidRPr="00C921DE">
              <w:rPr>
                <w:rFonts w:ascii="GHEA Grapalat" w:hAnsi="GHEA Grapalat" w:cs="Calibri"/>
                <w:color w:val="000000"/>
                <w:sz w:val="22"/>
                <w:szCs w:val="22"/>
              </w:rPr>
              <w:t>0.8</w:t>
            </w:r>
          </w:p>
        </w:tc>
        <w:tc>
          <w:tcPr>
            <w:tcW w:w="992" w:type="dxa"/>
            <w:shd w:val="clear" w:color="auto" w:fill="DBE5F1"/>
            <w:vAlign w:val="bottom"/>
          </w:tcPr>
          <w:p w14:paraId="16EEFB84" w14:textId="77777777" w:rsidR="000F4C56" w:rsidRPr="00C921DE" w:rsidRDefault="000F4C56" w:rsidP="000F4C56">
            <w:pPr>
              <w:jc w:val="center"/>
              <w:rPr>
                <w:rFonts w:ascii="GHEA Grapalat" w:hAnsi="GHEA Grapalat" w:cs="Calibri"/>
                <w:color w:val="000000"/>
                <w:sz w:val="22"/>
                <w:szCs w:val="22"/>
              </w:rPr>
            </w:pPr>
            <w:r w:rsidRPr="00C921DE">
              <w:rPr>
                <w:rFonts w:ascii="GHEA Grapalat" w:hAnsi="GHEA Grapalat" w:cs="Calibri"/>
                <w:color w:val="000000"/>
                <w:sz w:val="22"/>
                <w:szCs w:val="22"/>
              </w:rPr>
              <w:t>0.0</w:t>
            </w:r>
          </w:p>
        </w:tc>
        <w:tc>
          <w:tcPr>
            <w:tcW w:w="1015" w:type="dxa"/>
            <w:shd w:val="clear" w:color="auto" w:fill="DBE5F1"/>
            <w:vAlign w:val="bottom"/>
          </w:tcPr>
          <w:p w14:paraId="6933A974" w14:textId="77777777" w:rsidR="000F4C56" w:rsidRPr="00C921DE" w:rsidRDefault="000F4C56" w:rsidP="000F4C56">
            <w:pPr>
              <w:jc w:val="center"/>
              <w:rPr>
                <w:rFonts w:ascii="GHEA Grapalat" w:hAnsi="GHEA Grapalat" w:cs="Calibri"/>
                <w:color w:val="000000"/>
                <w:sz w:val="22"/>
                <w:szCs w:val="22"/>
              </w:rPr>
            </w:pPr>
            <w:r w:rsidRPr="00C921DE">
              <w:rPr>
                <w:rFonts w:ascii="GHEA Grapalat" w:hAnsi="GHEA Grapalat" w:cs="Calibri"/>
                <w:color w:val="000000"/>
                <w:sz w:val="22"/>
                <w:szCs w:val="22"/>
              </w:rPr>
              <w:t>-77.4</w:t>
            </w:r>
          </w:p>
        </w:tc>
        <w:tc>
          <w:tcPr>
            <w:tcW w:w="1395" w:type="dxa"/>
            <w:shd w:val="clear" w:color="auto" w:fill="DBE5F1"/>
            <w:vAlign w:val="bottom"/>
          </w:tcPr>
          <w:p w14:paraId="7DF8B150" w14:textId="77777777" w:rsidR="000F4C56" w:rsidRPr="00C921DE" w:rsidRDefault="000F4C56" w:rsidP="000F4C56">
            <w:pPr>
              <w:jc w:val="center"/>
              <w:rPr>
                <w:rFonts w:ascii="GHEA Grapalat" w:hAnsi="GHEA Grapalat" w:cs="Calibri"/>
                <w:color w:val="000000"/>
                <w:sz w:val="22"/>
                <w:szCs w:val="22"/>
              </w:rPr>
            </w:pPr>
            <w:r w:rsidRPr="00C921DE">
              <w:rPr>
                <w:rFonts w:ascii="GHEA Grapalat" w:hAnsi="GHEA Grapalat" w:cs="Calibri"/>
                <w:color w:val="000000"/>
                <w:sz w:val="22"/>
                <w:szCs w:val="22"/>
              </w:rPr>
              <w:t>0.0</w:t>
            </w:r>
          </w:p>
        </w:tc>
      </w:tr>
    </w:tbl>
    <w:p w14:paraId="371F6D1D" w14:textId="77777777" w:rsidR="000F4C56" w:rsidRPr="00C921DE" w:rsidRDefault="000F4C56" w:rsidP="000F4C56">
      <w:pPr>
        <w:jc w:val="center"/>
        <w:rPr>
          <w:rFonts w:ascii="GHEA Grapalat" w:hAnsi="GHEA Grapalat"/>
          <w:b/>
          <w:sz w:val="22"/>
          <w:szCs w:val="20"/>
        </w:rPr>
      </w:pPr>
    </w:p>
    <w:p w14:paraId="4BA9C4B5" w14:textId="77777777" w:rsidR="000F4C56" w:rsidRPr="00C921DE" w:rsidRDefault="000F4C56" w:rsidP="000F4C56">
      <w:pPr>
        <w:jc w:val="center"/>
        <w:rPr>
          <w:rFonts w:ascii="GHEA Grapalat" w:hAnsi="GHEA Grapalat"/>
          <w:sz w:val="22"/>
          <w:szCs w:val="20"/>
        </w:rPr>
      </w:pPr>
      <w:r w:rsidRPr="00C921DE">
        <w:rPr>
          <w:rFonts w:ascii="GHEA Grapalat" w:hAnsi="GHEA Grapalat"/>
          <w:b/>
          <w:sz w:val="22"/>
          <w:szCs w:val="20"/>
        </w:rPr>
        <w:t xml:space="preserve">Աղյուսակ 3.3. </w:t>
      </w:r>
      <w:r w:rsidRPr="00C921DE">
        <w:rPr>
          <w:rFonts w:ascii="GHEA Grapalat" w:hAnsi="GHEA Grapalat"/>
          <w:sz w:val="22"/>
          <w:szCs w:val="20"/>
        </w:rPr>
        <w:t>Ներմուծման ապրանքային կառուցվածքը և նպաստումները 2023 թվականի ներմուծման աճին</w:t>
      </w:r>
    </w:p>
    <w:p w14:paraId="4AEC1F0E" w14:textId="77777777" w:rsidR="000F4C56" w:rsidRPr="00C921DE" w:rsidRDefault="000F4C56" w:rsidP="000F4C56">
      <w:pPr>
        <w:jc w:val="center"/>
        <w:rPr>
          <w:rFonts w:ascii="GHEA Grapalat" w:hAnsi="GHEA Grapalat"/>
          <w:sz w:val="22"/>
          <w:szCs w:val="20"/>
        </w:rPr>
      </w:pPr>
    </w:p>
    <w:tbl>
      <w:tblPr>
        <w:tblW w:w="10627"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6091"/>
        <w:gridCol w:w="1134"/>
        <w:gridCol w:w="992"/>
        <w:gridCol w:w="992"/>
        <w:gridCol w:w="1418"/>
      </w:tblGrid>
      <w:tr w:rsidR="000F4C56" w:rsidRPr="00C921DE" w14:paraId="48BA31E8" w14:textId="77777777" w:rsidTr="000F4C56">
        <w:tc>
          <w:tcPr>
            <w:tcW w:w="6091" w:type="dxa"/>
            <w:tcBorders>
              <w:top w:val="single" w:sz="4" w:space="0" w:color="4F81BD"/>
              <w:left w:val="single" w:sz="4" w:space="0" w:color="4F81BD"/>
              <w:bottom w:val="single" w:sz="4" w:space="0" w:color="4F81BD"/>
              <w:right w:val="nil"/>
            </w:tcBorders>
            <w:shd w:val="clear" w:color="auto" w:fill="4F81BD"/>
          </w:tcPr>
          <w:p w14:paraId="5F704AFA" w14:textId="77777777" w:rsidR="000F4C56" w:rsidRPr="00C921DE" w:rsidRDefault="000F4C56" w:rsidP="000F4C56">
            <w:pP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ՆԵՐՄՈՒԾՈՒՄ</w:t>
            </w:r>
          </w:p>
        </w:tc>
        <w:tc>
          <w:tcPr>
            <w:tcW w:w="1134" w:type="dxa"/>
            <w:tcBorders>
              <w:top w:val="single" w:sz="4" w:space="0" w:color="4F81BD"/>
              <w:left w:val="nil"/>
              <w:bottom w:val="single" w:sz="4" w:space="0" w:color="4F81BD"/>
              <w:right w:val="nil"/>
            </w:tcBorders>
            <w:shd w:val="clear" w:color="auto" w:fill="4F81BD"/>
          </w:tcPr>
          <w:p w14:paraId="71F9526D"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Ծավալ (մլն ԱՄՆ դոլար)</w:t>
            </w:r>
          </w:p>
        </w:tc>
        <w:tc>
          <w:tcPr>
            <w:tcW w:w="992" w:type="dxa"/>
            <w:tcBorders>
              <w:top w:val="single" w:sz="4" w:space="0" w:color="4F81BD"/>
              <w:left w:val="nil"/>
              <w:bottom w:val="single" w:sz="4" w:space="0" w:color="4F81BD"/>
              <w:right w:val="nil"/>
            </w:tcBorders>
            <w:shd w:val="clear" w:color="auto" w:fill="4F81BD"/>
          </w:tcPr>
          <w:p w14:paraId="04DC183C"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cs="Sylfaen"/>
                <w:b/>
                <w:bCs/>
                <w:color w:val="FFFFFF"/>
                <w:sz w:val="20"/>
                <w:szCs w:val="20"/>
              </w:rPr>
              <w:t xml:space="preserve">Կշիռ </w:t>
            </w:r>
            <w:r w:rsidRPr="00C921DE">
              <w:rPr>
                <w:rFonts w:ascii="GHEA Grapalat" w:eastAsia="Calibri" w:hAnsi="GHEA Grapalat" w:cs="Sylfaen"/>
                <w:b/>
                <w:bCs/>
                <w:color w:val="FFFFFF"/>
                <w:sz w:val="20"/>
                <w:szCs w:val="20"/>
                <w:lang w:val="ru-RU"/>
              </w:rPr>
              <w:t>(</w:t>
            </w:r>
            <w:r w:rsidRPr="00C921DE">
              <w:rPr>
                <w:rFonts w:ascii="GHEA Grapalat" w:eastAsia="Calibri" w:hAnsi="GHEA Grapalat" w:cs="Sylfaen"/>
                <w:b/>
                <w:bCs/>
                <w:color w:val="FFFFFF"/>
                <w:sz w:val="20"/>
                <w:szCs w:val="20"/>
              </w:rPr>
              <w:t>տոկոս</w:t>
            </w:r>
            <w:r w:rsidRPr="00C921DE">
              <w:rPr>
                <w:rFonts w:ascii="GHEA Grapalat" w:eastAsia="Calibri" w:hAnsi="GHEA Grapalat" w:cs="Sylfaen"/>
                <w:b/>
                <w:bCs/>
                <w:color w:val="FFFFFF"/>
                <w:sz w:val="20"/>
                <w:szCs w:val="20"/>
                <w:lang w:val="ru-RU"/>
              </w:rPr>
              <w:t>)</w:t>
            </w:r>
          </w:p>
        </w:tc>
        <w:tc>
          <w:tcPr>
            <w:tcW w:w="992" w:type="dxa"/>
            <w:tcBorders>
              <w:top w:val="single" w:sz="4" w:space="0" w:color="4F81BD"/>
              <w:left w:val="nil"/>
              <w:bottom w:val="single" w:sz="4" w:space="0" w:color="4F81BD"/>
              <w:right w:val="nil"/>
            </w:tcBorders>
            <w:shd w:val="clear" w:color="auto" w:fill="4F81BD"/>
          </w:tcPr>
          <w:p w14:paraId="0A9A7A5C"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cs="Sylfaen"/>
                <w:b/>
                <w:bCs/>
                <w:color w:val="FFFFFF"/>
                <w:sz w:val="20"/>
                <w:szCs w:val="20"/>
              </w:rPr>
              <w:t xml:space="preserve">Աճ </w:t>
            </w:r>
            <w:r w:rsidRPr="00C921DE">
              <w:rPr>
                <w:rFonts w:ascii="GHEA Grapalat" w:eastAsia="Calibri" w:hAnsi="GHEA Grapalat" w:cs="Sylfaen"/>
                <w:b/>
                <w:bCs/>
                <w:color w:val="FFFFFF"/>
                <w:sz w:val="20"/>
                <w:szCs w:val="20"/>
                <w:lang w:val="ru-RU"/>
              </w:rPr>
              <w:t>(</w:t>
            </w:r>
            <w:r w:rsidRPr="00C921DE">
              <w:rPr>
                <w:rFonts w:ascii="GHEA Grapalat" w:eastAsia="Calibri" w:hAnsi="GHEA Grapalat" w:cs="Sylfaen"/>
                <w:b/>
                <w:bCs/>
                <w:color w:val="FFFFFF"/>
                <w:sz w:val="20"/>
                <w:szCs w:val="20"/>
              </w:rPr>
              <w:t>տոկոս</w:t>
            </w:r>
            <w:r w:rsidRPr="00C921DE">
              <w:rPr>
                <w:rFonts w:ascii="GHEA Grapalat" w:eastAsia="Calibri" w:hAnsi="GHEA Grapalat" w:cs="Sylfaen"/>
                <w:b/>
                <w:bCs/>
                <w:color w:val="FFFFFF"/>
                <w:sz w:val="20"/>
                <w:szCs w:val="20"/>
                <w:lang w:val="ru-RU"/>
              </w:rPr>
              <w:t>)</w:t>
            </w:r>
          </w:p>
        </w:tc>
        <w:tc>
          <w:tcPr>
            <w:tcW w:w="1418" w:type="dxa"/>
            <w:tcBorders>
              <w:top w:val="single" w:sz="4" w:space="0" w:color="4F81BD"/>
              <w:left w:val="nil"/>
              <w:bottom w:val="single" w:sz="4" w:space="0" w:color="4F81BD"/>
              <w:right w:val="single" w:sz="4" w:space="0" w:color="4F81BD"/>
            </w:tcBorders>
            <w:shd w:val="clear" w:color="auto" w:fill="4F81BD"/>
          </w:tcPr>
          <w:p w14:paraId="6354D69D" w14:textId="77777777" w:rsidR="000F4C56" w:rsidRPr="00C921DE" w:rsidRDefault="000F4C56" w:rsidP="000F4C56">
            <w:pPr>
              <w:jc w:val="center"/>
              <w:rPr>
                <w:rFonts w:ascii="GHEA Grapalat" w:eastAsia="Calibri" w:hAnsi="GHEA Grapalat"/>
                <w:b/>
                <w:bCs/>
                <w:color w:val="FFFFFF"/>
                <w:sz w:val="20"/>
                <w:szCs w:val="20"/>
                <w:lang w:val="ru-RU"/>
              </w:rPr>
            </w:pPr>
            <w:r w:rsidRPr="00C921DE">
              <w:rPr>
                <w:rFonts w:ascii="GHEA Grapalat" w:eastAsia="Calibri" w:hAnsi="GHEA Grapalat" w:cs="Sylfaen"/>
                <w:b/>
                <w:bCs/>
                <w:color w:val="FFFFFF"/>
                <w:sz w:val="20"/>
                <w:szCs w:val="20"/>
              </w:rPr>
              <w:t xml:space="preserve">Նպաստում </w:t>
            </w:r>
            <w:r w:rsidRPr="00C921DE">
              <w:rPr>
                <w:rFonts w:ascii="GHEA Grapalat" w:eastAsia="Calibri" w:hAnsi="GHEA Grapalat" w:cs="Sylfaen"/>
                <w:b/>
                <w:bCs/>
                <w:color w:val="FFFFFF"/>
                <w:sz w:val="20"/>
                <w:szCs w:val="20"/>
                <w:lang w:val="ru-RU"/>
              </w:rPr>
              <w:t>(</w:t>
            </w:r>
            <w:r w:rsidRPr="00C921DE">
              <w:rPr>
                <w:rFonts w:ascii="GHEA Grapalat" w:eastAsia="Calibri" w:hAnsi="GHEA Grapalat" w:cs="Sylfaen"/>
                <w:b/>
                <w:bCs/>
                <w:color w:val="FFFFFF"/>
                <w:sz w:val="20"/>
                <w:szCs w:val="20"/>
              </w:rPr>
              <w:t>տոկոսային կետ</w:t>
            </w:r>
            <w:r w:rsidRPr="00C921DE">
              <w:rPr>
                <w:rFonts w:ascii="GHEA Grapalat" w:eastAsia="Calibri" w:hAnsi="GHEA Grapalat" w:cs="Sylfaen"/>
                <w:b/>
                <w:bCs/>
                <w:color w:val="FFFFFF"/>
                <w:sz w:val="20"/>
                <w:szCs w:val="20"/>
                <w:lang w:val="ru-RU"/>
              </w:rPr>
              <w:t>)</w:t>
            </w:r>
          </w:p>
        </w:tc>
      </w:tr>
      <w:tr w:rsidR="000F4C56" w:rsidRPr="00C921DE" w14:paraId="280CB35B" w14:textId="77777777" w:rsidTr="000F4C56">
        <w:tc>
          <w:tcPr>
            <w:tcW w:w="6091" w:type="dxa"/>
            <w:shd w:val="clear" w:color="auto" w:fill="DBE5F1"/>
          </w:tcPr>
          <w:p w14:paraId="2A196833"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 xml:space="preserve">ԸՆԴԱՄԵՆԸ </w:t>
            </w:r>
          </w:p>
        </w:tc>
        <w:tc>
          <w:tcPr>
            <w:tcW w:w="1134" w:type="dxa"/>
            <w:shd w:val="clear" w:color="auto" w:fill="DBE5F1"/>
            <w:vAlign w:val="bottom"/>
          </w:tcPr>
          <w:p w14:paraId="2BBF3AFB" w14:textId="77777777" w:rsidR="000F4C56" w:rsidRPr="00C921DE" w:rsidRDefault="000F4C56" w:rsidP="000F4C56">
            <w:pPr>
              <w:jc w:val="center"/>
              <w:rPr>
                <w:rFonts w:ascii="Calibri" w:hAnsi="Calibri" w:cs="Calibri"/>
                <w:b/>
                <w:noProof w:val="0"/>
                <w:color w:val="000000"/>
                <w:sz w:val="22"/>
                <w:szCs w:val="22"/>
                <w:lang w:val="en-US"/>
              </w:rPr>
            </w:pPr>
            <w:r w:rsidRPr="00C921DE">
              <w:rPr>
                <w:rFonts w:ascii="Calibri" w:hAnsi="Calibri" w:cs="Calibri"/>
                <w:b/>
                <w:color w:val="000000"/>
                <w:sz w:val="22"/>
                <w:szCs w:val="22"/>
              </w:rPr>
              <w:t>12308.0</w:t>
            </w:r>
          </w:p>
        </w:tc>
        <w:tc>
          <w:tcPr>
            <w:tcW w:w="992" w:type="dxa"/>
            <w:shd w:val="clear" w:color="auto" w:fill="DBE5F1"/>
            <w:vAlign w:val="bottom"/>
          </w:tcPr>
          <w:p w14:paraId="6246697A" w14:textId="77777777" w:rsidR="000F4C56" w:rsidRPr="00C921DE" w:rsidRDefault="000F4C56" w:rsidP="000F4C56">
            <w:pPr>
              <w:jc w:val="center"/>
              <w:rPr>
                <w:rFonts w:ascii="GHEA Grapalat" w:eastAsia="Calibri" w:hAnsi="GHEA Grapalat" w:cs="Arial"/>
                <w:b/>
                <w:bCs/>
                <w:sz w:val="20"/>
                <w:szCs w:val="20"/>
              </w:rPr>
            </w:pPr>
            <w:r w:rsidRPr="00C921DE">
              <w:rPr>
                <w:rFonts w:ascii="GHEA Grapalat" w:eastAsia="Calibri" w:hAnsi="GHEA Grapalat" w:cs="Arial"/>
                <w:b/>
                <w:bCs/>
                <w:sz w:val="20"/>
                <w:szCs w:val="20"/>
              </w:rPr>
              <w:t>100.0</w:t>
            </w:r>
          </w:p>
        </w:tc>
        <w:tc>
          <w:tcPr>
            <w:tcW w:w="992" w:type="dxa"/>
            <w:shd w:val="clear" w:color="auto" w:fill="DBE5F1"/>
            <w:vAlign w:val="bottom"/>
          </w:tcPr>
          <w:p w14:paraId="4249534C" w14:textId="77777777" w:rsidR="000F4C56" w:rsidRPr="00C921DE" w:rsidRDefault="000F4C56" w:rsidP="000F4C56">
            <w:pPr>
              <w:jc w:val="center"/>
              <w:rPr>
                <w:rFonts w:ascii="GHEA Grapalat" w:eastAsia="Calibri" w:hAnsi="GHEA Grapalat" w:cs="Arial"/>
                <w:b/>
                <w:bCs/>
                <w:sz w:val="20"/>
                <w:szCs w:val="20"/>
                <w:lang w:val="en-US"/>
              </w:rPr>
            </w:pPr>
            <w:r w:rsidRPr="00C921DE">
              <w:rPr>
                <w:rFonts w:ascii="GHEA Grapalat" w:eastAsia="Calibri" w:hAnsi="GHEA Grapalat" w:cs="Arial"/>
                <w:b/>
                <w:bCs/>
                <w:sz w:val="20"/>
                <w:szCs w:val="20"/>
                <w:lang w:val="en-US"/>
              </w:rPr>
              <w:t>40.2</w:t>
            </w:r>
          </w:p>
        </w:tc>
        <w:tc>
          <w:tcPr>
            <w:tcW w:w="1418" w:type="dxa"/>
            <w:shd w:val="clear" w:color="auto" w:fill="DBE5F1"/>
            <w:vAlign w:val="bottom"/>
          </w:tcPr>
          <w:p w14:paraId="120D6C9E" w14:textId="77777777" w:rsidR="000F4C56" w:rsidRPr="00C921DE" w:rsidRDefault="000F4C56" w:rsidP="000F4C56">
            <w:pPr>
              <w:jc w:val="center"/>
              <w:rPr>
                <w:rFonts w:ascii="GHEA Grapalat" w:eastAsia="Calibri" w:hAnsi="GHEA Grapalat" w:cs="Arial"/>
                <w:b/>
                <w:bCs/>
                <w:sz w:val="20"/>
                <w:szCs w:val="20"/>
              </w:rPr>
            </w:pPr>
            <w:r w:rsidRPr="00C921DE">
              <w:rPr>
                <w:rFonts w:ascii="GHEA Grapalat" w:eastAsia="Calibri" w:hAnsi="GHEA Grapalat" w:cs="Arial"/>
                <w:b/>
                <w:bCs/>
                <w:sz w:val="20"/>
                <w:szCs w:val="20"/>
              </w:rPr>
              <w:t>40.2</w:t>
            </w:r>
          </w:p>
        </w:tc>
      </w:tr>
      <w:tr w:rsidR="000F4C56" w:rsidRPr="00C921DE" w14:paraId="11358876" w14:textId="77777777" w:rsidTr="000F4C56">
        <w:tc>
          <w:tcPr>
            <w:tcW w:w="6091" w:type="dxa"/>
            <w:shd w:val="clear" w:color="auto" w:fill="auto"/>
          </w:tcPr>
          <w:p w14:paraId="0A496841"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Կենդանի կենդանիներ և կենդանական ծագման արտադրանք</w:t>
            </w:r>
          </w:p>
        </w:tc>
        <w:tc>
          <w:tcPr>
            <w:tcW w:w="1134" w:type="dxa"/>
            <w:shd w:val="clear" w:color="auto" w:fill="auto"/>
            <w:vAlign w:val="bottom"/>
          </w:tcPr>
          <w:p w14:paraId="3D312FF3" w14:textId="77777777" w:rsidR="000F4C56" w:rsidRPr="00C921DE" w:rsidRDefault="000F4C56" w:rsidP="000F4C56">
            <w:pPr>
              <w:jc w:val="center"/>
              <w:rPr>
                <w:rFonts w:ascii="GHEA Grapalat" w:hAnsi="GHEA Grapalat"/>
                <w:sz w:val="20"/>
              </w:rPr>
            </w:pPr>
            <w:r w:rsidRPr="00C921DE">
              <w:rPr>
                <w:rFonts w:ascii="GHEA Grapalat" w:hAnsi="GHEA Grapalat"/>
                <w:sz w:val="20"/>
              </w:rPr>
              <w:t>248.3</w:t>
            </w:r>
          </w:p>
        </w:tc>
        <w:tc>
          <w:tcPr>
            <w:tcW w:w="992" w:type="dxa"/>
            <w:shd w:val="clear" w:color="auto" w:fill="auto"/>
            <w:vAlign w:val="bottom"/>
          </w:tcPr>
          <w:p w14:paraId="230948CF" w14:textId="77777777" w:rsidR="000F4C56" w:rsidRPr="00C921DE" w:rsidRDefault="000F4C56" w:rsidP="000F4C56">
            <w:pPr>
              <w:jc w:val="center"/>
              <w:rPr>
                <w:rFonts w:ascii="GHEA Grapalat" w:hAnsi="GHEA Grapalat"/>
                <w:sz w:val="20"/>
              </w:rPr>
            </w:pPr>
            <w:r w:rsidRPr="00C921DE">
              <w:rPr>
                <w:rFonts w:ascii="GHEA Grapalat" w:hAnsi="GHEA Grapalat"/>
                <w:sz w:val="20"/>
              </w:rPr>
              <w:t>2.0</w:t>
            </w:r>
          </w:p>
        </w:tc>
        <w:tc>
          <w:tcPr>
            <w:tcW w:w="992" w:type="dxa"/>
            <w:shd w:val="clear" w:color="auto" w:fill="auto"/>
            <w:vAlign w:val="bottom"/>
          </w:tcPr>
          <w:p w14:paraId="363AE446" w14:textId="77777777" w:rsidR="000F4C56" w:rsidRPr="00C921DE" w:rsidRDefault="000F4C56" w:rsidP="000F4C56">
            <w:pPr>
              <w:jc w:val="center"/>
              <w:rPr>
                <w:rFonts w:ascii="GHEA Grapalat" w:hAnsi="GHEA Grapalat"/>
                <w:sz w:val="20"/>
              </w:rPr>
            </w:pPr>
            <w:r w:rsidRPr="00C921DE">
              <w:rPr>
                <w:rFonts w:ascii="GHEA Grapalat" w:hAnsi="GHEA Grapalat"/>
                <w:sz w:val="20"/>
              </w:rPr>
              <w:t>-4.9</w:t>
            </w:r>
          </w:p>
        </w:tc>
        <w:tc>
          <w:tcPr>
            <w:tcW w:w="1418" w:type="dxa"/>
            <w:shd w:val="clear" w:color="auto" w:fill="auto"/>
            <w:vAlign w:val="bottom"/>
          </w:tcPr>
          <w:p w14:paraId="0C541851" w14:textId="77777777" w:rsidR="000F4C56" w:rsidRPr="00C921DE" w:rsidRDefault="000F4C56" w:rsidP="000F4C56">
            <w:pPr>
              <w:jc w:val="center"/>
              <w:rPr>
                <w:rFonts w:ascii="GHEA Grapalat" w:hAnsi="GHEA Grapalat"/>
                <w:sz w:val="20"/>
              </w:rPr>
            </w:pPr>
            <w:r w:rsidRPr="00C921DE">
              <w:rPr>
                <w:rFonts w:ascii="GHEA Grapalat" w:hAnsi="GHEA Grapalat"/>
                <w:sz w:val="20"/>
              </w:rPr>
              <w:t>-0.1</w:t>
            </w:r>
          </w:p>
        </w:tc>
      </w:tr>
      <w:tr w:rsidR="000F4C56" w:rsidRPr="00C921DE" w14:paraId="33C0F374" w14:textId="77777777" w:rsidTr="000F4C56">
        <w:tc>
          <w:tcPr>
            <w:tcW w:w="6091" w:type="dxa"/>
            <w:shd w:val="clear" w:color="auto" w:fill="DBE5F1"/>
          </w:tcPr>
          <w:p w14:paraId="4DC0D0B6"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Բուսական ծագման արտադրանք</w:t>
            </w:r>
          </w:p>
        </w:tc>
        <w:tc>
          <w:tcPr>
            <w:tcW w:w="1134" w:type="dxa"/>
            <w:shd w:val="clear" w:color="auto" w:fill="DBE5F1"/>
            <w:vAlign w:val="bottom"/>
          </w:tcPr>
          <w:p w14:paraId="7913B8A5" w14:textId="77777777" w:rsidR="000F4C56" w:rsidRPr="00C921DE" w:rsidRDefault="000F4C56" w:rsidP="000F4C56">
            <w:pPr>
              <w:jc w:val="center"/>
              <w:rPr>
                <w:rFonts w:ascii="GHEA Grapalat" w:hAnsi="GHEA Grapalat"/>
                <w:sz w:val="20"/>
              </w:rPr>
            </w:pPr>
            <w:r w:rsidRPr="00C921DE">
              <w:rPr>
                <w:rFonts w:ascii="GHEA Grapalat" w:hAnsi="GHEA Grapalat"/>
                <w:sz w:val="20"/>
              </w:rPr>
              <w:t>356.7</w:t>
            </w:r>
          </w:p>
        </w:tc>
        <w:tc>
          <w:tcPr>
            <w:tcW w:w="992" w:type="dxa"/>
            <w:shd w:val="clear" w:color="auto" w:fill="DBE5F1"/>
            <w:vAlign w:val="bottom"/>
          </w:tcPr>
          <w:p w14:paraId="049F8CAE" w14:textId="77777777" w:rsidR="000F4C56" w:rsidRPr="00C921DE" w:rsidRDefault="000F4C56" w:rsidP="000F4C56">
            <w:pPr>
              <w:jc w:val="center"/>
              <w:rPr>
                <w:rFonts w:ascii="GHEA Grapalat" w:hAnsi="GHEA Grapalat"/>
                <w:sz w:val="20"/>
              </w:rPr>
            </w:pPr>
            <w:r w:rsidRPr="00C921DE">
              <w:rPr>
                <w:rFonts w:ascii="GHEA Grapalat" w:hAnsi="GHEA Grapalat"/>
                <w:sz w:val="20"/>
              </w:rPr>
              <w:t>2.9</w:t>
            </w:r>
          </w:p>
        </w:tc>
        <w:tc>
          <w:tcPr>
            <w:tcW w:w="992" w:type="dxa"/>
            <w:shd w:val="clear" w:color="auto" w:fill="DBE5F1"/>
            <w:vAlign w:val="bottom"/>
          </w:tcPr>
          <w:p w14:paraId="77E490B3" w14:textId="77777777" w:rsidR="000F4C56" w:rsidRPr="00C921DE" w:rsidRDefault="000F4C56" w:rsidP="000F4C56">
            <w:pPr>
              <w:jc w:val="center"/>
              <w:rPr>
                <w:rFonts w:ascii="GHEA Grapalat" w:hAnsi="GHEA Grapalat"/>
                <w:sz w:val="20"/>
              </w:rPr>
            </w:pPr>
            <w:r w:rsidRPr="00C921DE">
              <w:rPr>
                <w:rFonts w:ascii="GHEA Grapalat" w:hAnsi="GHEA Grapalat"/>
                <w:sz w:val="20"/>
              </w:rPr>
              <w:t>-15.5</w:t>
            </w:r>
          </w:p>
        </w:tc>
        <w:tc>
          <w:tcPr>
            <w:tcW w:w="1418" w:type="dxa"/>
            <w:shd w:val="clear" w:color="auto" w:fill="DBE5F1"/>
            <w:vAlign w:val="bottom"/>
          </w:tcPr>
          <w:p w14:paraId="16902AA7" w14:textId="77777777" w:rsidR="000F4C56" w:rsidRPr="00C921DE" w:rsidRDefault="000F4C56" w:rsidP="000F4C56">
            <w:pPr>
              <w:jc w:val="center"/>
              <w:rPr>
                <w:rFonts w:ascii="GHEA Grapalat" w:hAnsi="GHEA Grapalat"/>
                <w:sz w:val="20"/>
              </w:rPr>
            </w:pPr>
            <w:r w:rsidRPr="00C921DE">
              <w:rPr>
                <w:rFonts w:ascii="GHEA Grapalat" w:hAnsi="GHEA Grapalat"/>
                <w:sz w:val="20"/>
              </w:rPr>
              <w:t>-0.7</w:t>
            </w:r>
          </w:p>
        </w:tc>
      </w:tr>
      <w:tr w:rsidR="000F4C56" w:rsidRPr="00C921DE" w14:paraId="3C5BA5F1" w14:textId="77777777" w:rsidTr="000F4C56">
        <w:tc>
          <w:tcPr>
            <w:tcW w:w="6091" w:type="dxa"/>
            <w:shd w:val="clear" w:color="auto" w:fill="auto"/>
          </w:tcPr>
          <w:p w14:paraId="0C48781E"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Կենդանական և բուսական ծագման յուղեր և ճարպեր</w:t>
            </w:r>
          </w:p>
        </w:tc>
        <w:tc>
          <w:tcPr>
            <w:tcW w:w="1134" w:type="dxa"/>
            <w:shd w:val="clear" w:color="auto" w:fill="auto"/>
            <w:vAlign w:val="bottom"/>
          </w:tcPr>
          <w:p w14:paraId="5334DB9B" w14:textId="77777777" w:rsidR="000F4C56" w:rsidRPr="00C921DE" w:rsidRDefault="000F4C56" w:rsidP="000F4C56">
            <w:pPr>
              <w:jc w:val="center"/>
              <w:rPr>
                <w:rFonts w:ascii="GHEA Grapalat" w:hAnsi="GHEA Grapalat"/>
                <w:sz w:val="20"/>
              </w:rPr>
            </w:pPr>
            <w:r w:rsidRPr="00C921DE">
              <w:rPr>
                <w:rFonts w:ascii="GHEA Grapalat" w:hAnsi="GHEA Grapalat"/>
                <w:sz w:val="20"/>
              </w:rPr>
              <w:t>66.3</w:t>
            </w:r>
          </w:p>
        </w:tc>
        <w:tc>
          <w:tcPr>
            <w:tcW w:w="992" w:type="dxa"/>
            <w:shd w:val="clear" w:color="auto" w:fill="auto"/>
            <w:vAlign w:val="bottom"/>
          </w:tcPr>
          <w:p w14:paraId="2DD9B8CE" w14:textId="77777777" w:rsidR="000F4C56" w:rsidRPr="00C921DE" w:rsidRDefault="000F4C56" w:rsidP="000F4C56">
            <w:pPr>
              <w:jc w:val="center"/>
              <w:rPr>
                <w:rFonts w:ascii="GHEA Grapalat" w:hAnsi="GHEA Grapalat"/>
                <w:sz w:val="20"/>
              </w:rPr>
            </w:pPr>
            <w:r w:rsidRPr="00C921DE">
              <w:rPr>
                <w:rFonts w:ascii="GHEA Grapalat" w:hAnsi="GHEA Grapalat"/>
                <w:sz w:val="20"/>
              </w:rPr>
              <w:t>0.5</w:t>
            </w:r>
          </w:p>
        </w:tc>
        <w:tc>
          <w:tcPr>
            <w:tcW w:w="992" w:type="dxa"/>
            <w:shd w:val="clear" w:color="auto" w:fill="auto"/>
            <w:vAlign w:val="bottom"/>
          </w:tcPr>
          <w:p w14:paraId="1493751B" w14:textId="77777777" w:rsidR="000F4C56" w:rsidRPr="00C921DE" w:rsidRDefault="000F4C56" w:rsidP="000F4C56">
            <w:pPr>
              <w:jc w:val="center"/>
              <w:rPr>
                <w:rFonts w:ascii="GHEA Grapalat" w:hAnsi="GHEA Grapalat"/>
                <w:sz w:val="20"/>
              </w:rPr>
            </w:pPr>
            <w:r w:rsidRPr="00C921DE">
              <w:rPr>
                <w:rFonts w:ascii="GHEA Grapalat" w:hAnsi="GHEA Grapalat"/>
                <w:sz w:val="20"/>
              </w:rPr>
              <w:t>-37.3</w:t>
            </w:r>
          </w:p>
        </w:tc>
        <w:tc>
          <w:tcPr>
            <w:tcW w:w="1418" w:type="dxa"/>
            <w:shd w:val="clear" w:color="auto" w:fill="auto"/>
            <w:vAlign w:val="bottom"/>
          </w:tcPr>
          <w:p w14:paraId="78003E1C" w14:textId="77777777" w:rsidR="000F4C56" w:rsidRPr="00C921DE" w:rsidRDefault="000F4C56" w:rsidP="000F4C56">
            <w:pPr>
              <w:jc w:val="center"/>
              <w:rPr>
                <w:rFonts w:ascii="GHEA Grapalat" w:hAnsi="GHEA Grapalat"/>
                <w:sz w:val="20"/>
              </w:rPr>
            </w:pPr>
            <w:r w:rsidRPr="00C921DE">
              <w:rPr>
                <w:rFonts w:ascii="GHEA Grapalat" w:hAnsi="GHEA Grapalat"/>
                <w:sz w:val="20"/>
              </w:rPr>
              <w:t>-0.4</w:t>
            </w:r>
          </w:p>
        </w:tc>
      </w:tr>
      <w:tr w:rsidR="000F4C56" w:rsidRPr="00C921DE" w14:paraId="62EBA687" w14:textId="77777777" w:rsidTr="000F4C56">
        <w:tc>
          <w:tcPr>
            <w:tcW w:w="6091" w:type="dxa"/>
            <w:shd w:val="clear" w:color="auto" w:fill="DBE5F1"/>
          </w:tcPr>
          <w:p w14:paraId="22F9EC70"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Պատրաստի սննդի արտադրանք</w:t>
            </w:r>
          </w:p>
        </w:tc>
        <w:tc>
          <w:tcPr>
            <w:tcW w:w="1134" w:type="dxa"/>
            <w:shd w:val="clear" w:color="auto" w:fill="DBE5F1"/>
            <w:vAlign w:val="bottom"/>
          </w:tcPr>
          <w:p w14:paraId="68F04F04" w14:textId="77777777" w:rsidR="000F4C56" w:rsidRPr="00C921DE" w:rsidRDefault="000F4C56" w:rsidP="000F4C56">
            <w:pPr>
              <w:jc w:val="center"/>
              <w:rPr>
                <w:rFonts w:ascii="GHEA Grapalat" w:hAnsi="GHEA Grapalat"/>
                <w:sz w:val="20"/>
              </w:rPr>
            </w:pPr>
            <w:r w:rsidRPr="00C921DE">
              <w:rPr>
                <w:rFonts w:ascii="GHEA Grapalat" w:hAnsi="GHEA Grapalat"/>
                <w:sz w:val="20"/>
              </w:rPr>
              <w:t>617.8</w:t>
            </w:r>
          </w:p>
        </w:tc>
        <w:tc>
          <w:tcPr>
            <w:tcW w:w="992" w:type="dxa"/>
            <w:shd w:val="clear" w:color="auto" w:fill="DBE5F1"/>
            <w:vAlign w:val="bottom"/>
          </w:tcPr>
          <w:p w14:paraId="66142D7C" w14:textId="77777777" w:rsidR="000F4C56" w:rsidRPr="00C921DE" w:rsidRDefault="000F4C56" w:rsidP="000F4C56">
            <w:pPr>
              <w:jc w:val="center"/>
              <w:rPr>
                <w:rFonts w:ascii="GHEA Grapalat" w:hAnsi="GHEA Grapalat"/>
                <w:sz w:val="20"/>
              </w:rPr>
            </w:pPr>
            <w:r w:rsidRPr="00C921DE">
              <w:rPr>
                <w:rFonts w:ascii="GHEA Grapalat" w:hAnsi="GHEA Grapalat"/>
                <w:sz w:val="20"/>
              </w:rPr>
              <w:t>5.0</w:t>
            </w:r>
          </w:p>
        </w:tc>
        <w:tc>
          <w:tcPr>
            <w:tcW w:w="992" w:type="dxa"/>
            <w:shd w:val="clear" w:color="auto" w:fill="DBE5F1"/>
            <w:vAlign w:val="bottom"/>
          </w:tcPr>
          <w:p w14:paraId="2F21D081" w14:textId="77777777" w:rsidR="000F4C56" w:rsidRPr="00C921DE" w:rsidRDefault="000F4C56" w:rsidP="000F4C56">
            <w:pPr>
              <w:jc w:val="center"/>
              <w:rPr>
                <w:rFonts w:ascii="GHEA Grapalat" w:hAnsi="GHEA Grapalat"/>
                <w:sz w:val="20"/>
              </w:rPr>
            </w:pPr>
            <w:r w:rsidRPr="00C921DE">
              <w:rPr>
                <w:rFonts w:ascii="GHEA Grapalat" w:hAnsi="GHEA Grapalat"/>
                <w:sz w:val="20"/>
              </w:rPr>
              <w:t>6.6</w:t>
            </w:r>
          </w:p>
        </w:tc>
        <w:tc>
          <w:tcPr>
            <w:tcW w:w="1418" w:type="dxa"/>
            <w:shd w:val="clear" w:color="auto" w:fill="DBE5F1"/>
            <w:vAlign w:val="bottom"/>
          </w:tcPr>
          <w:p w14:paraId="3F48B244" w14:textId="77777777" w:rsidR="000F4C56" w:rsidRPr="00C921DE" w:rsidRDefault="000F4C56" w:rsidP="000F4C56">
            <w:pPr>
              <w:jc w:val="center"/>
              <w:rPr>
                <w:rFonts w:ascii="GHEA Grapalat" w:hAnsi="GHEA Grapalat"/>
                <w:sz w:val="20"/>
              </w:rPr>
            </w:pPr>
            <w:r w:rsidRPr="00C921DE">
              <w:rPr>
                <w:rFonts w:ascii="GHEA Grapalat" w:hAnsi="GHEA Grapalat"/>
                <w:sz w:val="20"/>
              </w:rPr>
              <w:t>0.4</w:t>
            </w:r>
          </w:p>
        </w:tc>
      </w:tr>
      <w:tr w:rsidR="000F4C56" w:rsidRPr="00C921DE" w14:paraId="7F973CEF" w14:textId="77777777" w:rsidTr="000F4C56">
        <w:tc>
          <w:tcPr>
            <w:tcW w:w="6091" w:type="dxa"/>
            <w:shd w:val="clear" w:color="auto" w:fill="auto"/>
          </w:tcPr>
          <w:p w14:paraId="0560825B"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Հանքահումքային արտադրանք</w:t>
            </w:r>
          </w:p>
        </w:tc>
        <w:tc>
          <w:tcPr>
            <w:tcW w:w="1134" w:type="dxa"/>
            <w:shd w:val="clear" w:color="auto" w:fill="auto"/>
            <w:vAlign w:val="bottom"/>
          </w:tcPr>
          <w:p w14:paraId="62759374" w14:textId="77777777" w:rsidR="000F4C56" w:rsidRPr="00C921DE" w:rsidRDefault="000F4C56" w:rsidP="000F4C56">
            <w:pPr>
              <w:jc w:val="center"/>
              <w:rPr>
                <w:rFonts w:ascii="GHEA Grapalat" w:hAnsi="GHEA Grapalat"/>
                <w:sz w:val="20"/>
              </w:rPr>
            </w:pPr>
            <w:r w:rsidRPr="00C921DE">
              <w:rPr>
                <w:rFonts w:ascii="GHEA Grapalat" w:hAnsi="GHEA Grapalat"/>
                <w:sz w:val="20"/>
              </w:rPr>
              <w:t>1113.2</w:t>
            </w:r>
          </w:p>
        </w:tc>
        <w:tc>
          <w:tcPr>
            <w:tcW w:w="992" w:type="dxa"/>
            <w:shd w:val="clear" w:color="auto" w:fill="auto"/>
            <w:vAlign w:val="bottom"/>
          </w:tcPr>
          <w:p w14:paraId="53A6C466" w14:textId="77777777" w:rsidR="000F4C56" w:rsidRPr="00C921DE" w:rsidRDefault="000F4C56" w:rsidP="000F4C56">
            <w:pPr>
              <w:jc w:val="center"/>
              <w:rPr>
                <w:rFonts w:ascii="GHEA Grapalat" w:hAnsi="GHEA Grapalat"/>
                <w:sz w:val="20"/>
              </w:rPr>
            </w:pPr>
            <w:r w:rsidRPr="00C921DE">
              <w:rPr>
                <w:rFonts w:ascii="GHEA Grapalat" w:hAnsi="GHEA Grapalat"/>
                <w:sz w:val="20"/>
              </w:rPr>
              <w:t>9.0</w:t>
            </w:r>
          </w:p>
        </w:tc>
        <w:tc>
          <w:tcPr>
            <w:tcW w:w="992" w:type="dxa"/>
            <w:shd w:val="clear" w:color="auto" w:fill="auto"/>
            <w:vAlign w:val="bottom"/>
          </w:tcPr>
          <w:p w14:paraId="3FC94F2D" w14:textId="77777777" w:rsidR="000F4C56" w:rsidRPr="00C921DE" w:rsidRDefault="000F4C56" w:rsidP="000F4C56">
            <w:pPr>
              <w:jc w:val="center"/>
              <w:rPr>
                <w:rFonts w:ascii="GHEA Grapalat" w:hAnsi="GHEA Grapalat"/>
                <w:sz w:val="20"/>
              </w:rPr>
            </w:pPr>
            <w:r w:rsidRPr="00C921DE">
              <w:rPr>
                <w:rFonts w:ascii="GHEA Grapalat" w:hAnsi="GHEA Grapalat"/>
                <w:sz w:val="20"/>
              </w:rPr>
              <w:t>-6.9</w:t>
            </w:r>
          </w:p>
        </w:tc>
        <w:tc>
          <w:tcPr>
            <w:tcW w:w="1418" w:type="dxa"/>
            <w:shd w:val="clear" w:color="auto" w:fill="auto"/>
            <w:vAlign w:val="bottom"/>
          </w:tcPr>
          <w:p w14:paraId="28EF4E2F" w14:textId="77777777" w:rsidR="000F4C56" w:rsidRPr="00C921DE" w:rsidRDefault="000F4C56" w:rsidP="000F4C56">
            <w:pPr>
              <w:jc w:val="center"/>
              <w:rPr>
                <w:rFonts w:ascii="GHEA Grapalat" w:hAnsi="GHEA Grapalat"/>
                <w:sz w:val="20"/>
              </w:rPr>
            </w:pPr>
            <w:r w:rsidRPr="00C921DE">
              <w:rPr>
                <w:rFonts w:ascii="GHEA Grapalat" w:hAnsi="GHEA Grapalat"/>
                <w:sz w:val="20"/>
              </w:rPr>
              <w:t>-0.9</w:t>
            </w:r>
          </w:p>
        </w:tc>
      </w:tr>
      <w:tr w:rsidR="000F4C56" w:rsidRPr="00C921DE" w14:paraId="16D904A4" w14:textId="77777777" w:rsidTr="000F4C56">
        <w:tc>
          <w:tcPr>
            <w:tcW w:w="6091" w:type="dxa"/>
            <w:shd w:val="clear" w:color="auto" w:fill="DBE5F1"/>
          </w:tcPr>
          <w:p w14:paraId="68099130"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Քիմիայի և դրա հետ կապված արդյունաբերության ճյուղերի արտադրանք</w:t>
            </w:r>
          </w:p>
        </w:tc>
        <w:tc>
          <w:tcPr>
            <w:tcW w:w="1134" w:type="dxa"/>
            <w:shd w:val="clear" w:color="auto" w:fill="DBE5F1"/>
            <w:vAlign w:val="bottom"/>
          </w:tcPr>
          <w:p w14:paraId="5213BBB9" w14:textId="77777777" w:rsidR="000F4C56" w:rsidRPr="00C921DE" w:rsidRDefault="000F4C56" w:rsidP="000F4C56">
            <w:pPr>
              <w:jc w:val="center"/>
              <w:rPr>
                <w:rFonts w:ascii="GHEA Grapalat" w:hAnsi="GHEA Grapalat"/>
                <w:sz w:val="20"/>
              </w:rPr>
            </w:pPr>
            <w:r w:rsidRPr="00C921DE">
              <w:rPr>
                <w:rFonts w:ascii="GHEA Grapalat" w:hAnsi="GHEA Grapalat"/>
                <w:sz w:val="20"/>
              </w:rPr>
              <w:t>622.8</w:t>
            </w:r>
          </w:p>
        </w:tc>
        <w:tc>
          <w:tcPr>
            <w:tcW w:w="992" w:type="dxa"/>
            <w:shd w:val="clear" w:color="auto" w:fill="DBE5F1"/>
            <w:vAlign w:val="bottom"/>
          </w:tcPr>
          <w:p w14:paraId="5A158784" w14:textId="77777777" w:rsidR="000F4C56" w:rsidRPr="00C921DE" w:rsidRDefault="000F4C56" w:rsidP="000F4C56">
            <w:pPr>
              <w:jc w:val="center"/>
              <w:rPr>
                <w:rFonts w:ascii="GHEA Grapalat" w:hAnsi="GHEA Grapalat"/>
                <w:sz w:val="20"/>
              </w:rPr>
            </w:pPr>
            <w:r w:rsidRPr="00C921DE">
              <w:rPr>
                <w:rFonts w:ascii="GHEA Grapalat" w:hAnsi="GHEA Grapalat"/>
                <w:sz w:val="20"/>
              </w:rPr>
              <w:t>5.1</w:t>
            </w:r>
          </w:p>
        </w:tc>
        <w:tc>
          <w:tcPr>
            <w:tcW w:w="992" w:type="dxa"/>
            <w:shd w:val="clear" w:color="auto" w:fill="DBE5F1"/>
            <w:vAlign w:val="bottom"/>
          </w:tcPr>
          <w:p w14:paraId="06FCAE98" w14:textId="77777777" w:rsidR="000F4C56" w:rsidRPr="00C921DE" w:rsidRDefault="000F4C56" w:rsidP="000F4C56">
            <w:pPr>
              <w:jc w:val="center"/>
              <w:rPr>
                <w:rFonts w:ascii="GHEA Grapalat" w:hAnsi="GHEA Grapalat"/>
                <w:sz w:val="20"/>
              </w:rPr>
            </w:pPr>
            <w:r w:rsidRPr="00C921DE">
              <w:rPr>
                <w:rFonts w:ascii="GHEA Grapalat" w:hAnsi="GHEA Grapalat"/>
                <w:sz w:val="20"/>
              </w:rPr>
              <w:t>5.9</w:t>
            </w:r>
          </w:p>
        </w:tc>
        <w:tc>
          <w:tcPr>
            <w:tcW w:w="1418" w:type="dxa"/>
            <w:shd w:val="clear" w:color="auto" w:fill="DBE5F1"/>
            <w:vAlign w:val="bottom"/>
          </w:tcPr>
          <w:p w14:paraId="26C2B651" w14:textId="77777777" w:rsidR="000F4C56" w:rsidRPr="00C921DE" w:rsidRDefault="000F4C56" w:rsidP="000F4C56">
            <w:pPr>
              <w:jc w:val="center"/>
              <w:rPr>
                <w:rFonts w:ascii="GHEA Grapalat" w:hAnsi="GHEA Grapalat"/>
                <w:sz w:val="20"/>
              </w:rPr>
            </w:pPr>
            <w:r w:rsidRPr="00C921DE">
              <w:rPr>
                <w:rFonts w:ascii="GHEA Grapalat" w:hAnsi="GHEA Grapalat"/>
                <w:sz w:val="20"/>
              </w:rPr>
              <w:t>0.4</w:t>
            </w:r>
          </w:p>
        </w:tc>
      </w:tr>
      <w:tr w:rsidR="000F4C56" w:rsidRPr="00C921DE" w14:paraId="7507433D" w14:textId="77777777" w:rsidTr="000F4C56">
        <w:tc>
          <w:tcPr>
            <w:tcW w:w="6091" w:type="dxa"/>
            <w:shd w:val="clear" w:color="auto" w:fill="auto"/>
          </w:tcPr>
          <w:p w14:paraId="1E93B86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Պլաստմասսա և դրանցից իրեր, կաուչուկ և ռետինե իրեր</w:t>
            </w:r>
          </w:p>
        </w:tc>
        <w:tc>
          <w:tcPr>
            <w:tcW w:w="1134" w:type="dxa"/>
            <w:shd w:val="clear" w:color="auto" w:fill="auto"/>
            <w:vAlign w:val="bottom"/>
          </w:tcPr>
          <w:p w14:paraId="24173E49" w14:textId="77777777" w:rsidR="000F4C56" w:rsidRPr="00C921DE" w:rsidRDefault="000F4C56" w:rsidP="000F4C56">
            <w:pPr>
              <w:jc w:val="center"/>
              <w:rPr>
                <w:rFonts w:ascii="GHEA Grapalat" w:hAnsi="GHEA Grapalat"/>
                <w:sz w:val="20"/>
              </w:rPr>
            </w:pPr>
            <w:r w:rsidRPr="00C921DE">
              <w:rPr>
                <w:rFonts w:ascii="GHEA Grapalat" w:hAnsi="GHEA Grapalat"/>
                <w:sz w:val="20"/>
              </w:rPr>
              <w:t>351.8</w:t>
            </w:r>
          </w:p>
        </w:tc>
        <w:tc>
          <w:tcPr>
            <w:tcW w:w="992" w:type="dxa"/>
            <w:shd w:val="clear" w:color="auto" w:fill="auto"/>
            <w:vAlign w:val="bottom"/>
          </w:tcPr>
          <w:p w14:paraId="2ABD46B2" w14:textId="77777777" w:rsidR="000F4C56" w:rsidRPr="00C921DE" w:rsidRDefault="000F4C56" w:rsidP="000F4C56">
            <w:pPr>
              <w:jc w:val="center"/>
              <w:rPr>
                <w:rFonts w:ascii="GHEA Grapalat" w:hAnsi="GHEA Grapalat"/>
                <w:sz w:val="20"/>
              </w:rPr>
            </w:pPr>
            <w:r w:rsidRPr="00C921DE">
              <w:rPr>
                <w:rFonts w:ascii="GHEA Grapalat" w:hAnsi="GHEA Grapalat"/>
                <w:sz w:val="20"/>
              </w:rPr>
              <w:t>2.9</w:t>
            </w:r>
          </w:p>
        </w:tc>
        <w:tc>
          <w:tcPr>
            <w:tcW w:w="992" w:type="dxa"/>
            <w:shd w:val="clear" w:color="auto" w:fill="auto"/>
            <w:vAlign w:val="bottom"/>
          </w:tcPr>
          <w:p w14:paraId="3A4DDBC7" w14:textId="77777777" w:rsidR="000F4C56" w:rsidRPr="00C921DE" w:rsidRDefault="000F4C56" w:rsidP="000F4C56">
            <w:pPr>
              <w:jc w:val="center"/>
              <w:rPr>
                <w:rFonts w:ascii="GHEA Grapalat" w:hAnsi="GHEA Grapalat"/>
                <w:sz w:val="20"/>
              </w:rPr>
            </w:pPr>
            <w:r w:rsidRPr="00C921DE">
              <w:rPr>
                <w:rFonts w:ascii="GHEA Grapalat" w:hAnsi="GHEA Grapalat"/>
                <w:sz w:val="20"/>
              </w:rPr>
              <w:t>7.4</w:t>
            </w:r>
          </w:p>
        </w:tc>
        <w:tc>
          <w:tcPr>
            <w:tcW w:w="1418" w:type="dxa"/>
            <w:shd w:val="clear" w:color="auto" w:fill="auto"/>
            <w:vAlign w:val="bottom"/>
          </w:tcPr>
          <w:p w14:paraId="57F53536" w14:textId="77777777" w:rsidR="000F4C56" w:rsidRPr="00C921DE" w:rsidRDefault="000F4C56" w:rsidP="000F4C56">
            <w:pPr>
              <w:jc w:val="center"/>
              <w:rPr>
                <w:rFonts w:ascii="GHEA Grapalat" w:hAnsi="GHEA Grapalat"/>
                <w:sz w:val="20"/>
              </w:rPr>
            </w:pPr>
            <w:r w:rsidRPr="00C921DE">
              <w:rPr>
                <w:rFonts w:ascii="GHEA Grapalat" w:hAnsi="GHEA Grapalat"/>
                <w:sz w:val="20"/>
              </w:rPr>
              <w:t>0.3</w:t>
            </w:r>
          </w:p>
        </w:tc>
      </w:tr>
      <w:tr w:rsidR="000F4C56" w:rsidRPr="00C921DE" w14:paraId="0145AACB" w14:textId="77777777" w:rsidTr="000F4C56">
        <w:tc>
          <w:tcPr>
            <w:tcW w:w="6091" w:type="dxa"/>
            <w:shd w:val="clear" w:color="auto" w:fill="DBE5F1"/>
          </w:tcPr>
          <w:p w14:paraId="32AB6735"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Կաշվի հումք, կաշի, մորթի և դրանցից պատրաստված իրեր</w:t>
            </w:r>
          </w:p>
        </w:tc>
        <w:tc>
          <w:tcPr>
            <w:tcW w:w="1134" w:type="dxa"/>
            <w:shd w:val="clear" w:color="auto" w:fill="DBE5F1"/>
            <w:vAlign w:val="bottom"/>
          </w:tcPr>
          <w:p w14:paraId="74A33365" w14:textId="77777777" w:rsidR="000F4C56" w:rsidRPr="00C921DE" w:rsidRDefault="000F4C56" w:rsidP="000F4C56">
            <w:pPr>
              <w:jc w:val="center"/>
              <w:rPr>
                <w:rFonts w:ascii="GHEA Grapalat" w:hAnsi="GHEA Grapalat"/>
                <w:sz w:val="20"/>
              </w:rPr>
            </w:pPr>
            <w:r w:rsidRPr="00C921DE">
              <w:rPr>
                <w:rFonts w:ascii="GHEA Grapalat" w:hAnsi="GHEA Grapalat"/>
                <w:sz w:val="20"/>
              </w:rPr>
              <w:t>42.3</w:t>
            </w:r>
          </w:p>
        </w:tc>
        <w:tc>
          <w:tcPr>
            <w:tcW w:w="992" w:type="dxa"/>
            <w:shd w:val="clear" w:color="auto" w:fill="DBE5F1"/>
            <w:vAlign w:val="bottom"/>
          </w:tcPr>
          <w:p w14:paraId="33F78D0C" w14:textId="77777777" w:rsidR="000F4C56" w:rsidRPr="00C921DE" w:rsidRDefault="000F4C56" w:rsidP="000F4C56">
            <w:pPr>
              <w:jc w:val="center"/>
              <w:rPr>
                <w:rFonts w:ascii="GHEA Grapalat" w:hAnsi="GHEA Grapalat"/>
                <w:sz w:val="20"/>
              </w:rPr>
            </w:pPr>
            <w:r w:rsidRPr="00C921DE">
              <w:rPr>
                <w:rFonts w:ascii="GHEA Grapalat" w:hAnsi="GHEA Grapalat"/>
                <w:sz w:val="20"/>
              </w:rPr>
              <w:t>0.3</w:t>
            </w:r>
          </w:p>
        </w:tc>
        <w:tc>
          <w:tcPr>
            <w:tcW w:w="992" w:type="dxa"/>
            <w:shd w:val="clear" w:color="auto" w:fill="DBE5F1"/>
            <w:vAlign w:val="bottom"/>
          </w:tcPr>
          <w:p w14:paraId="3AEAD9CE" w14:textId="77777777" w:rsidR="000F4C56" w:rsidRPr="00C921DE" w:rsidRDefault="000F4C56" w:rsidP="000F4C56">
            <w:pPr>
              <w:jc w:val="center"/>
              <w:rPr>
                <w:rFonts w:ascii="GHEA Grapalat" w:hAnsi="GHEA Grapalat"/>
                <w:sz w:val="20"/>
              </w:rPr>
            </w:pPr>
            <w:r w:rsidRPr="00C921DE">
              <w:rPr>
                <w:rFonts w:ascii="GHEA Grapalat" w:hAnsi="GHEA Grapalat"/>
                <w:sz w:val="20"/>
              </w:rPr>
              <w:t>48.9</w:t>
            </w:r>
          </w:p>
        </w:tc>
        <w:tc>
          <w:tcPr>
            <w:tcW w:w="1418" w:type="dxa"/>
            <w:shd w:val="clear" w:color="auto" w:fill="DBE5F1"/>
            <w:vAlign w:val="bottom"/>
          </w:tcPr>
          <w:p w14:paraId="5EB28282" w14:textId="77777777" w:rsidR="000F4C56" w:rsidRPr="00C921DE" w:rsidRDefault="000F4C56" w:rsidP="000F4C56">
            <w:pPr>
              <w:jc w:val="center"/>
              <w:rPr>
                <w:rFonts w:ascii="GHEA Grapalat" w:hAnsi="GHEA Grapalat"/>
                <w:sz w:val="20"/>
              </w:rPr>
            </w:pPr>
            <w:r w:rsidRPr="00C921DE">
              <w:rPr>
                <w:rFonts w:ascii="GHEA Grapalat" w:hAnsi="GHEA Grapalat"/>
                <w:sz w:val="20"/>
              </w:rPr>
              <w:t>0.2</w:t>
            </w:r>
          </w:p>
        </w:tc>
      </w:tr>
      <w:tr w:rsidR="000F4C56" w:rsidRPr="00C921DE" w14:paraId="0C4A7915" w14:textId="77777777" w:rsidTr="000F4C56">
        <w:tc>
          <w:tcPr>
            <w:tcW w:w="6091" w:type="dxa"/>
            <w:shd w:val="clear" w:color="auto" w:fill="auto"/>
          </w:tcPr>
          <w:p w14:paraId="68B5E0F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 xml:space="preserve">Փայտ և փայտյա իրեր </w:t>
            </w:r>
          </w:p>
        </w:tc>
        <w:tc>
          <w:tcPr>
            <w:tcW w:w="1134" w:type="dxa"/>
            <w:shd w:val="clear" w:color="auto" w:fill="auto"/>
            <w:vAlign w:val="bottom"/>
          </w:tcPr>
          <w:p w14:paraId="248579C5" w14:textId="77777777" w:rsidR="000F4C56" w:rsidRPr="00C921DE" w:rsidRDefault="000F4C56" w:rsidP="000F4C56">
            <w:pPr>
              <w:jc w:val="center"/>
              <w:rPr>
                <w:rFonts w:ascii="GHEA Grapalat" w:hAnsi="GHEA Grapalat"/>
                <w:sz w:val="20"/>
              </w:rPr>
            </w:pPr>
            <w:r w:rsidRPr="00C921DE">
              <w:rPr>
                <w:rFonts w:ascii="GHEA Grapalat" w:hAnsi="GHEA Grapalat"/>
                <w:sz w:val="20"/>
              </w:rPr>
              <w:t>88.4</w:t>
            </w:r>
          </w:p>
        </w:tc>
        <w:tc>
          <w:tcPr>
            <w:tcW w:w="992" w:type="dxa"/>
            <w:shd w:val="clear" w:color="auto" w:fill="auto"/>
            <w:vAlign w:val="bottom"/>
          </w:tcPr>
          <w:p w14:paraId="2F9D456C" w14:textId="77777777" w:rsidR="000F4C56" w:rsidRPr="00C921DE" w:rsidRDefault="000F4C56" w:rsidP="000F4C56">
            <w:pPr>
              <w:jc w:val="center"/>
              <w:rPr>
                <w:rFonts w:ascii="GHEA Grapalat" w:hAnsi="GHEA Grapalat"/>
                <w:sz w:val="20"/>
              </w:rPr>
            </w:pPr>
            <w:r w:rsidRPr="00C921DE">
              <w:rPr>
                <w:rFonts w:ascii="GHEA Grapalat" w:hAnsi="GHEA Grapalat"/>
                <w:sz w:val="20"/>
              </w:rPr>
              <w:t>0.7</w:t>
            </w:r>
          </w:p>
        </w:tc>
        <w:tc>
          <w:tcPr>
            <w:tcW w:w="992" w:type="dxa"/>
            <w:shd w:val="clear" w:color="auto" w:fill="auto"/>
            <w:vAlign w:val="bottom"/>
          </w:tcPr>
          <w:p w14:paraId="3F7D0552" w14:textId="77777777" w:rsidR="000F4C56" w:rsidRPr="00C921DE" w:rsidRDefault="000F4C56" w:rsidP="000F4C56">
            <w:pPr>
              <w:jc w:val="center"/>
              <w:rPr>
                <w:rFonts w:ascii="GHEA Grapalat" w:hAnsi="GHEA Grapalat"/>
                <w:sz w:val="20"/>
              </w:rPr>
            </w:pPr>
            <w:r w:rsidRPr="00C921DE">
              <w:rPr>
                <w:rFonts w:ascii="GHEA Grapalat" w:hAnsi="GHEA Grapalat"/>
                <w:sz w:val="20"/>
              </w:rPr>
              <w:t>-6.0</w:t>
            </w:r>
          </w:p>
        </w:tc>
        <w:tc>
          <w:tcPr>
            <w:tcW w:w="1418" w:type="dxa"/>
            <w:shd w:val="clear" w:color="auto" w:fill="auto"/>
            <w:vAlign w:val="bottom"/>
          </w:tcPr>
          <w:p w14:paraId="3A41E066" w14:textId="77777777" w:rsidR="000F4C56" w:rsidRPr="00C921DE" w:rsidRDefault="000F4C56" w:rsidP="000F4C56">
            <w:pPr>
              <w:jc w:val="center"/>
              <w:rPr>
                <w:rFonts w:ascii="GHEA Grapalat" w:hAnsi="GHEA Grapalat"/>
                <w:sz w:val="20"/>
              </w:rPr>
            </w:pPr>
            <w:r w:rsidRPr="00C921DE">
              <w:rPr>
                <w:rFonts w:ascii="GHEA Grapalat" w:hAnsi="GHEA Grapalat"/>
                <w:sz w:val="20"/>
              </w:rPr>
              <w:t>-0.1</w:t>
            </w:r>
          </w:p>
        </w:tc>
      </w:tr>
      <w:tr w:rsidR="000F4C56" w:rsidRPr="00C921DE" w14:paraId="6ACE8C5F" w14:textId="77777777" w:rsidTr="000F4C56">
        <w:tc>
          <w:tcPr>
            <w:tcW w:w="6091" w:type="dxa"/>
            <w:shd w:val="clear" w:color="auto" w:fill="DBE5F1"/>
          </w:tcPr>
          <w:p w14:paraId="2013CDC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Թուղթ և թղթից իրեր</w:t>
            </w:r>
          </w:p>
        </w:tc>
        <w:tc>
          <w:tcPr>
            <w:tcW w:w="1134" w:type="dxa"/>
            <w:shd w:val="clear" w:color="auto" w:fill="DBE5F1"/>
            <w:vAlign w:val="bottom"/>
          </w:tcPr>
          <w:p w14:paraId="32CB3400" w14:textId="77777777" w:rsidR="000F4C56" w:rsidRPr="00C921DE" w:rsidRDefault="000F4C56" w:rsidP="000F4C56">
            <w:pPr>
              <w:jc w:val="center"/>
              <w:rPr>
                <w:rFonts w:ascii="GHEA Grapalat" w:hAnsi="GHEA Grapalat"/>
                <w:sz w:val="20"/>
              </w:rPr>
            </w:pPr>
            <w:r w:rsidRPr="00C921DE">
              <w:rPr>
                <w:rFonts w:ascii="GHEA Grapalat" w:hAnsi="GHEA Grapalat"/>
                <w:sz w:val="20"/>
              </w:rPr>
              <w:t>147.5</w:t>
            </w:r>
          </w:p>
        </w:tc>
        <w:tc>
          <w:tcPr>
            <w:tcW w:w="992" w:type="dxa"/>
            <w:shd w:val="clear" w:color="auto" w:fill="DBE5F1"/>
            <w:vAlign w:val="bottom"/>
          </w:tcPr>
          <w:p w14:paraId="3896A783" w14:textId="77777777" w:rsidR="000F4C56" w:rsidRPr="00C921DE" w:rsidRDefault="000F4C56" w:rsidP="000F4C56">
            <w:pPr>
              <w:jc w:val="center"/>
              <w:rPr>
                <w:rFonts w:ascii="GHEA Grapalat" w:hAnsi="GHEA Grapalat"/>
                <w:sz w:val="20"/>
              </w:rPr>
            </w:pPr>
            <w:r w:rsidRPr="00C921DE">
              <w:rPr>
                <w:rFonts w:ascii="GHEA Grapalat" w:hAnsi="GHEA Grapalat"/>
                <w:sz w:val="20"/>
              </w:rPr>
              <w:t>1.2</w:t>
            </w:r>
          </w:p>
        </w:tc>
        <w:tc>
          <w:tcPr>
            <w:tcW w:w="992" w:type="dxa"/>
            <w:shd w:val="clear" w:color="auto" w:fill="DBE5F1"/>
            <w:vAlign w:val="bottom"/>
          </w:tcPr>
          <w:p w14:paraId="06A51952" w14:textId="77777777" w:rsidR="000F4C56" w:rsidRPr="00C921DE" w:rsidRDefault="000F4C56" w:rsidP="000F4C56">
            <w:pPr>
              <w:jc w:val="center"/>
              <w:rPr>
                <w:rFonts w:ascii="GHEA Grapalat" w:hAnsi="GHEA Grapalat"/>
                <w:sz w:val="20"/>
              </w:rPr>
            </w:pPr>
            <w:r w:rsidRPr="00C921DE">
              <w:rPr>
                <w:rFonts w:ascii="GHEA Grapalat" w:hAnsi="GHEA Grapalat"/>
                <w:sz w:val="20"/>
              </w:rPr>
              <w:t>7.1</w:t>
            </w:r>
          </w:p>
        </w:tc>
        <w:tc>
          <w:tcPr>
            <w:tcW w:w="1418" w:type="dxa"/>
            <w:shd w:val="clear" w:color="auto" w:fill="DBE5F1"/>
            <w:vAlign w:val="bottom"/>
          </w:tcPr>
          <w:p w14:paraId="06C91245" w14:textId="77777777" w:rsidR="000F4C56" w:rsidRPr="00C921DE" w:rsidRDefault="000F4C56" w:rsidP="000F4C56">
            <w:pPr>
              <w:jc w:val="center"/>
              <w:rPr>
                <w:rFonts w:ascii="GHEA Grapalat" w:hAnsi="GHEA Grapalat"/>
                <w:sz w:val="20"/>
              </w:rPr>
            </w:pPr>
            <w:r w:rsidRPr="00C921DE">
              <w:rPr>
                <w:rFonts w:ascii="GHEA Grapalat" w:hAnsi="GHEA Grapalat"/>
                <w:sz w:val="20"/>
              </w:rPr>
              <w:t>0.1</w:t>
            </w:r>
          </w:p>
        </w:tc>
      </w:tr>
      <w:tr w:rsidR="000F4C56" w:rsidRPr="00C921DE" w14:paraId="01B28082" w14:textId="77777777" w:rsidTr="000F4C56">
        <w:tc>
          <w:tcPr>
            <w:tcW w:w="6091" w:type="dxa"/>
            <w:shd w:val="clear" w:color="auto" w:fill="auto"/>
          </w:tcPr>
          <w:p w14:paraId="10EC1845"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Մանածագործական իրեր</w:t>
            </w:r>
          </w:p>
        </w:tc>
        <w:tc>
          <w:tcPr>
            <w:tcW w:w="1134" w:type="dxa"/>
            <w:shd w:val="clear" w:color="auto" w:fill="auto"/>
            <w:vAlign w:val="bottom"/>
          </w:tcPr>
          <w:p w14:paraId="4C6BB701" w14:textId="77777777" w:rsidR="000F4C56" w:rsidRPr="00C921DE" w:rsidRDefault="000F4C56" w:rsidP="000F4C56">
            <w:pPr>
              <w:jc w:val="center"/>
              <w:rPr>
                <w:rFonts w:ascii="GHEA Grapalat" w:hAnsi="GHEA Grapalat"/>
                <w:sz w:val="20"/>
              </w:rPr>
            </w:pPr>
            <w:r w:rsidRPr="00C921DE">
              <w:rPr>
                <w:rFonts w:ascii="GHEA Grapalat" w:hAnsi="GHEA Grapalat"/>
                <w:sz w:val="20"/>
              </w:rPr>
              <w:t>648.7</w:t>
            </w:r>
          </w:p>
        </w:tc>
        <w:tc>
          <w:tcPr>
            <w:tcW w:w="992" w:type="dxa"/>
            <w:shd w:val="clear" w:color="auto" w:fill="auto"/>
            <w:vAlign w:val="bottom"/>
          </w:tcPr>
          <w:p w14:paraId="5B587415" w14:textId="77777777" w:rsidR="000F4C56" w:rsidRPr="00C921DE" w:rsidRDefault="000F4C56" w:rsidP="000F4C56">
            <w:pPr>
              <w:jc w:val="center"/>
              <w:rPr>
                <w:rFonts w:ascii="GHEA Grapalat" w:hAnsi="GHEA Grapalat"/>
                <w:sz w:val="20"/>
              </w:rPr>
            </w:pPr>
            <w:r w:rsidRPr="00C921DE">
              <w:rPr>
                <w:rFonts w:ascii="GHEA Grapalat" w:hAnsi="GHEA Grapalat"/>
                <w:sz w:val="20"/>
              </w:rPr>
              <w:t>5.3</w:t>
            </w:r>
          </w:p>
        </w:tc>
        <w:tc>
          <w:tcPr>
            <w:tcW w:w="992" w:type="dxa"/>
            <w:shd w:val="clear" w:color="auto" w:fill="auto"/>
            <w:vAlign w:val="bottom"/>
          </w:tcPr>
          <w:p w14:paraId="6B6A37D9" w14:textId="77777777" w:rsidR="000F4C56" w:rsidRPr="00C921DE" w:rsidRDefault="000F4C56" w:rsidP="000F4C56">
            <w:pPr>
              <w:jc w:val="center"/>
              <w:rPr>
                <w:rFonts w:ascii="GHEA Grapalat" w:hAnsi="GHEA Grapalat"/>
                <w:sz w:val="20"/>
              </w:rPr>
            </w:pPr>
            <w:r w:rsidRPr="00C921DE">
              <w:rPr>
                <w:rFonts w:ascii="GHEA Grapalat" w:hAnsi="GHEA Grapalat"/>
                <w:sz w:val="20"/>
              </w:rPr>
              <w:t>63.0</w:t>
            </w:r>
          </w:p>
        </w:tc>
        <w:tc>
          <w:tcPr>
            <w:tcW w:w="1418" w:type="dxa"/>
            <w:shd w:val="clear" w:color="auto" w:fill="auto"/>
            <w:vAlign w:val="bottom"/>
          </w:tcPr>
          <w:p w14:paraId="64ED6116" w14:textId="77777777" w:rsidR="000F4C56" w:rsidRPr="00C921DE" w:rsidRDefault="000F4C56" w:rsidP="000F4C56">
            <w:pPr>
              <w:jc w:val="center"/>
              <w:rPr>
                <w:rFonts w:ascii="GHEA Grapalat" w:hAnsi="GHEA Grapalat"/>
                <w:sz w:val="20"/>
              </w:rPr>
            </w:pPr>
            <w:r w:rsidRPr="00C921DE">
              <w:rPr>
                <w:rFonts w:ascii="GHEA Grapalat" w:hAnsi="GHEA Grapalat"/>
                <w:sz w:val="20"/>
              </w:rPr>
              <w:t>2.9</w:t>
            </w:r>
          </w:p>
        </w:tc>
      </w:tr>
      <w:tr w:rsidR="000F4C56" w:rsidRPr="00C921DE" w14:paraId="33D22A76" w14:textId="77777777" w:rsidTr="000F4C56">
        <w:tc>
          <w:tcPr>
            <w:tcW w:w="6091" w:type="dxa"/>
            <w:shd w:val="clear" w:color="auto" w:fill="DBE5F1"/>
          </w:tcPr>
          <w:p w14:paraId="37F8A3D7"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Կոշկեղեն, գլխարկներ, հովանոցներ</w:t>
            </w:r>
          </w:p>
        </w:tc>
        <w:tc>
          <w:tcPr>
            <w:tcW w:w="1134" w:type="dxa"/>
            <w:shd w:val="clear" w:color="auto" w:fill="DBE5F1"/>
            <w:vAlign w:val="bottom"/>
          </w:tcPr>
          <w:p w14:paraId="58B233D1" w14:textId="77777777" w:rsidR="000F4C56" w:rsidRPr="00C921DE" w:rsidRDefault="000F4C56" w:rsidP="000F4C56">
            <w:pPr>
              <w:jc w:val="center"/>
              <w:rPr>
                <w:rFonts w:ascii="GHEA Grapalat" w:hAnsi="GHEA Grapalat"/>
                <w:sz w:val="20"/>
              </w:rPr>
            </w:pPr>
            <w:r w:rsidRPr="00C921DE">
              <w:rPr>
                <w:rFonts w:ascii="GHEA Grapalat" w:hAnsi="GHEA Grapalat"/>
                <w:sz w:val="20"/>
              </w:rPr>
              <w:t>116.6</w:t>
            </w:r>
          </w:p>
        </w:tc>
        <w:tc>
          <w:tcPr>
            <w:tcW w:w="992" w:type="dxa"/>
            <w:shd w:val="clear" w:color="auto" w:fill="DBE5F1"/>
            <w:vAlign w:val="bottom"/>
          </w:tcPr>
          <w:p w14:paraId="477AB90F" w14:textId="77777777" w:rsidR="000F4C56" w:rsidRPr="00C921DE" w:rsidRDefault="000F4C56" w:rsidP="000F4C56">
            <w:pPr>
              <w:jc w:val="center"/>
              <w:rPr>
                <w:rFonts w:ascii="GHEA Grapalat" w:hAnsi="GHEA Grapalat"/>
                <w:sz w:val="20"/>
              </w:rPr>
            </w:pPr>
            <w:r w:rsidRPr="00C921DE">
              <w:rPr>
                <w:rFonts w:ascii="GHEA Grapalat" w:hAnsi="GHEA Grapalat"/>
                <w:sz w:val="20"/>
              </w:rPr>
              <w:t>0.9</w:t>
            </w:r>
          </w:p>
        </w:tc>
        <w:tc>
          <w:tcPr>
            <w:tcW w:w="992" w:type="dxa"/>
            <w:shd w:val="clear" w:color="auto" w:fill="DBE5F1"/>
            <w:vAlign w:val="bottom"/>
          </w:tcPr>
          <w:p w14:paraId="4A1A5003" w14:textId="77777777" w:rsidR="000F4C56" w:rsidRPr="00C921DE" w:rsidRDefault="000F4C56" w:rsidP="000F4C56">
            <w:pPr>
              <w:jc w:val="center"/>
              <w:rPr>
                <w:rFonts w:ascii="GHEA Grapalat" w:hAnsi="GHEA Grapalat"/>
                <w:sz w:val="20"/>
              </w:rPr>
            </w:pPr>
            <w:r w:rsidRPr="00C921DE">
              <w:rPr>
                <w:rFonts w:ascii="GHEA Grapalat" w:hAnsi="GHEA Grapalat"/>
                <w:sz w:val="20"/>
              </w:rPr>
              <w:t>52.1</w:t>
            </w:r>
          </w:p>
        </w:tc>
        <w:tc>
          <w:tcPr>
            <w:tcW w:w="1418" w:type="dxa"/>
            <w:shd w:val="clear" w:color="auto" w:fill="DBE5F1"/>
            <w:vAlign w:val="bottom"/>
          </w:tcPr>
          <w:p w14:paraId="6E7C5B94" w14:textId="77777777" w:rsidR="000F4C56" w:rsidRPr="00C921DE" w:rsidRDefault="000F4C56" w:rsidP="000F4C56">
            <w:pPr>
              <w:jc w:val="center"/>
              <w:rPr>
                <w:rFonts w:ascii="GHEA Grapalat" w:hAnsi="GHEA Grapalat"/>
                <w:sz w:val="20"/>
              </w:rPr>
            </w:pPr>
            <w:r w:rsidRPr="00C921DE">
              <w:rPr>
                <w:rFonts w:ascii="GHEA Grapalat" w:hAnsi="GHEA Grapalat"/>
                <w:sz w:val="20"/>
              </w:rPr>
              <w:t>0.5</w:t>
            </w:r>
          </w:p>
        </w:tc>
      </w:tr>
      <w:tr w:rsidR="000F4C56" w:rsidRPr="00C921DE" w14:paraId="18B71664" w14:textId="77777777" w:rsidTr="000F4C56">
        <w:tc>
          <w:tcPr>
            <w:tcW w:w="6091" w:type="dxa"/>
            <w:shd w:val="clear" w:color="auto" w:fill="auto"/>
          </w:tcPr>
          <w:p w14:paraId="20B3C7B6"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Իրեր քարից, գիպսից, ցեմենտից</w:t>
            </w:r>
          </w:p>
        </w:tc>
        <w:tc>
          <w:tcPr>
            <w:tcW w:w="1134" w:type="dxa"/>
            <w:shd w:val="clear" w:color="auto" w:fill="auto"/>
            <w:vAlign w:val="bottom"/>
          </w:tcPr>
          <w:p w14:paraId="2C01589A" w14:textId="77777777" w:rsidR="000F4C56" w:rsidRPr="00C921DE" w:rsidRDefault="000F4C56" w:rsidP="000F4C56">
            <w:pPr>
              <w:jc w:val="center"/>
              <w:rPr>
                <w:rFonts w:ascii="GHEA Grapalat" w:hAnsi="GHEA Grapalat"/>
                <w:sz w:val="20"/>
              </w:rPr>
            </w:pPr>
            <w:r w:rsidRPr="00C921DE">
              <w:rPr>
                <w:rFonts w:ascii="GHEA Grapalat" w:hAnsi="GHEA Grapalat"/>
                <w:sz w:val="20"/>
              </w:rPr>
              <w:t>174.7</w:t>
            </w:r>
          </w:p>
        </w:tc>
        <w:tc>
          <w:tcPr>
            <w:tcW w:w="992" w:type="dxa"/>
            <w:shd w:val="clear" w:color="auto" w:fill="auto"/>
            <w:vAlign w:val="bottom"/>
          </w:tcPr>
          <w:p w14:paraId="4AB0CA5C" w14:textId="77777777" w:rsidR="000F4C56" w:rsidRPr="00C921DE" w:rsidRDefault="000F4C56" w:rsidP="000F4C56">
            <w:pPr>
              <w:jc w:val="center"/>
              <w:rPr>
                <w:rFonts w:ascii="GHEA Grapalat" w:hAnsi="GHEA Grapalat"/>
                <w:sz w:val="20"/>
              </w:rPr>
            </w:pPr>
            <w:r w:rsidRPr="00C921DE">
              <w:rPr>
                <w:rFonts w:ascii="GHEA Grapalat" w:hAnsi="GHEA Grapalat"/>
                <w:sz w:val="20"/>
              </w:rPr>
              <w:t>1.4</w:t>
            </w:r>
          </w:p>
        </w:tc>
        <w:tc>
          <w:tcPr>
            <w:tcW w:w="992" w:type="dxa"/>
            <w:shd w:val="clear" w:color="auto" w:fill="auto"/>
            <w:vAlign w:val="bottom"/>
          </w:tcPr>
          <w:p w14:paraId="7B501105" w14:textId="77777777" w:rsidR="000F4C56" w:rsidRPr="00C921DE" w:rsidRDefault="000F4C56" w:rsidP="000F4C56">
            <w:pPr>
              <w:jc w:val="center"/>
              <w:rPr>
                <w:rFonts w:ascii="GHEA Grapalat" w:hAnsi="GHEA Grapalat"/>
                <w:sz w:val="20"/>
              </w:rPr>
            </w:pPr>
            <w:r w:rsidRPr="00C921DE">
              <w:rPr>
                <w:rFonts w:ascii="GHEA Grapalat" w:hAnsi="GHEA Grapalat"/>
                <w:sz w:val="20"/>
              </w:rPr>
              <w:t>8.5</w:t>
            </w:r>
          </w:p>
        </w:tc>
        <w:tc>
          <w:tcPr>
            <w:tcW w:w="1418" w:type="dxa"/>
            <w:shd w:val="clear" w:color="auto" w:fill="auto"/>
            <w:vAlign w:val="bottom"/>
          </w:tcPr>
          <w:p w14:paraId="49A9F8B5" w14:textId="77777777" w:rsidR="000F4C56" w:rsidRPr="00C921DE" w:rsidRDefault="000F4C56" w:rsidP="000F4C56">
            <w:pPr>
              <w:jc w:val="center"/>
              <w:rPr>
                <w:rFonts w:ascii="GHEA Grapalat" w:hAnsi="GHEA Grapalat"/>
                <w:sz w:val="20"/>
              </w:rPr>
            </w:pPr>
            <w:r w:rsidRPr="00C921DE">
              <w:rPr>
                <w:rFonts w:ascii="GHEA Grapalat" w:hAnsi="GHEA Grapalat"/>
                <w:sz w:val="20"/>
              </w:rPr>
              <w:t>0.2</w:t>
            </w:r>
          </w:p>
        </w:tc>
      </w:tr>
      <w:tr w:rsidR="000F4C56" w:rsidRPr="00C921DE" w14:paraId="5D2749F9" w14:textId="77777777" w:rsidTr="000F4C56">
        <w:tc>
          <w:tcPr>
            <w:tcW w:w="6091" w:type="dxa"/>
            <w:shd w:val="clear" w:color="auto" w:fill="DBE5F1"/>
          </w:tcPr>
          <w:p w14:paraId="42E2BD9D"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Թանկարժեք և կիսաթանկարժեք քարեր, թանկարժեք մետաղներ և դրանցից իրեր</w:t>
            </w:r>
          </w:p>
        </w:tc>
        <w:tc>
          <w:tcPr>
            <w:tcW w:w="1134" w:type="dxa"/>
            <w:shd w:val="clear" w:color="auto" w:fill="DBE5F1"/>
            <w:vAlign w:val="bottom"/>
          </w:tcPr>
          <w:p w14:paraId="0F910E39" w14:textId="77777777" w:rsidR="000F4C56" w:rsidRPr="00C921DE" w:rsidRDefault="000F4C56" w:rsidP="000F4C56">
            <w:pPr>
              <w:jc w:val="center"/>
              <w:rPr>
                <w:rFonts w:ascii="GHEA Grapalat" w:hAnsi="GHEA Grapalat"/>
                <w:sz w:val="20"/>
              </w:rPr>
            </w:pPr>
            <w:r w:rsidRPr="00C921DE">
              <w:rPr>
                <w:rFonts w:ascii="GHEA Grapalat" w:hAnsi="GHEA Grapalat"/>
                <w:sz w:val="20"/>
              </w:rPr>
              <w:t>2302.9</w:t>
            </w:r>
          </w:p>
        </w:tc>
        <w:tc>
          <w:tcPr>
            <w:tcW w:w="992" w:type="dxa"/>
            <w:shd w:val="clear" w:color="auto" w:fill="DBE5F1"/>
            <w:vAlign w:val="bottom"/>
          </w:tcPr>
          <w:p w14:paraId="4ADB608C" w14:textId="77777777" w:rsidR="000F4C56" w:rsidRPr="00C921DE" w:rsidRDefault="000F4C56" w:rsidP="000F4C56">
            <w:pPr>
              <w:jc w:val="center"/>
              <w:rPr>
                <w:rFonts w:ascii="GHEA Grapalat" w:hAnsi="GHEA Grapalat"/>
                <w:sz w:val="20"/>
              </w:rPr>
            </w:pPr>
            <w:r w:rsidRPr="00C921DE">
              <w:rPr>
                <w:rFonts w:ascii="GHEA Grapalat" w:hAnsi="GHEA Grapalat"/>
                <w:sz w:val="20"/>
              </w:rPr>
              <w:t>18.7</w:t>
            </w:r>
          </w:p>
        </w:tc>
        <w:tc>
          <w:tcPr>
            <w:tcW w:w="992" w:type="dxa"/>
            <w:shd w:val="clear" w:color="auto" w:fill="DBE5F1"/>
            <w:vAlign w:val="bottom"/>
          </w:tcPr>
          <w:p w14:paraId="5D13AB68" w14:textId="77777777" w:rsidR="000F4C56" w:rsidRPr="00C921DE" w:rsidRDefault="000F4C56" w:rsidP="000F4C56">
            <w:pPr>
              <w:jc w:val="center"/>
              <w:rPr>
                <w:rFonts w:ascii="GHEA Grapalat" w:hAnsi="GHEA Grapalat"/>
                <w:sz w:val="20"/>
              </w:rPr>
            </w:pPr>
            <w:r w:rsidRPr="00C921DE">
              <w:rPr>
                <w:rFonts w:ascii="GHEA Grapalat" w:hAnsi="GHEA Grapalat"/>
                <w:sz w:val="20"/>
              </w:rPr>
              <w:t>233.0</w:t>
            </w:r>
          </w:p>
        </w:tc>
        <w:tc>
          <w:tcPr>
            <w:tcW w:w="1418" w:type="dxa"/>
            <w:shd w:val="clear" w:color="auto" w:fill="DBE5F1"/>
            <w:vAlign w:val="bottom"/>
          </w:tcPr>
          <w:p w14:paraId="56A398BC" w14:textId="77777777" w:rsidR="000F4C56" w:rsidRPr="00C921DE" w:rsidRDefault="000F4C56" w:rsidP="000F4C56">
            <w:pPr>
              <w:jc w:val="center"/>
              <w:rPr>
                <w:rFonts w:ascii="GHEA Grapalat" w:hAnsi="GHEA Grapalat"/>
                <w:sz w:val="20"/>
              </w:rPr>
            </w:pPr>
            <w:r w:rsidRPr="00C921DE">
              <w:rPr>
                <w:rFonts w:ascii="GHEA Grapalat" w:hAnsi="GHEA Grapalat"/>
                <w:sz w:val="20"/>
              </w:rPr>
              <w:t>18.4</w:t>
            </w:r>
          </w:p>
        </w:tc>
      </w:tr>
      <w:tr w:rsidR="000F4C56" w:rsidRPr="00C921DE" w14:paraId="4A222211" w14:textId="77777777" w:rsidTr="000F4C56">
        <w:tc>
          <w:tcPr>
            <w:tcW w:w="6091" w:type="dxa"/>
            <w:shd w:val="clear" w:color="auto" w:fill="auto"/>
          </w:tcPr>
          <w:p w14:paraId="474DC1F4"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Ոչ թանկարժեք մետաղներ և դրանցից պատրաստված իրեր</w:t>
            </w:r>
          </w:p>
        </w:tc>
        <w:tc>
          <w:tcPr>
            <w:tcW w:w="1134" w:type="dxa"/>
            <w:shd w:val="clear" w:color="auto" w:fill="auto"/>
            <w:vAlign w:val="bottom"/>
          </w:tcPr>
          <w:p w14:paraId="0D168815" w14:textId="77777777" w:rsidR="000F4C56" w:rsidRPr="00C921DE" w:rsidRDefault="000F4C56" w:rsidP="000F4C56">
            <w:pPr>
              <w:jc w:val="center"/>
              <w:rPr>
                <w:rFonts w:ascii="GHEA Grapalat" w:hAnsi="GHEA Grapalat"/>
                <w:sz w:val="20"/>
              </w:rPr>
            </w:pPr>
            <w:r w:rsidRPr="00C921DE">
              <w:rPr>
                <w:rFonts w:ascii="GHEA Grapalat" w:hAnsi="GHEA Grapalat"/>
                <w:sz w:val="20"/>
              </w:rPr>
              <w:t>602.7</w:t>
            </w:r>
          </w:p>
        </w:tc>
        <w:tc>
          <w:tcPr>
            <w:tcW w:w="992" w:type="dxa"/>
            <w:shd w:val="clear" w:color="auto" w:fill="auto"/>
            <w:vAlign w:val="bottom"/>
          </w:tcPr>
          <w:p w14:paraId="346F4A52" w14:textId="77777777" w:rsidR="000F4C56" w:rsidRPr="00C921DE" w:rsidRDefault="000F4C56" w:rsidP="000F4C56">
            <w:pPr>
              <w:jc w:val="center"/>
              <w:rPr>
                <w:rFonts w:ascii="GHEA Grapalat" w:hAnsi="GHEA Grapalat"/>
                <w:sz w:val="20"/>
              </w:rPr>
            </w:pPr>
            <w:r w:rsidRPr="00C921DE">
              <w:rPr>
                <w:rFonts w:ascii="GHEA Grapalat" w:hAnsi="GHEA Grapalat"/>
                <w:sz w:val="20"/>
              </w:rPr>
              <w:t>4.9</w:t>
            </w:r>
          </w:p>
        </w:tc>
        <w:tc>
          <w:tcPr>
            <w:tcW w:w="992" w:type="dxa"/>
            <w:shd w:val="clear" w:color="auto" w:fill="auto"/>
            <w:vAlign w:val="bottom"/>
          </w:tcPr>
          <w:p w14:paraId="2C830A93" w14:textId="77777777" w:rsidR="000F4C56" w:rsidRPr="00C921DE" w:rsidRDefault="000F4C56" w:rsidP="000F4C56">
            <w:pPr>
              <w:jc w:val="center"/>
              <w:rPr>
                <w:rFonts w:ascii="GHEA Grapalat" w:hAnsi="GHEA Grapalat"/>
                <w:sz w:val="20"/>
              </w:rPr>
            </w:pPr>
            <w:r w:rsidRPr="00C921DE">
              <w:rPr>
                <w:rFonts w:ascii="GHEA Grapalat" w:hAnsi="GHEA Grapalat"/>
                <w:sz w:val="20"/>
              </w:rPr>
              <w:t>-3.4</w:t>
            </w:r>
          </w:p>
        </w:tc>
        <w:tc>
          <w:tcPr>
            <w:tcW w:w="1418" w:type="dxa"/>
            <w:shd w:val="clear" w:color="auto" w:fill="auto"/>
            <w:vAlign w:val="bottom"/>
          </w:tcPr>
          <w:p w14:paraId="3A397AA0" w14:textId="77777777" w:rsidR="000F4C56" w:rsidRPr="00C921DE" w:rsidRDefault="000F4C56" w:rsidP="000F4C56">
            <w:pPr>
              <w:jc w:val="center"/>
              <w:rPr>
                <w:rFonts w:ascii="GHEA Grapalat" w:hAnsi="GHEA Grapalat"/>
                <w:sz w:val="20"/>
              </w:rPr>
            </w:pPr>
            <w:r w:rsidRPr="00C921DE">
              <w:rPr>
                <w:rFonts w:ascii="GHEA Grapalat" w:hAnsi="GHEA Grapalat"/>
                <w:sz w:val="20"/>
              </w:rPr>
              <w:t>-0.2</w:t>
            </w:r>
          </w:p>
        </w:tc>
      </w:tr>
      <w:tr w:rsidR="000F4C56" w:rsidRPr="00C921DE" w14:paraId="36D6A186" w14:textId="77777777" w:rsidTr="000F4C56">
        <w:tc>
          <w:tcPr>
            <w:tcW w:w="6091" w:type="dxa"/>
            <w:shd w:val="clear" w:color="auto" w:fill="DBE5F1"/>
          </w:tcPr>
          <w:p w14:paraId="1A81CD21"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Մեքենաներ, սարքավորումներ և մեխանիզմներ</w:t>
            </w:r>
          </w:p>
        </w:tc>
        <w:tc>
          <w:tcPr>
            <w:tcW w:w="1134" w:type="dxa"/>
            <w:shd w:val="clear" w:color="auto" w:fill="DBE5F1"/>
            <w:vAlign w:val="bottom"/>
          </w:tcPr>
          <w:p w14:paraId="00A7347F" w14:textId="77777777" w:rsidR="000F4C56" w:rsidRPr="00C921DE" w:rsidRDefault="000F4C56" w:rsidP="000F4C56">
            <w:pPr>
              <w:jc w:val="center"/>
              <w:rPr>
                <w:rFonts w:ascii="GHEA Grapalat" w:hAnsi="GHEA Grapalat"/>
                <w:sz w:val="20"/>
              </w:rPr>
            </w:pPr>
            <w:r w:rsidRPr="00C921DE">
              <w:rPr>
                <w:rFonts w:ascii="GHEA Grapalat" w:hAnsi="GHEA Grapalat"/>
                <w:sz w:val="20"/>
              </w:rPr>
              <w:t>2459.2</w:t>
            </w:r>
          </w:p>
        </w:tc>
        <w:tc>
          <w:tcPr>
            <w:tcW w:w="992" w:type="dxa"/>
            <w:shd w:val="clear" w:color="auto" w:fill="DBE5F1"/>
            <w:vAlign w:val="bottom"/>
          </w:tcPr>
          <w:p w14:paraId="2995A6E2" w14:textId="77777777" w:rsidR="000F4C56" w:rsidRPr="00C921DE" w:rsidRDefault="000F4C56" w:rsidP="000F4C56">
            <w:pPr>
              <w:jc w:val="center"/>
              <w:rPr>
                <w:rFonts w:ascii="GHEA Grapalat" w:hAnsi="GHEA Grapalat"/>
                <w:sz w:val="20"/>
              </w:rPr>
            </w:pPr>
            <w:r w:rsidRPr="00C921DE">
              <w:rPr>
                <w:rFonts w:ascii="GHEA Grapalat" w:hAnsi="GHEA Grapalat"/>
                <w:sz w:val="20"/>
              </w:rPr>
              <w:t>20.0</w:t>
            </w:r>
          </w:p>
        </w:tc>
        <w:tc>
          <w:tcPr>
            <w:tcW w:w="992" w:type="dxa"/>
            <w:shd w:val="clear" w:color="auto" w:fill="DBE5F1"/>
            <w:vAlign w:val="bottom"/>
          </w:tcPr>
          <w:p w14:paraId="6D2FEF29" w14:textId="77777777" w:rsidR="000F4C56" w:rsidRPr="00C921DE" w:rsidRDefault="000F4C56" w:rsidP="000F4C56">
            <w:pPr>
              <w:jc w:val="center"/>
              <w:rPr>
                <w:rFonts w:ascii="GHEA Grapalat" w:hAnsi="GHEA Grapalat"/>
                <w:sz w:val="20"/>
              </w:rPr>
            </w:pPr>
            <w:r w:rsidRPr="00C921DE">
              <w:rPr>
                <w:rFonts w:ascii="GHEA Grapalat" w:hAnsi="GHEA Grapalat"/>
                <w:sz w:val="20"/>
              </w:rPr>
              <w:t>42.3</w:t>
            </w:r>
          </w:p>
        </w:tc>
        <w:tc>
          <w:tcPr>
            <w:tcW w:w="1418" w:type="dxa"/>
            <w:shd w:val="clear" w:color="auto" w:fill="DBE5F1"/>
            <w:vAlign w:val="bottom"/>
          </w:tcPr>
          <w:p w14:paraId="62F6F30A" w14:textId="77777777" w:rsidR="000F4C56" w:rsidRPr="00C921DE" w:rsidRDefault="000F4C56" w:rsidP="000F4C56">
            <w:pPr>
              <w:jc w:val="center"/>
              <w:rPr>
                <w:rFonts w:ascii="GHEA Grapalat" w:hAnsi="GHEA Grapalat"/>
                <w:sz w:val="20"/>
              </w:rPr>
            </w:pPr>
            <w:r w:rsidRPr="00C921DE">
              <w:rPr>
                <w:rFonts w:ascii="GHEA Grapalat" w:hAnsi="GHEA Grapalat"/>
                <w:sz w:val="20"/>
              </w:rPr>
              <w:t>8.3</w:t>
            </w:r>
          </w:p>
        </w:tc>
      </w:tr>
      <w:tr w:rsidR="000F4C56" w:rsidRPr="00C921DE" w14:paraId="4BB75A01" w14:textId="77777777" w:rsidTr="000F4C56">
        <w:tc>
          <w:tcPr>
            <w:tcW w:w="6091" w:type="dxa"/>
            <w:shd w:val="clear" w:color="auto" w:fill="auto"/>
          </w:tcPr>
          <w:p w14:paraId="62FF51D1"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Վերգետնյա, օդային և ջրային տրանսպորտի միջոցներ</w:t>
            </w:r>
          </w:p>
        </w:tc>
        <w:tc>
          <w:tcPr>
            <w:tcW w:w="1134" w:type="dxa"/>
            <w:shd w:val="clear" w:color="auto" w:fill="auto"/>
            <w:vAlign w:val="bottom"/>
          </w:tcPr>
          <w:p w14:paraId="77F2AB58" w14:textId="77777777" w:rsidR="000F4C56" w:rsidRPr="00C921DE" w:rsidRDefault="000F4C56" w:rsidP="000F4C56">
            <w:pPr>
              <w:jc w:val="center"/>
              <w:rPr>
                <w:rFonts w:ascii="GHEA Grapalat" w:hAnsi="GHEA Grapalat"/>
                <w:sz w:val="20"/>
              </w:rPr>
            </w:pPr>
            <w:r w:rsidRPr="00C921DE">
              <w:rPr>
                <w:rFonts w:ascii="GHEA Grapalat" w:hAnsi="GHEA Grapalat"/>
                <w:sz w:val="20"/>
              </w:rPr>
              <w:t>1832.4</w:t>
            </w:r>
          </w:p>
        </w:tc>
        <w:tc>
          <w:tcPr>
            <w:tcW w:w="992" w:type="dxa"/>
            <w:shd w:val="clear" w:color="auto" w:fill="auto"/>
            <w:vAlign w:val="bottom"/>
          </w:tcPr>
          <w:p w14:paraId="33A448CE" w14:textId="77777777" w:rsidR="000F4C56" w:rsidRPr="00C921DE" w:rsidRDefault="000F4C56" w:rsidP="000F4C56">
            <w:pPr>
              <w:jc w:val="center"/>
              <w:rPr>
                <w:rFonts w:ascii="GHEA Grapalat" w:hAnsi="GHEA Grapalat"/>
                <w:sz w:val="20"/>
              </w:rPr>
            </w:pPr>
            <w:r w:rsidRPr="00C921DE">
              <w:rPr>
                <w:rFonts w:ascii="GHEA Grapalat" w:hAnsi="GHEA Grapalat"/>
                <w:sz w:val="20"/>
              </w:rPr>
              <w:t>14.9</w:t>
            </w:r>
          </w:p>
        </w:tc>
        <w:tc>
          <w:tcPr>
            <w:tcW w:w="992" w:type="dxa"/>
            <w:shd w:val="clear" w:color="auto" w:fill="auto"/>
            <w:vAlign w:val="bottom"/>
          </w:tcPr>
          <w:p w14:paraId="4089C7CD" w14:textId="77777777" w:rsidR="000F4C56" w:rsidRPr="00C921DE" w:rsidRDefault="000F4C56" w:rsidP="000F4C56">
            <w:pPr>
              <w:jc w:val="center"/>
              <w:rPr>
                <w:rFonts w:ascii="GHEA Grapalat" w:hAnsi="GHEA Grapalat"/>
                <w:sz w:val="20"/>
              </w:rPr>
            </w:pPr>
            <w:r w:rsidRPr="00C921DE">
              <w:rPr>
                <w:rFonts w:ascii="GHEA Grapalat" w:hAnsi="GHEA Grapalat"/>
                <w:sz w:val="20"/>
              </w:rPr>
              <w:t>91.3</w:t>
            </w:r>
          </w:p>
        </w:tc>
        <w:tc>
          <w:tcPr>
            <w:tcW w:w="1418" w:type="dxa"/>
            <w:shd w:val="clear" w:color="auto" w:fill="auto"/>
            <w:vAlign w:val="bottom"/>
          </w:tcPr>
          <w:p w14:paraId="00C2C976" w14:textId="77777777" w:rsidR="000F4C56" w:rsidRPr="00C921DE" w:rsidRDefault="000F4C56" w:rsidP="000F4C56">
            <w:pPr>
              <w:jc w:val="center"/>
              <w:rPr>
                <w:rFonts w:ascii="GHEA Grapalat" w:hAnsi="GHEA Grapalat"/>
                <w:sz w:val="20"/>
              </w:rPr>
            </w:pPr>
            <w:r w:rsidRPr="00C921DE">
              <w:rPr>
                <w:rFonts w:ascii="GHEA Grapalat" w:hAnsi="GHEA Grapalat"/>
                <w:sz w:val="20"/>
              </w:rPr>
              <w:t>10.0</w:t>
            </w:r>
          </w:p>
        </w:tc>
      </w:tr>
      <w:tr w:rsidR="000F4C56" w:rsidRPr="00C921DE" w14:paraId="471EBBCD" w14:textId="77777777" w:rsidTr="000F4C56">
        <w:tc>
          <w:tcPr>
            <w:tcW w:w="6091" w:type="dxa"/>
            <w:shd w:val="clear" w:color="auto" w:fill="DBE5F1"/>
          </w:tcPr>
          <w:p w14:paraId="5404C3A9"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Սարքեր և ապարատներ</w:t>
            </w:r>
          </w:p>
        </w:tc>
        <w:tc>
          <w:tcPr>
            <w:tcW w:w="1134" w:type="dxa"/>
            <w:shd w:val="clear" w:color="auto" w:fill="DBE5F1"/>
            <w:vAlign w:val="bottom"/>
          </w:tcPr>
          <w:p w14:paraId="55D313E4" w14:textId="77777777" w:rsidR="000F4C56" w:rsidRPr="00C921DE" w:rsidRDefault="000F4C56" w:rsidP="000F4C56">
            <w:pPr>
              <w:jc w:val="center"/>
              <w:rPr>
                <w:rFonts w:ascii="GHEA Grapalat" w:hAnsi="GHEA Grapalat"/>
                <w:sz w:val="20"/>
              </w:rPr>
            </w:pPr>
            <w:r w:rsidRPr="00C921DE">
              <w:rPr>
                <w:rFonts w:ascii="GHEA Grapalat" w:hAnsi="GHEA Grapalat"/>
                <w:sz w:val="20"/>
              </w:rPr>
              <w:t>265.8</w:t>
            </w:r>
          </w:p>
        </w:tc>
        <w:tc>
          <w:tcPr>
            <w:tcW w:w="992" w:type="dxa"/>
            <w:shd w:val="clear" w:color="auto" w:fill="DBE5F1"/>
            <w:vAlign w:val="bottom"/>
          </w:tcPr>
          <w:p w14:paraId="1DAF0871" w14:textId="77777777" w:rsidR="000F4C56" w:rsidRPr="00C921DE" w:rsidRDefault="000F4C56" w:rsidP="000F4C56">
            <w:pPr>
              <w:jc w:val="center"/>
              <w:rPr>
                <w:rFonts w:ascii="GHEA Grapalat" w:hAnsi="GHEA Grapalat"/>
                <w:sz w:val="20"/>
              </w:rPr>
            </w:pPr>
            <w:r w:rsidRPr="00C921DE">
              <w:rPr>
                <w:rFonts w:ascii="GHEA Grapalat" w:hAnsi="GHEA Grapalat"/>
                <w:sz w:val="20"/>
              </w:rPr>
              <w:t>2.2</w:t>
            </w:r>
          </w:p>
        </w:tc>
        <w:tc>
          <w:tcPr>
            <w:tcW w:w="992" w:type="dxa"/>
            <w:shd w:val="clear" w:color="auto" w:fill="DBE5F1"/>
            <w:vAlign w:val="bottom"/>
          </w:tcPr>
          <w:p w14:paraId="5EE39F21" w14:textId="77777777" w:rsidR="000F4C56" w:rsidRPr="00C921DE" w:rsidRDefault="000F4C56" w:rsidP="000F4C56">
            <w:pPr>
              <w:jc w:val="center"/>
              <w:rPr>
                <w:rFonts w:ascii="GHEA Grapalat" w:hAnsi="GHEA Grapalat"/>
                <w:sz w:val="20"/>
              </w:rPr>
            </w:pPr>
            <w:r w:rsidRPr="00C921DE">
              <w:rPr>
                <w:rFonts w:ascii="GHEA Grapalat" w:hAnsi="GHEA Grapalat"/>
                <w:sz w:val="20"/>
              </w:rPr>
              <w:t>35.0</w:t>
            </w:r>
          </w:p>
        </w:tc>
        <w:tc>
          <w:tcPr>
            <w:tcW w:w="1418" w:type="dxa"/>
            <w:shd w:val="clear" w:color="auto" w:fill="DBE5F1"/>
            <w:vAlign w:val="bottom"/>
          </w:tcPr>
          <w:p w14:paraId="5D5CAB26" w14:textId="77777777" w:rsidR="000F4C56" w:rsidRPr="00C921DE" w:rsidRDefault="000F4C56" w:rsidP="000F4C56">
            <w:pPr>
              <w:jc w:val="center"/>
              <w:rPr>
                <w:rFonts w:ascii="GHEA Grapalat" w:hAnsi="GHEA Grapalat"/>
                <w:sz w:val="20"/>
              </w:rPr>
            </w:pPr>
            <w:r w:rsidRPr="00C921DE">
              <w:rPr>
                <w:rFonts w:ascii="GHEA Grapalat" w:hAnsi="GHEA Grapalat"/>
                <w:sz w:val="20"/>
              </w:rPr>
              <w:t>0.8</w:t>
            </w:r>
          </w:p>
        </w:tc>
      </w:tr>
      <w:tr w:rsidR="000F4C56" w:rsidRPr="00C921DE" w14:paraId="0A62C2C9" w14:textId="77777777" w:rsidTr="000F4C56">
        <w:tc>
          <w:tcPr>
            <w:tcW w:w="6091" w:type="dxa"/>
            <w:shd w:val="clear" w:color="auto" w:fill="auto"/>
          </w:tcPr>
          <w:p w14:paraId="01179000"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Տարբեր արդյունաբերական ապրանքներ</w:t>
            </w:r>
          </w:p>
        </w:tc>
        <w:tc>
          <w:tcPr>
            <w:tcW w:w="1134" w:type="dxa"/>
            <w:shd w:val="clear" w:color="auto" w:fill="auto"/>
            <w:vAlign w:val="bottom"/>
          </w:tcPr>
          <w:p w14:paraId="7FFC1262" w14:textId="77777777" w:rsidR="000F4C56" w:rsidRPr="00C921DE" w:rsidRDefault="000F4C56" w:rsidP="000F4C56">
            <w:pPr>
              <w:jc w:val="center"/>
              <w:rPr>
                <w:rFonts w:ascii="GHEA Grapalat" w:hAnsi="GHEA Grapalat"/>
                <w:sz w:val="20"/>
              </w:rPr>
            </w:pPr>
            <w:r w:rsidRPr="00C921DE">
              <w:rPr>
                <w:rFonts w:ascii="GHEA Grapalat" w:hAnsi="GHEA Grapalat"/>
                <w:sz w:val="20"/>
              </w:rPr>
              <w:t>243.6</w:t>
            </w:r>
          </w:p>
        </w:tc>
        <w:tc>
          <w:tcPr>
            <w:tcW w:w="992" w:type="dxa"/>
            <w:shd w:val="clear" w:color="auto" w:fill="auto"/>
            <w:vAlign w:val="bottom"/>
          </w:tcPr>
          <w:p w14:paraId="045A3743" w14:textId="77777777" w:rsidR="000F4C56" w:rsidRPr="00C921DE" w:rsidRDefault="000F4C56" w:rsidP="000F4C56">
            <w:pPr>
              <w:jc w:val="center"/>
              <w:rPr>
                <w:rFonts w:ascii="GHEA Grapalat" w:hAnsi="GHEA Grapalat"/>
                <w:sz w:val="20"/>
              </w:rPr>
            </w:pPr>
            <w:r w:rsidRPr="00C921DE">
              <w:rPr>
                <w:rFonts w:ascii="GHEA Grapalat" w:hAnsi="GHEA Grapalat"/>
                <w:sz w:val="20"/>
              </w:rPr>
              <w:t>2.0</w:t>
            </w:r>
          </w:p>
        </w:tc>
        <w:tc>
          <w:tcPr>
            <w:tcW w:w="992" w:type="dxa"/>
            <w:shd w:val="clear" w:color="auto" w:fill="auto"/>
            <w:vAlign w:val="bottom"/>
          </w:tcPr>
          <w:p w14:paraId="1406B586" w14:textId="77777777" w:rsidR="000F4C56" w:rsidRPr="00C921DE" w:rsidRDefault="000F4C56" w:rsidP="000F4C56">
            <w:pPr>
              <w:jc w:val="center"/>
              <w:rPr>
                <w:rFonts w:ascii="GHEA Grapalat" w:hAnsi="GHEA Grapalat"/>
                <w:sz w:val="20"/>
              </w:rPr>
            </w:pPr>
            <w:r w:rsidRPr="00C921DE">
              <w:rPr>
                <w:rFonts w:ascii="GHEA Grapalat" w:hAnsi="GHEA Grapalat"/>
                <w:sz w:val="20"/>
              </w:rPr>
              <w:t>27.0</w:t>
            </w:r>
          </w:p>
        </w:tc>
        <w:tc>
          <w:tcPr>
            <w:tcW w:w="1418" w:type="dxa"/>
            <w:shd w:val="clear" w:color="auto" w:fill="auto"/>
            <w:vAlign w:val="bottom"/>
          </w:tcPr>
          <w:p w14:paraId="606E8149" w14:textId="77777777" w:rsidR="000F4C56" w:rsidRPr="00C921DE" w:rsidRDefault="000F4C56" w:rsidP="000F4C56">
            <w:pPr>
              <w:jc w:val="center"/>
              <w:rPr>
                <w:rFonts w:ascii="GHEA Grapalat" w:hAnsi="GHEA Grapalat"/>
                <w:sz w:val="20"/>
              </w:rPr>
            </w:pPr>
            <w:r w:rsidRPr="00C921DE">
              <w:rPr>
                <w:rFonts w:ascii="GHEA Grapalat" w:hAnsi="GHEA Grapalat"/>
                <w:sz w:val="20"/>
              </w:rPr>
              <w:t>0.6</w:t>
            </w:r>
          </w:p>
        </w:tc>
      </w:tr>
      <w:tr w:rsidR="000F4C56" w:rsidRPr="00C921DE" w14:paraId="11E6D8C4" w14:textId="77777777" w:rsidTr="000F4C56">
        <w:tc>
          <w:tcPr>
            <w:tcW w:w="6091" w:type="dxa"/>
            <w:shd w:val="clear" w:color="auto" w:fill="DBE5F1"/>
          </w:tcPr>
          <w:p w14:paraId="09D756C4"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color w:val="000000"/>
                <w:sz w:val="20"/>
                <w:szCs w:val="20"/>
              </w:rPr>
              <w:t>Արվեստի ստեղծագործություններ</w:t>
            </w:r>
          </w:p>
        </w:tc>
        <w:tc>
          <w:tcPr>
            <w:tcW w:w="1134" w:type="dxa"/>
            <w:shd w:val="clear" w:color="auto" w:fill="DBE5F1"/>
            <w:vAlign w:val="bottom"/>
          </w:tcPr>
          <w:p w14:paraId="25284418" w14:textId="77777777" w:rsidR="000F4C56" w:rsidRPr="00C921DE" w:rsidRDefault="000F4C56" w:rsidP="000F4C56">
            <w:pPr>
              <w:jc w:val="center"/>
              <w:rPr>
                <w:rFonts w:ascii="GHEA Grapalat" w:hAnsi="GHEA Grapalat"/>
                <w:sz w:val="20"/>
              </w:rPr>
            </w:pPr>
            <w:r w:rsidRPr="00C921DE">
              <w:rPr>
                <w:rFonts w:ascii="GHEA Grapalat" w:hAnsi="GHEA Grapalat"/>
                <w:sz w:val="20"/>
              </w:rPr>
              <w:t>6.3</w:t>
            </w:r>
          </w:p>
        </w:tc>
        <w:tc>
          <w:tcPr>
            <w:tcW w:w="992" w:type="dxa"/>
            <w:shd w:val="clear" w:color="auto" w:fill="DBE5F1"/>
            <w:vAlign w:val="bottom"/>
          </w:tcPr>
          <w:p w14:paraId="14C90A9D" w14:textId="77777777" w:rsidR="000F4C56" w:rsidRPr="00C921DE" w:rsidRDefault="000F4C56" w:rsidP="000F4C56">
            <w:pPr>
              <w:jc w:val="center"/>
              <w:rPr>
                <w:rFonts w:ascii="GHEA Grapalat" w:hAnsi="GHEA Grapalat"/>
                <w:sz w:val="20"/>
              </w:rPr>
            </w:pPr>
            <w:r w:rsidRPr="00C921DE">
              <w:rPr>
                <w:rFonts w:ascii="GHEA Grapalat" w:hAnsi="GHEA Grapalat"/>
                <w:sz w:val="20"/>
              </w:rPr>
              <w:t>0.1</w:t>
            </w:r>
          </w:p>
        </w:tc>
        <w:tc>
          <w:tcPr>
            <w:tcW w:w="992" w:type="dxa"/>
            <w:shd w:val="clear" w:color="auto" w:fill="DBE5F1"/>
            <w:vAlign w:val="bottom"/>
          </w:tcPr>
          <w:p w14:paraId="7FA8DDDB" w14:textId="77777777" w:rsidR="000F4C56" w:rsidRPr="00C921DE" w:rsidRDefault="000F4C56" w:rsidP="000F4C56">
            <w:pPr>
              <w:jc w:val="center"/>
              <w:rPr>
                <w:rFonts w:ascii="GHEA Grapalat" w:hAnsi="GHEA Grapalat"/>
                <w:sz w:val="20"/>
              </w:rPr>
            </w:pPr>
            <w:r w:rsidRPr="00C921DE">
              <w:rPr>
                <w:rFonts w:ascii="GHEA Grapalat" w:hAnsi="GHEA Grapalat"/>
                <w:sz w:val="20"/>
              </w:rPr>
              <w:t>-32.1</w:t>
            </w:r>
          </w:p>
        </w:tc>
        <w:tc>
          <w:tcPr>
            <w:tcW w:w="1418" w:type="dxa"/>
            <w:shd w:val="clear" w:color="auto" w:fill="DBE5F1"/>
            <w:vAlign w:val="bottom"/>
          </w:tcPr>
          <w:p w14:paraId="0C541CF0" w14:textId="77777777" w:rsidR="000F4C56" w:rsidRPr="00C921DE" w:rsidRDefault="000F4C56" w:rsidP="000F4C56">
            <w:pPr>
              <w:jc w:val="center"/>
              <w:rPr>
                <w:rFonts w:ascii="GHEA Grapalat" w:hAnsi="GHEA Grapalat"/>
                <w:sz w:val="20"/>
              </w:rPr>
            </w:pPr>
            <w:r w:rsidRPr="00C921DE">
              <w:rPr>
                <w:rFonts w:ascii="GHEA Grapalat" w:hAnsi="GHEA Grapalat"/>
                <w:sz w:val="20"/>
              </w:rPr>
              <w:t>0.0</w:t>
            </w:r>
          </w:p>
        </w:tc>
      </w:tr>
    </w:tbl>
    <w:p w14:paraId="601685CF" w14:textId="77777777" w:rsidR="000F4C56" w:rsidRPr="00C921DE" w:rsidRDefault="000F4C56" w:rsidP="000F4C56">
      <w:pPr>
        <w:rPr>
          <w:rFonts w:ascii="GHEA Grapalat" w:hAnsi="GHEA Grapalat"/>
          <w:b/>
          <w:sz w:val="20"/>
          <w:szCs w:val="20"/>
          <w:lang w:val="en-US"/>
        </w:rPr>
      </w:pPr>
    </w:p>
    <w:p w14:paraId="5B182F4A" w14:textId="77777777" w:rsidR="000F4C56" w:rsidRPr="00C921DE" w:rsidRDefault="000F4C56" w:rsidP="000F4C56">
      <w:pPr>
        <w:jc w:val="center"/>
        <w:rPr>
          <w:rFonts w:ascii="GHEA Grapalat" w:hAnsi="GHEA Grapalat"/>
          <w:sz w:val="22"/>
          <w:szCs w:val="20"/>
        </w:rPr>
      </w:pPr>
      <w:r w:rsidRPr="00C921DE">
        <w:rPr>
          <w:rFonts w:ascii="GHEA Grapalat" w:hAnsi="GHEA Grapalat"/>
          <w:b/>
          <w:sz w:val="22"/>
          <w:szCs w:val="20"/>
        </w:rPr>
        <w:t xml:space="preserve">Աղյուսակ </w:t>
      </w:r>
      <w:r w:rsidRPr="00C921DE">
        <w:rPr>
          <w:rFonts w:ascii="GHEA Grapalat" w:hAnsi="GHEA Grapalat"/>
          <w:b/>
          <w:sz w:val="22"/>
          <w:szCs w:val="20"/>
          <w:lang w:val="en-US"/>
        </w:rPr>
        <w:t>3.</w:t>
      </w:r>
      <w:r w:rsidRPr="00C921DE">
        <w:rPr>
          <w:rFonts w:ascii="GHEA Grapalat" w:hAnsi="GHEA Grapalat"/>
          <w:b/>
          <w:sz w:val="22"/>
          <w:szCs w:val="20"/>
        </w:rPr>
        <w:t>4.</w:t>
      </w:r>
      <w:r w:rsidRPr="00C921DE">
        <w:rPr>
          <w:rFonts w:ascii="GHEA Grapalat" w:hAnsi="GHEA Grapalat"/>
          <w:b/>
          <w:szCs w:val="20"/>
        </w:rPr>
        <w:t xml:space="preserve"> </w:t>
      </w:r>
      <w:r w:rsidRPr="00C921DE">
        <w:rPr>
          <w:rFonts w:ascii="GHEA Grapalat" w:hAnsi="GHEA Grapalat"/>
          <w:sz w:val="22"/>
          <w:szCs w:val="20"/>
        </w:rPr>
        <w:t>Ներմուծումն ըստ ապրանքների լայն տնտեսական՝ BEC դասակարգչի և նպաստումները, 2023 թվական</w:t>
      </w:r>
    </w:p>
    <w:p w14:paraId="49DB0299" w14:textId="77777777" w:rsidR="000F4C56" w:rsidRPr="00C921DE" w:rsidRDefault="000F4C56" w:rsidP="000F4C56">
      <w:pPr>
        <w:jc w:val="center"/>
        <w:rPr>
          <w:rFonts w:ascii="GHEA Grapalat" w:hAnsi="GHEA Grapalat"/>
          <w:b/>
          <w:szCs w:val="20"/>
        </w:rPr>
      </w:pPr>
    </w:p>
    <w:tbl>
      <w:tblPr>
        <w:tblW w:w="10569"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4349"/>
        <w:gridCol w:w="1089"/>
        <w:gridCol w:w="933"/>
        <w:gridCol w:w="1088"/>
        <w:gridCol w:w="934"/>
        <w:gridCol w:w="1088"/>
        <w:gridCol w:w="1088"/>
      </w:tblGrid>
      <w:tr w:rsidR="000F4C56" w:rsidRPr="00C921DE" w14:paraId="6F045D29" w14:textId="77777777" w:rsidTr="000F4C56">
        <w:trPr>
          <w:trHeight w:val="609"/>
        </w:trPr>
        <w:tc>
          <w:tcPr>
            <w:tcW w:w="4349" w:type="dxa"/>
            <w:tcBorders>
              <w:top w:val="single" w:sz="4" w:space="0" w:color="4F81BD"/>
              <w:left w:val="single" w:sz="4" w:space="0" w:color="4F81BD"/>
              <w:bottom w:val="single" w:sz="4" w:space="0" w:color="4F81BD"/>
              <w:right w:val="nil"/>
            </w:tcBorders>
            <w:shd w:val="clear" w:color="auto" w:fill="4F81BD"/>
          </w:tcPr>
          <w:p w14:paraId="71FF83D1" w14:textId="77777777" w:rsidR="000F4C56" w:rsidRPr="00C921DE" w:rsidRDefault="000F4C56" w:rsidP="000F4C56">
            <w:pPr>
              <w:spacing w:line="360" w:lineRule="auto"/>
              <w:jc w:val="both"/>
              <w:rPr>
                <w:rFonts w:ascii="GHEA Grapalat" w:eastAsia="Calibri" w:hAnsi="GHEA Grapalat"/>
                <w:b/>
                <w:bCs/>
                <w:color w:val="FFFFFF"/>
                <w:sz w:val="20"/>
                <w:szCs w:val="20"/>
              </w:rPr>
            </w:pPr>
          </w:p>
        </w:tc>
        <w:tc>
          <w:tcPr>
            <w:tcW w:w="2022" w:type="dxa"/>
            <w:gridSpan w:val="2"/>
            <w:tcBorders>
              <w:top w:val="single" w:sz="4" w:space="0" w:color="4F81BD"/>
              <w:left w:val="nil"/>
              <w:bottom w:val="single" w:sz="4" w:space="0" w:color="4F81BD"/>
              <w:right w:val="nil"/>
            </w:tcBorders>
            <w:shd w:val="clear" w:color="auto" w:fill="4F81BD"/>
          </w:tcPr>
          <w:p w14:paraId="7270D9C4"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 xml:space="preserve">Կշիռ </w:t>
            </w:r>
            <w:r w:rsidRPr="00C921DE">
              <w:rPr>
                <w:rFonts w:ascii="GHEA Grapalat" w:eastAsia="Calibri" w:hAnsi="GHEA Grapalat"/>
                <w:b/>
                <w:bCs/>
                <w:color w:val="FFFFFF"/>
                <w:sz w:val="20"/>
                <w:szCs w:val="20"/>
                <w:lang w:val="ru-RU"/>
              </w:rPr>
              <w:t>(</w:t>
            </w:r>
            <w:r w:rsidRPr="00C921DE">
              <w:rPr>
                <w:rFonts w:ascii="GHEA Grapalat" w:eastAsia="Calibri" w:hAnsi="GHEA Grapalat"/>
                <w:b/>
                <w:bCs/>
                <w:color w:val="FFFFFF"/>
                <w:sz w:val="20"/>
                <w:szCs w:val="20"/>
              </w:rPr>
              <w:t>տոկոս</w:t>
            </w:r>
            <w:r w:rsidRPr="00C921DE">
              <w:rPr>
                <w:rFonts w:ascii="GHEA Grapalat" w:eastAsia="Calibri" w:hAnsi="GHEA Grapalat"/>
                <w:b/>
                <w:bCs/>
                <w:color w:val="FFFFFF"/>
                <w:sz w:val="20"/>
                <w:szCs w:val="20"/>
                <w:lang w:val="ru-RU"/>
              </w:rPr>
              <w:t>)</w:t>
            </w:r>
          </w:p>
        </w:tc>
        <w:tc>
          <w:tcPr>
            <w:tcW w:w="2022" w:type="dxa"/>
            <w:gridSpan w:val="2"/>
            <w:tcBorders>
              <w:top w:val="single" w:sz="4" w:space="0" w:color="4F81BD"/>
              <w:left w:val="nil"/>
              <w:bottom w:val="single" w:sz="4" w:space="0" w:color="4F81BD"/>
              <w:right w:val="nil"/>
            </w:tcBorders>
            <w:shd w:val="clear" w:color="auto" w:fill="4F81BD"/>
          </w:tcPr>
          <w:p w14:paraId="6E5F2352" w14:textId="77777777" w:rsidR="000F4C56" w:rsidRPr="00C921DE" w:rsidRDefault="000F4C56" w:rsidP="000F4C56">
            <w:pPr>
              <w:jc w:val="center"/>
              <w:rPr>
                <w:rFonts w:ascii="GHEA Grapalat" w:eastAsia="Calibri" w:hAnsi="GHEA Grapalat"/>
                <w:b/>
                <w:bCs/>
                <w:color w:val="FFFFFF"/>
                <w:sz w:val="20"/>
                <w:szCs w:val="20"/>
                <w:lang w:val="ru-RU"/>
              </w:rPr>
            </w:pPr>
            <w:r w:rsidRPr="00C921DE">
              <w:rPr>
                <w:rFonts w:ascii="GHEA Grapalat" w:eastAsia="Calibri" w:hAnsi="GHEA Grapalat"/>
                <w:b/>
                <w:bCs/>
                <w:color w:val="FFFFFF"/>
                <w:sz w:val="20"/>
                <w:szCs w:val="20"/>
              </w:rPr>
              <w:t>Աճ</w:t>
            </w:r>
            <w:r w:rsidRPr="00C921DE">
              <w:rPr>
                <w:rFonts w:ascii="GHEA Grapalat" w:eastAsia="Calibri" w:hAnsi="GHEA Grapalat"/>
                <w:b/>
                <w:bCs/>
                <w:color w:val="FFFFFF"/>
                <w:sz w:val="20"/>
                <w:szCs w:val="20"/>
                <w:lang w:val="ru-RU"/>
              </w:rPr>
              <w:t xml:space="preserve"> (</w:t>
            </w:r>
            <w:r w:rsidRPr="00C921DE">
              <w:rPr>
                <w:rFonts w:ascii="GHEA Grapalat" w:eastAsia="Calibri" w:hAnsi="GHEA Grapalat"/>
                <w:b/>
                <w:bCs/>
                <w:color w:val="FFFFFF"/>
                <w:sz w:val="20"/>
                <w:szCs w:val="20"/>
              </w:rPr>
              <w:t>տոկոս</w:t>
            </w:r>
            <w:r w:rsidRPr="00C921DE">
              <w:rPr>
                <w:rFonts w:ascii="GHEA Grapalat" w:eastAsia="Calibri" w:hAnsi="GHEA Grapalat"/>
                <w:b/>
                <w:bCs/>
                <w:color w:val="FFFFFF"/>
                <w:sz w:val="20"/>
                <w:szCs w:val="20"/>
                <w:lang w:val="ru-RU"/>
              </w:rPr>
              <w:t>)</w:t>
            </w:r>
          </w:p>
        </w:tc>
        <w:tc>
          <w:tcPr>
            <w:tcW w:w="2176" w:type="dxa"/>
            <w:gridSpan w:val="2"/>
            <w:tcBorders>
              <w:top w:val="single" w:sz="4" w:space="0" w:color="4F81BD"/>
              <w:left w:val="nil"/>
              <w:bottom w:val="single" w:sz="4" w:space="0" w:color="4F81BD"/>
              <w:right w:val="single" w:sz="4" w:space="0" w:color="4F81BD"/>
            </w:tcBorders>
            <w:shd w:val="clear" w:color="auto" w:fill="4F81BD"/>
          </w:tcPr>
          <w:p w14:paraId="52DAE903" w14:textId="77777777" w:rsidR="000F4C56" w:rsidRPr="00C921DE" w:rsidRDefault="000F4C56" w:rsidP="000F4C56">
            <w:pPr>
              <w:jc w:val="center"/>
              <w:rPr>
                <w:rFonts w:ascii="GHEA Grapalat" w:eastAsia="Calibri" w:hAnsi="GHEA Grapalat"/>
                <w:b/>
                <w:bCs/>
                <w:color w:val="FFFFFF"/>
                <w:sz w:val="20"/>
                <w:szCs w:val="20"/>
              </w:rPr>
            </w:pPr>
            <w:r w:rsidRPr="00C921DE">
              <w:rPr>
                <w:rFonts w:ascii="GHEA Grapalat" w:eastAsia="Calibri" w:hAnsi="GHEA Grapalat"/>
                <w:b/>
                <w:bCs/>
                <w:color w:val="FFFFFF"/>
                <w:sz w:val="20"/>
                <w:szCs w:val="20"/>
              </w:rPr>
              <w:t>Նպաստում</w:t>
            </w:r>
          </w:p>
          <w:p w14:paraId="332A0B68" w14:textId="77777777" w:rsidR="000F4C56" w:rsidRPr="00C921DE" w:rsidRDefault="000F4C56" w:rsidP="000F4C56">
            <w:pPr>
              <w:jc w:val="center"/>
              <w:rPr>
                <w:rFonts w:ascii="GHEA Grapalat" w:eastAsia="Calibri" w:hAnsi="GHEA Grapalat"/>
                <w:b/>
                <w:bCs/>
                <w:color w:val="FFFFFF"/>
                <w:sz w:val="20"/>
                <w:szCs w:val="20"/>
                <w:lang w:val="ru-RU"/>
              </w:rPr>
            </w:pPr>
            <w:r w:rsidRPr="00C921DE">
              <w:rPr>
                <w:rFonts w:ascii="GHEA Grapalat" w:eastAsia="Calibri" w:hAnsi="GHEA Grapalat"/>
                <w:b/>
                <w:bCs/>
                <w:color w:val="FFFFFF"/>
                <w:sz w:val="20"/>
                <w:szCs w:val="20"/>
                <w:lang w:val="ru-RU"/>
              </w:rPr>
              <w:t>(</w:t>
            </w:r>
            <w:r w:rsidRPr="00C921DE">
              <w:rPr>
                <w:rFonts w:ascii="GHEA Grapalat" w:eastAsia="Calibri" w:hAnsi="GHEA Grapalat"/>
                <w:b/>
                <w:bCs/>
                <w:color w:val="FFFFFF"/>
                <w:sz w:val="20"/>
                <w:szCs w:val="20"/>
              </w:rPr>
              <w:t>տոկոսային կետ</w:t>
            </w:r>
            <w:r w:rsidRPr="00C921DE">
              <w:rPr>
                <w:rFonts w:ascii="GHEA Grapalat" w:eastAsia="Calibri" w:hAnsi="GHEA Grapalat"/>
                <w:b/>
                <w:bCs/>
                <w:color w:val="FFFFFF"/>
                <w:sz w:val="20"/>
                <w:szCs w:val="20"/>
                <w:lang w:val="ru-RU"/>
              </w:rPr>
              <w:t>)</w:t>
            </w:r>
          </w:p>
        </w:tc>
      </w:tr>
      <w:tr w:rsidR="000F4C56" w:rsidRPr="00C921DE" w14:paraId="5E85EB76" w14:textId="77777777" w:rsidTr="000F4C56">
        <w:trPr>
          <w:trHeight w:val="443"/>
        </w:trPr>
        <w:tc>
          <w:tcPr>
            <w:tcW w:w="4349" w:type="dxa"/>
            <w:shd w:val="clear" w:color="auto" w:fill="DBE5F1"/>
          </w:tcPr>
          <w:p w14:paraId="1576D992" w14:textId="77777777" w:rsidR="000F4C56" w:rsidRPr="00C921DE" w:rsidRDefault="000F4C56" w:rsidP="000F4C56">
            <w:pPr>
              <w:spacing w:line="360" w:lineRule="auto"/>
              <w:jc w:val="both"/>
              <w:rPr>
                <w:rFonts w:ascii="GHEA Grapalat" w:eastAsia="Calibri" w:hAnsi="GHEA Grapalat"/>
                <w:b/>
                <w:bCs/>
                <w:sz w:val="20"/>
                <w:szCs w:val="20"/>
              </w:rPr>
            </w:pPr>
          </w:p>
        </w:tc>
        <w:tc>
          <w:tcPr>
            <w:tcW w:w="1089" w:type="dxa"/>
            <w:shd w:val="clear" w:color="auto" w:fill="DBE5F1"/>
          </w:tcPr>
          <w:p w14:paraId="0B856A45" w14:textId="77777777" w:rsidR="000F4C56" w:rsidRPr="00C921DE" w:rsidRDefault="000F4C56" w:rsidP="000F4C56">
            <w:pPr>
              <w:spacing w:line="360" w:lineRule="auto"/>
              <w:jc w:val="center"/>
              <w:rPr>
                <w:rFonts w:ascii="GHEA Grapalat" w:eastAsia="Calibri" w:hAnsi="GHEA Grapalat"/>
                <w:b/>
                <w:sz w:val="20"/>
                <w:szCs w:val="20"/>
              </w:rPr>
            </w:pPr>
            <w:r w:rsidRPr="00C921DE">
              <w:rPr>
                <w:rFonts w:ascii="GHEA Grapalat" w:eastAsia="Calibri" w:hAnsi="GHEA Grapalat"/>
                <w:b/>
                <w:sz w:val="20"/>
                <w:szCs w:val="20"/>
              </w:rPr>
              <w:t>2022</w:t>
            </w:r>
          </w:p>
        </w:tc>
        <w:tc>
          <w:tcPr>
            <w:tcW w:w="932" w:type="dxa"/>
            <w:shd w:val="clear" w:color="auto" w:fill="DBE5F1"/>
          </w:tcPr>
          <w:p w14:paraId="184A7D56" w14:textId="77777777" w:rsidR="000F4C56" w:rsidRPr="00C921DE" w:rsidRDefault="000F4C56" w:rsidP="000F4C56">
            <w:pPr>
              <w:spacing w:line="360" w:lineRule="auto"/>
              <w:jc w:val="center"/>
              <w:rPr>
                <w:rFonts w:ascii="GHEA Grapalat" w:eastAsia="Calibri" w:hAnsi="GHEA Grapalat"/>
                <w:b/>
                <w:sz w:val="20"/>
                <w:szCs w:val="20"/>
              </w:rPr>
            </w:pPr>
            <w:r w:rsidRPr="00C921DE">
              <w:rPr>
                <w:rFonts w:ascii="GHEA Grapalat" w:eastAsia="Calibri" w:hAnsi="GHEA Grapalat"/>
                <w:b/>
                <w:sz w:val="20"/>
                <w:szCs w:val="20"/>
              </w:rPr>
              <w:t>2023</w:t>
            </w:r>
          </w:p>
        </w:tc>
        <w:tc>
          <w:tcPr>
            <w:tcW w:w="1088" w:type="dxa"/>
            <w:shd w:val="clear" w:color="auto" w:fill="DBE5F1"/>
          </w:tcPr>
          <w:p w14:paraId="7CB6FC6B" w14:textId="77777777" w:rsidR="000F4C56" w:rsidRPr="00C921DE" w:rsidRDefault="000F4C56" w:rsidP="000F4C56">
            <w:pPr>
              <w:spacing w:line="360" w:lineRule="auto"/>
              <w:jc w:val="center"/>
              <w:rPr>
                <w:rFonts w:ascii="GHEA Grapalat" w:eastAsia="Calibri" w:hAnsi="GHEA Grapalat"/>
                <w:b/>
                <w:sz w:val="20"/>
                <w:szCs w:val="20"/>
                <w:lang w:val="en-US"/>
              </w:rPr>
            </w:pPr>
            <w:r w:rsidRPr="00C921DE">
              <w:rPr>
                <w:rFonts w:ascii="GHEA Grapalat" w:eastAsia="Calibri" w:hAnsi="GHEA Grapalat"/>
                <w:b/>
                <w:sz w:val="20"/>
                <w:szCs w:val="20"/>
              </w:rPr>
              <w:t>202</w:t>
            </w:r>
            <w:r w:rsidRPr="00C921DE">
              <w:rPr>
                <w:rFonts w:ascii="GHEA Grapalat" w:eastAsia="Calibri" w:hAnsi="GHEA Grapalat"/>
                <w:b/>
                <w:sz w:val="20"/>
                <w:szCs w:val="20"/>
                <w:lang w:val="en-US"/>
              </w:rPr>
              <w:t>2</w:t>
            </w:r>
          </w:p>
        </w:tc>
        <w:tc>
          <w:tcPr>
            <w:tcW w:w="933" w:type="dxa"/>
            <w:shd w:val="clear" w:color="auto" w:fill="DBE5F1"/>
          </w:tcPr>
          <w:p w14:paraId="12FE8D36" w14:textId="77777777" w:rsidR="000F4C56" w:rsidRPr="00C921DE" w:rsidRDefault="000F4C56" w:rsidP="000F4C56">
            <w:pPr>
              <w:spacing w:line="360" w:lineRule="auto"/>
              <w:jc w:val="center"/>
              <w:rPr>
                <w:rFonts w:ascii="GHEA Grapalat" w:eastAsia="Calibri" w:hAnsi="GHEA Grapalat"/>
                <w:b/>
                <w:sz w:val="20"/>
                <w:szCs w:val="20"/>
                <w:lang w:val="en-US"/>
              </w:rPr>
            </w:pPr>
            <w:r w:rsidRPr="00C921DE">
              <w:rPr>
                <w:rFonts w:ascii="GHEA Grapalat" w:eastAsia="Calibri" w:hAnsi="GHEA Grapalat"/>
                <w:b/>
                <w:sz w:val="20"/>
                <w:szCs w:val="20"/>
              </w:rPr>
              <w:t>202</w:t>
            </w:r>
            <w:r w:rsidRPr="00C921DE">
              <w:rPr>
                <w:rFonts w:ascii="GHEA Grapalat" w:eastAsia="Calibri" w:hAnsi="GHEA Grapalat"/>
                <w:b/>
                <w:sz w:val="20"/>
                <w:szCs w:val="20"/>
                <w:lang w:val="en-US"/>
              </w:rPr>
              <w:t>3</w:t>
            </w:r>
          </w:p>
        </w:tc>
        <w:tc>
          <w:tcPr>
            <w:tcW w:w="1088" w:type="dxa"/>
            <w:shd w:val="clear" w:color="auto" w:fill="DBE5F1"/>
          </w:tcPr>
          <w:p w14:paraId="4A7BF94E" w14:textId="77777777" w:rsidR="000F4C56" w:rsidRPr="00C921DE" w:rsidRDefault="000F4C56" w:rsidP="000F4C56">
            <w:pPr>
              <w:spacing w:line="360" w:lineRule="auto"/>
              <w:jc w:val="center"/>
              <w:rPr>
                <w:rFonts w:ascii="GHEA Grapalat" w:eastAsia="Calibri" w:hAnsi="GHEA Grapalat"/>
                <w:b/>
                <w:sz w:val="20"/>
                <w:szCs w:val="20"/>
                <w:lang w:val="en-US"/>
              </w:rPr>
            </w:pPr>
            <w:r w:rsidRPr="00C921DE">
              <w:rPr>
                <w:rFonts w:ascii="GHEA Grapalat" w:eastAsia="Calibri" w:hAnsi="GHEA Grapalat"/>
                <w:b/>
                <w:sz w:val="20"/>
                <w:szCs w:val="20"/>
              </w:rPr>
              <w:t>202</w:t>
            </w:r>
            <w:r w:rsidRPr="00C921DE">
              <w:rPr>
                <w:rFonts w:ascii="GHEA Grapalat" w:eastAsia="Calibri" w:hAnsi="GHEA Grapalat"/>
                <w:b/>
                <w:sz w:val="20"/>
                <w:szCs w:val="20"/>
                <w:lang w:val="en-US"/>
              </w:rPr>
              <w:t>2</w:t>
            </w:r>
          </w:p>
        </w:tc>
        <w:tc>
          <w:tcPr>
            <w:tcW w:w="1088" w:type="dxa"/>
            <w:shd w:val="clear" w:color="auto" w:fill="DBE5F1"/>
          </w:tcPr>
          <w:p w14:paraId="1117F104" w14:textId="77777777" w:rsidR="000F4C56" w:rsidRPr="00C921DE" w:rsidRDefault="000F4C56" w:rsidP="000F4C56">
            <w:pPr>
              <w:spacing w:line="360" w:lineRule="auto"/>
              <w:jc w:val="center"/>
              <w:rPr>
                <w:rFonts w:ascii="GHEA Grapalat" w:eastAsia="Calibri" w:hAnsi="GHEA Grapalat"/>
                <w:b/>
                <w:sz w:val="20"/>
                <w:szCs w:val="20"/>
                <w:lang w:val="en-US"/>
              </w:rPr>
            </w:pPr>
            <w:r w:rsidRPr="00C921DE">
              <w:rPr>
                <w:rFonts w:ascii="GHEA Grapalat" w:eastAsia="Calibri" w:hAnsi="GHEA Grapalat"/>
                <w:b/>
                <w:sz w:val="20"/>
                <w:szCs w:val="20"/>
              </w:rPr>
              <w:t>202</w:t>
            </w:r>
            <w:r w:rsidRPr="00C921DE">
              <w:rPr>
                <w:rFonts w:ascii="GHEA Grapalat" w:eastAsia="Calibri" w:hAnsi="GHEA Grapalat"/>
                <w:b/>
                <w:sz w:val="20"/>
                <w:szCs w:val="20"/>
                <w:lang w:val="en-US"/>
              </w:rPr>
              <w:t>3</w:t>
            </w:r>
          </w:p>
        </w:tc>
      </w:tr>
      <w:tr w:rsidR="000F4C56" w:rsidRPr="00C921DE" w14:paraId="2AC1AFCC" w14:textId="77777777" w:rsidTr="000F4C56">
        <w:trPr>
          <w:trHeight w:val="332"/>
        </w:trPr>
        <w:tc>
          <w:tcPr>
            <w:tcW w:w="4349" w:type="dxa"/>
            <w:shd w:val="clear" w:color="auto" w:fill="auto"/>
            <w:vAlign w:val="bottom"/>
          </w:tcPr>
          <w:p w14:paraId="52A6F2DF"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Ընդամենը</w:t>
            </w:r>
          </w:p>
        </w:tc>
        <w:tc>
          <w:tcPr>
            <w:tcW w:w="1089" w:type="dxa"/>
            <w:shd w:val="clear" w:color="auto" w:fill="auto"/>
            <w:vAlign w:val="bottom"/>
          </w:tcPr>
          <w:p w14:paraId="69C02927" w14:textId="77777777" w:rsidR="000F4C56" w:rsidRPr="00C921DE" w:rsidRDefault="000F4C56" w:rsidP="000F4C56">
            <w:pPr>
              <w:jc w:val="center"/>
              <w:rPr>
                <w:rFonts w:ascii="GHEA Grapalat" w:eastAsia="Calibri" w:hAnsi="GHEA Grapalat"/>
                <w:b/>
                <w:sz w:val="22"/>
                <w:szCs w:val="22"/>
              </w:rPr>
            </w:pPr>
            <w:r w:rsidRPr="00C921DE">
              <w:rPr>
                <w:rFonts w:ascii="GHEA Grapalat" w:eastAsia="Calibri" w:hAnsi="GHEA Grapalat"/>
                <w:b/>
                <w:sz w:val="22"/>
                <w:szCs w:val="22"/>
              </w:rPr>
              <w:t>100</w:t>
            </w:r>
          </w:p>
        </w:tc>
        <w:tc>
          <w:tcPr>
            <w:tcW w:w="932" w:type="dxa"/>
            <w:shd w:val="clear" w:color="auto" w:fill="auto"/>
            <w:vAlign w:val="bottom"/>
          </w:tcPr>
          <w:p w14:paraId="0BF7BCB3" w14:textId="77777777" w:rsidR="000F4C56" w:rsidRPr="00C921DE" w:rsidRDefault="000F4C56" w:rsidP="000F4C56">
            <w:pPr>
              <w:jc w:val="center"/>
              <w:rPr>
                <w:rFonts w:ascii="GHEA Grapalat" w:eastAsia="Calibri" w:hAnsi="GHEA Grapalat"/>
                <w:b/>
                <w:sz w:val="22"/>
                <w:szCs w:val="22"/>
              </w:rPr>
            </w:pPr>
            <w:r w:rsidRPr="00C921DE">
              <w:rPr>
                <w:rFonts w:ascii="GHEA Grapalat" w:eastAsia="Calibri" w:hAnsi="GHEA Grapalat"/>
                <w:b/>
                <w:sz w:val="22"/>
                <w:szCs w:val="22"/>
              </w:rPr>
              <w:t>100</w:t>
            </w:r>
          </w:p>
        </w:tc>
        <w:tc>
          <w:tcPr>
            <w:tcW w:w="1088" w:type="dxa"/>
            <w:shd w:val="clear" w:color="auto" w:fill="auto"/>
            <w:vAlign w:val="bottom"/>
          </w:tcPr>
          <w:p w14:paraId="3A0ED859" w14:textId="77777777" w:rsidR="000F4C56" w:rsidRPr="00C921DE" w:rsidRDefault="000F4C56" w:rsidP="000F4C56">
            <w:pPr>
              <w:jc w:val="center"/>
              <w:rPr>
                <w:rFonts w:ascii="Arial" w:hAnsi="Arial" w:cs="Arial"/>
                <w:b/>
                <w:noProof w:val="0"/>
                <w:sz w:val="22"/>
                <w:szCs w:val="22"/>
                <w:lang w:val="en-US"/>
              </w:rPr>
            </w:pPr>
            <w:r w:rsidRPr="00C921DE">
              <w:rPr>
                <w:rFonts w:ascii="Arial" w:hAnsi="Arial" w:cs="Arial"/>
                <w:b/>
                <w:sz w:val="22"/>
                <w:szCs w:val="22"/>
              </w:rPr>
              <w:t>63.7</w:t>
            </w:r>
          </w:p>
        </w:tc>
        <w:tc>
          <w:tcPr>
            <w:tcW w:w="933" w:type="dxa"/>
            <w:shd w:val="clear" w:color="auto" w:fill="auto"/>
            <w:vAlign w:val="bottom"/>
          </w:tcPr>
          <w:p w14:paraId="668EA672" w14:textId="77777777" w:rsidR="000F4C56" w:rsidRPr="00C921DE" w:rsidRDefault="000F4C56" w:rsidP="000F4C56">
            <w:pPr>
              <w:jc w:val="center"/>
              <w:rPr>
                <w:rFonts w:ascii="Arial" w:hAnsi="Arial" w:cs="Arial"/>
                <w:b/>
                <w:noProof w:val="0"/>
                <w:sz w:val="22"/>
                <w:szCs w:val="22"/>
                <w:lang w:val="en-US"/>
              </w:rPr>
            </w:pPr>
            <w:r w:rsidRPr="00C921DE">
              <w:rPr>
                <w:rFonts w:ascii="Arial" w:hAnsi="Arial" w:cs="Arial"/>
                <w:b/>
                <w:sz w:val="22"/>
                <w:szCs w:val="22"/>
              </w:rPr>
              <w:t>40.2</w:t>
            </w:r>
          </w:p>
        </w:tc>
        <w:tc>
          <w:tcPr>
            <w:tcW w:w="1088" w:type="dxa"/>
            <w:shd w:val="clear" w:color="auto" w:fill="auto"/>
            <w:vAlign w:val="bottom"/>
          </w:tcPr>
          <w:p w14:paraId="099454A2" w14:textId="77777777" w:rsidR="000F4C56" w:rsidRPr="00C921DE" w:rsidRDefault="000F4C56" w:rsidP="000F4C56">
            <w:pPr>
              <w:jc w:val="center"/>
              <w:rPr>
                <w:rFonts w:ascii="Arial" w:hAnsi="Arial" w:cs="Arial"/>
                <w:b/>
                <w:bCs/>
                <w:noProof w:val="0"/>
                <w:sz w:val="22"/>
                <w:szCs w:val="22"/>
                <w:lang w:val="en-US"/>
              </w:rPr>
            </w:pPr>
            <w:r w:rsidRPr="00C921DE">
              <w:rPr>
                <w:rFonts w:ascii="Arial" w:hAnsi="Arial" w:cs="Arial"/>
                <w:b/>
                <w:bCs/>
                <w:sz w:val="22"/>
                <w:szCs w:val="22"/>
              </w:rPr>
              <w:t>63.7</w:t>
            </w:r>
          </w:p>
        </w:tc>
        <w:tc>
          <w:tcPr>
            <w:tcW w:w="1088" w:type="dxa"/>
            <w:shd w:val="clear" w:color="auto" w:fill="auto"/>
            <w:vAlign w:val="bottom"/>
          </w:tcPr>
          <w:p w14:paraId="1A7F8FF0" w14:textId="77777777" w:rsidR="000F4C56" w:rsidRPr="00C921DE" w:rsidRDefault="000F4C56" w:rsidP="000F4C56">
            <w:pPr>
              <w:jc w:val="center"/>
              <w:rPr>
                <w:rFonts w:ascii="GHEA Grapalat" w:eastAsia="Calibri" w:hAnsi="GHEA Grapalat"/>
                <w:b/>
                <w:sz w:val="22"/>
                <w:szCs w:val="22"/>
                <w:lang w:val="en-US"/>
              </w:rPr>
            </w:pPr>
            <w:r w:rsidRPr="00C921DE">
              <w:rPr>
                <w:rFonts w:ascii="GHEA Grapalat" w:eastAsia="Calibri" w:hAnsi="GHEA Grapalat"/>
                <w:b/>
                <w:sz w:val="22"/>
                <w:szCs w:val="22"/>
                <w:lang w:val="en-US"/>
              </w:rPr>
              <w:t>40.2</w:t>
            </w:r>
          </w:p>
        </w:tc>
      </w:tr>
      <w:tr w:rsidR="000F4C56" w:rsidRPr="00C921DE" w14:paraId="200DE79E" w14:textId="77777777" w:rsidTr="000F4C56">
        <w:trPr>
          <w:trHeight w:val="304"/>
        </w:trPr>
        <w:tc>
          <w:tcPr>
            <w:tcW w:w="4349" w:type="dxa"/>
            <w:shd w:val="clear" w:color="auto" w:fill="DBE5F1"/>
            <w:vAlign w:val="bottom"/>
          </w:tcPr>
          <w:p w14:paraId="6381F522"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Վերջնական սպառման ապրանքներ</w:t>
            </w:r>
          </w:p>
        </w:tc>
        <w:tc>
          <w:tcPr>
            <w:tcW w:w="1089" w:type="dxa"/>
            <w:shd w:val="clear" w:color="auto" w:fill="DBE5F1"/>
            <w:vAlign w:val="bottom"/>
          </w:tcPr>
          <w:p w14:paraId="0BA5F2E5" w14:textId="77777777" w:rsidR="000F4C56" w:rsidRPr="00C921DE" w:rsidRDefault="000F4C56" w:rsidP="000F4C56">
            <w:pPr>
              <w:jc w:val="center"/>
              <w:rPr>
                <w:rFonts w:ascii="Arial" w:hAnsi="Arial" w:cs="Arial"/>
                <w:noProof w:val="0"/>
                <w:sz w:val="22"/>
                <w:szCs w:val="22"/>
                <w:lang w:val="en-US"/>
              </w:rPr>
            </w:pPr>
            <w:r w:rsidRPr="00C921DE">
              <w:rPr>
                <w:rFonts w:ascii="Arial" w:hAnsi="Arial" w:cs="Arial"/>
                <w:sz w:val="22"/>
                <w:szCs w:val="22"/>
              </w:rPr>
              <w:t>23.8</w:t>
            </w:r>
          </w:p>
        </w:tc>
        <w:tc>
          <w:tcPr>
            <w:tcW w:w="932" w:type="dxa"/>
            <w:shd w:val="clear" w:color="auto" w:fill="DBE5F1"/>
            <w:vAlign w:val="bottom"/>
          </w:tcPr>
          <w:p w14:paraId="7863F0FD" w14:textId="77777777" w:rsidR="000F4C56" w:rsidRPr="00C921DE" w:rsidRDefault="000F4C56" w:rsidP="000F4C56">
            <w:pPr>
              <w:jc w:val="center"/>
              <w:rPr>
                <w:rFonts w:ascii="Arial" w:hAnsi="Arial" w:cs="Arial"/>
                <w:noProof w:val="0"/>
                <w:sz w:val="22"/>
                <w:szCs w:val="22"/>
                <w:lang w:val="en-US"/>
              </w:rPr>
            </w:pPr>
            <w:r w:rsidRPr="00C921DE">
              <w:rPr>
                <w:rFonts w:ascii="Arial" w:hAnsi="Arial" w:cs="Arial"/>
                <w:sz w:val="22"/>
                <w:szCs w:val="22"/>
              </w:rPr>
              <w:t>21.6</w:t>
            </w:r>
          </w:p>
        </w:tc>
        <w:tc>
          <w:tcPr>
            <w:tcW w:w="1088" w:type="dxa"/>
            <w:shd w:val="clear" w:color="auto" w:fill="DBE5F1"/>
            <w:vAlign w:val="bottom"/>
          </w:tcPr>
          <w:p w14:paraId="2D2103C9"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41.4</w:t>
            </w:r>
          </w:p>
        </w:tc>
        <w:tc>
          <w:tcPr>
            <w:tcW w:w="933" w:type="dxa"/>
            <w:shd w:val="clear" w:color="auto" w:fill="DBE5F1"/>
            <w:vAlign w:val="bottom"/>
          </w:tcPr>
          <w:p w14:paraId="669B02D2"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27.4</w:t>
            </w:r>
          </w:p>
        </w:tc>
        <w:tc>
          <w:tcPr>
            <w:tcW w:w="1088" w:type="dxa"/>
            <w:shd w:val="clear" w:color="auto" w:fill="DBE5F1"/>
            <w:vAlign w:val="bottom"/>
          </w:tcPr>
          <w:p w14:paraId="63C81318" w14:textId="77777777" w:rsidR="000F4C56" w:rsidRPr="00C921DE" w:rsidRDefault="000F4C56" w:rsidP="000F4C56">
            <w:pPr>
              <w:jc w:val="center"/>
              <w:rPr>
                <w:rFonts w:ascii="Arial" w:hAnsi="Arial" w:cs="Arial"/>
                <w:noProof w:val="0"/>
                <w:sz w:val="22"/>
                <w:szCs w:val="22"/>
                <w:lang w:val="en-US"/>
              </w:rPr>
            </w:pPr>
            <w:r w:rsidRPr="00C921DE">
              <w:rPr>
                <w:rFonts w:ascii="Arial" w:hAnsi="Arial" w:cs="Arial"/>
                <w:sz w:val="22"/>
                <w:szCs w:val="22"/>
              </w:rPr>
              <w:t>11.4</w:t>
            </w:r>
          </w:p>
        </w:tc>
        <w:tc>
          <w:tcPr>
            <w:tcW w:w="1088" w:type="dxa"/>
            <w:shd w:val="clear" w:color="auto" w:fill="DBE5F1"/>
            <w:vAlign w:val="bottom"/>
          </w:tcPr>
          <w:p w14:paraId="0D9173A3" w14:textId="77777777" w:rsidR="000F4C56" w:rsidRPr="00C921DE" w:rsidRDefault="000F4C56" w:rsidP="000F4C56">
            <w:pPr>
              <w:jc w:val="center"/>
              <w:rPr>
                <w:rFonts w:ascii="Arial" w:hAnsi="Arial" w:cs="Arial"/>
                <w:noProof w:val="0"/>
                <w:sz w:val="22"/>
                <w:szCs w:val="22"/>
                <w:lang w:val="en-US"/>
              </w:rPr>
            </w:pPr>
            <w:r w:rsidRPr="00C921DE">
              <w:rPr>
                <w:rFonts w:ascii="Arial" w:hAnsi="Arial" w:cs="Arial"/>
                <w:sz w:val="22"/>
                <w:szCs w:val="22"/>
              </w:rPr>
              <w:t>6.5</w:t>
            </w:r>
          </w:p>
        </w:tc>
      </w:tr>
      <w:tr w:rsidR="000F4C56" w:rsidRPr="00C921DE" w14:paraId="3572ECF2" w14:textId="77777777" w:rsidTr="000F4C56">
        <w:trPr>
          <w:trHeight w:val="304"/>
        </w:trPr>
        <w:tc>
          <w:tcPr>
            <w:tcW w:w="4349" w:type="dxa"/>
            <w:shd w:val="clear" w:color="auto" w:fill="auto"/>
            <w:vAlign w:val="bottom"/>
          </w:tcPr>
          <w:p w14:paraId="507B631A"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Միջանկյալ սպառման ապրանքներ</w:t>
            </w:r>
          </w:p>
        </w:tc>
        <w:tc>
          <w:tcPr>
            <w:tcW w:w="1089" w:type="dxa"/>
            <w:shd w:val="clear" w:color="auto" w:fill="auto"/>
            <w:vAlign w:val="bottom"/>
          </w:tcPr>
          <w:p w14:paraId="2895B9F5"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50.7</w:t>
            </w:r>
          </w:p>
        </w:tc>
        <w:tc>
          <w:tcPr>
            <w:tcW w:w="932" w:type="dxa"/>
            <w:shd w:val="clear" w:color="auto" w:fill="auto"/>
            <w:vAlign w:val="bottom"/>
          </w:tcPr>
          <w:p w14:paraId="130BB9DC"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48.5</w:t>
            </w:r>
          </w:p>
        </w:tc>
        <w:tc>
          <w:tcPr>
            <w:tcW w:w="1088" w:type="dxa"/>
            <w:shd w:val="clear" w:color="auto" w:fill="auto"/>
            <w:vAlign w:val="bottom"/>
          </w:tcPr>
          <w:p w14:paraId="43E5D5D5"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51.8</w:t>
            </w:r>
          </w:p>
        </w:tc>
        <w:tc>
          <w:tcPr>
            <w:tcW w:w="933" w:type="dxa"/>
            <w:shd w:val="clear" w:color="auto" w:fill="auto"/>
            <w:vAlign w:val="bottom"/>
          </w:tcPr>
          <w:p w14:paraId="63492CF6"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34.3</w:t>
            </w:r>
          </w:p>
        </w:tc>
        <w:tc>
          <w:tcPr>
            <w:tcW w:w="1088" w:type="dxa"/>
            <w:shd w:val="clear" w:color="auto" w:fill="auto"/>
            <w:vAlign w:val="bottom"/>
          </w:tcPr>
          <w:p w14:paraId="094EB861"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28.3</w:t>
            </w:r>
          </w:p>
        </w:tc>
        <w:tc>
          <w:tcPr>
            <w:tcW w:w="1088" w:type="dxa"/>
            <w:shd w:val="clear" w:color="auto" w:fill="auto"/>
            <w:vAlign w:val="bottom"/>
          </w:tcPr>
          <w:p w14:paraId="2C042101"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17.4</w:t>
            </w:r>
          </w:p>
        </w:tc>
      </w:tr>
      <w:tr w:rsidR="000F4C56" w:rsidRPr="00C921DE" w14:paraId="3D551813" w14:textId="77777777" w:rsidTr="000F4C56">
        <w:trPr>
          <w:trHeight w:val="304"/>
        </w:trPr>
        <w:tc>
          <w:tcPr>
            <w:tcW w:w="4349" w:type="dxa"/>
            <w:shd w:val="clear" w:color="auto" w:fill="DBE5F1"/>
            <w:vAlign w:val="bottom"/>
          </w:tcPr>
          <w:p w14:paraId="14F8C1A1"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Կապիտալ ապրանքներ</w:t>
            </w:r>
          </w:p>
        </w:tc>
        <w:tc>
          <w:tcPr>
            <w:tcW w:w="1089" w:type="dxa"/>
            <w:shd w:val="clear" w:color="auto" w:fill="DBE5F1"/>
            <w:vAlign w:val="bottom"/>
          </w:tcPr>
          <w:p w14:paraId="2628FC6E"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17.5</w:t>
            </w:r>
          </w:p>
        </w:tc>
        <w:tc>
          <w:tcPr>
            <w:tcW w:w="932" w:type="dxa"/>
            <w:shd w:val="clear" w:color="auto" w:fill="DBE5F1"/>
            <w:vAlign w:val="bottom"/>
          </w:tcPr>
          <w:p w14:paraId="0D68D19E"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19.1</w:t>
            </w:r>
          </w:p>
        </w:tc>
        <w:tc>
          <w:tcPr>
            <w:tcW w:w="1088" w:type="dxa"/>
            <w:shd w:val="clear" w:color="auto" w:fill="DBE5F1"/>
            <w:vAlign w:val="bottom"/>
          </w:tcPr>
          <w:p w14:paraId="093E6315"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85.8</w:t>
            </w:r>
          </w:p>
        </w:tc>
        <w:tc>
          <w:tcPr>
            <w:tcW w:w="933" w:type="dxa"/>
            <w:shd w:val="clear" w:color="auto" w:fill="DBE5F1"/>
            <w:vAlign w:val="bottom"/>
          </w:tcPr>
          <w:p w14:paraId="396BD773"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53.1</w:t>
            </w:r>
          </w:p>
        </w:tc>
        <w:tc>
          <w:tcPr>
            <w:tcW w:w="1088" w:type="dxa"/>
            <w:shd w:val="clear" w:color="auto" w:fill="DBE5F1"/>
            <w:vAlign w:val="bottom"/>
          </w:tcPr>
          <w:p w14:paraId="793520CE"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13.2</w:t>
            </w:r>
          </w:p>
        </w:tc>
        <w:tc>
          <w:tcPr>
            <w:tcW w:w="1088" w:type="dxa"/>
            <w:shd w:val="clear" w:color="auto" w:fill="DBE5F1"/>
            <w:vAlign w:val="bottom"/>
          </w:tcPr>
          <w:p w14:paraId="06386A5D"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9.3</w:t>
            </w:r>
          </w:p>
        </w:tc>
      </w:tr>
      <w:tr w:rsidR="000F4C56" w:rsidRPr="00C921DE" w14:paraId="06019314" w14:textId="77777777" w:rsidTr="000F4C56">
        <w:trPr>
          <w:trHeight w:val="290"/>
        </w:trPr>
        <w:tc>
          <w:tcPr>
            <w:tcW w:w="4349" w:type="dxa"/>
            <w:shd w:val="clear" w:color="auto" w:fill="auto"/>
            <w:vAlign w:val="bottom"/>
          </w:tcPr>
          <w:p w14:paraId="048963C7" w14:textId="77777777" w:rsidR="000F4C56" w:rsidRPr="00C921DE" w:rsidRDefault="000F4C56" w:rsidP="000F4C56">
            <w:pPr>
              <w:rPr>
                <w:rFonts w:ascii="GHEA Grapalat" w:eastAsia="Calibri" w:hAnsi="GHEA Grapalat"/>
                <w:b/>
                <w:bCs/>
                <w:sz w:val="20"/>
                <w:szCs w:val="20"/>
              </w:rPr>
            </w:pPr>
            <w:r w:rsidRPr="00C921DE">
              <w:rPr>
                <w:rFonts w:ascii="GHEA Grapalat" w:eastAsia="Calibri" w:hAnsi="GHEA Grapalat"/>
                <w:b/>
                <w:bCs/>
                <w:sz w:val="20"/>
                <w:szCs w:val="20"/>
              </w:rPr>
              <w:t>Ավտոմեքենա մարդատար</w:t>
            </w:r>
          </w:p>
        </w:tc>
        <w:tc>
          <w:tcPr>
            <w:tcW w:w="1089" w:type="dxa"/>
            <w:shd w:val="clear" w:color="auto" w:fill="auto"/>
            <w:vAlign w:val="bottom"/>
          </w:tcPr>
          <w:p w14:paraId="25C578B9"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8.0</w:t>
            </w:r>
          </w:p>
        </w:tc>
        <w:tc>
          <w:tcPr>
            <w:tcW w:w="932" w:type="dxa"/>
            <w:shd w:val="clear" w:color="auto" w:fill="auto"/>
            <w:vAlign w:val="bottom"/>
          </w:tcPr>
          <w:p w14:paraId="23B52A39"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10.7</w:t>
            </w:r>
          </w:p>
        </w:tc>
        <w:tc>
          <w:tcPr>
            <w:tcW w:w="1088" w:type="dxa"/>
            <w:shd w:val="clear" w:color="auto" w:fill="auto"/>
            <w:vAlign w:val="bottom"/>
          </w:tcPr>
          <w:p w14:paraId="78219E73"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446.6</w:t>
            </w:r>
          </w:p>
        </w:tc>
        <w:tc>
          <w:tcPr>
            <w:tcW w:w="933" w:type="dxa"/>
            <w:shd w:val="clear" w:color="auto" w:fill="auto"/>
            <w:vAlign w:val="bottom"/>
          </w:tcPr>
          <w:p w14:paraId="3CC8A880"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87.5</w:t>
            </w:r>
          </w:p>
        </w:tc>
        <w:tc>
          <w:tcPr>
            <w:tcW w:w="1088" w:type="dxa"/>
            <w:shd w:val="clear" w:color="auto" w:fill="auto"/>
            <w:vAlign w:val="bottom"/>
          </w:tcPr>
          <w:p w14:paraId="78F500C0"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10.7</w:t>
            </w:r>
          </w:p>
        </w:tc>
        <w:tc>
          <w:tcPr>
            <w:tcW w:w="1088" w:type="dxa"/>
            <w:shd w:val="clear" w:color="auto" w:fill="auto"/>
            <w:vAlign w:val="bottom"/>
          </w:tcPr>
          <w:p w14:paraId="6A2AC62D" w14:textId="77777777" w:rsidR="000F4C56" w:rsidRPr="00C921DE" w:rsidRDefault="000F4C56" w:rsidP="000F4C56">
            <w:pPr>
              <w:jc w:val="center"/>
              <w:rPr>
                <w:rFonts w:ascii="Arial" w:hAnsi="Arial" w:cs="Arial"/>
                <w:sz w:val="22"/>
                <w:szCs w:val="22"/>
              </w:rPr>
            </w:pPr>
            <w:r w:rsidRPr="00C921DE">
              <w:rPr>
                <w:rFonts w:ascii="Arial" w:hAnsi="Arial" w:cs="Arial"/>
                <w:sz w:val="22"/>
                <w:szCs w:val="22"/>
              </w:rPr>
              <w:t>7.0</w:t>
            </w:r>
          </w:p>
        </w:tc>
      </w:tr>
    </w:tbl>
    <w:p w14:paraId="05741ADF" w14:textId="77777777" w:rsidR="000F4C56" w:rsidRPr="00C921DE" w:rsidRDefault="000F4C56" w:rsidP="000F4C56">
      <w:pPr>
        <w:jc w:val="both"/>
        <w:rPr>
          <w:rFonts w:ascii="GHEA Grapalat" w:hAnsi="GHEA Grapalat"/>
          <w:sz w:val="22"/>
          <w:szCs w:val="22"/>
          <w:lang w:val="en-US"/>
        </w:rPr>
        <w:sectPr w:rsidR="000F4C56" w:rsidRPr="00C921DE" w:rsidSect="007C5243">
          <w:headerReference w:type="default" r:id="rId78"/>
          <w:pgSz w:w="11909" w:h="16834" w:code="9"/>
          <w:pgMar w:top="1134" w:right="567" w:bottom="567" w:left="1134" w:header="720" w:footer="567" w:gutter="0"/>
          <w:cols w:space="720"/>
          <w:docGrid w:linePitch="360"/>
        </w:sectPr>
      </w:pPr>
    </w:p>
    <w:p w14:paraId="3ECEA7F2" w14:textId="6B750D3E" w:rsidR="007E6BB0" w:rsidRPr="00C921DE" w:rsidRDefault="007E6BB0" w:rsidP="0051621F">
      <w:pPr>
        <w:pStyle w:val="Heading1"/>
        <w:spacing w:line="480" w:lineRule="auto"/>
        <w:rPr>
          <w:rFonts w:ascii="GHEA Grapalat" w:hAnsi="GHEA Grapalat" w:cs="Sylfaen"/>
          <w:sz w:val="22"/>
          <w:szCs w:val="22"/>
        </w:rPr>
      </w:pPr>
      <w:bookmarkStart w:id="90" w:name="_Toc150443080"/>
      <w:bookmarkStart w:id="91" w:name="_Toc163745451"/>
      <w:bookmarkStart w:id="92" w:name="_Toc511744966"/>
      <w:bookmarkStart w:id="93" w:name="_Toc6389325"/>
      <w:bookmarkStart w:id="94" w:name="_Toc69232229"/>
      <w:bookmarkStart w:id="95" w:name="OLE_LINK4"/>
      <w:bookmarkStart w:id="96" w:name="OLE_LINK5"/>
      <w:bookmarkStart w:id="97" w:name="_Toc6886226"/>
      <w:bookmarkStart w:id="98" w:name="_Toc481825099"/>
      <w:bookmarkStart w:id="99" w:name="_Toc481828750"/>
      <w:bookmarkStart w:id="100" w:name="_Toc503586041"/>
      <w:bookmarkStart w:id="101" w:name="_Toc503587414"/>
      <w:bookmarkStart w:id="102" w:name="_Toc503591504"/>
      <w:bookmarkStart w:id="103" w:name="_Toc503591836"/>
      <w:bookmarkStart w:id="104" w:name="_Toc512260758"/>
      <w:bookmarkStart w:id="105" w:name="_Toc513128852"/>
      <w:bookmarkStart w:id="106" w:name="_Toc6886218"/>
      <w:bookmarkStart w:id="107" w:name="_Toc70997766"/>
      <w:bookmarkStart w:id="108" w:name="_Toc101775458"/>
      <w:bookmarkStart w:id="109" w:name="_Toc101775837"/>
      <w:bookmarkStart w:id="110" w:name="_Toc196049684"/>
      <w:bookmarkStart w:id="111" w:name="_Toc231873599"/>
      <w:bookmarkStart w:id="112" w:name="_Toc290409640"/>
      <w:bookmarkStart w:id="113" w:name="_Toc291747228"/>
      <w:bookmarkStart w:id="114" w:name="_Toc291747557"/>
      <w:bookmarkStart w:id="115" w:name="_Toc291747927"/>
      <w:bookmarkStart w:id="116" w:name="_Toc322445710"/>
      <w:bookmarkStart w:id="117" w:name="_Toc322445788"/>
      <w:bookmarkStart w:id="118" w:name="_Toc353882536"/>
      <w:bookmarkStart w:id="119" w:name="_Toc354657493"/>
      <w:bookmarkStart w:id="120" w:name="_Toc354658847"/>
      <w:bookmarkStart w:id="121" w:name="_Toc417292094"/>
      <w:bookmarkStart w:id="122" w:name="_Toc6886230"/>
      <w:bookmarkStart w:id="123" w:name="_Toc70997779"/>
      <w:bookmarkStart w:id="124" w:name="_Toc101775463"/>
      <w:bookmarkStart w:id="125" w:name="_Toc101775842"/>
      <w:bookmarkStart w:id="126" w:name="_Toc198638699"/>
      <w:bookmarkStart w:id="127" w:name="_Toc231873604"/>
      <w:bookmarkStart w:id="128" w:name="_Toc259309557"/>
      <w:bookmarkStart w:id="129" w:name="_Toc259309997"/>
      <w:bookmarkStart w:id="130" w:name="_Toc259310274"/>
      <w:bookmarkStart w:id="131" w:name="_Toc259523496"/>
      <w:bookmarkStart w:id="132" w:name="_Toc264905144"/>
      <w:bookmarkStart w:id="133" w:name="_Toc264968387"/>
      <w:r w:rsidRPr="00C921DE">
        <w:rPr>
          <w:rFonts w:ascii="GHEA Grapalat" w:hAnsi="GHEA Grapalat" w:cs="Sylfaen"/>
          <w:sz w:val="22"/>
          <w:szCs w:val="22"/>
        </w:rPr>
        <w:lastRenderedPageBreak/>
        <w:t>Հ</w:t>
      </w:r>
      <w:r w:rsidR="00B32692" w:rsidRPr="00C921DE">
        <w:rPr>
          <w:rFonts w:ascii="GHEA Grapalat" w:hAnsi="GHEA Grapalat" w:cs="Sylfaen"/>
          <w:sz w:val="22"/>
          <w:szCs w:val="22"/>
          <w:lang w:val="en-US"/>
        </w:rPr>
        <w:t xml:space="preserve">ԱՅԱՍՏԱՆԻ </w:t>
      </w:r>
      <w:r w:rsidRPr="00C921DE">
        <w:rPr>
          <w:rFonts w:ascii="GHEA Grapalat" w:hAnsi="GHEA Grapalat" w:cs="Sylfaen"/>
          <w:sz w:val="22"/>
          <w:szCs w:val="22"/>
        </w:rPr>
        <w:t>Հ</w:t>
      </w:r>
      <w:r w:rsidR="00B32692" w:rsidRPr="00C921DE">
        <w:rPr>
          <w:rFonts w:ascii="GHEA Grapalat" w:hAnsi="GHEA Grapalat" w:cs="Sylfaen"/>
          <w:sz w:val="22"/>
          <w:szCs w:val="22"/>
          <w:lang w:val="en-US"/>
        </w:rPr>
        <w:t>ԱՆՐԱՊԵՏՈՒԹՅԱՆ</w:t>
      </w:r>
      <w:r w:rsidRPr="00C921DE">
        <w:rPr>
          <w:rFonts w:ascii="GHEA Grapalat" w:hAnsi="GHEA Grapalat" w:cs="Sylfaen"/>
          <w:sz w:val="22"/>
          <w:szCs w:val="22"/>
        </w:rPr>
        <w:t xml:space="preserve"> 2023 ԹՎԱԿԱՆԻ ՊԵՏԱԿԱՆ ԲՅՈՒՋԵԻ ՑՈՒՑԱՆԻՇՆԵՐԸ</w:t>
      </w:r>
      <w:bookmarkEnd w:id="90"/>
      <w:bookmarkEnd w:id="91"/>
    </w:p>
    <w:p w14:paraId="71168616" w14:textId="2065B544" w:rsidR="0051621F" w:rsidRPr="00C921DE" w:rsidRDefault="0051621F" w:rsidP="0051621F">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«Հայաստանի Հանրապետության 2023 թվականի պետական բյուջեի մասին» ՀՀ օրենքով (այսուհետ՝ Օրենք) պետական բյուջեի տարեկան եկամուտները սահմանվել էին 2,302.0 մլրդ դրամ, ծախսերը՝ շուրջ 2,591.0 մլրդ դրամ, պակասուրդը՝ 288.9 մլրդ դրամ: </w:t>
      </w:r>
      <w:r w:rsidR="006667BE" w:rsidRPr="00C921DE">
        <w:rPr>
          <w:rFonts w:ascii="GHEA Grapalat" w:hAnsi="GHEA Grapalat" w:cs="GHEA Grapalat"/>
          <w:sz w:val="22"/>
          <w:szCs w:val="22"/>
          <w:lang w:val="en-US"/>
        </w:rPr>
        <w:t>Տարվա</w:t>
      </w:r>
      <w:r w:rsidRPr="00C921DE">
        <w:rPr>
          <w:rFonts w:ascii="GHEA Grapalat" w:hAnsi="GHEA Grapalat" w:cs="GHEA Grapalat"/>
          <w:sz w:val="22"/>
          <w:szCs w:val="22"/>
        </w:rPr>
        <w:t xml:space="preserve"> ընթացքում պետական բյուջեի ցուցանիշներում </w:t>
      </w:r>
      <w:r w:rsidR="00CC4F98" w:rsidRPr="00C921DE">
        <w:rPr>
          <w:rFonts w:ascii="GHEA Grapalat" w:hAnsi="GHEA Grapalat" w:cs="GHEA Grapalat"/>
          <w:sz w:val="22"/>
          <w:szCs w:val="22"/>
          <w:lang w:val="en-US"/>
        </w:rPr>
        <w:t>Կ</w:t>
      </w:r>
      <w:r w:rsidRPr="00C921DE">
        <w:rPr>
          <w:rFonts w:ascii="GHEA Grapalat" w:hAnsi="GHEA Grapalat" w:cs="GHEA Grapalat"/>
          <w:sz w:val="22"/>
          <w:szCs w:val="22"/>
        </w:rPr>
        <w:t>առավարության լիազորությունների շրջանակներում կատարվել են փոփոխություններ՝ ներառելով նաև պետության դրամական միջոցների համախմբված հաշվառման նպատակով Օրենքի 9-րդ հոդվածի 2</w:t>
      </w:r>
      <w:r w:rsidRPr="00C921DE">
        <w:rPr>
          <w:rFonts w:ascii="GHEA Grapalat" w:hAnsi="GHEA Grapalat" w:cs="GHEA Grapalat"/>
          <w:sz w:val="22"/>
          <w:szCs w:val="22"/>
        </w:rPr>
        <w:noBreakHyphen/>
        <w:t>րդ կետով սահմանված՝ առանց սահմանափակման պետական բյուջեից կատարվող վճարումները և վերջիններիս արդյունքում ձևավորված եկամուտները:</w:t>
      </w:r>
    </w:p>
    <w:p w14:paraId="58A22429" w14:textId="585601B2" w:rsidR="004E08FB" w:rsidRPr="00C921DE" w:rsidRDefault="003B0F2B" w:rsidP="004E08FB">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2023 թվականին վերոհիշյալ գործառնությունների արդյունքում ստացվել</w:t>
      </w:r>
      <w:r w:rsidR="00E757C4" w:rsidRPr="00C921DE">
        <w:rPr>
          <w:rFonts w:ascii="GHEA Grapalat" w:hAnsi="GHEA Grapalat" w:cs="GHEA Grapalat"/>
          <w:sz w:val="22"/>
          <w:szCs w:val="22"/>
        </w:rPr>
        <w:t xml:space="preserve"> են շուրջ 924.7 մլն դրամ</w:t>
      </w:r>
      <w:r w:rsidR="0070313B" w:rsidRPr="00C921DE">
        <w:rPr>
          <w:rFonts w:ascii="GHEA Grapalat" w:hAnsi="GHEA Grapalat" w:cs="GHEA Grapalat"/>
          <w:sz w:val="22"/>
          <w:szCs w:val="22"/>
          <w:lang w:val="en-US"/>
        </w:rPr>
        <w:t xml:space="preserve"> եկամուտներ</w:t>
      </w:r>
      <w:r w:rsidR="00E757C4" w:rsidRPr="00C921DE">
        <w:rPr>
          <w:rFonts w:ascii="GHEA Grapalat" w:hAnsi="GHEA Grapalat" w:cs="GHEA Grapalat"/>
          <w:sz w:val="22"/>
          <w:szCs w:val="22"/>
        </w:rPr>
        <w:t xml:space="preserve">: </w:t>
      </w:r>
      <w:r w:rsidR="004E08FB" w:rsidRPr="00C921DE">
        <w:rPr>
          <w:rFonts w:ascii="GHEA Grapalat" w:hAnsi="GHEA Grapalat" w:cs="GHEA Grapalat"/>
          <w:sz w:val="22"/>
          <w:szCs w:val="22"/>
        </w:rPr>
        <w:t>Բացի այդ, Կառավարությ</w:t>
      </w:r>
      <w:r w:rsidR="00EC7C2C" w:rsidRPr="00C921DE">
        <w:rPr>
          <w:rFonts w:ascii="GHEA Grapalat" w:hAnsi="GHEA Grapalat" w:cs="GHEA Grapalat"/>
          <w:sz w:val="22"/>
          <w:szCs w:val="22"/>
        </w:rPr>
        <w:t>ունն</w:t>
      </w:r>
      <w:r w:rsidR="004E08FB" w:rsidRPr="00C921DE">
        <w:rPr>
          <w:rFonts w:ascii="GHEA Grapalat" w:hAnsi="GHEA Grapalat" w:cs="GHEA Grapalat"/>
          <w:sz w:val="22"/>
          <w:szCs w:val="22"/>
        </w:rPr>
        <w:t xml:space="preserve"> իր լիազորությունների շրջանակում ևս 53.9 մլրդ դրամով (2.3%-ով) վերանայել է պետական բյուջեի եկամուտների ցուցանիշը: Մասնավորապես՝ ծրագիրը 20.1 մլրդ դրամի չափով ավելացվել է հարկային եկամուտների և պետական տուրքերի գծով</w:t>
      </w:r>
      <w:r w:rsidR="006E684A" w:rsidRPr="00C921DE">
        <w:rPr>
          <w:rFonts w:ascii="GHEA Grapalat" w:hAnsi="GHEA Grapalat" w:cs="GHEA Grapalat"/>
          <w:sz w:val="22"/>
          <w:szCs w:val="22"/>
          <w:lang w:val="en-US"/>
        </w:rPr>
        <w:t>`</w:t>
      </w:r>
      <w:r w:rsidR="004E08FB" w:rsidRPr="00C921DE">
        <w:rPr>
          <w:rFonts w:ascii="GHEA Grapalat" w:hAnsi="GHEA Grapalat" w:cs="GHEA Grapalat"/>
          <w:sz w:val="22"/>
          <w:szCs w:val="22"/>
        </w:rPr>
        <w:t xml:space="preserve"> տնտեսական աճի ու հարկաբյուջետային քաղաքականության վերանայման արդյունքում, 38.7 մլրդ դրամի չափով ավելացվել է այլ եկամուտների ծրագիրը՝ հիմնականում պայմանավորված բյուջեի ժամանակավոր ազատ միջոցների տեղաբաշխումից և դեպոզիտներից ստացվող տոկոսավճարների, իրավախախտումների համար գործադիր, դատական մարմինների կողմից</w:t>
      </w:r>
      <w:r w:rsidR="00A52919" w:rsidRPr="00C921DE">
        <w:rPr>
          <w:rFonts w:ascii="GHEA Grapalat" w:hAnsi="GHEA Grapalat" w:cs="GHEA Grapalat"/>
          <w:sz w:val="22"/>
          <w:szCs w:val="22"/>
        </w:rPr>
        <w:t xml:space="preserve"> </w:t>
      </w:r>
      <w:r w:rsidR="004E08FB" w:rsidRPr="00C921DE">
        <w:rPr>
          <w:rFonts w:ascii="GHEA Grapalat" w:hAnsi="GHEA Grapalat" w:cs="GHEA Grapalat"/>
          <w:sz w:val="22"/>
          <w:szCs w:val="22"/>
        </w:rPr>
        <w:t>կիրառվող պատժամիջոցներից մուտքերի ու ապրանքների մատակարարումից և ծառայությունների մատուցումից եկամուտների գծով լրացուցիչ մուտքերով, իսկ պաշտոնական դրամաշնորհների ծրագիրը նվազեցվել է 4.9 մլրդ դրամով՝ պայմանավորված նպատակային ծրագրերի կատարողականով։</w:t>
      </w:r>
    </w:p>
    <w:p w14:paraId="679C9B1A" w14:textId="706714BD" w:rsidR="004E08FB" w:rsidRPr="00C921DE" w:rsidRDefault="00C957D0" w:rsidP="004E08FB">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Ծախսերի ծ</w:t>
      </w:r>
      <w:r w:rsidR="004E08FB" w:rsidRPr="00C921DE">
        <w:rPr>
          <w:rFonts w:ascii="GHEA Grapalat" w:hAnsi="GHEA Grapalat" w:cs="GHEA Grapalat"/>
          <w:sz w:val="22"/>
          <w:szCs w:val="22"/>
          <w:lang w:val="en-US"/>
        </w:rPr>
        <w:t>րագրային ցուցանիշ</w:t>
      </w:r>
      <w:r w:rsidR="005442DF" w:rsidRPr="00C921DE">
        <w:rPr>
          <w:rFonts w:ascii="GHEA Grapalat" w:hAnsi="GHEA Grapalat" w:cs="GHEA Grapalat"/>
          <w:sz w:val="22"/>
          <w:szCs w:val="22"/>
          <w:lang w:val="en-US"/>
        </w:rPr>
        <w:t xml:space="preserve">ը, բացի </w:t>
      </w:r>
      <w:r w:rsidR="005442DF" w:rsidRPr="00C921DE">
        <w:rPr>
          <w:rFonts w:ascii="GHEA Grapalat" w:hAnsi="GHEA Grapalat" w:cs="GHEA Grapalat"/>
          <w:sz w:val="22"/>
          <w:szCs w:val="22"/>
        </w:rPr>
        <w:t>առանց սահմանափակման կատարվող վճարումներ</w:t>
      </w:r>
      <w:r w:rsidR="005442DF" w:rsidRPr="00C921DE">
        <w:rPr>
          <w:rFonts w:ascii="GHEA Grapalat" w:hAnsi="GHEA Grapalat" w:cs="GHEA Grapalat"/>
          <w:sz w:val="22"/>
          <w:szCs w:val="22"/>
          <w:lang w:val="en-US"/>
        </w:rPr>
        <w:t>ից,</w:t>
      </w:r>
      <w:r w:rsidR="004E08FB" w:rsidRPr="00C921DE">
        <w:rPr>
          <w:rFonts w:ascii="GHEA Grapalat" w:hAnsi="GHEA Grapalat" w:cs="GHEA Grapalat"/>
          <w:sz w:val="22"/>
          <w:szCs w:val="22"/>
          <w:lang w:val="en-US"/>
        </w:rPr>
        <w:t xml:space="preserve"> ավելաց</w:t>
      </w:r>
      <w:r w:rsidR="005442DF" w:rsidRPr="00C921DE">
        <w:rPr>
          <w:rFonts w:ascii="GHEA Grapalat" w:hAnsi="GHEA Grapalat" w:cs="GHEA Grapalat"/>
          <w:sz w:val="22"/>
          <w:szCs w:val="22"/>
          <w:lang w:val="en-US"/>
        </w:rPr>
        <w:t>վել է 32.8 մլրդ դրամով</w:t>
      </w:r>
      <w:r w:rsidR="00894E35" w:rsidRPr="00C921DE">
        <w:rPr>
          <w:rFonts w:ascii="GHEA Grapalat" w:hAnsi="GHEA Grapalat" w:cs="GHEA Grapalat"/>
          <w:sz w:val="22"/>
          <w:szCs w:val="22"/>
          <w:lang w:val="en-US"/>
        </w:rPr>
        <w:t xml:space="preserve">: Լրացուցիչ հատկացումները հիմնականում ուղղվել են </w:t>
      </w:r>
      <w:r w:rsidR="004F5B3A" w:rsidRPr="00C921DE">
        <w:rPr>
          <w:rFonts w:ascii="GHEA Grapalat" w:hAnsi="GHEA Grapalat" w:cs="GHEA Grapalat"/>
          <w:sz w:val="22"/>
          <w:szCs w:val="22"/>
          <w:lang w:val="en-US"/>
        </w:rPr>
        <w:t>սոցիալական պաշտպանության</w:t>
      </w:r>
      <w:r w:rsidR="004E08FB" w:rsidRPr="00C921DE">
        <w:rPr>
          <w:rFonts w:ascii="GHEA Grapalat" w:hAnsi="GHEA Grapalat" w:cs="GHEA Grapalat"/>
          <w:sz w:val="22"/>
          <w:szCs w:val="22"/>
          <w:lang w:val="en-US"/>
        </w:rPr>
        <w:t>,</w:t>
      </w:r>
      <w:r w:rsidR="004F5B3A" w:rsidRPr="00C921DE">
        <w:rPr>
          <w:rFonts w:ascii="GHEA Grapalat" w:hAnsi="GHEA Grapalat" w:cs="GHEA Grapalat"/>
          <w:sz w:val="22"/>
          <w:szCs w:val="22"/>
          <w:lang w:val="en-US"/>
        </w:rPr>
        <w:t xml:space="preserve"> </w:t>
      </w:r>
      <w:r w:rsidR="00DF062D" w:rsidRPr="00C921DE">
        <w:rPr>
          <w:rFonts w:ascii="GHEA Grapalat" w:hAnsi="GHEA Grapalat" w:cs="GHEA Grapalat"/>
          <w:sz w:val="22"/>
          <w:szCs w:val="22"/>
          <w:lang w:val="en-US"/>
        </w:rPr>
        <w:t>ընդհանուր բնույթի հանրային ծառայությունների, հասարակական կարգի,</w:t>
      </w:r>
      <w:r w:rsidR="00A52919" w:rsidRPr="00C921DE">
        <w:rPr>
          <w:rFonts w:ascii="GHEA Grapalat" w:hAnsi="GHEA Grapalat" w:cs="GHEA Grapalat"/>
          <w:sz w:val="22"/>
          <w:szCs w:val="22"/>
          <w:lang w:val="en-US"/>
        </w:rPr>
        <w:t xml:space="preserve"> </w:t>
      </w:r>
      <w:r w:rsidR="00DF062D" w:rsidRPr="00C921DE">
        <w:rPr>
          <w:rFonts w:ascii="GHEA Grapalat" w:hAnsi="GHEA Grapalat" w:cs="GHEA Grapalat"/>
          <w:sz w:val="22"/>
          <w:szCs w:val="22"/>
          <w:lang w:val="en-US"/>
        </w:rPr>
        <w:t xml:space="preserve">անվտանգության և դատական գործունեության, </w:t>
      </w:r>
      <w:r w:rsidR="00BD5FDA" w:rsidRPr="00C921DE">
        <w:rPr>
          <w:rFonts w:ascii="GHEA Grapalat" w:hAnsi="GHEA Grapalat" w:cs="GHEA Grapalat"/>
          <w:sz w:val="22"/>
          <w:szCs w:val="22"/>
          <w:lang w:val="en-US"/>
        </w:rPr>
        <w:t>հանգստի, մշակույթի և կրոնի, ինչպես նաև պաշտպանության բնագավառներին:</w:t>
      </w:r>
      <w:r w:rsidR="00782451" w:rsidRPr="00C921DE">
        <w:rPr>
          <w:rFonts w:ascii="GHEA Grapalat" w:hAnsi="GHEA Grapalat" w:cs="GHEA Grapalat"/>
          <w:sz w:val="22"/>
          <w:szCs w:val="22"/>
          <w:lang w:val="en-US"/>
        </w:rPr>
        <w:t xml:space="preserve"> Միաժամանակ, </w:t>
      </w:r>
      <w:r w:rsidR="002516D4" w:rsidRPr="00C921DE">
        <w:rPr>
          <w:rFonts w:ascii="GHEA Grapalat" w:hAnsi="GHEA Grapalat" w:cs="GHEA Grapalat"/>
          <w:sz w:val="22"/>
          <w:szCs w:val="22"/>
          <w:lang w:val="en-US"/>
        </w:rPr>
        <w:t xml:space="preserve">զգալի նվազեցումներ են կատարվել տնտեսական հարաբերությունների և </w:t>
      </w:r>
      <w:r w:rsidR="002713A9" w:rsidRPr="00C921DE">
        <w:rPr>
          <w:rFonts w:ascii="GHEA Grapalat" w:hAnsi="GHEA Grapalat" w:cs="GHEA Grapalat"/>
          <w:sz w:val="22"/>
          <w:szCs w:val="22"/>
          <w:lang w:val="en-US"/>
        </w:rPr>
        <w:t xml:space="preserve">բնակարանային շինարարության ու կոմունալ ծառայությունների </w:t>
      </w:r>
      <w:r w:rsidR="004F2706" w:rsidRPr="00C921DE">
        <w:rPr>
          <w:rFonts w:ascii="GHEA Grapalat" w:hAnsi="GHEA Grapalat" w:cs="GHEA Grapalat"/>
          <w:sz w:val="22"/>
          <w:szCs w:val="22"/>
          <w:lang w:val="en-US"/>
        </w:rPr>
        <w:t xml:space="preserve">բնագավառների </w:t>
      </w:r>
      <w:r w:rsidR="002713A9" w:rsidRPr="00C921DE">
        <w:rPr>
          <w:rFonts w:ascii="GHEA Grapalat" w:hAnsi="GHEA Grapalat" w:cs="GHEA Grapalat"/>
          <w:sz w:val="22"/>
          <w:szCs w:val="22"/>
          <w:lang w:val="en-US"/>
        </w:rPr>
        <w:t>հատկացումներում</w:t>
      </w:r>
      <w:r w:rsidR="00044C8D" w:rsidRPr="00C921DE">
        <w:rPr>
          <w:rFonts w:ascii="GHEA Grapalat" w:hAnsi="GHEA Grapalat" w:cs="GHEA Grapalat"/>
          <w:sz w:val="22"/>
          <w:szCs w:val="22"/>
          <w:lang w:val="en-US"/>
        </w:rPr>
        <w:t>:</w:t>
      </w:r>
    </w:p>
    <w:p w14:paraId="2FABAC5E" w14:textId="7768A359" w:rsidR="003722D6" w:rsidRPr="00C921DE" w:rsidRDefault="003722D6" w:rsidP="003722D6">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w:t>
      </w:r>
      <w:r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ՀՀ պետական բյուջեի եկամուտները կազմել</w:t>
      </w:r>
      <w:r w:rsidRPr="00C921DE">
        <w:rPr>
          <w:rFonts w:ascii="Calibri" w:hAnsi="Calibri" w:cs="Calibri"/>
          <w:sz w:val="22"/>
          <w:szCs w:val="22"/>
        </w:rPr>
        <w:t> </w:t>
      </w:r>
      <w:r w:rsidRPr="00C921DE">
        <w:rPr>
          <w:rFonts w:ascii="GHEA Grapalat" w:hAnsi="GHEA Grapalat" w:cs="GHEA Grapalat"/>
          <w:sz w:val="22"/>
          <w:szCs w:val="22"/>
        </w:rPr>
        <w:t xml:space="preserve">են </w:t>
      </w:r>
      <w:r w:rsidRPr="00C921DE">
        <w:rPr>
          <w:rFonts w:ascii="GHEA Grapalat" w:hAnsi="GHEA Grapalat" w:cs="GHEA Grapalat"/>
          <w:sz w:val="22"/>
          <w:szCs w:val="22"/>
          <w:lang w:val="en-US"/>
        </w:rPr>
        <w:t>2,358.8</w:t>
      </w:r>
      <w:r w:rsidRPr="00C921DE">
        <w:rPr>
          <w:rFonts w:ascii="GHEA Grapalat" w:hAnsi="GHEA Grapalat" w:cs="GHEA Grapalat"/>
          <w:sz w:val="22"/>
          <w:szCs w:val="22"/>
        </w:rPr>
        <w:t xml:space="preserve"> մլրդ դրամ, ծախսերը` </w:t>
      </w:r>
      <w:r w:rsidRPr="00C921DE">
        <w:rPr>
          <w:rFonts w:ascii="GHEA Grapalat" w:hAnsi="GHEA Grapalat" w:cs="GHEA Grapalat"/>
          <w:sz w:val="22"/>
          <w:szCs w:val="22"/>
          <w:lang w:val="en-US"/>
        </w:rPr>
        <w:t>2,547.6</w:t>
      </w:r>
      <w:r w:rsidRPr="00C921DE">
        <w:rPr>
          <w:rFonts w:ascii="GHEA Grapalat" w:hAnsi="GHEA Grapalat" w:cs="GHEA Grapalat"/>
          <w:sz w:val="22"/>
          <w:szCs w:val="22"/>
        </w:rPr>
        <w:t xml:space="preserve"> մլրդ դրամ, </w:t>
      </w:r>
      <w:r w:rsidRPr="00C921DE">
        <w:rPr>
          <w:rFonts w:ascii="GHEA Grapalat" w:hAnsi="GHEA Grapalat" w:cs="GHEA Grapalat"/>
          <w:sz w:val="22"/>
          <w:szCs w:val="22"/>
          <w:lang w:val="en-US"/>
        </w:rPr>
        <w:t>պակաս</w:t>
      </w:r>
      <w:r w:rsidRPr="00C921DE">
        <w:rPr>
          <w:rFonts w:ascii="GHEA Grapalat" w:hAnsi="GHEA Grapalat" w:cs="GHEA Grapalat"/>
          <w:sz w:val="22"/>
          <w:szCs w:val="22"/>
        </w:rPr>
        <w:t>ուրդը՝</w:t>
      </w:r>
      <w:r w:rsidRPr="00C921DE">
        <w:rPr>
          <w:rFonts w:ascii="Calibri" w:hAnsi="Calibri" w:cs="Calibri"/>
          <w:sz w:val="22"/>
          <w:szCs w:val="22"/>
        </w:rPr>
        <w:t> </w:t>
      </w:r>
      <w:r w:rsidRPr="00C921DE">
        <w:rPr>
          <w:rFonts w:ascii="GHEA Grapalat" w:hAnsi="GHEA Grapalat" w:cs="GHEA Grapalat"/>
          <w:sz w:val="22"/>
          <w:szCs w:val="22"/>
          <w:lang w:val="en-US"/>
        </w:rPr>
        <w:t>188.9</w:t>
      </w:r>
      <w:r w:rsidRPr="00C921DE">
        <w:rPr>
          <w:rFonts w:ascii="GHEA Grapalat" w:hAnsi="GHEA Grapalat" w:cs="GHEA Grapalat"/>
          <w:sz w:val="22"/>
          <w:szCs w:val="22"/>
        </w:rPr>
        <w:t xml:space="preserve"> մլրդ դրամ: Բյուջեի եկամուտներ</w:t>
      </w:r>
      <w:r w:rsidRPr="00C921DE">
        <w:rPr>
          <w:rFonts w:ascii="GHEA Grapalat" w:hAnsi="GHEA Grapalat" w:cs="GHEA Grapalat"/>
          <w:sz w:val="22"/>
          <w:szCs w:val="22"/>
          <w:lang w:val="en-US"/>
        </w:rPr>
        <w:t>ն ունեցել են</w:t>
      </w:r>
      <w:r w:rsidRPr="00C921DE">
        <w:rPr>
          <w:rFonts w:ascii="GHEA Grapalat" w:hAnsi="GHEA Grapalat" w:cs="GHEA Grapalat"/>
          <w:sz w:val="22"/>
          <w:szCs w:val="22"/>
        </w:rPr>
        <w:t xml:space="preserve"> ծախսեր</w:t>
      </w:r>
      <w:r w:rsidRPr="00C921DE">
        <w:rPr>
          <w:rFonts w:ascii="GHEA Grapalat" w:hAnsi="GHEA Grapalat" w:cs="GHEA Grapalat"/>
          <w:sz w:val="22"/>
          <w:szCs w:val="22"/>
          <w:lang w:val="en-US"/>
        </w:rPr>
        <w:t>ի համեմատ առավել բարձր կատարողական</w:t>
      </w:r>
      <w:r w:rsidRPr="00C921DE">
        <w:rPr>
          <w:rFonts w:ascii="GHEA Grapalat" w:hAnsi="GHEA Grapalat" w:cs="GHEA Grapalat"/>
          <w:sz w:val="22"/>
          <w:szCs w:val="22"/>
        </w:rPr>
        <w:t xml:space="preserve">, արդյունքում արձանագրվել է պակասուրդի </w:t>
      </w:r>
      <w:r w:rsidRPr="00C921DE">
        <w:rPr>
          <w:rFonts w:ascii="GHEA Grapalat" w:hAnsi="GHEA Grapalat" w:cs="GHEA Grapalat"/>
          <w:sz w:val="22"/>
          <w:szCs w:val="22"/>
          <w:lang w:val="en-US"/>
        </w:rPr>
        <w:t>ցածր մակարդակ</w:t>
      </w:r>
      <w:r w:rsidRPr="00C921DE">
        <w:rPr>
          <w:rFonts w:ascii="GHEA Grapalat" w:hAnsi="GHEA Grapalat" w:cs="GHEA Grapalat"/>
          <w:sz w:val="22"/>
          <w:szCs w:val="22"/>
        </w:rPr>
        <w:t xml:space="preserve">: </w:t>
      </w:r>
    </w:p>
    <w:p w14:paraId="3E8F3CD0" w14:textId="77777777" w:rsidR="0051621F" w:rsidRPr="00C921DE" w:rsidRDefault="0051621F" w:rsidP="0051621F">
      <w:pPr>
        <w:spacing w:line="360" w:lineRule="auto"/>
        <w:ind w:firstLine="567"/>
        <w:jc w:val="both"/>
        <w:rPr>
          <w:rFonts w:ascii="GHEA Grapalat" w:hAnsi="GHEA Grapalat" w:cs="GHEA Grapalat"/>
          <w:sz w:val="22"/>
          <w:szCs w:val="22"/>
        </w:rPr>
      </w:pPr>
    </w:p>
    <w:p w14:paraId="18B4EFAE" w14:textId="2A3965E9" w:rsidR="00044C8D" w:rsidRPr="00C921DE" w:rsidRDefault="00044C8D" w:rsidP="004C12B8">
      <w:pPr>
        <w:pStyle w:val="a"/>
      </w:pPr>
      <w:r w:rsidRPr="00C921DE">
        <w:lastRenderedPageBreak/>
        <w:t>ՀՀ պետական բյուջեի ցուցանիշները 2022-2023թթ.</w:t>
      </w:r>
    </w:p>
    <w:p w14:paraId="0F955CE8" w14:textId="7EE30462" w:rsidR="00C82C18" w:rsidRPr="00C921DE" w:rsidRDefault="00C82C18" w:rsidP="0051621F">
      <w:pPr>
        <w:sectPr w:rsidR="00C82C18" w:rsidRPr="00C921DE" w:rsidSect="009D5C15">
          <w:headerReference w:type="default" r:id="rId79"/>
          <w:pgSz w:w="11909" w:h="16834" w:code="9"/>
          <w:pgMar w:top="1134" w:right="567" w:bottom="567" w:left="1134" w:header="720" w:footer="397" w:gutter="0"/>
          <w:cols w:space="720"/>
          <w:docGrid w:linePitch="360"/>
        </w:sectPr>
      </w:pPr>
      <w:r w:rsidRPr="00C921DE">
        <w:rPr>
          <w:color w:val="244061" w:themeColor="accent1" w:themeShade="80"/>
          <w:lang w:val="en-US"/>
        </w:rPr>
        <w:drawing>
          <wp:inline distT="0" distB="0" distL="0" distR="0" wp14:anchorId="662C2873" wp14:editId="0EC320D5">
            <wp:extent cx="6371480" cy="3819525"/>
            <wp:effectExtent l="0" t="0" r="10795" b="9525"/>
            <wp:docPr id="11" name="Objec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7661BBD" w14:textId="21EDE749" w:rsidR="001C411D" w:rsidRPr="00C921DE" w:rsidRDefault="001C411D" w:rsidP="00DD39CD">
      <w:pPr>
        <w:pStyle w:val="Heading1"/>
        <w:spacing w:line="480" w:lineRule="auto"/>
        <w:rPr>
          <w:rFonts w:ascii="GHEA Grapalat" w:hAnsi="GHEA Grapalat" w:cs="Sylfaen"/>
          <w:sz w:val="22"/>
          <w:szCs w:val="22"/>
        </w:rPr>
      </w:pPr>
      <w:bookmarkStart w:id="134" w:name="_Toc163745452"/>
      <w:r w:rsidRPr="00C921DE">
        <w:rPr>
          <w:rFonts w:ascii="GHEA Grapalat" w:hAnsi="GHEA Grapalat" w:cs="Sylfaen"/>
          <w:sz w:val="22"/>
          <w:szCs w:val="22"/>
        </w:rPr>
        <w:lastRenderedPageBreak/>
        <w:t>ՀԱՅԱՍՏԱՆԻ ՀԱՆՐԱՊԵՏՈՒԹՅԱՆ 202</w:t>
      </w:r>
      <w:r w:rsidR="00E0077D" w:rsidRPr="00C921DE">
        <w:rPr>
          <w:rFonts w:ascii="GHEA Grapalat" w:hAnsi="GHEA Grapalat" w:cs="Sylfaen"/>
          <w:sz w:val="22"/>
          <w:szCs w:val="22"/>
          <w:lang w:val="en-US"/>
        </w:rPr>
        <w:t>3</w:t>
      </w:r>
      <w:r w:rsidRPr="00C921DE">
        <w:rPr>
          <w:rFonts w:ascii="GHEA Grapalat" w:hAnsi="GHEA Grapalat" w:cs="Sylfaen"/>
          <w:sz w:val="22"/>
          <w:szCs w:val="22"/>
        </w:rPr>
        <w:t xml:space="preserve"> ԹՎԱԿԱՆԻ ՊԵՏԱԿԱՆ ԲՅՈՒՋԵԻ ԵԿԱՄՈՒՏՆԵՐԸ</w:t>
      </w:r>
      <w:bookmarkEnd w:id="92"/>
      <w:bookmarkEnd w:id="93"/>
      <w:bookmarkEnd w:id="94"/>
      <w:bookmarkEnd w:id="134"/>
    </w:p>
    <w:bookmarkEnd w:id="95"/>
    <w:bookmarkEnd w:id="96"/>
    <w:p w14:paraId="623CC72D" w14:textId="7F40FA55" w:rsidR="00FF44DF" w:rsidRPr="00C921DE" w:rsidRDefault="00FF44DF" w:rsidP="00FF44DF">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 պետական բյուջեի փաստացի եկամուտները կազմել են 2,358.8 մլրդ դրամ` ապահովելով Օրենքով հաստատված տարեկան ծրագրի 102.5% կատարողական, իսկ Կառավարության կողմից ճշտված ծրագրի՝ 100.1% կատարողական: Նշված գումարից 2,345.7 մլրդ դրամը կազմել են ներքին աղբյուրներից ստացված եկամուտները` ապահովելով սկզբնական ծրագրի 102.7%</w:t>
      </w:r>
      <w:r w:rsidRPr="00C921DE">
        <w:rPr>
          <w:rFonts w:ascii="GHEA Grapalat" w:hAnsi="GHEA Grapalat" w:cs="GHEA Grapalat"/>
          <w:sz w:val="22"/>
          <w:szCs w:val="22"/>
        </w:rPr>
        <w:noBreakHyphen/>
        <w:t>ը և</w:t>
      </w:r>
      <w:r w:rsidRPr="00C921DE">
        <w:rPr>
          <w:rFonts w:ascii="GHEA Grapalat" w:hAnsi="GHEA Grapalat"/>
          <w:sz w:val="22"/>
          <w:szCs w:val="22"/>
        </w:rPr>
        <w:t xml:space="preserve"> ճշտված ծրագրի </w:t>
      </w:r>
      <w:r w:rsidRPr="00C921DE">
        <w:rPr>
          <w:rFonts w:ascii="GHEA Grapalat" w:hAnsi="GHEA Grapalat" w:cs="GHEA Grapalat"/>
          <w:sz w:val="22"/>
          <w:szCs w:val="22"/>
        </w:rPr>
        <w:t>100%</w:t>
      </w:r>
      <w:r w:rsidRPr="00C921DE">
        <w:rPr>
          <w:rFonts w:ascii="GHEA Grapalat" w:hAnsi="GHEA Grapalat" w:cs="GHEA Grapalat"/>
          <w:sz w:val="22"/>
          <w:szCs w:val="22"/>
        </w:rPr>
        <w:noBreakHyphen/>
        <w:t>ը, 13.1 մլրդ դրամը ստացվել է պաշտոնական դրամաշնորհների տեսքով, որոնք 23.9%</w:t>
      </w:r>
      <w:r w:rsidRPr="00C921DE">
        <w:rPr>
          <w:rFonts w:ascii="GHEA Grapalat" w:hAnsi="GHEA Grapalat" w:cs="GHEA Grapalat"/>
          <w:sz w:val="22"/>
          <w:szCs w:val="22"/>
        </w:rPr>
        <w:noBreakHyphen/>
        <w:t>ով զիջել են սկզբնական ծրագրային ցուցանիշը և 6.3%</w:t>
      </w:r>
      <w:r w:rsidRPr="00C921DE">
        <w:rPr>
          <w:rFonts w:ascii="GHEA Grapalat" w:hAnsi="GHEA Grapalat" w:cs="GHEA Grapalat"/>
          <w:sz w:val="22"/>
          <w:szCs w:val="22"/>
        </w:rPr>
        <w:noBreakHyphen/>
        <w:t xml:space="preserve">ով գերազանցել </w:t>
      </w:r>
      <w:r w:rsidRPr="00C921DE">
        <w:rPr>
          <w:rFonts w:ascii="GHEA Grapalat" w:hAnsi="GHEA Grapalat"/>
          <w:sz w:val="22"/>
          <w:szCs w:val="22"/>
        </w:rPr>
        <w:t>ճշտված</w:t>
      </w:r>
      <w:r w:rsidRPr="00C921DE">
        <w:rPr>
          <w:rFonts w:ascii="GHEA Grapalat" w:hAnsi="GHEA Grapalat" w:cs="GHEA Grapalat"/>
          <w:sz w:val="22"/>
          <w:szCs w:val="22"/>
        </w:rPr>
        <w:t xml:space="preserve"> ծրագրային ցուցանիշը: 2022 թվականի համեմատ պետական բյուջեի եկամուտներն աճել են 14.3%</w:t>
      </w:r>
      <w:r w:rsidRPr="00C921DE">
        <w:rPr>
          <w:rFonts w:ascii="GHEA Grapalat" w:hAnsi="GHEA Grapalat" w:cs="GHEA Grapalat"/>
          <w:sz w:val="22"/>
          <w:szCs w:val="22"/>
        </w:rPr>
        <w:noBreakHyphen/>
        <w:t>ով կամ 295.7 մլրդ դրամով, որը հիմնականում պայմանավորված է հարկային եկամուտների աճով:</w:t>
      </w:r>
    </w:p>
    <w:p w14:paraId="50B202E1" w14:textId="77777777" w:rsidR="00FF44DF" w:rsidRPr="00C921DE" w:rsidRDefault="00FF44DF" w:rsidP="00480FAB">
      <w:pPr>
        <w:ind w:firstLine="567"/>
        <w:jc w:val="both"/>
        <w:rPr>
          <w:rFonts w:ascii="GHEA Grapalat" w:hAnsi="GHEA Grapalat" w:cs="GHEA Grapalat"/>
          <w:sz w:val="22"/>
          <w:szCs w:val="22"/>
        </w:rPr>
      </w:pPr>
    </w:p>
    <w:p w14:paraId="58256367" w14:textId="77777777" w:rsidR="00FF44DF" w:rsidRPr="00C921DE" w:rsidRDefault="00FF44DF" w:rsidP="00FF44DF">
      <w:pPr>
        <w:pStyle w:val="Caption"/>
        <w:keepNext/>
        <w:numPr>
          <w:ilvl w:val="0"/>
          <w:numId w:val="16"/>
        </w:numPr>
        <w:tabs>
          <w:tab w:val="left" w:pos="709"/>
          <w:tab w:val="left" w:pos="1134"/>
        </w:tabs>
        <w:ind w:left="0" w:firstLine="0"/>
        <w:jc w:val="left"/>
        <w:rPr>
          <w:rFonts w:ascii="GHEA Grapalat" w:hAnsi="GHEA Grapalat"/>
          <w:bCs w:val="0"/>
          <w:i/>
          <w:sz w:val="18"/>
          <w:szCs w:val="18"/>
          <w:lang w:val="hy-AM"/>
        </w:rPr>
      </w:pPr>
      <w:r w:rsidRPr="00C921DE">
        <w:rPr>
          <w:rFonts w:ascii="GHEA Grapalat" w:hAnsi="GHEA Grapalat"/>
          <w:bCs w:val="0"/>
          <w:i/>
          <w:sz w:val="18"/>
          <w:szCs w:val="18"/>
          <w:lang w:val="hy-AM"/>
        </w:rPr>
        <w:t xml:space="preserve">ՀՀ պետական բյուջեի </w:t>
      </w:r>
      <w:r w:rsidRPr="00C921DE">
        <w:rPr>
          <w:rFonts w:ascii="GHEA Grapalat" w:hAnsi="GHEA Grapalat"/>
          <w:i/>
          <w:sz w:val="18"/>
          <w:szCs w:val="18"/>
          <w:lang w:val="hy-AM"/>
        </w:rPr>
        <w:t>եկամուտները</w:t>
      </w:r>
      <w:r w:rsidRPr="00C921DE">
        <w:rPr>
          <w:rFonts w:ascii="GHEA Grapalat" w:hAnsi="GHEA Grapalat"/>
          <w:bCs w:val="0"/>
          <w:i/>
          <w:sz w:val="18"/>
          <w:szCs w:val="18"/>
          <w:lang w:val="hy-AM"/>
        </w:rPr>
        <w:t xml:space="preserve"> (մլրդ դրամ) </w:t>
      </w:r>
    </w:p>
    <w:tbl>
      <w:tblPr>
        <w:tblW w:w="10200" w:type="dxa"/>
        <w:tblInd w:w="108" w:type="dxa"/>
        <w:tblLayout w:type="fixed"/>
        <w:tblLook w:val="00A0" w:firstRow="1" w:lastRow="0" w:firstColumn="1" w:lastColumn="0" w:noHBand="0" w:noVBand="0"/>
      </w:tblPr>
      <w:tblGrid>
        <w:gridCol w:w="3118"/>
        <w:gridCol w:w="1130"/>
        <w:gridCol w:w="1154"/>
        <w:gridCol w:w="1134"/>
        <w:gridCol w:w="1259"/>
        <w:gridCol w:w="1259"/>
        <w:gridCol w:w="1146"/>
      </w:tblGrid>
      <w:tr w:rsidR="00FF44DF" w:rsidRPr="00C921DE" w14:paraId="4855567E" w14:textId="77777777" w:rsidTr="00FF44DF">
        <w:trPr>
          <w:trHeight w:val="855"/>
        </w:trPr>
        <w:tc>
          <w:tcPr>
            <w:tcW w:w="3118" w:type="dxa"/>
            <w:tcBorders>
              <w:top w:val="single" w:sz="4" w:space="0" w:color="auto"/>
              <w:left w:val="single" w:sz="4" w:space="0" w:color="auto"/>
              <w:bottom w:val="single" w:sz="4" w:space="0" w:color="auto"/>
              <w:right w:val="single" w:sz="4" w:space="0" w:color="auto"/>
            </w:tcBorders>
            <w:noWrap/>
            <w:vAlign w:val="bottom"/>
          </w:tcPr>
          <w:p w14:paraId="2D635550"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1130" w:type="dxa"/>
            <w:tcBorders>
              <w:top w:val="single" w:sz="4" w:space="0" w:color="auto"/>
              <w:left w:val="nil"/>
              <w:bottom w:val="single" w:sz="4" w:space="0" w:color="auto"/>
              <w:right w:val="single" w:sz="4" w:space="0" w:color="auto"/>
            </w:tcBorders>
          </w:tcPr>
          <w:p w14:paraId="56CCB14F"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154" w:type="dxa"/>
            <w:tcBorders>
              <w:top w:val="single" w:sz="4" w:space="0" w:color="auto"/>
              <w:left w:val="nil"/>
              <w:bottom w:val="single" w:sz="4" w:space="0" w:color="auto"/>
              <w:right w:val="single" w:sz="4" w:space="0" w:color="auto"/>
            </w:tcBorders>
            <w:shd w:val="clear" w:color="auto" w:fill="FFFFFF"/>
          </w:tcPr>
          <w:p w14:paraId="05BAF5F9" w14:textId="033DFB05" w:rsidR="00FF44DF" w:rsidRPr="00C921DE" w:rsidRDefault="00FF44DF" w:rsidP="004A7F14">
            <w:pPr>
              <w:jc w:val="center"/>
              <w:rPr>
                <w:rFonts w:ascii="GHEA Grapalat" w:hAnsi="GHEA Grapalat" w:cs="Calibri"/>
                <w:b/>
                <w:bCs/>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ճշտված </w:t>
            </w:r>
            <w:r w:rsidR="004A7F14" w:rsidRPr="00C921DE">
              <w:rPr>
                <w:rFonts w:ascii="GHEA Grapalat" w:hAnsi="GHEA Grapalat" w:cs="Calibri"/>
                <w:b/>
                <w:bCs/>
                <w:sz w:val="18"/>
                <w:szCs w:val="18"/>
                <w:lang w:val="en-US"/>
              </w:rPr>
              <w:t>ծրագիր</w:t>
            </w:r>
          </w:p>
        </w:tc>
        <w:tc>
          <w:tcPr>
            <w:tcW w:w="1134" w:type="dxa"/>
            <w:tcBorders>
              <w:top w:val="single" w:sz="4" w:space="0" w:color="auto"/>
              <w:left w:val="nil"/>
              <w:bottom w:val="single" w:sz="4" w:space="0" w:color="auto"/>
              <w:right w:val="single" w:sz="4" w:space="0" w:color="auto"/>
            </w:tcBorders>
            <w:shd w:val="clear" w:color="auto" w:fill="FFFFFF"/>
          </w:tcPr>
          <w:p w14:paraId="707B15DD"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259" w:type="dxa"/>
            <w:tcBorders>
              <w:top w:val="single" w:sz="4" w:space="0" w:color="auto"/>
              <w:left w:val="nil"/>
              <w:bottom w:val="single" w:sz="4" w:space="0" w:color="auto"/>
              <w:right w:val="single" w:sz="4" w:space="0" w:color="auto"/>
            </w:tcBorders>
            <w:shd w:val="clear" w:color="auto" w:fill="FFFFFF"/>
          </w:tcPr>
          <w:p w14:paraId="3D02B945" w14:textId="1C772FD9"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004A7F14"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w:t>
            </w:r>
          </w:p>
          <w:p w14:paraId="2C8A5AD1"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w:t>
            </w:r>
          </w:p>
        </w:tc>
        <w:tc>
          <w:tcPr>
            <w:tcW w:w="1259" w:type="dxa"/>
            <w:tcBorders>
              <w:top w:val="single" w:sz="4" w:space="0" w:color="auto"/>
              <w:left w:val="nil"/>
              <w:bottom w:val="single" w:sz="4" w:space="0" w:color="auto"/>
              <w:right w:val="single" w:sz="4" w:space="0" w:color="auto"/>
            </w:tcBorders>
            <w:shd w:val="clear" w:color="auto" w:fill="FFFFFF"/>
          </w:tcPr>
          <w:p w14:paraId="52CADA18" w14:textId="79B277AC"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5C5CB7" w:rsidRPr="00C921DE">
              <w:rPr>
                <w:rFonts w:ascii="GHEA Grapalat" w:hAnsi="GHEA Grapalat" w:cs="Calibri"/>
                <w:b/>
                <w:bCs/>
                <w:sz w:val="18"/>
                <w:szCs w:val="18"/>
                <w:lang w:val="en-US"/>
              </w:rPr>
              <w:t>.</w:t>
            </w:r>
            <w:r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4B1DA036"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w:t>
            </w:r>
          </w:p>
        </w:tc>
        <w:tc>
          <w:tcPr>
            <w:tcW w:w="1146" w:type="dxa"/>
            <w:tcBorders>
              <w:top w:val="single" w:sz="4" w:space="0" w:color="auto"/>
              <w:left w:val="nil"/>
              <w:bottom w:val="single" w:sz="4" w:space="0" w:color="auto"/>
              <w:right w:val="single" w:sz="4" w:space="0" w:color="auto"/>
            </w:tcBorders>
            <w:shd w:val="clear" w:color="auto" w:fill="FFFFFF"/>
          </w:tcPr>
          <w:p w14:paraId="4A981B1F"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5E91AC55" w14:textId="77777777" w:rsidTr="00FF44DF">
        <w:trPr>
          <w:trHeight w:val="293"/>
        </w:trPr>
        <w:tc>
          <w:tcPr>
            <w:tcW w:w="3118" w:type="dxa"/>
            <w:tcBorders>
              <w:top w:val="nil"/>
              <w:left w:val="single" w:sz="4" w:space="0" w:color="auto"/>
              <w:bottom w:val="single" w:sz="4" w:space="0" w:color="auto"/>
              <w:right w:val="single" w:sz="4" w:space="0" w:color="auto"/>
            </w:tcBorders>
            <w:vAlign w:val="bottom"/>
          </w:tcPr>
          <w:p w14:paraId="0CE3FEA3" w14:textId="77777777" w:rsidR="00FF44DF" w:rsidRPr="00C921DE" w:rsidRDefault="00FF44DF" w:rsidP="00FF44DF">
            <w:pPr>
              <w:rPr>
                <w:rFonts w:ascii="GHEA Grapalat" w:hAnsi="GHEA Grapalat" w:cs="Arial"/>
                <w:b/>
                <w:sz w:val="18"/>
                <w:szCs w:val="18"/>
              </w:rPr>
            </w:pPr>
            <w:r w:rsidRPr="00C921DE">
              <w:rPr>
                <w:rFonts w:ascii="GHEA Grapalat" w:hAnsi="GHEA Grapalat" w:cs="Calibri"/>
                <w:b/>
                <w:sz w:val="18"/>
                <w:szCs w:val="18"/>
              </w:rPr>
              <w:t>Պետական բյուջեի եկամուտներ</w:t>
            </w:r>
          </w:p>
        </w:tc>
        <w:tc>
          <w:tcPr>
            <w:tcW w:w="1130" w:type="dxa"/>
            <w:tcBorders>
              <w:top w:val="single" w:sz="4" w:space="0" w:color="auto"/>
              <w:left w:val="single" w:sz="4" w:space="0" w:color="auto"/>
              <w:bottom w:val="single" w:sz="4" w:space="0" w:color="auto"/>
              <w:right w:val="single" w:sz="4" w:space="0" w:color="auto"/>
            </w:tcBorders>
            <w:vAlign w:val="bottom"/>
          </w:tcPr>
          <w:p w14:paraId="21AC650B"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rPr>
              <w:t>2,063.1</w:t>
            </w:r>
          </w:p>
        </w:tc>
        <w:tc>
          <w:tcPr>
            <w:tcW w:w="1154" w:type="dxa"/>
            <w:tcBorders>
              <w:top w:val="nil"/>
              <w:left w:val="nil"/>
              <w:bottom w:val="single" w:sz="4" w:space="0" w:color="auto"/>
              <w:right w:val="single" w:sz="4" w:space="0" w:color="auto"/>
            </w:tcBorders>
            <w:noWrap/>
            <w:vAlign w:val="bottom"/>
          </w:tcPr>
          <w:p w14:paraId="6DAD28D1"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rPr>
              <w:t>2,3</w:t>
            </w:r>
            <w:r w:rsidRPr="00C921DE">
              <w:rPr>
                <w:rFonts w:ascii="GHEA Grapalat" w:hAnsi="GHEA Grapalat" w:cs="Calibri"/>
                <w:b/>
                <w:sz w:val="18"/>
                <w:szCs w:val="18"/>
                <w:lang w:val="en-US"/>
              </w:rPr>
              <w:t>56</w:t>
            </w:r>
            <w:r w:rsidRPr="00C921DE">
              <w:rPr>
                <w:rFonts w:ascii="GHEA Grapalat" w:hAnsi="GHEA Grapalat" w:cs="Calibri"/>
                <w:b/>
                <w:sz w:val="18"/>
                <w:szCs w:val="18"/>
              </w:rPr>
              <w:t>.</w:t>
            </w:r>
            <w:r w:rsidRPr="00C921DE">
              <w:rPr>
                <w:rFonts w:ascii="GHEA Grapalat" w:hAnsi="GHEA Grapalat" w:cs="Calibri"/>
                <w:b/>
                <w:sz w:val="18"/>
                <w:szCs w:val="18"/>
                <w:lang w:val="en-US"/>
              </w:rPr>
              <w:t>9</w:t>
            </w:r>
          </w:p>
        </w:tc>
        <w:tc>
          <w:tcPr>
            <w:tcW w:w="1134" w:type="dxa"/>
            <w:tcBorders>
              <w:top w:val="nil"/>
              <w:left w:val="nil"/>
              <w:bottom w:val="single" w:sz="4" w:space="0" w:color="auto"/>
              <w:right w:val="single" w:sz="4" w:space="0" w:color="auto"/>
            </w:tcBorders>
            <w:noWrap/>
            <w:vAlign w:val="bottom"/>
          </w:tcPr>
          <w:p w14:paraId="2703C141"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rPr>
              <w:t>2,3</w:t>
            </w:r>
            <w:r w:rsidRPr="00C921DE">
              <w:rPr>
                <w:rFonts w:ascii="GHEA Grapalat" w:hAnsi="GHEA Grapalat" w:cs="Calibri"/>
                <w:b/>
                <w:sz w:val="18"/>
                <w:szCs w:val="18"/>
                <w:lang w:val="en-US"/>
              </w:rPr>
              <w:t>58</w:t>
            </w:r>
            <w:r w:rsidRPr="00C921DE">
              <w:rPr>
                <w:rFonts w:ascii="GHEA Grapalat" w:hAnsi="GHEA Grapalat" w:cs="Calibri"/>
                <w:b/>
                <w:sz w:val="18"/>
                <w:szCs w:val="18"/>
              </w:rPr>
              <w:t>.</w:t>
            </w:r>
            <w:r w:rsidRPr="00C921DE">
              <w:rPr>
                <w:rFonts w:ascii="GHEA Grapalat" w:hAnsi="GHEA Grapalat" w:cs="Calibri"/>
                <w:b/>
                <w:sz w:val="18"/>
                <w:szCs w:val="18"/>
                <w:lang w:val="en-US"/>
              </w:rPr>
              <w:t>8</w:t>
            </w:r>
          </w:p>
        </w:tc>
        <w:tc>
          <w:tcPr>
            <w:tcW w:w="1259" w:type="dxa"/>
            <w:tcBorders>
              <w:top w:val="nil"/>
              <w:left w:val="nil"/>
              <w:bottom w:val="single" w:sz="4" w:space="0" w:color="auto"/>
              <w:right w:val="single" w:sz="4" w:space="0" w:color="auto"/>
            </w:tcBorders>
            <w:vAlign w:val="bottom"/>
          </w:tcPr>
          <w:p w14:paraId="5619A0AC"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rPr>
              <w:t>100.</w:t>
            </w:r>
            <w:r w:rsidRPr="00C921DE">
              <w:rPr>
                <w:rFonts w:ascii="GHEA Grapalat" w:hAnsi="GHEA Grapalat" w:cs="Calibri"/>
                <w:b/>
                <w:sz w:val="18"/>
                <w:szCs w:val="18"/>
                <w:lang w:val="en-US"/>
              </w:rPr>
              <w:t>1</w:t>
            </w:r>
          </w:p>
        </w:tc>
        <w:tc>
          <w:tcPr>
            <w:tcW w:w="1259" w:type="dxa"/>
            <w:tcBorders>
              <w:top w:val="nil"/>
              <w:left w:val="nil"/>
              <w:bottom w:val="single" w:sz="4" w:space="0" w:color="auto"/>
              <w:right w:val="single" w:sz="4" w:space="0" w:color="auto"/>
            </w:tcBorders>
            <w:vAlign w:val="bottom"/>
          </w:tcPr>
          <w:p w14:paraId="3035B9F5"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rPr>
              <w:t>1</w:t>
            </w:r>
            <w:r w:rsidRPr="00C921DE">
              <w:rPr>
                <w:rFonts w:ascii="GHEA Grapalat" w:hAnsi="GHEA Grapalat" w:cs="Calibri"/>
                <w:b/>
                <w:sz w:val="18"/>
                <w:szCs w:val="18"/>
                <w:lang w:val="en-US"/>
              </w:rPr>
              <w:t>14</w:t>
            </w:r>
            <w:r w:rsidRPr="00C921DE">
              <w:rPr>
                <w:rFonts w:ascii="GHEA Grapalat" w:hAnsi="GHEA Grapalat" w:cs="Calibri"/>
                <w:b/>
                <w:sz w:val="18"/>
                <w:szCs w:val="18"/>
              </w:rPr>
              <w:t>.</w:t>
            </w:r>
            <w:r w:rsidRPr="00C921DE">
              <w:rPr>
                <w:rFonts w:ascii="GHEA Grapalat" w:hAnsi="GHEA Grapalat" w:cs="Calibri"/>
                <w:b/>
                <w:sz w:val="18"/>
                <w:szCs w:val="18"/>
                <w:lang w:val="en-US"/>
              </w:rPr>
              <w:t>3</w:t>
            </w:r>
          </w:p>
        </w:tc>
        <w:tc>
          <w:tcPr>
            <w:tcW w:w="1146" w:type="dxa"/>
            <w:tcBorders>
              <w:top w:val="nil"/>
              <w:left w:val="nil"/>
              <w:bottom w:val="single" w:sz="4" w:space="0" w:color="auto"/>
              <w:right w:val="single" w:sz="4" w:space="0" w:color="auto"/>
            </w:tcBorders>
            <w:vAlign w:val="bottom"/>
          </w:tcPr>
          <w:p w14:paraId="182BACD2"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lang w:val="en-US"/>
              </w:rPr>
              <w:t>2</w:t>
            </w:r>
            <w:r w:rsidRPr="00C921DE">
              <w:rPr>
                <w:rFonts w:ascii="GHEA Grapalat" w:hAnsi="GHEA Grapalat" w:cs="Calibri"/>
                <w:b/>
                <w:sz w:val="18"/>
                <w:szCs w:val="18"/>
              </w:rPr>
              <w:t>9</w:t>
            </w:r>
            <w:r w:rsidRPr="00C921DE">
              <w:rPr>
                <w:rFonts w:ascii="GHEA Grapalat" w:hAnsi="GHEA Grapalat" w:cs="Calibri"/>
                <w:b/>
                <w:sz w:val="18"/>
                <w:szCs w:val="18"/>
                <w:lang w:val="en-US"/>
              </w:rPr>
              <w:t>5</w:t>
            </w:r>
            <w:r w:rsidRPr="00C921DE">
              <w:rPr>
                <w:rFonts w:ascii="GHEA Grapalat" w:hAnsi="GHEA Grapalat" w:cs="Calibri"/>
                <w:b/>
                <w:sz w:val="18"/>
                <w:szCs w:val="18"/>
              </w:rPr>
              <w:t>.</w:t>
            </w:r>
            <w:r w:rsidRPr="00C921DE">
              <w:rPr>
                <w:rFonts w:ascii="GHEA Grapalat" w:hAnsi="GHEA Grapalat" w:cs="Calibri"/>
                <w:b/>
                <w:sz w:val="18"/>
                <w:szCs w:val="18"/>
                <w:lang w:val="en-US"/>
              </w:rPr>
              <w:t>7</w:t>
            </w:r>
          </w:p>
        </w:tc>
      </w:tr>
      <w:tr w:rsidR="00FF44DF" w:rsidRPr="00C921DE" w14:paraId="2A7F282D" w14:textId="77777777" w:rsidTr="00FF44DF">
        <w:trPr>
          <w:trHeight w:val="293"/>
        </w:trPr>
        <w:tc>
          <w:tcPr>
            <w:tcW w:w="3118" w:type="dxa"/>
            <w:tcBorders>
              <w:top w:val="nil"/>
              <w:left w:val="single" w:sz="4" w:space="0" w:color="auto"/>
              <w:bottom w:val="single" w:sz="4" w:space="0" w:color="auto"/>
              <w:right w:val="single" w:sz="4" w:space="0" w:color="auto"/>
            </w:tcBorders>
            <w:noWrap/>
            <w:vAlign w:val="bottom"/>
          </w:tcPr>
          <w:p w14:paraId="158D33FD" w14:textId="77777777" w:rsidR="00FF44DF" w:rsidRPr="00C921DE" w:rsidRDefault="00FF44DF" w:rsidP="00FF44DF">
            <w:pPr>
              <w:rPr>
                <w:rFonts w:ascii="GHEA Grapalat" w:hAnsi="GHEA Grapalat" w:cs="Arial"/>
                <w:sz w:val="18"/>
                <w:szCs w:val="18"/>
              </w:rPr>
            </w:pPr>
            <w:r w:rsidRPr="00C921DE">
              <w:rPr>
                <w:rFonts w:ascii="GHEA Grapalat" w:hAnsi="GHEA Grapalat" w:cs="Arial"/>
                <w:sz w:val="18"/>
                <w:szCs w:val="18"/>
              </w:rPr>
              <w:t>Հարկային եկամուտներ և պետական տուրքեր</w:t>
            </w:r>
          </w:p>
        </w:tc>
        <w:tc>
          <w:tcPr>
            <w:tcW w:w="1130" w:type="dxa"/>
            <w:tcBorders>
              <w:top w:val="nil"/>
              <w:left w:val="single" w:sz="4" w:space="0" w:color="auto"/>
              <w:bottom w:val="single" w:sz="4" w:space="0" w:color="auto"/>
              <w:right w:val="single" w:sz="4" w:space="0" w:color="auto"/>
            </w:tcBorders>
            <w:vAlign w:val="bottom"/>
          </w:tcPr>
          <w:p w14:paraId="65103518"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1,926.0</w:t>
            </w:r>
          </w:p>
        </w:tc>
        <w:tc>
          <w:tcPr>
            <w:tcW w:w="1154" w:type="dxa"/>
            <w:tcBorders>
              <w:top w:val="nil"/>
              <w:left w:val="nil"/>
              <w:bottom w:val="single" w:sz="4" w:space="0" w:color="auto"/>
              <w:right w:val="single" w:sz="4" w:space="0" w:color="auto"/>
            </w:tcBorders>
            <w:noWrap/>
            <w:vAlign w:val="bottom"/>
          </w:tcPr>
          <w:p w14:paraId="39D1BECC"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2</w:t>
            </w:r>
            <w:r w:rsidRPr="00C921DE">
              <w:rPr>
                <w:rFonts w:ascii="GHEA Grapalat" w:hAnsi="GHEA Grapalat" w:cs="Calibri"/>
                <w:sz w:val="18"/>
                <w:szCs w:val="18"/>
              </w:rPr>
              <w:t>,2</w:t>
            </w:r>
            <w:r w:rsidRPr="00C921DE">
              <w:rPr>
                <w:rFonts w:ascii="GHEA Grapalat" w:hAnsi="GHEA Grapalat" w:cs="Calibri"/>
                <w:sz w:val="18"/>
                <w:szCs w:val="18"/>
                <w:lang w:val="en-US"/>
              </w:rPr>
              <w:t>24</w:t>
            </w:r>
            <w:r w:rsidRPr="00C921DE">
              <w:rPr>
                <w:rFonts w:ascii="GHEA Grapalat" w:hAnsi="GHEA Grapalat" w:cs="Calibri"/>
                <w:sz w:val="18"/>
                <w:szCs w:val="18"/>
              </w:rPr>
              <w:t>.</w:t>
            </w:r>
            <w:r w:rsidRPr="00C921DE">
              <w:rPr>
                <w:rFonts w:ascii="GHEA Grapalat" w:hAnsi="GHEA Grapalat" w:cs="Calibri"/>
                <w:sz w:val="18"/>
                <w:szCs w:val="18"/>
                <w:lang w:val="en-US"/>
              </w:rPr>
              <w:t>8</w:t>
            </w:r>
          </w:p>
        </w:tc>
        <w:tc>
          <w:tcPr>
            <w:tcW w:w="1134" w:type="dxa"/>
            <w:tcBorders>
              <w:top w:val="nil"/>
              <w:left w:val="nil"/>
              <w:bottom w:val="single" w:sz="4" w:space="0" w:color="auto"/>
              <w:right w:val="single" w:sz="4" w:space="0" w:color="auto"/>
            </w:tcBorders>
            <w:noWrap/>
            <w:vAlign w:val="bottom"/>
          </w:tcPr>
          <w:p w14:paraId="3E917339"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2</w:t>
            </w:r>
            <w:r w:rsidRPr="00C921DE">
              <w:rPr>
                <w:rFonts w:ascii="GHEA Grapalat" w:hAnsi="GHEA Grapalat" w:cs="Calibri"/>
                <w:sz w:val="18"/>
                <w:szCs w:val="18"/>
              </w:rPr>
              <w:t>,2</w:t>
            </w:r>
            <w:r w:rsidRPr="00C921DE">
              <w:rPr>
                <w:rFonts w:ascii="GHEA Grapalat" w:hAnsi="GHEA Grapalat" w:cs="Calibri"/>
                <w:sz w:val="18"/>
                <w:szCs w:val="18"/>
                <w:lang w:val="en-US"/>
              </w:rPr>
              <w:t>21</w:t>
            </w:r>
            <w:r w:rsidRPr="00C921DE">
              <w:rPr>
                <w:rFonts w:ascii="GHEA Grapalat" w:hAnsi="GHEA Grapalat" w:cs="Calibri"/>
                <w:sz w:val="18"/>
                <w:szCs w:val="18"/>
              </w:rPr>
              <w:t>.</w:t>
            </w:r>
            <w:r w:rsidRPr="00C921DE">
              <w:rPr>
                <w:rFonts w:ascii="GHEA Grapalat" w:hAnsi="GHEA Grapalat" w:cs="Calibri"/>
                <w:sz w:val="18"/>
                <w:szCs w:val="18"/>
                <w:lang w:val="en-US"/>
              </w:rPr>
              <w:t>9</w:t>
            </w:r>
          </w:p>
        </w:tc>
        <w:tc>
          <w:tcPr>
            <w:tcW w:w="1259" w:type="dxa"/>
            <w:tcBorders>
              <w:top w:val="nil"/>
              <w:left w:val="nil"/>
              <w:bottom w:val="single" w:sz="4" w:space="0" w:color="auto"/>
              <w:right w:val="single" w:sz="4" w:space="0" w:color="auto"/>
            </w:tcBorders>
            <w:vAlign w:val="bottom"/>
          </w:tcPr>
          <w:p w14:paraId="6CFE26C0"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99</w:t>
            </w:r>
            <w:r w:rsidRPr="00C921DE">
              <w:rPr>
                <w:rFonts w:ascii="GHEA Grapalat" w:hAnsi="GHEA Grapalat" w:cs="Calibri"/>
                <w:sz w:val="18"/>
                <w:szCs w:val="18"/>
              </w:rPr>
              <w:t>.</w:t>
            </w:r>
            <w:r w:rsidRPr="00C921DE">
              <w:rPr>
                <w:rFonts w:ascii="GHEA Grapalat" w:hAnsi="GHEA Grapalat" w:cs="Calibri"/>
                <w:sz w:val="18"/>
                <w:szCs w:val="18"/>
                <w:lang w:val="en-US"/>
              </w:rPr>
              <w:t>9</w:t>
            </w:r>
          </w:p>
        </w:tc>
        <w:tc>
          <w:tcPr>
            <w:tcW w:w="1259" w:type="dxa"/>
            <w:tcBorders>
              <w:top w:val="nil"/>
              <w:left w:val="nil"/>
              <w:bottom w:val="single" w:sz="4" w:space="0" w:color="auto"/>
              <w:right w:val="single" w:sz="4" w:space="0" w:color="auto"/>
            </w:tcBorders>
            <w:vAlign w:val="bottom"/>
          </w:tcPr>
          <w:p w14:paraId="6D2173CE"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11</w:t>
            </w:r>
            <w:r w:rsidRPr="00C921DE">
              <w:rPr>
                <w:rFonts w:ascii="GHEA Grapalat" w:hAnsi="GHEA Grapalat" w:cs="Calibri"/>
                <w:sz w:val="18"/>
                <w:szCs w:val="18"/>
                <w:lang w:val="en-US"/>
              </w:rPr>
              <w:t>5</w:t>
            </w:r>
            <w:r w:rsidRPr="00C921DE">
              <w:rPr>
                <w:rFonts w:ascii="GHEA Grapalat" w:hAnsi="GHEA Grapalat" w:cs="Calibri"/>
                <w:sz w:val="18"/>
                <w:szCs w:val="18"/>
              </w:rPr>
              <w:t>.4</w:t>
            </w:r>
          </w:p>
        </w:tc>
        <w:tc>
          <w:tcPr>
            <w:tcW w:w="1146" w:type="dxa"/>
            <w:tcBorders>
              <w:top w:val="nil"/>
              <w:left w:val="nil"/>
              <w:bottom w:val="single" w:sz="4" w:space="0" w:color="auto"/>
              <w:right w:val="single" w:sz="4" w:space="0" w:color="auto"/>
            </w:tcBorders>
            <w:vAlign w:val="bottom"/>
          </w:tcPr>
          <w:p w14:paraId="3764A0F2"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296</w:t>
            </w:r>
            <w:r w:rsidRPr="00C921DE">
              <w:rPr>
                <w:rFonts w:ascii="GHEA Grapalat" w:hAnsi="GHEA Grapalat" w:cs="Calibri"/>
                <w:sz w:val="18"/>
                <w:szCs w:val="18"/>
              </w:rPr>
              <w:t>.</w:t>
            </w:r>
            <w:r w:rsidRPr="00C921DE">
              <w:rPr>
                <w:rFonts w:ascii="GHEA Grapalat" w:hAnsi="GHEA Grapalat" w:cs="Calibri"/>
                <w:sz w:val="18"/>
                <w:szCs w:val="18"/>
                <w:lang w:val="en-US"/>
              </w:rPr>
              <w:t>0</w:t>
            </w:r>
          </w:p>
        </w:tc>
      </w:tr>
      <w:tr w:rsidR="00FF44DF" w:rsidRPr="00C921DE" w14:paraId="41C9074E" w14:textId="77777777" w:rsidTr="00FF44DF">
        <w:trPr>
          <w:trHeight w:val="300"/>
        </w:trPr>
        <w:tc>
          <w:tcPr>
            <w:tcW w:w="3118" w:type="dxa"/>
            <w:tcBorders>
              <w:top w:val="nil"/>
              <w:left w:val="single" w:sz="4" w:space="0" w:color="auto"/>
              <w:bottom w:val="single" w:sz="4" w:space="0" w:color="auto"/>
              <w:right w:val="single" w:sz="4" w:space="0" w:color="auto"/>
            </w:tcBorders>
            <w:noWrap/>
            <w:vAlign w:val="bottom"/>
          </w:tcPr>
          <w:p w14:paraId="6B350C07" w14:textId="77777777" w:rsidR="00FF44DF" w:rsidRPr="00C921DE" w:rsidRDefault="00FF44DF" w:rsidP="00FF44DF">
            <w:pPr>
              <w:rPr>
                <w:rFonts w:ascii="GHEA Grapalat" w:hAnsi="GHEA Grapalat" w:cs="Arial"/>
                <w:sz w:val="18"/>
                <w:szCs w:val="18"/>
              </w:rPr>
            </w:pPr>
            <w:r w:rsidRPr="00C921DE">
              <w:rPr>
                <w:rFonts w:ascii="GHEA Grapalat" w:hAnsi="GHEA Grapalat" w:cs="Arial"/>
                <w:sz w:val="18"/>
                <w:szCs w:val="18"/>
              </w:rPr>
              <w:t>Պաշտոնական դրամաշնորհներ</w:t>
            </w:r>
          </w:p>
        </w:tc>
        <w:tc>
          <w:tcPr>
            <w:tcW w:w="1130" w:type="dxa"/>
            <w:tcBorders>
              <w:top w:val="nil"/>
              <w:left w:val="single" w:sz="4" w:space="0" w:color="auto"/>
              <w:bottom w:val="single" w:sz="4" w:space="0" w:color="auto"/>
              <w:right w:val="single" w:sz="4" w:space="0" w:color="auto"/>
            </w:tcBorders>
            <w:vAlign w:val="bottom"/>
          </w:tcPr>
          <w:p w14:paraId="6D1B65E5"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15.0</w:t>
            </w:r>
          </w:p>
        </w:tc>
        <w:tc>
          <w:tcPr>
            <w:tcW w:w="1154" w:type="dxa"/>
            <w:tcBorders>
              <w:top w:val="nil"/>
              <w:left w:val="nil"/>
              <w:bottom w:val="single" w:sz="4" w:space="0" w:color="auto"/>
              <w:right w:val="single" w:sz="4" w:space="0" w:color="auto"/>
            </w:tcBorders>
            <w:noWrap/>
            <w:vAlign w:val="bottom"/>
          </w:tcPr>
          <w:p w14:paraId="4F20FE0C"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2</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1134" w:type="dxa"/>
            <w:tcBorders>
              <w:top w:val="nil"/>
              <w:left w:val="nil"/>
              <w:bottom w:val="single" w:sz="4" w:space="0" w:color="auto"/>
              <w:right w:val="single" w:sz="4" w:space="0" w:color="auto"/>
            </w:tcBorders>
            <w:noWrap/>
            <w:vAlign w:val="bottom"/>
          </w:tcPr>
          <w:p w14:paraId="3FBEF5F0"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3</w:t>
            </w:r>
            <w:r w:rsidRPr="00C921DE">
              <w:rPr>
                <w:rFonts w:ascii="GHEA Grapalat" w:hAnsi="GHEA Grapalat" w:cs="Calibri"/>
                <w:sz w:val="18"/>
                <w:szCs w:val="18"/>
              </w:rPr>
              <w:t>.</w:t>
            </w:r>
            <w:r w:rsidRPr="00C921DE">
              <w:rPr>
                <w:rFonts w:ascii="GHEA Grapalat" w:hAnsi="GHEA Grapalat" w:cs="Calibri"/>
                <w:sz w:val="18"/>
                <w:szCs w:val="18"/>
                <w:lang w:val="en-US"/>
              </w:rPr>
              <w:t>1</w:t>
            </w:r>
          </w:p>
        </w:tc>
        <w:tc>
          <w:tcPr>
            <w:tcW w:w="1259" w:type="dxa"/>
            <w:tcBorders>
              <w:top w:val="nil"/>
              <w:left w:val="nil"/>
              <w:bottom w:val="single" w:sz="4" w:space="0" w:color="auto"/>
              <w:right w:val="single" w:sz="4" w:space="0" w:color="auto"/>
            </w:tcBorders>
            <w:vAlign w:val="bottom"/>
          </w:tcPr>
          <w:p w14:paraId="1BEDE164"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10</w:t>
            </w:r>
            <w:r w:rsidRPr="00C921DE">
              <w:rPr>
                <w:rFonts w:ascii="GHEA Grapalat" w:hAnsi="GHEA Grapalat" w:cs="Calibri"/>
                <w:sz w:val="18"/>
                <w:szCs w:val="18"/>
                <w:lang w:val="en-US"/>
              </w:rPr>
              <w:t>6</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1259" w:type="dxa"/>
            <w:tcBorders>
              <w:top w:val="nil"/>
              <w:left w:val="nil"/>
              <w:bottom w:val="single" w:sz="4" w:space="0" w:color="auto"/>
              <w:right w:val="single" w:sz="4" w:space="0" w:color="auto"/>
            </w:tcBorders>
            <w:vAlign w:val="bottom"/>
          </w:tcPr>
          <w:p w14:paraId="0FEC6DB5"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87</w:t>
            </w:r>
            <w:r w:rsidRPr="00C921DE">
              <w:rPr>
                <w:rFonts w:ascii="GHEA Grapalat" w:hAnsi="GHEA Grapalat" w:cs="Calibri"/>
                <w:sz w:val="18"/>
                <w:szCs w:val="18"/>
              </w:rPr>
              <w:t>.</w:t>
            </w:r>
            <w:r w:rsidRPr="00C921DE">
              <w:rPr>
                <w:rFonts w:ascii="GHEA Grapalat" w:hAnsi="GHEA Grapalat" w:cs="Calibri"/>
                <w:sz w:val="18"/>
                <w:szCs w:val="18"/>
                <w:lang w:val="en-US"/>
              </w:rPr>
              <w:t>5</w:t>
            </w:r>
          </w:p>
        </w:tc>
        <w:tc>
          <w:tcPr>
            <w:tcW w:w="1146" w:type="dxa"/>
            <w:tcBorders>
              <w:top w:val="nil"/>
              <w:left w:val="nil"/>
              <w:bottom w:val="single" w:sz="4" w:space="0" w:color="auto"/>
              <w:right w:val="single" w:sz="4" w:space="0" w:color="auto"/>
            </w:tcBorders>
            <w:vAlign w:val="bottom"/>
          </w:tcPr>
          <w:p w14:paraId="7C396AF4"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(1.9)</w:t>
            </w:r>
          </w:p>
        </w:tc>
      </w:tr>
      <w:tr w:rsidR="00FF44DF" w:rsidRPr="00C921DE" w14:paraId="4DAB4E53" w14:textId="77777777" w:rsidTr="00FF44DF">
        <w:trPr>
          <w:trHeight w:val="167"/>
        </w:trPr>
        <w:tc>
          <w:tcPr>
            <w:tcW w:w="3118" w:type="dxa"/>
            <w:tcBorders>
              <w:top w:val="nil"/>
              <w:left w:val="single" w:sz="4" w:space="0" w:color="auto"/>
              <w:bottom w:val="single" w:sz="4" w:space="0" w:color="auto"/>
              <w:right w:val="single" w:sz="4" w:space="0" w:color="auto"/>
            </w:tcBorders>
            <w:noWrap/>
            <w:vAlign w:val="bottom"/>
          </w:tcPr>
          <w:p w14:paraId="582A0E21" w14:textId="77777777" w:rsidR="00FF44DF" w:rsidRPr="00C921DE" w:rsidRDefault="00FF44DF" w:rsidP="00FF44DF">
            <w:pPr>
              <w:rPr>
                <w:rFonts w:ascii="GHEA Grapalat" w:hAnsi="GHEA Grapalat" w:cs="Arial"/>
                <w:sz w:val="18"/>
                <w:szCs w:val="18"/>
              </w:rPr>
            </w:pPr>
            <w:r w:rsidRPr="00C921DE">
              <w:rPr>
                <w:rFonts w:ascii="GHEA Grapalat" w:hAnsi="GHEA Grapalat" w:cs="Arial"/>
                <w:sz w:val="18"/>
                <w:szCs w:val="18"/>
              </w:rPr>
              <w:t>Այլ եկամուտներ</w:t>
            </w:r>
          </w:p>
        </w:tc>
        <w:tc>
          <w:tcPr>
            <w:tcW w:w="1130" w:type="dxa"/>
            <w:tcBorders>
              <w:top w:val="nil"/>
              <w:left w:val="single" w:sz="4" w:space="0" w:color="auto"/>
              <w:bottom w:val="single" w:sz="4" w:space="0" w:color="auto"/>
              <w:right w:val="single" w:sz="4" w:space="0" w:color="auto"/>
            </w:tcBorders>
            <w:vAlign w:val="bottom"/>
          </w:tcPr>
          <w:p w14:paraId="606CFD2D"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122.1</w:t>
            </w:r>
          </w:p>
        </w:tc>
        <w:tc>
          <w:tcPr>
            <w:tcW w:w="1154" w:type="dxa"/>
            <w:tcBorders>
              <w:top w:val="nil"/>
              <w:left w:val="nil"/>
              <w:bottom w:val="single" w:sz="4" w:space="0" w:color="auto"/>
              <w:right w:val="single" w:sz="4" w:space="0" w:color="auto"/>
            </w:tcBorders>
            <w:noWrap/>
            <w:vAlign w:val="bottom"/>
          </w:tcPr>
          <w:p w14:paraId="5039847C"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19</w:t>
            </w:r>
            <w:r w:rsidRPr="00C921DE">
              <w:rPr>
                <w:rFonts w:ascii="GHEA Grapalat" w:hAnsi="GHEA Grapalat" w:cs="Calibri"/>
                <w:sz w:val="18"/>
                <w:szCs w:val="18"/>
              </w:rPr>
              <w:t>.</w:t>
            </w:r>
            <w:r w:rsidRPr="00C921DE">
              <w:rPr>
                <w:rFonts w:ascii="GHEA Grapalat" w:hAnsi="GHEA Grapalat" w:cs="Calibri"/>
                <w:sz w:val="18"/>
                <w:szCs w:val="18"/>
                <w:lang w:val="en-US"/>
              </w:rPr>
              <w:t>8</w:t>
            </w:r>
          </w:p>
        </w:tc>
        <w:tc>
          <w:tcPr>
            <w:tcW w:w="1134" w:type="dxa"/>
            <w:tcBorders>
              <w:top w:val="nil"/>
              <w:left w:val="nil"/>
              <w:bottom w:val="single" w:sz="4" w:space="0" w:color="auto"/>
              <w:right w:val="single" w:sz="4" w:space="0" w:color="auto"/>
            </w:tcBorders>
            <w:noWrap/>
            <w:vAlign w:val="bottom"/>
          </w:tcPr>
          <w:p w14:paraId="499C5A6B"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12</w:t>
            </w:r>
            <w:r w:rsidRPr="00C921DE">
              <w:rPr>
                <w:rFonts w:ascii="GHEA Grapalat" w:hAnsi="GHEA Grapalat" w:cs="Calibri"/>
                <w:sz w:val="18"/>
                <w:szCs w:val="18"/>
                <w:lang w:val="en-US"/>
              </w:rPr>
              <w:t>3</w:t>
            </w:r>
            <w:r w:rsidRPr="00C921DE">
              <w:rPr>
                <w:rFonts w:ascii="GHEA Grapalat" w:hAnsi="GHEA Grapalat" w:cs="Calibri"/>
                <w:sz w:val="18"/>
                <w:szCs w:val="18"/>
              </w:rPr>
              <w:t>.</w:t>
            </w:r>
            <w:r w:rsidRPr="00C921DE">
              <w:rPr>
                <w:rFonts w:ascii="GHEA Grapalat" w:hAnsi="GHEA Grapalat" w:cs="Calibri"/>
                <w:sz w:val="18"/>
                <w:szCs w:val="18"/>
                <w:lang w:val="en-US"/>
              </w:rPr>
              <w:t>7</w:t>
            </w:r>
          </w:p>
        </w:tc>
        <w:tc>
          <w:tcPr>
            <w:tcW w:w="1259" w:type="dxa"/>
            <w:tcBorders>
              <w:top w:val="nil"/>
              <w:left w:val="nil"/>
              <w:bottom w:val="single" w:sz="4" w:space="0" w:color="auto"/>
              <w:right w:val="single" w:sz="4" w:space="0" w:color="auto"/>
            </w:tcBorders>
            <w:vAlign w:val="bottom"/>
          </w:tcPr>
          <w:p w14:paraId="0E459EC1"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10</w:t>
            </w:r>
            <w:r w:rsidRPr="00C921DE">
              <w:rPr>
                <w:rFonts w:ascii="GHEA Grapalat" w:hAnsi="GHEA Grapalat" w:cs="Calibri"/>
                <w:sz w:val="18"/>
                <w:szCs w:val="18"/>
                <w:lang w:val="en-US"/>
              </w:rPr>
              <w:t>3</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1259" w:type="dxa"/>
            <w:tcBorders>
              <w:top w:val="nil"/>
              <w:left w:val="nil"/>
              <w:bottom w:val="single" w:sz="4" w:space="0" w:color="auto"/>
              <w:right w:val="single" w:sz="4" w:space="0" w:color="auto"/>
            </w:tcBorders>
            <w:vAlign w:val="bottom"/>
          </w:tcPr>
          <w:p w14:paraId="1FE80A76"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01</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1146" w:type="dxa"/>
            <w:tcBorders>
              <w:top w:val="nil"/>
              <w:left w:val="nil"/>
              <w:bottom w:val="single" w:sz="4" w:space="0" w:color="auto"/>
              <w:right w:val="single" w:sz="4" w:space="0" w:color="auto"/>
            </w:tcBorders>
            <w:vAlign w:val="bottom"/>
          </w:tcPr>
          <w:p w14:paraId="23E61B20"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1</w:t>
            </w:r>
            <w:r w:rsidRPr="00C921DE">
              <w:rPr>
                <w:rFonts w:ascii="GHEA Grapalat" w:hAnsi="GHEA Grapalat" w:cs="Calibri"/>
                <w:sz w:val="18"/>
                <w:szCs w:val="18"/>
              </w:rPr>
              <w:t>.6</w:t>
            </w:r>
          </w:p>
        </w:tc>
      </w:tr>
    </w:tbl>
    <w:p w14:paraId="3FE8ACBB" w14:textId="77777777" w:rsidR="00FF44DF" w:rsidRPr="00C921DE" w:rsidRDefault="00FF44DF" w:rsidP="00480FAB">
      <w:pPr>
        <w:spacing w:line="360" w:lineRule="auto"/>
        <w:ind w:firstLine="567"/>
        <w:jc w:val="both"/>
        <w:rPr>
          <w:rFonts w:ascii="GHEA Grapalat" w:hAnsi="GHEA Grapalat" w:cs="GHEA Grapalat"/>
          <w:sz w:val="22"/>
          <w:szCs w:val="22"/>
        </w:rPr>
      </w:pPr>
    </w:p>
    <w:p w14:paraId="5C374EF5" w14:textId="77777777" w:rsidR="00FF44DF" w:rsidRPr="00C921DE" w:rsidRDefault="00FF44DF" w:rsidP="004C12B8">
      <w:pPr>
        <w:pStyle w:val="a"/>
      </w:pPr>
      <w:r w:rsidRPr="00C921DE">
        <w:t>ՀՀ պետական բյուջեի փաստացի եկամուտները 2021-2023թթ.</w:t>
      </w:r>
    </w:p>
    <w:p w14:paraId="50DD02B7" w14:textId="77777777" w:rsidR="00FF44DF" w:rsidRPr="00C921DE" w:rsidRDefault="00FF44DF" w:rsidP="00FF44DF">
      <w:pPr>
        <w:jc w:val="center"/>
        <w:rPr>
          <w:lang w:val="de-AT"/>
        </w:rPr>
      </w:pPr>
      <w:r w:rsidRPr="00C921DE">
        <w:rPr>
          <w:lang w:val="en-US"/>
        </w:rPr>
        <w:drawing>
          <wp:inline distT="0" distB="0" distL="0" distR="0" wp14:anchorId="27B217BF" wp14:editId="3F3ADD78">
            <wp:extent cx="5886450" cy="3347499"/>
            <wp:effectExtent l="0" t="0" r="0" b="5715"/>
            <wp:docPr id="10" name="Object 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9BE0E08"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lang w:val="en-US"/>
        </w:rPr>
      </w:pPr>
    </w:p>
    <w:p w14:paraId="1B2D23CC" w14:textId="179A0A21"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w:t>
      </w:r>
      <w:r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 պետական բյուջեի եկամուտներում 202</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 համեմատ </w:t>
      </w:r>
      <w:r w:rsidR="00480FAB" w:rsidRPr="00C921DE">
        <w:rPr>
          <w:rFonts w:ascii="GHEA Grapalat" w:hAnsi="GHEA Grapalat" w:cs="GHEA Grapalat"/>
          <w:sz w:val="22"/>
          <w:szCs w:val="22"/>
          <w:lang w:val="en-US"/>
        </w:rPr>
        <w:t xml:space="preserve">ավելի քան </w:t>
      </w:r>
      <w:r w:rsidRPr="00C921DE">
        <w:rPr>
          <w:rFonts w:ascii="GHEA Grapalat" w:hAnsi="GHEA Grapalat" w:cs="GHEA Grapalat"/>
          <w:sz w:val="22"/>
          <w:szCs w:val="22"/>
          <w:lang w:val="en-US"/>
        </w:rPr>
        <w:t>0.</w:t>
      </w:r>
      <w:r w:rsidRPr="00C921DE">
        <w:rPr>
          <w:rFonts w:ascii="GHEA Grapalat" w:hAnsi="GHEA Grapalat" w:cs="GHEA Grapalat"/>
          <w:sz w:val="22"/>
          <w:szCs w:val="22"/>
        </w:rPr>
        <w:t>8 տոկոսային կետով ավելացել է հարկային եկամուտների և պետական տուրքերի տեսակարար կշիռը, իսկ պաշտոնական դրամաշնորհների և այլ եկամուտների տեսակարար կշիռները նվազել են համապատասխանաբար 0.</w:t>
      </w:r>
      <w:r w:rsidR="000235A1"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և 0.7 տոկոսային կետով: </w:t>
      </w:r>
    </w:p>
    <w:p w14:paraId="53C5AC05" w14:textId="77777777" w:rsidR="00480FAB" w:rsidRPr="00C921DE" w:rsidRDefault="00480FAB" w:rsidP="00FF44DF">
      <w:pPr>
        <w:autoSpaceDE w:val="0"/>
        <w:autoSpaceDN w:val="0"/>
        <w:adjustRightInd w:val="0"/>
        <w:spacing w:line="360" w:lineRule="auto"/>
        <w:ind w:firstLine="567"/>
        <w:jc w:val="both"/>
        <w:rPr>
          <w:rFonts w:ascii="GHEA Grapalat" w:hAnsi="GHEA Grapalat" w:cs="GHEA Grapalat"/>
          <w:sz w:val="22"/>
          <w:szCs w:val="22"/>
        </w:rPr>
      </w:pPr>
    </w:p>
    <w:p w14:paraId="2DC30940" w14:textId="77777777" w:rsidR="00FF44DF" w:rsidRPr="00C921DE" w:rsidRDefault="00FF44DF" w:rsidP="004C12B8">
      <w:pPr>
        <w:pStyle w:val="a"/>
      </w:pPr>
      <w:r w:rsidRPr="00C921DE">
        <w:t xml:space="preserve">ՀՀ պետական բյուջեի եկամուտների կառուցվածքը 2022-2023թթ. </w:t>
      </w:r>
    </w:p>
    <w:p w14:paraId="60D535E9" w14:textId="31799C40" w:rsidR="00A65BBC" w:rsidRPr="00C921DE" w:rsidRDefault="00A65BBC" w:rsidP="00A65BBC">
      <w:pPr>
        <w:spacing w:line="360" w:lineRule="auto"/>
        <w:jc w:val="both"/>
        <w:rPr>
          <w:rFonts w:ascii="GHEA Grapalat" w:hAnsi="GHEA Grapalat" w:cs="GHEA Grapalat"/>
          <w:sz w:val="22"/>
          <w:szCs w:val="22"/>
          <w:lang w:val="en-US"/>
        </w:rPr>
      </w:pPr>
      <w:r w:rsidRPr="00C921DE">
        <w:rPr>
          <w:rFonts w:ascii="GHEA Grapalat" w:hAnsi="GHEA Grapalat" w:cs="Calibri"/>
          <w:sz w:val="22"/>
          <w:szCs w:val="22"/>
          <w:lang w:val="en-US"/>
        </w:rPr>
        <w:drawing>
          <wp:inline distT="0" distB="0" distL="0" distR="0" wp14:anchorId="6E8208B4" wp14:editId="4262DAF1">
            <wp:extent cx="3101008" cy="3143250"/>
            <wp:effectExtent l="0" t="0" r="4445" b="0"/>
            <wp:docPr id="9" name="Object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387AD0" w:rsidRPr="00C921DE">
        <w:rPr>
          <w:rFonts w:ascii="GHEA Grapalat" w:hAnsi="GHEA Grapalat" w:cs="Calibri"/>
          <w:sz w:val="22"/>
          <w:szCs w:val="22"/>
          <w:lang w:val="en-US"/>
        </w:rPr>
        <w:drawing>
          <wp:inline distT="0" distB="0" distL="0" distR="0" wp14:anchorId="216C20EA" wp14:editId="37E33F65">
            <wp:extent cx="3101008" cy="3143250"/>
            <wp:effectExtent l="0" t="0" r="4445" b="0"/>
            <wp:docPr id="18" name="Object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848A6B4" w14:textId="77777777" w:rsidR="00A65BBC" w:rsidRPr="00C921DE" w:rsidRDefault="00A65BBC" w:rsidP="00FF44DF">
      <w:pPr>
        <w:autoSpaceDE w:val="0"/>
        <w:autoSpaceDN w:val="0"/>
        <w:adjustRightInd w:val="0"/>
        <w:spacing w:line="360" w:lineRule="auto"/>
        <w:ind w:firstLine="567"/>
        <w:jc w:val="both"/>
        <w:rPr>
          <w:rFonts w:ascii="GHEA Grapalat" w:hAnsi="GHEA Grapalat" w:cs="GHEA Grapalat"/>
          <w:sz w:val="22"/>
          <w:szCs w:val="22"/>
        </w:rPr>
      </w:pPr>
    </w:p>
    <w:p w14:paraId="75544CCB" w14:textId="1392F834"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w:t>
      </w:r>
      <w:r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թվականին պետական բյուջեի եկամուտներ/ՀՆԱ ցուցանիշը կազմել է 24.</w:t>
      </w:r>
      <w:r w:rsidRPr="00C921DE">
        <w:rPr>
          <w:rFonts w:ascii="GHEA Grapalat" w:hAnsi="GHEA Grapalat" w:cs="GHEA Grapalat"/>
          <w:sz w:val="22"/>
          <w:szCs w:val="22"/>
          <w:lang w:val="en-US"/>
        </w:rPr>
        <w:t>8</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 xml:space="preserve">բյուջեով </w:t>
      </w:r>
      <w:r w:rsidRPr="00C921DE">
        <w:rPr>
          <w:rFonts w:ascii="GHEA Grapalat" w:hAnsi="GHEA Grapalat" w:cs="GHEA Grapalat"/>
          <w:sz w:val="22"/>
          <w:szCs w:val="22"/>
        </w:rPr>
        <w:t>կանխատեսված 24.</w:t>
      </w:r>
      <w:r w:rsidRPr="00C921DE">
        <w:rPr>
          <w:rFonts w:ascii="GHEA Grapalat" w:hAnsi="GHEA Grapalat" w:cs="GHEA Grapalat"/>
          <w:sz w:val="22"/>
          <w:szCs w:val="22"/>
          <w:lang w:val="en-US"/>
        </w:rPr>
        <w:t>7</w:t>
      </w:r>
      <w:r w:rsidRPr="00C921DE">
        <w:rPr>
          <w:rFonts w:ascii="GHEA Grapalat" w:hAnsi="GHEA Grapalat" w:cs="GHEA Grapalat"/>
          <w:sz w:val="22"/>
          <w:szCs w:val="22"/>
        </w:rPr>
        <w:t>%</w:t>
      </w:r>
      <w:r w:rsidRPr="00C921DE">
        <w:rPr>
          <w:rFonts w:ascii="GHEA Grapalat" w:hAnsi="GHEA Grapalat" w:cs="GHEA Grapalat"/>
          <w:sz w:val="22"/>
          <w:szCs w:val="22"/>
        </w:rPr>
        <w:noBreakHyphen/>
        <w:t>ի և նախորդ տարվա 24.</w:t>
      </w:r>
      <w:r w:rsidRPr="00C921DE">
        <w:rPr>
          <w:rFonts w:ascii="GHEA Grapalat" w:hAnsi="GHEA Grapalat" w:cs="GHEA Grapalat"/>
          <w:sz w:val="22"/>
          <w:szCs w:val="22"/>
          <w:lang w:val="en-US"/>
        </w:rPr>
        <w:t>3</w:t>
      </w:r>
      <w:r w:rsidRPr="00C921DE">
        <w:rPr>
          <w:rFonts w:ascii="GHEA Grapalat" w:hAnsi="GHEA Grapalat" w:cs="GHEA Grapalat"/>
          <w:sz w:val="22"/>
          <w:szCs w:val="22"/>
        </w:rPr>
        <w:t>%-ի դիմաց:</w:t>
      </w:r>
    </w:p>
    <w:p w14:paraId="3E130C85"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p>
    <w:p w14:paraId="7BD41F0F" w14:textId="77777777" w:rsidR="00FF44DF" w:rsidRPr="00C921DE" w:rsidRDefault="00FF44DF" w:rsidP="00FF44DF">
      <w:pPr>
        <w:pStyle w:val="Heading2"/>
        <w:rPr>
          <w:bCs/>
        </w:rPr>
      </w:pPr>
      <w:bookmarkStart w:id="135" w:name="_Toc87365143"/>
      <w:bookmarkStart w:id="136" w:name="_Toc163745453"/>
      <w:r w:rsidRPr="00C921DE">
        <w:rPr>
          <w:bCs/>
        </w:rPr>
        <w:t>Հարկային եկամուտներ և պետական տուրքեր</w:t>
      </w:r>
      <w:bookmarkEnd w:id="135"/>
      <w:r w:rsidRPr="00C921DE">
        <w:rPr>
          <w:rStyle w:val="FootnoteReference"/>
          <w:bCs/>
        </w:rPr>
        <w:footnoteReference w:id="29"/>
      </w:r>
      <w:bookmarkEnd w:id="136"/>
    </w:p>
    <w:p w14:paraId="13B86D00" w14:textId="2126D9ED"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Կառավարության սկզբնական ծրագրով 2023 թվականի համար սահմանվել էր 2,203.7 մլրդ դրամ հարկերի ու տուրքերի ստացում: Կառավարության լիազորությունների շրջանակներում կատարված փոփոխությունների արդյունքում 202</w:t>
      </w:r>
      <w:r w:rsidRPr="00C921DE">
        <w:rPr>
          <w:rFonts w:ascii="GHEA Grapalat" w:hAnsi="GHEA Grapalat" w:cs="GHEA Grapalat"/>
          <w:sz w:val="22"/>
          <w:szCs w:val="22"/>
          <w:lang w:val="de-AT"/>
        </w:rPr>
        <w:t>3</w:t>
      </w:r>
      <w:r w:rsidRPr="00C921DE">
        <w:rPr>
          <w:rFonts w:ascii="GHEA Grapalat" w:hAnsi="GHEA Grapalat" w:cs="GHEA Grapalat"/>
          <w:sz w:val="22"/>
          <w:szCs w:val="22"/>
        </w:rPr>
        <w:t xml:space="preserve"> թվականի ճշտված ծրագիրը կազմել է </w:t>
      </w:r>
      <w:r w:rsidRPr="00C921DE">
        <w:rPr>
          <w:rFonts w:ascii="GHEA Grapalat" w:hAnsi="GHEA Grapalat" w:cs="GHEA Grapalat"/>
          <w:sz w:val="22"/>
          <w:szCs w:val="22"/>
          <w:lang w:val="de-AT"/>
        </w:rPr>
        <w:t xml:space="preserve">2,224.8 </w:t>
      </w:r>
      <w:r w:rsidRPr="00C921DE">
        <w:rPr>
          <w:rFonts w:ascii="GHEA Grapalat" w:hAnsi="GHEA Grapalat" w:cs="GHEA Grapalat"/>
          <w:sz w:val="22"/>
          <w:szCs w:val="22"/>
        </w:rPr>
        <w:t xml:space="preserve">մլրդ դրամ, որի դիմաց ՀՀ պետական բյուջե են մուտքագրվել </w:t>
      </w:r>
      <w:r w:rsidRPr="00C921DE">
        <w:rPr>
          <w:rFonts w:ascii="GHEA Grapalat" w:hAnsi="GHEA Grapalat" w:cs="GHEA Grapalat"/>
          <w:sz w:val="22"/>
          <w:szCs w:val="22"/>
          <w:lang w:val="de-AT"/>
        </w:rPr>
        <w:t>2,22</w:t>
      </w:r>
      <w:r w:rsidRPr="00C921DE">
        <w:rPr>
          <w:rFonts w:ascii="GHEA Grapalat" w:hAnsi="GHEA Grapalat" w:cs="GHEA Grapalat"/>
          <w:sz w:val="22"/>
          <w:szCs w:val="22"/>
        </w:rPr>
        <w:t>1</w:t>
      </w:r>
      <w:r w:rsidRPr="00C921DE">
        <w:rPr>
          <w:rFonts w:ascii="GHEA Grapalat" w:hAnsi="GHEA Grapalat" w:cs="GHEA Grapalat"/>
          <w:sz w:val="22"/>
          <w:szCs w:val="22"/>
          <w:lang w:val="de-AT"/>
        </w:rPr>
        <w:t>.</w:t>
      </w:r>
      <w:r w:rsidRPr="00C921DE">
        <w:rPr>
          <w:rFonts w:ascii="GHEA Grapalat" w:hAnsi="GHEA Grapalat" w:cs="GHEA Grapalat"/>
          <w:sz w:val="22"/>
          <w:szCs w:val="22"/>
        </w:rPr>
        <w:t>9</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rPr>
        <w:t xml:space="preserve">մլրդ դրամ հարկային եկամուտներ և </w:t>
      </w:r>
      <w:r w:rsidRPr="00C921DE">
        <w:rPr>
          <w:rFonts w:ascii="GHEA Grapalat" w:hAnsi="GHEA Grapalat" w:cs="GHEA Grapalat"/>
          <w:sz w:val="22"/>
          <w:szCs w:val="22"/>
        </w:rPr>
        <w:lastRenderedPageBreak/>
        <w:t>պետական տուրքեր, որոնք 100.8%</w:t>
      </w:r>
      <w:r w:rsidRPr="00C921DE">
        <w:rPr>
          <w:rFonts w:ascii="GHEA Grapalat" w:hAnsi="GHEA Grapalat" w:cs="GHEA Grapalat"/>
          <w:sz w:val="22"/>
          <w:szCs w:val="22"/>
        </w:rPr>
        <w:noBreakHyphen/>
        <w:t>ով ապահովել</w:t>
      </w:r>
      <w:r w:rsidRPr="00C921DE">
        <w:rPr>
          <w:rFonts w:ascii="Calibri" w:hAnsi="Calibri" w:cs="Calibri"/>
          <w:sz w:val="22"/>
          <w:szCs w:val="22"/>
        </w:rPr>
        <w:t> </w:t>
      </w:r>
      <w:r w:rsidRPr="00C921DE">
        <w:rPr>
          <w:rFonts w:ascii="GHEA Grapalat" w:hAnsi="GHEA Grapalat" w:cs="GHEA Grapalat"/>
          <w:sz w:val="22"/>
          <w:szCs w:val="22"/>
        </w:rPr>
        <w:t>են Օրենքով հաստատված ցուցանիշը և 99.9%</w:t>
      </w:r>
      <w:r w:rsidRPr="00C921DE">
        <w:rPr>
          <w:rFonts w:ascii="GHEA Grapalat" w:hAnsi="GHEA Grapalat" w:cs="GHEA Grapalat"/>
          <w:sz w:val="22"/>
          <w:szCs w:val="22"/>
        </w:rPr>
        <w:noBreakHyphen/>
        <w:t xml:space="preserve">ով՝ ճշտված ծրագրով սահմանված ցուցանիշը: </w:t>
      </w:r>
    </w:p>
    <w:p w14:paraId="253A57DE" w14:textId="51462100" w:rsidR="00FF44DF" w:rsidRPr="00C921DE" w:rsidRDefault="00FF44DF" w:rsidP="00FF44DF">
      <w:pPr>
        <w:autoSpaceDE w:val="0"/>
        <w:autoSpaceDN w:val="0"/>
        <w:adjustRightInd w:val="0"/>
        <w:spacing w:line="360" w:lineRule="auto"/>
        <w:ind w:firstLine="567"/>
        <w:jc w:val="both"/>
        <w:rPr>
          <w:rFonts w:ascii="GHEA Grapalat" w:hAnsi="GHEA Grapalat"/>
          <w:sz w:val="22"/>
          <w:szCs w:val="22"/>
          <w:lang w:val="de-AT"/>
        </w:rPr>
      </w:pPr>
      <w:r w:rsidRPr="00C921DE">
        <w:rPr>
          <w:rFonts w:ascii="GHEA Grapalat" w:hAnsi="GHEA Grapalat" w:cs="GHEA Grapalat"/>
          <w:sz w:val="22"/>
          <w:szCs w:val="22"/>
        </w:rPr>
        <w:t>2022 թվականի համեմատ հարկային եկամուտներն ու պետական տուրքերն աճել են 15.4%</w:t>
      </w:r>
      <w:r w:rsidRPr="00C921DE">
        <w:rPr>
          <w:rFonts w:ascii="GHEA Grapalat" w:hAnsi="GHEA Grapalat" w:cs="GHEA Grapalat"/>
          <w:sz w:val="22"/>
          <w:szCs w:val="22"/>
        </w:rPr>
        <w:noBreakHyphen/>
        <w:t>ով կամ 296 մլրդ դրամով, որը հիմնականում պայմանավորված է շահութահարկի, ԱԱՀ-ի և եկամտային հարկի գծով մուտքերի աճով: 2022 թվականի համեմատ գրեթե բոլոր հարկատեսակների գծով արձանագրվել է մուտքերի աճ, բացառությամբ պետական տուրքի ու բնօգտագործման վճարների գծով մուտքերի: Հարկ է նշել, որ 2023 թվականի պետական բյուջեի հարկային եկամուտների ցուցանիշի վրա դրական ազդեցություն են ունեցել տնտեսական ակտիվության, ներմուծման և արտահանման աճը, հարկունակ ոլորտների իրացման շրջանառությունների, աշխատատեղերի ու միջին աշխատավարձի ավելացումը: Միաժամանակ, 2023</w:t>
      </w:r>
      <w:r w:rsidRPr="00C921DE">
        <w:rPr>
          <w:rFonts w:ascii="GHEA Grapalat" w:hAnsi="GHEA Grapalat"/>
          <w:sz w:val="22"/>
          <w:szCs w:val="22"/>
        </w:rPr>
        <w:t xml:space="preserve"> թվականի պետական բյուջեի հարկային եկամուտների ցուցանիշի վրա նվազեցնող ազդեցություն է ունեցել ԱԱՀ-ի, եկամտային հարկի, ակցիզային հարկի</w:t>
      </w:r>
      <w:r w:rsidR="00FF5077" w:rsidRPr="00C921DE">
        <w:rPr>
          <w:rFonts w:ascii="GHEA Grapalat" w:hAnsi="GHEA Grapalat"/>
          <w:sz w:val="22"/>
          <w:szCs w:val="22"/>
          <w:lang w:val="en-US"/>
        </w:rPr>
        <w:t>,</w:t>
      </w:r>
      <w:r w:rsidRPr="00C921DE">
        <w:rPr>
          <w:rFonts w:ascii="GHEA Grapalat" w:hAnsi="GHEA Grapalat"/>
          <w:sz w:val="22"/>
          <w:szCs w:val="22"/>
        </w:rPr>
        <w:t xml:space="preserve"> սոցիալական վճարների</w:t>
      </w:r>
      <w:r w:rsidR="00FF5077" w:rsidRPr="00C921DE">
        <w:rPr>
          <w:rFonts w:ascii="GHEA Grapalat" w:hAnsi="GHEA Grapalat"/>
          <w:sz w:val="22"/>
          <w:szCs w:val="22"/>
          <w:lang w:val="en-US"/>
        </w:rPr>
        <w:t xml:space="preserve"> և շահութահարկի</w:t>
      </w:r>
      <w:r w:rsidRPr="00C921DE">
        <w:rPr>
          <w:rFonts w:ascii="GHEA Grapalat" w:hAnsi="GHEA Grapalat"/>
          <w:sz w:val="22"/>
          <w:szCs w:val="22"/>
        </w:rPr>
        <w:t xml:space="preserve"> գծով վերադարձված գումարների աճը, որոնք կազմել են շուրջ 362.9 մլրդ դրամ՝ 38.1%</w:t>
      </w:r>
      <w:r w:rsidRPr="00C921DE">
        <w:rPr>
          <w:rFonts w:ascii="GHEA Grapalat" w:hAnsi="GHEA Grapalat"/>
          <w:sz w:val="22"/>
          <w:szCs w:val="22"/>
        </w:rPr>
        <w:noBreakHyphen/>
        <w:t xml:space="preserve">ով գերազանցելով նախորդ տարվա համապատասխան ցուցանիշը: </w:t>
      </w:r>
    </w:p>
    <w:p w14:paraId="4A49A256" w14:textId="77777777" w:rsidR="00FF44DF" w:rsidRPr="00C921DE" w:rsidRDefault="00FF44DF" w:rsidP="00FF44DF">
      <w:pPr>
        <w:autoSpaceDE w:val="0"/>
        <w:autoSpaceDN w:val="0"/>
        <w:adjustRightInd w:val="0"/>
        <w:spacing w:line="360" w:lineRule="auto"/>
        <w:ind w:firstLine="567"/>
        <w:jc w:val="both"/>
        <w:rPr>
          <w:rFonts w:ascii="GHEA Grapalat" w:hAnsi="GHEA Grapalat"/>
          <w:sz w:val="22"/>
          <w:szCs w:val="22"/>
          <w:lang w:val="de-AT"/>
        </w:rPr>
      </w:pPr>
    </w:p>
    <w:p w14:paraId="05E58A0C"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bCs w:val="0"/>
          <w:i/>
          <w:sz w:val="18"/>
          <w:szCs w:val="18"/>
          <w:lang w:val="de-AT"/>
        </w:rPr>
      </w:pPr>
      <w:r w:rsidRPr="00C921DE">
        <w:rPr>
          <w:rFonts w:ascii="GHEA Grapalat" w:hAnsi="GHEA Grapalat"/>
          <w:bCs w:val="0"/>
          <w:i/>
          <w:sz w:val="18"/>
          <w:szCs w:val="18"/>
          <w:lang w:val="de-AT"/>
        </w:rPr>
        <w:t>2022-2023</w:t>
      </w:r>
      <w:r w:rsidRPr="00C921DE">
        <w:rPr>
          <w:rFonts w:ascii="GHEA Grapalat" w:hAnsi="GHEA Grapalat"/>
          <w:bCs w:val="0"/>
          <w:i/>
          <w:sz w:val="18"/>
          <w:szCs w:val="18"/>
        </w:rPr>
        <w:t>թթ</w:t>
      </w:r>
      <w:r w:rsidRPr="00C921DE">
        <w:rPr>
          <w:rFonts w:ascii="GHEA Grapalat" w:hAnsi="GHEA Grapalat"/>
          <w:bCs w:val="0"/>
          <w:i/>
          <w:sz w:val="18"/>
          <w:szCs w:val="18"/>
          <w:lang w:val="de-AT"/>
        </w:rPr>
        <w:t xml:space="preserve">. </w:t>
      </w:r>
      <w:r w:rsidRPr="00C921DE">
        <w:rPr>
          <w:rFonts w:ascii="GHEA Grapalat" w:hAnsi="GHEA Grapalat"/>
          <w:bCs w:val="0"/>
          <w:i/>
          <w:sz w:val="18"/>
          <w:szCs w:val="18"/>
        </w:rPr>
        <w:t>հարկային</w:t>
      </w:r>
      <w:r w:rsidRPr="00C921DE">
        <w:rPr>
          <w:rFonts w:ascii="GHEA Grapalat" w:hAnsi="GHEA Grapalat"/>
          <w:bCs w:val="0"/>
          <w:i/>
          <w:sz w:val="18"/>
          <w:szCs w:val="18"/>
          <w:lang w:val="de-AT"/>
        </w:rPr>
        <w:t xml:space="preserve"> </w:t>
      </w:r>
      <w:r w:rsidRPr="00C921DE">
        <w:rPr>
          <w:rFonts w:ascii="GHEA Grapalat" w:hAnsi="GHEA Grapalat"/>
          <w:bCs w:val="0"/>
          <w:i/>
          <w:sz w:val="18"/>
          <w:szCs w:val="18"/>
        </w:rPr>
        <w:t>եկամուտների</w:t>
      </w:r>
      <w:r w:rsidRPr="00C921DE">
        <w:rPr>
          <w:rFonts w:ascii="GHEA Grapalat" w:hAnsi="GHEA Grapalat"/>
          <w:bCs w:val="0"/>
          <w:i/>
          <w:sz w:val="18"/>
          <w:szCs w:val="18"/>
          <w:lang w:val="de-AT"/>
        </w:rPr>
        <w:t xml:space="preserve"> </w:t>
      </w:r>
      <w:r w:rsidRPr="00C921DE">
        <w:rPr>
          <w:rFonts w:ascii="GHEA Grapalat" w:hAnsi="GHEA Grapalat"/>
          <w:bCs w:val="0"/>
          <w:i/>
          <w:sz w:val="18"/>
          <w:szCs w:val="18"/>
        </w:rPr>
        <w:t>վերադարձը</w:t>
      </w:r>
      <w:r w:rsidRPr="00C921DE">
        <w:rPr>
          <w:rFonts w:ascii="GHEA Grapalat" w:hAnsi="GHEA Grapalat"/>
          <w:bCs w:val="0"/>
          <w:i/>
          <w:sz w:val="18"/>
          <w:szCs w:val="18"/>
          <w:lang w:val="de-AT"/>
        </w:rPr>
        <w:t xml:space="preserve"> (</w:t>
      </w:r>
      <w:r w:rsidRPr="00C921DE">
        <w:rPr>
          <w:rFonts w:ascii="GHEA Grapalat" w:hAnsi="GHEA Grapalat"/>
          <w:bCs w:val="0"/>
          <w:i/>
          <w:sz w:val="18"/>
          <w:szCs w:val="18"/>
        </w:rPr>
        <w:t>մլրդ</w:t>
      </w:r>
      <w:r w:rsidRPr="00C921DE">
        <w:rPr>
          <w:rFonts w:ascii="GHEA Grapalat" w:hAnsi="GHEA Grapalat"/>
          <w:bCs w:val="0"/>
          <w:i/>
          <w:sz w:val="18"/>
          <w:szCs w:val="18"/>
          <w:lang w:val="de-AT"/>
        </w:rPr>
        <w:t xml:space="preserve"> </w:t>
      </w:r>
      <w:r w:rsidRPr="00C921DE">
        <w:rPr>
          <w:rFonts w:ascii="GHEA Grapalat" w:hAnsi="GHEA Grapalat"/>
          <w:bCs w:val="0"/>
          <w:i/>
          <w:sz w:val="18"/>
          <w:szCs w:val="18"/>
        </w:rPr>
        <w:t>դրամ</w:t>
      </w:r>
      <w:r w:rsidRPr="00C921DE">
        <w:rPr>
          <w:rFonts w:ascii="GHEA Grapalat" w:hAnsi="GHEA Grapalat"/>
          <w:bCs w:val="0"/>
          <w:i/>
          <w:sz w:val="18"/>
          <w:szCs w:val="18"/>
          <w:lang w:val="de-AT"/>
        </w:rPr>
        <w:t xml:space="preserve">) </w:t>
      </w:r>
    </w:p>
    <w:tbl>
      <w:tblPr>
        <w:tblW w:w="10221" w:type="dxa"/>
        <w:tblInd w:w="93" w:type="dxa"/>
        <w:tblLook w:val="00A0" w:firstRow="1" w:lastRow="0" w:firstColumn="1" w:lastColumn="0" w:noHBand="0" w:noVBand="0"/>
      </w:tblPr>
      <w:tblGrid>
        <w:gridCol w:w="4332"/>
        <w:gridCol w:w="1760"/>
        <w:gridCol w:w="1436"/>
        <w:gridCol w:w="1470"/>
        <w:gridCol w:w="1223"/>
      </w:tblGrid>
      <w:tr w:rsidR="00FF44DF" w:rsidRPr="00C921DE" w14:paraId="5D114FCF" w14:textId="77777777" w:rsidTr="00FF44DF">
        <w:trPr>
          <w:trHeight w:val="660"/>
        </w:trPr>
        <w:tc>
          <w:tcPr>
            <w:tcW w:w="4332" w:type="dxa"/>
            <w:tcBorders>
              <w:top w:val="single" w:sz="4" w:space="0" w:color="auto"/>
              <w:left w:val="single" w:sz="4" w:space="0" w:color="auto"/>
              <w:bottom w:val="single" w:sz="4" w:space="0" w:color="auto"/>
              <w:right w:val="single" w:sz="4" w:space="0" w:color="auto"/>
            </w:tcBorders>
            <w:noWrap/>
            <w:vAlign w:val="bottom"/>
          </w:tcPr>
          <w:p w14:paraId="51EDA8CD" w14:textId="77777777" w:rsidR="00FF44DF" w:rsidRPr="00C921DE" w:rsidRDefault="00FF44DF" w:rsidP="00FF44DF">
            <w:pPr>
              <w:rPr>
                <w:rFonts w:ascii="GHEA Grapalat" w:hAnsi="GHEA Grapalat" w:cs="Calibri"/>
                <w:sz w:val="20"/>
                <w:szCs w:val="20"/>
              </w:rPr>
            </w:pPr>
            <w:r w:rsidRPr="00C921DE">
              <w:rPr>
                <w:rFonts w:ascii="Courier New" w:hAnsi="Courier New" w:cs="Courier New"/>
                <w:sz w:val="20"/>
                <w:szCs w:val="20"/>
              </w:rPr>
              <w:t> </w:t>
            </w:r>
          </w:p>
        </w:tc>
        <w:tc>
          <w:tcPr>
            <w:tcW w:w="1760" w:type="dxa"/>
            <w:tcBorders>
              <w:top w:val="single" w:sz="4" w:space="0" w:color="auto"/>
              <w:left w:val="nil"/>
              <w:bottom w:val="single" w:sz="4" w:space="0" w:color="auto"/>
              <w:right w:val="single" w:sz="4" w:space="0" w:color="auto"/>
            </w:tcBorders>
            <w:noWrap/>
          </w:tcPr>
          <w:p w14:paraId="2571B463" w14:textId="77777777" w:rsidR="00FF44DF" w:rsidRPr="00C921DE" w:rsidRDefault="00FF44DF" w:rsidP="00FF44DF">
            <w:pPr>
              <w:jc w:val="center"/>
            </w:pPr>
            <w:r w:rsidRPr="00C921DE">
              <w:rPr>
                <w:rFonts w:ascii="GHEA Grapalat" w:hAnsi="GHEA Grapalat" w:cs="Calibri"/>
                <w:b/>
                <w:bCs/>
                <w:sz w:val="18"/>
                <w:szCs w:val="18"/>
              </w:rPr>
              <w:t xml:space="preserve">2022թ. </w:t>
            </w:r>
            <w:r w:rsidRPr="00C921DE">
              <w:rPr>
                <w:rFonts w:ascii="GHEA Grapalat" w:hAnsi="GHEA Grapalat" w:cs="Calibri"/>
                <w:b/>
                <w:bCs/>
                <w:sz w:val="18"/>
                <w:szCs w:val="18"/>
              </w:rPr>
              <w:br/>
              <w:t>փաստ</w:t>
            </w:r>
          </w:p>
        </w:tc>
        <w:tc>
          <w:tcPr>
            <w:tcW w:w="1436" w:type="dxa"/>
            <w:tcBorders>
              <w:top w:val="single" w:sz="4" w:space="0" w:color="auto"/>
              <w:left w:val="nil"/>
              <w:bottom w:val="single" w:sz="4" w:space="0" w:color="auto"/>
              <w:right w:val="single" w:sz="4" w:space="0" w:color="auto"/>
            </w:tcBorders>
            <w:noWrap/>
          </w:tcPr>
          <w:p w14:paraId="162213BB" w14:textId="77777777" w:rsidR="00FF44DF" w:rsidRPr="00C921DE" w:rsidRDefault="00FF44DF" w:rsidP="00FF44DF">
            <w:pPr>
              <w:jc w:val="cente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470" w:type="dxa"/>
            <w:tcBorders>
              <w:top w:val="single" w:sz="4" w:space="0" w:color="auto"/>
              <w:left w:val="nil"/>
              <w:bottom w:val="single" w:sz="4" w:space="0" w:color="auto"/>
              <w:right w:val="single" w:sz="4" w:space="0" w:color="auto"/>
            </w:tcBorders>
          </w:tcPr>
          <w:p w14:paraId="345BB7A3" w14:textId="77777777" w:rsidR="00FF44DF" w:rsidRPr="00C921DE" w:rsidRDefault="00FF44DF" w:rsidP="00FF44DF">
            <w:pPr>
              <w:jc w:val="center"/>
              <w:rPr>
                <w:rFonts w:ascii="GHEA Grapalat" w:hAnsi="GHEA Grapalat" w:cs="Calibri"/>
                <w:b/>
                <w:bCs/>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p>
          <w:p w14:paraId="3DA0C5BA" w14:textId="224C120A"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5C5CB7" w:rsidRPr="00C921DE">
              <w:rPr>
                <w:rFonts w:ascii="GHEA Grapalat" w:hAnsi="GHEA Grapalat" w:cs="Calibri"/>
                <w:b/>
                <w:bCs/>
                <w:sz w:val="18"/>
                <w:szCs w:val="18"/>
                <w:lang w:val="en-US"/>
              </w:rPr>
              <w:t>.</w:t>
            </w:r>
            <w:r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5BCE3E6B"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w:t>
            </w:r>
          </w:p>
        </w:tc>
        <w:tc>
          <w:tcPr>
            <w:tcW w:w="1223" w:type="dxa"/>
            <w:tcBorders>
              <w:top w:val="single" w:sz="4" w:space="0" w:color="auto"/>
              <w:left w:val="nil"/>
              <w:bottom w:val="single" w:sz="4" w:space="0" w:color="auto"/>
              <w:right w:val="single" w:sz="4" w:space="0" w:color="auto"/>
            </w:tcBorders>
            <w:noWrap/>
          </w:tcPr>
          <w:p w14:paraId="123D8483"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184DD903" w14:textId="77777777" w:rsidTr="00FF44DF">
        <w:trPr>
          <w:trHeight w:val="279"/>
        </w:trPr>
        <w:tc>
          <w:tcPr>
            <w:tcW w:w="4332" w:type="dxa"/>
            <w:tcBorders>
              <w:top w:val="nil"/>
              <w:left w:val="single" w:sz="4" w:space="0" w:color="auto"/>
              <w:bottom w:val="single" w:sz="4" w:space="0" w:color="auto"/>
              <w:right w:val="single" w:sz="4" w:space="0" w:color="auto"/>
            </w:tcBorders>
            <w:noWrap/>
            <w:vAlign w:val="bottom"/>
          </w:tcPr>
          <w:p w14:paraId="7C2F9734"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Ընդամենը հարկային եկամուտների գծով վերադարձված գումարներ, այդ թվում՝</w:t>
            </w:r>
          </w:p>
        </w:tc>
        <w:tc>
          <w:tcPr>
            <w:tcW w:w="1760" w:type="dxa"/>
            <w:tcBorders>
              <w:top w:val="nil"/>
              <w:left w:val="nil"/>
              <w:bottom w:val="single" w:sz="4" w:space="0" w:color="auto"/>
              <w:right w:val="single" w:sz="4" w:space="0" w:color="auto"/>
            </w:tcBorders>
            <w:noWrap/>
            <w:vAlign w:val="bottom"/>
          </w:tcPr>
          <w:p w14:paraId="48C8B262"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262.8</w:t>
            </w:r>
          </w:p>
        </w:tc>
        <w:tc>
          <w:tcPr>
            <w:tcW w:w="1436" w:type="dxa"/>
            <w:tcBorders>
              <w:top w:val="nil"/>
              <w:left w:val="nil"/>
              <w:bottom w:val="single" w:sz="4" w:space="0" w:color="auto"/>
              <w:right w:val="single" w:sz="4" w:space="0" w:color="auto"/>
            </w:tcBorders>
            <w:noWrap/>
            <w:vAlign w:val="bottom"/>
          </w:tcPr>
          <w:p w14:paraId="56702341"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362.9</w:t>
            </w:r>
          </w:p>
        </w:tc>
        <w:tc>
          <w:tcPr>
            <w:tcW w:w="1470" w:type="dxa"/>
            <w:tcBorders>
              <w:top w:val="nil"/>
              <w:left w:val="nil"/>
              <w:bottom w:val="single" w:sz="4" w:space="0" w:color="auto"/>
              <w:right w:val="single" w:sz="4" w:space="0" w:color="auto"/>
            </w:tcBorders>
            <w:noWrap/>
            <w:vAlign w:val="bottom"/>
          </w:tcPr>
          <w:p w14:paraId="270563A9"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138.1</w:t>
            </w:r>
          </w:p>
        </w:tc>
        <w:tc>
          <w:tcPr>
            <w:tcW w:w="1223" w:type="dxa"/>
            <w:tcBorders>
              <w:top w:val="nil"/>
              <w:left w:val="nil"/>
              <w:bottom w:val="single" w:sz="4" w:space="0" w:color="auto"/>
              <w:right w:val="single" w:sz="4" w:space="0" w:color="auto"/>
            </w:tcBorders>
            <w:noWrap/>
            <w:vAlign w:val="bottom"/>
          </w:tcPr>
          <w:p w14:paraId="14CD0537"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100.1</w:t>
            </w:r>
          </w:p>
        </w:tc>
      </w:tr>
      <w:tr w:rsidR="00FF44DF" w:rsidRPr="00C921DE" w14:paraId="3A31A492" w14:textId="77777777" w:rsidTr="00FF44DF">
        <w:trPr>
          <w:trHeight w:val="279"/>
        </w:trPr>
        <w:tc>
          <w:tcPr>
            <w:tcW w:w="4332" w:type="dxa"/>
            <w:tcBorders>
              <w:top w:val="nil"/>
              <w:left w:val="single" w:sz="4" w:space="0" w:color="auto"/>
              <w:bottom w:val="single" w:sz="4" w:space="0" w:color="auto"/>
              <w:right w:val="single" w:sz="4" w:space="0" w:color="auto"/>
            </w:tcBorders>
            <w:noWrap/>
            <w:vAlign w:val="bottom"/>
          </w:tcPr>
          <w:p w14:paraId="7D8B0D3F" w14:textId="77777777" w:rsidR="00FF44DF" w:rsidRPr="00C921DE" w:rsidRDefault="00FF44DF" w:rsidP="00FF44DF">
            <w:pPr>
              <w:ind w:firstLine="333"/>
              <w:rPr>
                <w:rFonts w:ascii="GHEA Grapalat" w:hAnsi="GHEA Grapalat" w:cs="Calibri"/>
                <w:sz w:val="18"/>
                <w:szCs w:val="18"/>
                <w:lang w:val="en-US"/>
              </w:rPr>
            </w:pPr>
            <w:r w:rsidRPr="00C921DE">
              <w:rPr>
                <w:rFonts w:ascii="GHEA Grapalat" w:hAnsi="GHEA Grapalat" w:cs="Calibri"/>
                <w:sz w:val="18"/>
                <w:szCs w:val="18"/>
              </w:rPr>
              <w:t>ԱԱՀ</w:t>
            </w:r>
          </w:p>
        </w:tc>
        <w:tc>
          <w:tcPr>
            <w:tcW w:w="1760" w:type="dxa"/>
            <w:tcBorders>
              <w:top w:val="nil"/>
              <w:left w:val="nil"/>
              <w:bottom w:val="single" w:sz="4" w:space="0" w:color="auto"/>
              <w:right w:val="single" w:sz="4" w:space="0" w:color="auto"/>
            </w:tcBorders>
            <w:noWrap/>
            <w:vAlign w:val="bottom"/>
          </w:tcPr>
          <w:p w14:paraId="5A881CD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213.0</w:t>
            </w:r>
          </w:p>
        </w:tc>
        <w:tc>
          <w:tcPr>
            <w:tcW w:w="1436" w:type="dxa"/>
            <w:tcBorders>
              <w:top w:val="nil"/>
              <w:left w:val="nil"/>
              <w:bottom w:val="single" w:sz="4" w:space="0" w:color="auto"/>
              <w:right w:val="single" w:sz="4" w:space="0" w:color="auto"/>
            </w:tcBorders>
            <w:noWrap/>
            <w:vAlign w:val="bottom"/>
          </w:tcPr>
          <w:p w14:paraId="32C6BD1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288.4</w:t>
            </w:r>
          </w:p>
        </w:tc>
        <w:tc>
          <w:tcPr>
            <w:tcW w:w="1470" w:type="dxa"/>
            <w:tcBorders>
              <w:top w:val="nil"/>
              <w:left w:val="nil"/>
              <w:bottom w:val="single" w:sz="4" w:space="0" w:color="auto"/>
              <w:right w:val="single" w:sz="4" w:space="0" w:color="auto"/>
            </w:tcBorders>
            <w:noWrap/>
            <w:vAlign w:val="bottom"/>
          </w:tcPr>
          <w:p w14:paraId="0D501D0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135.4</w:t>
            </w:r>
          </w:p>
        </w:tc>
        <w:tc>
          <w:tcPr>
            <w:tcW w:w="1223" w:type="dxa"/>
            <w:tcBorders>
              <w:top w:val="nil"/>
              <w:left w:val="nil"/>
              <w:bottom w:val="single" w:sz="4" w:space="0" w:color="auto"/>
              <w:right w:val="single" w:sz="4" w:space="0" w:color="auto"/>
            </w:tcBorders>
            <w:noWrap/>
            <w:vAlign w:val="bottom"/>
          </w:tcPr>
          <w:p w14:paraId="557665F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75.4</w:t>
            </w:r>
          </w:p>
        </w:tc>
      </w:tr>
      <w:tr w:rsidR="00FF44DF" w:rsidRPr="00C921DE" w14:paraId="5A4F7222" w14:textId="77777777" w:rsidTr="00FF44DF">
        <w:trPr>
          <w:trHeight w:val="334"/>
        </w:trPr>
        <w:tc>
          <w:tcPr>
            <w:tcW w:w="4332" w:type="dxa"/>
            <w:tcBorders>
              <w:top w:val="nil"/>
              <w:left w:val="single" w:sz="4" w:space="0" w:color="auto"/>
              <w:bottom w:val="single" w:sz="4" w:space="0" w:color="auto"/>
              <w:right w:val="single" w:sz="4" w:space="0" w:color="auto"/>
            </w:tcBorders>
            <w:vAlign w:val="bottom"/>
          </w:tcPr>
          <w:p w14:paraId="1D833C99" w14:textId="77777777" w:rsidR="00FF44DF" w:rsidRPr="00C921DE" w:rsidRDefault="00FF44DF" w:rsidP="00FF44DF">
            <w:pPr>
              <w:ind w:firstLine="333"/>
              <w:rPr>
                <w:rFonts w:ascii="GHEA Grapalat" w:hAnsi="GHEA Grapalat" w:cs="Calibri"/>
                <w:sz w:val="18"/>
                <w:szCs w:val="18"/>
              </w:rPr>
            </w:pPr>
            <w:r w:rsidRPr="00C921DE">
              <w:rPr>
                <w:rFonts w:ascii="GHEA Grapalat" w:hAnsi="GHEA Grapalat" w:cs="Calibri"/>
                <w:sz w:val="18"/>
                <w:szCs w:val="18"/>
              </w:rPr>
              <w:t>Եկամտային հարկ</w:t>
            </w:r>
          </w:p>
        </w:tc>
        <w:tc>
          <w:tcPr>
            <w:tcW w:w="1760" w:type="dxa"/>
            <w:tcBorders>
              <w:top w:val="nil"/>
              <w:left w:val="nil"/>
              <w:bottom w:val="single" w:sz="4" w:space="0" w:color="auto"/>
              <w:right w:val="single" w:sz="4" w:space="0" w:color="auto"/>
            </w:tcBorders>
            <w:noWrap/>
            <w:vAlign w:val="bottom"/>
          </w:tcPr>
          <w:p w14:paraId="4EB87EF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47.3</w:t>
            </w:r>
          </w:p>
        </w:tc>
        <w:tc>
          <w:tcPr>
            <w:tcW w:w="1436" w:type="dxa"/>
            <w:tcBorders>
              <w:top w:val="nil"/>
              <w:left w:val="nil"/>
              <w:bottom w:val="single" w:sz="4" w:space="0" w:color="auto"/>
              <w:right w:val="single" w:sz="4" w:space="0" w:color="auto"/>
            </w:tcBorders>
            <w:noWrap/>
            <w:vAlign w:val="bottom"/>
          </w:tcPr>
          <w:p w14:paraId="16EBAB3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68.2</w:t>
            </w:r>
          </w:p>
        </w:tc>
        <w:tc>
          <w:tcPr>
            <w:tcW w:w="1470" w:type="dxa"/>
            <w:tcBorders>
              <w:top w:val="nil"/>
              <w:left w:val="nil"/>
              <w:bottom w:val="single" w:sz="4" w:space="0" w:color="auto"/>
              <w:right w:val="single" w:sz="4" w:space="0" w:color="auto"/>
            </w:tcBorders>
            <w:noWrap/>
            <w:vAlign w:val="bottom"/>
          </w:tcPr>
          <w:p w14:paraId="6A141C8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144.2</w:t>
            </w:r>
          </w:p>
        </w:tc>
        <w:tc>
          <w:tcPr>
            <w:tcW w:w="1223" w:type="dxa"/>
            <w:tcBorders>
              <w:top w:val="nil"/>
              <w:left w:val="nil"/>
              <w:bottom w:val="single" w:sz="4" w:space="0" w:color="auto"/>
              <w:right w:val="single" w:sz="4" w:space="0" w:color="auto"/>
            </w:tcBorders>
            <w:noWrap/>
            <w:vAlign w:val="bottom"/>
          </w:tcPr>
          <w:p w14:paraId="2096F55B"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20.9</w:t>
            </w:r>
          </w:p>
        </w:tc>
      </w:tr>
      <w:tr w:rsidR="00FF44DF" w:rsidRPr="00C921DE" w14:paraId="48A55B75" w14:textId="77777777" w:rsidTr="008309F6">
        <w:trPr>
          <w:trHeight w:val="334"/>
        </w:trPr>
        <w:tc>
          <w:tcPr>
            <w:tcW w:w="4332" w:type="dxa"/>
            <w:tcBorders>
              <w:top w:val="nil"/>
              <w:left w:val="single" w:sz="4" w:space="0" w:color="auto"/>
              <w:bottom w:val="single" w:sz="4" w:space="0" w:color="auto"/>
              <w:right w:val="single" w:sz="4" w:space="0" w:color="auto"/>
            </w:tcBorders>
            <w:vAlign w:val="bottom"/>
          </w:tcPr>
          <w:p w14:paraId="34DA6688" w14:textId="77777777" w:rsidR="00FF44DF" w:rsidRPr="00C921DE" w:rsidRDefault="00FF44DF" w:rsidP="00FF44DF">
            <w:pPr>
              <w:ind w:firstLine="333"/>
              <w:rPr>
                <w:rFonts w:ascii="GHEA Grapalat" w:hAnsi="GHEA Grapalat" w:cs="Calibri"/>
                <w:sz w:val="18"/>
                <w:szCs w:val="18"/>
                <w:lang w:val="en-US"/>
              </w:rPr>
            </w:pPr>
            <w:r w:rsidRPr="00C921DE">
              <w:rPr>
                <w:rFonts w:ascii="GHEA Grapalat" w:hAnsi="GHEA Grapalat" w:cs="Calibri"/>
                <w:sz w:val="18"/>
                <w:szCs w:val="18"/>
              </w:rPr>
              <w:t>Ակցիզային հարկ</w:t>
            </w:r>
          </w:p>
        </w:tc>
        <w:tc>
          <w:tcPr>
            <w:tcW w:w="1760" w:type="dxa"/>
            <w:tcBorders>
              <w:top w:val="nil"/>
              <w:left w:val="nil"/>
              <w:bottom w:val="single" w:sz="4" w:space="0" w:color="auto"/>
              <w:right w:val="single" w:sz="4" w:space="0" w:color="auto"/>
            </w:tcBorders>
            <w:noWrap/>
            <w:vAlign w:val="bottom"/>
          </w:tcPr>
          <w:p w14:paraId="399C43A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1.7</w:t>
            </w:r>
          </w:p>
        </w:tc>
        <w:tc>
          <w:tcPr>
            <w:tcW w:w="1436" w:type="dxa"/>
            <w:tcBorders>
              <w:top w:val="nil"/>
              <w:left w:val="nil"/>
              <w:bottom w:val="single" w:sz="4" w:space="0" w:color="auto"/>
              <w:right w:val="single" w:sz="4" w:space="0" w:color="auto"/>
            </w:tcBorders>
            <w:noWrap/>
            <w:vAlign w:val="bottom"/>
          </w:tcPr>
          <w:p w14:paraId="3ADB314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5.3</w:t>
            </w:r>
          </w:p>
        </w:tc>
        <w:tc>
          <w:tcPr>
            <w:tcW w:w="1470" w:type="dxa"/>
            <w:tcBorders>
              <w:top w:val="nil"/>
              <w:left w:val="nil"/>
              <w:bottom w:val="single" w:sz="4" w:space="0" w:color="auto"/>
              <w:right w:val="single" w:sz="4" w:space="0" w:color="auto"/>
            </w:tcBorders>
            <w:noWrap/>
            <w:vAlign w:val="bottom"/>
          </w:tcPr>
          <w:p w14:paraId="05FD8C8B"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306.5</w:t>
            </w:r>
          </w:p>
        </w:tc>
        <w:tc>
          <w:tcPr>
            <w:tcW w:w="1223" w:type="dxa"/>
            <w:tcBorders>
              <w:top w:val="nil"/>
              <w:left w:val="nil"/>
              <w:bottom w:val="single" w:sz="4" w:space="0" w:color="auto"/>
              <w:right w:val="single" w:sz="4" w:space="0" w:color="auto"/>
            </w:tcBorders>
            <w:noWrap/>
            <w:vAlign w:val="bottom"/>
          </w:tcPr>
          <w:p w14:paraId="6B05629F"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3.5</w:t>
            </w:r>
          </w:p>
        </w:tc>
      </w:tr>
      <w:tr w:rsidR="00FF44DF" w:rsidRPr="00C921DE" w14:paraId="4FE7791B" w14:textId="77777777" w:rsidTr="008309F6">
        <w:trPr>
          <w:trHeight w:val="334"/>
        </w:trPr>
        <w:tc>
          <w:tcPr>
            <w:tcW w:w="4332" w:type="dxa"/>
            <w:tcBorders>
              <w:top w:val="single" w:sz="4" w:space="0" w:color="auto"/>
              <w:left w:val="single" w:sz="4" w:space="0" w:color="auto"/>
              <w:bottom w:val="single" w:sz="4" w:space="0" w:color="auto"/>
              <w:right w:val="single" w:sz="4" w:space="0" w:color="auto"/>
            </w:tcBorders>
            <w:vAlign w:val="bottom"/>
          </w:tcPr>
          <w:p w14:paraId="0AB26E59" w14:textId="77777777" w:rsidR="00FF44DF" w:rsidRPr="00C921DE" w:rsidRDefault="00FF44DF" w:rsidP="00FF44DF">
            <w:pPr>
              <w:ind w:firstLine="333"/>
              <w:rPr>
                <w:rFonts w:ascii="GHEA Grapalat" w:hAnsi="GHEA Grapalat" w:cs="Calibri"/>
                <w:sz w:val="18"/>
                <w:szCs w:val="18"/>
              </w:rPr>
            </w:pPr>
            <w:r w:rsidRPr="00C921DE">
              <w:rPr>
                <w:rFonts w:ascii="GHEA Grapalat" w:hAnsi="GHEA Grapalat" w:cs="Calibri"/>
                <w:sz w:val="18"/>
                <w:szCs w:val="18"/>
              </w:rPr>
              <w:t>Սոցիալական վճար</w:t>
            </w:r>
          </w:p>
        </w:tc>
        <w:tc>
          <w:tcPr>
            <w:tcW w:w="1760" w:type="dxa"/>
            <w:tcBorders>
              <w:top w:val="single" w:sz="4" w:space="0" w:color="auto"/>
              <w:left w:val="nil"/>
              <w:bottom w:val="single" w:sz="4" w:space="0" w:color="auto"/>
              <w:right w:val="single" w:sz="4" w:space="0" w:color="auto"/>
            </w:tcBorders>
            <w:noWrap/>
            <w:vAlign w:val="bottom"/>
          </w:tcPr>
          <w:p w14:paraId="7A4013CF"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0.7</w:t>
            </w:r>
          </w:p>
        </w:tc>
        <w:tc>
          <w:tcPr>
            <w:tcW w:w="1436" w:type="dxa"/>
            <w:tcBorders>
              <w:top w:val="single" w:sz="4" w:space="0" w:color="auto"/>
              <w:left w:val="nil"/>
              <w:bottom w:val="single" w:sz="4" w:space="0" w:color="auto"/>
              <w:right w:val="single" w:sz="4" w:space="0" w:color="auto"/>
            </w:tcBorders>
            <w:noWrap/>
            <w:vAlign w:val="bottom"/>
          </w:tcPr>
          <w:p w14:paraId="0744F75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1.0</w:t>
            </w:r>
          </w:p>
        </w:tc>
        <w:tc>
          <w:tcPr>
            <w:tcW w:w="1470" w:type="dxa"/>
            <w:tcBorders>
              <w:top w:val="single" w:sz="4" w:space="0" w:color="auto"/>
              <w:left w:val="nil"/>
              <w:bottom w:val="single" w:sz="4" w:space="0" w:color="auto"/>
              <w:right w:val="single" w:sz="4" w:space="0" w:color="auto"/>
            </w:tcBorders>
            <w:noWrap/>
            <w:vAlign w:val="bottom"/>
          </w:tcPr>
          <w:p w14:paraId="7BD1AA4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132.6</w:t>
            </w:r>
          </w:p>
        </w:tc>
        <w:tc>
          <w:tcPr>
            <w:tcW w:w="1223" w:type="dxa"/>
            <w:tcBorders>
              <w:top w:val="single" w:sz="4" w:space="0" w:color="auto"/>
              <w:left w:val="nil"/>
              <w:bottom w:val="single" w:sz="4" w:space="0" w:color="auto"/>
              <w:right w:val="single" w:sz="4" w:space="0" w:color="auto"/>
            </w:tcBorders>
            <w:noWrap/>
            <w:vAlign w:val="bottom"/>
          </w:tcPr>
          <w:p w14:paraId="357E78A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0.2</w:t>
            </w:r>
          </w:p>
        </w:tc>
      </w:tr>
      <w:tr w:rsidR="008309F6" w:rsidRPr="00C921DE" w14:paraId="1A7EE9CB" w14:textId="77777777" w:rsidTr="008309F6">
        <w:trPr>
          <w:trHeight w:val="334"/>
        </w:trPr>
        <w:tc>
          <w:tcPr>
            <w:tcW w:w="4332" w:type="dxa"/>
            <w:tcBorders>
              <w:top w:val="single" w:sz="4" w:space="0" w:color="auto"/>
              <w:left w:val="single" w:sz="4" w:space="0" w:color="auto"/>
              <w:bottom w:val="single" w:sz="4" w:space="0" w:color="auto"/>
              <w:right w:val="single" w:sz="4" w:space="0" w:color="auto"/>
            </w:tcBorders>
            <w:vAlign w:val="bottom"/>
          </w:tcPr>
          <w:p w14:paraId="2EA4AE6B" w14:textId="37AB5A8B" w:rsidR="008309F6" w:rsidRPr="00C921DE" w:rsidRDefault="008309F6" w:rsidP="00FF44DF">
            <w:pPr>
              <w:ind w:firstLine="333"/>
              <w:rPr>
                <w:rFonts w:ascii="GHEA Grapalat" w:hAnsi="GHEA Grapalat" w:cs="Calibri"/>
                <w:sz w:val="18"/>
                <w:szCs w:val="18"/>
                <w:lang w:val="en-US"/>
              </w:rPr>
            </w:pPr>
            <w:r w:rsidRPr="00C921DE">
              <w:rPr>
                <w:rFonts w:ascii="GHEA Grapalat" w:hAnsi="GHEA Grapalat" w:cs="Calibri"/>
                <w:sz w:val="18"/>
                <w:szCs w:val="18"/>
                <w:lang w:val="en-US"/>
              </w:rPr>
              <w:t>Շահութահարկ</w:t>
            </w:r>
          </w:p>
        </w:tc>
        <w:tc>
          <w:tcPr>
            <w:tcW w:w="1760" w:type="dxa"/>
            <w:tcBorders>
              <w:top w:val="single" w:sz="4" w:space="0" w:color="auto"/>
              <w:left w:val="nil"/>
              <w:bottom w:val="single" w:sz="4" w:space="0" w:color="auto"/>
              <w:right w:val="single" w:sz="4" w:space="0" w:color="auto"/>
            </w:tcBorders>
            <w:noWrap/>
            <w:vAlign w:val="bottom"/>
          </w:tcPr>
          <w:p w14:paraId="7EC4096C" w14:textId="15C25C4D" w:rsidR="008309F6" w:rsidRPr="00C921DE" w:rsidRDefault="008309F6" w:rsidP="008309F6">
            <w:pPr>
              <w:jc w:val="right"/>
              <w:rPr>
                <w:rFonts w:ascii="GHEA Grapalat" w:hAnsi="GHEA Grapalat" w:cs="Calibri"/>
                <w:sz w:val="18"/>
                <w:szCs w:val="18"/>
                <w:lang w:val="en-US"/>
              </w:rPr>
            </w:pPr>
            <w:r w:rsidRPr="00C921DE">
              <w:rPr>
                <w:rFonts w:ascii="GHEA Grapalat" w:hAnsi="GHEA Grapalat" w:cs="Calibri"/>
                <w:sz w:val="18"/>
                <w:szCs w:val="18"/>
                <w:lang w:val="en-US"/>
              </w:rPr>
              <w:t>0.0</w:t>
            </w:r>
          </w:p>
        </w:tc>
        <w:tc>
          <w:tcPr>
            <w:tcW w:w="1436" w:type="dxa"/>
            <w:tcBorders>
              <w:top w:val="single" w:sz="4" w:space="0" w:color="auto"/>
              <w:left w:val="nil"/>
              <w:bottom w:val="single" w:sz="4" w:space="0" w:color="auto"/>
              <w:right w:val="single" w:sz="4" w:space="0" w:color="auto"/>
            </w:tcBorders>
            <w:noWrap/>
            <w:vAlign w:val="bottom"/>
          </w:tcPr>
          <w:p w14:paraId="41AA6A2C" w14:textId="25A253E0" w:rsidR="008309F6" w:rsidRPr="00C921DE" w:rsidRDefault="008309F6" w:rsidP="00FF44DF">
            <w:pPr>
              <w:jc w:val="right"/>
              <w:rPr>
                <w:rFonts w:ascii="GHEA Grapalat" w:hAnsi="GHEA Grapalat" w:cs="Calibri"/>
                <w:sz w:val="18"/>
                <w:szCs w:val="18"/>
                <w:lang w:val="en-US"/>
              </w:rPr>
            </w:pPr>
            <w:r w:rsidRPr="00C921DE">
              <w:rPr>
                <w:rFonts w:ascii="GHEA Grapalat" w:hAnsi="GHEA Grapalat" w:cs="Calibri"/>
                <w:sz w:val="18"/>
                <w:szCs w:val="18"/>
                <w:lang w:val="en-US"/>
              </w:rPr>
              <w:t>0.03</w:t>
            </w:r>
          </w:p>
        </w:tc>
        <w:tc>
          <w:tcPr>
            <w:tcW w:w="1470" w:type="dxa"/>
            <w:tcBorders>
              <w:top w:val="single" w:sz="4" w:space="0" w:color="auto"/>
              <w:left w:val="nil"/>
              <w:bottom w:val="single" w:sz="4" w:space="0" w:color="auto"/>
              <w:right w:val="single" w:sz="4" w:space="0" w:color="auto"/>
            </w:tcBorders>
            <w:noWrap/>
            <w:vAlign w:val="bottom"/>
          </w:tcPr>
          <w:p w14:paraId="41B7F03A" w14:textId="20A15506" w:rsidR="008309F6" w:rsidRPr="00C921DE" w:rsidRDefault="008309F6" w:rsidP="00FF44DF">
            <w:pPr>
              <w:jc w:val="right"/>
              <w:rPr>
                <w:rFonts w:ascii="GHEA Grapalat" w:hAnsi="GHEA Grapalat" w:cs="Calibri"/>
                <w:sz w:val="18"/>
                <w:szCs w:val="18"/>
                <w:lang w:val="en-US"/>
              </w:rPr>
            </w:pPr>
            <w:r w:rsidRPr="00C921DE">
              <w:rPr>
                <w:rFonts w:ascii="GHEA Grapalat" w:hAnsi="GHEA Grapalat" w:cs="Calibri"/>
                <w:sz w:val="18"/>
                <w:szCs w:val="18"/>
                <w:lang w:val="en-US"/>
              </w:rPr>
              <w:t>-</w:t>
            </w:r>
          </w:p>
        </w:tc>
        <w:tc>
          <w:tcPr>
            <w:tcW w:w="1223" w:type="dxa"/>
            <w:tcBorders>
              <w:top w:val="single" w:sz="4" w:space="0" w:color="auto"/>
              <w:left w:val="nil"/>
              <w:bottom w:val="single" w:sz="4" w:space="0" w:color="auto"/>
              <w:right w:val="single" w:sz="4" w:space="0" w:color="auto"/>
            </w:tcBorders>
            <w:noWrap/>
            <w:vAlign w:val="bottom"/>
          </w:tcPr>
          <w:p w14:paraId="4887BD88" w14:textId="75E092C5" w:rsidR="008309F6" w:rsidRPr="00C921DE" w:rsidRDefault="008309F6" w:rsidP="00FF44DF">
            <w:pPr>
              <w:jc w:val="right"/>
              <w:rPr>
                <w:rFonts w:ascii="GHEA Grapalat" w:hAnsi="GHEA Grapalat" w:cs="Calibri"/>
                <w:sz w:val="18"/>
                <w:szCs w:val="18"/>
                <w:lang w:val="en-US"/>
              </w:rPr>
            </w:pPr>
            <w:r w:rsidRPr="00C921DE">
              <w:rPr>
                <w:rFonts w:ascii="GHEA Grapalat" w:hAnsi="GHEA Grapalat" w:cs="Calibri"/>
                <w:sz w:val="18"/>
                <w:szCs w:val="18"/>
                <w:lang w:val="en-US"/>
              </w:rPr>
              <w:t>0.03</w:t>
            </w:r>
          </w:p>
        </w:tc>
      </w:tr>
    </w:tbl>
    <w:p w14:paraId="7E1DE3DC"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lang w:val="en-US"/>
        </w:rPr>
      </w:pPr>
    </w:p>
    <w:p w14:paraId="5BBB7411" w14:textId="5D27A66A"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Հարկային եկամուտներ և պետական տուրքեր/ՀՆԱ ցուցանիշը 2023 թվականին կազմել է 23.4%, որը 0.3 տոկոսային կետով զիջել </w:t>
      </w:r>
      <w:r w:rsidR="005C5CB7" w:rsidRPr="00C921DE">
        <w:rPr>
          <w:rFonts w:ascii="GHEA Grapalat" w:hAnsi="GHEA Grapalat" w:cs="GHEA Grapalat"/>
          <w:sz w:val="22"/>
          <w:szCs w:val="22"/>
        </w:rPr>
        <w:t xml:space="preserve">է կանխատեսված ցուցանիշը </w:t>
      </w:r>
      <w:r w:rsidR="005C5CB7" w:rsidRPr="00C921DE">
        <w:rPr>
          <w:rFonts w:ascii="GHEA Grapalat" w:hAnsi="GHEA Grapalat" w:cs="GHEA Grapalat"/>
          <w:sz w:val="22"/>
          <w:szCs w:val="22"/>
          <w:lang w:val="en-US"/>
        </w:rPr>
        <w:t xml:space="preserve">և </w:t>
      </w:r>
      <w:r w:rsidRPr="00C921DE">
        <w:rPr>
          <w:rFonts w:ascii="GHEA Grapalat" w:hAnsi="GHEA Grapalat" w:cs="GHEA Grapalat"/>
          <w:sz w:val="22"/>
          <w:szCs w:val="22"/>
        </w:rPr>
        <w:t>0.7 տոկոսային կետով</w:t>
      </w:r>
      <w:r w:rsidR="00C26DBF"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գերազանց</w:t>
      </w:r>
      <w:r w:rsidR="00C26DBF" w:rsidRPr="00C921DE">
        <w:rPr>
          <w:rFonts w:ascii="GHEA Grapalat" w:hAnsi="GHEA Grapalat" w:cs="GHEA Grapalat"/>
          <w:sz w:val="22"/>
          <w:szCs w:val="22"/>
        </w:rPr>
        <w:t>ել</w:t>
      </w:r>
      <w:r w:rsidRPr="00C921DE">
        <w:rPr>
          <w:rFonts w:ascii="GHEA Grapalat" w:hAnsi="GHEA Grapalat" w:cs="GHEA Grapalat"/>
          <w:sz w:val="22"/>
          <w:szCs w:val="22"/>
        </w:rPr>
        <w:t xml:space="preserve"> 2022 թվականի փաստացի ցուցանիշը:</w:t>
      </w:r>
    </w:p>
    <w:p w14:paraId="6EFA7E7F"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 պետական բյուջե մուտքագրված առանձին հարկատեսակների վերաբերյալ տեղեկատվությունը ներկայացված է Աղյուսակ 6-ում:</w:t>
      </w:r>
    </w:p>
    <w:p w14:paraId="1AD3BE62"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p>
    <w:p w14:paraId="483B6CF9"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lastRenderedPageBreak/>
        <w:t>ՀՀ պետական բյուջեի հարկային եկամուտների և պետական տուրքերի փաստացի ցուցանիշները (մլրդ դրամ)</w:t>
      </w:r>
    </w:p>
    <w:tbl>
      <w:tblPr>
        <w:tblW w:w="10173" w:type="dxa"/>
        <w:tblLayout w:type="fixed"/>
        <w:tblLook w:val="00A0" w:firstRow="1" w:lastRow="0" w:firstColumn="1" w:lastColumn="0" w:noHBand="0" w:noVBand="0"/>
      </w:tblPr>
      <w:tblGrid>
        <w:gridCol w:w="4219"/>
        <w:gridCol w:w="1559"/>
        <w:gridCol w:w="1418"/>
        <w:gridCol w:w="1559"/>
        <w:gridCol w:w="1418"/>
      </w:tblGrid>
      <w:tr w:rsidR="00FF44DF" w:rsidRPr="00C921DE" w14:paraId="62E3677D" w14:textId="77777777" w:rsidTr="00FF44DF">
        <w:trPr>
          <w:trHeight w:val="917"/>
        </w:trPr>
        <w:tc>
          <w:tcPr>
            <w:tcW w:w="4219" w:type="dxa"/>
            <w:tcBorders>
              <w:top w:val="single" w:sz="4" w:space="0" w:color="auto"/>
              <w:left w:val="single" w:sz="4" w:space="0" w:color="auto"/>
              <w:bottom w:val="single" w:sz="4" w:space="0" w:color="auto"/>
              <w:right w:val="single" w:sz="4" w:space="0" w:color="auto"/>
            </w:tcBorders>
            <w:noWrap/>
            <w:vAlign w:val="bottom"/>
          </w:tcPr>
          <w:p w14:paraId="2AD06F37"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1559" w:type="dxa"/>
            <w:tcBorders>
              <w:top w:val="single" w:sz="4" w:space="0" w:color="auto"/>
              <w:left w:val="nil"/>
              <w:bottom w:val="single" w:sz="4" w:space="0" w:color="auto"/>
              <w:right w:val="single" w:sz="4" w:space="0" w:color="auto"/>
            </w:tcBorders>
            <w:shd w:val="clear" w:color="000000" w:fill="FFFFFF"/>
          </w:tcPr>
          <w:p w14:paraId="194753E5"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418" w:type="dxa"/>
            <w:tcBorders>
              <w:top w:val="single" w:sz="4" w:space="0" w:color="auto"/>
              <w:left w:val="nil"/>
              <w:bottom w:val="single" w:sz="4" w:space="0" w:color="auto"/>
              <w:right w:val="single" w:sz="4" w:space="0" w:color="auto"/>
            </w:tcBorders>
            <w:shd w:val="clear" w:color="000000" w:fill="FFFFFF"/>
          </w:tcPr>
          <w:p w14:paraId="606A3388"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559" w:type="dxa"/>
            <w:tcBorders>
              <w:top w:val="single" w:sz="4" w:space="0" w:color="auto"/>
              <w:left w:val="nil"/>
              <w:bottom w:val="single" w:sz="4" w:space="0" w:color="auto"/>
              <w:right w:val="single" w:sz="4" w:space="0" w:color="auto"/>
            </w:tcBorders>
            <w:shd w:val="clear" w:color="000000" w:fill="FFFFFF"/>
          </w:tcPr>
          <w:p w14:paraId="6547E336"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p>
          <w:p w14:paraId="11E483A9" w14:textId="1AA182AE"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00B74439" w:rsidRPr="00C921DE">
              <w:rPr>
                <w:rFonts w:ascii="GHEA Grapalat" w:hAnsi="GHEA Grapalat" w:cs="Calibri"/>
                <w:b/>
                <w:bCs/>
                <w:sz w:val="18"/>
                <w:szCs w:val="18"/>
              </w:rPr>
              <w:t xml:space="preserve">թ.-ի </w:t>
            </w:r>
            <w:r w:rsidRPr="00C921DE">
              <w:rPr>
                <w:rFonts w:ascii="GHEA Grapalat" w:hAnsi="GHEA Grapalat" w:cs="Calibri"/>
                <w:b/>
                <w:bCs/>
                <w:sz w:val="18"/>
                <w:szCs w:val="18"/>
              </w:rPr>
              <w:t>նկատմամբ</w:t>
            </w:r>
          </w:p>
          <w:p w14:paraId="069B933C"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418" w:type="dxa"/>
            <w:tcBorders>
              <w:top w:val="single" w:sz="4" w:space="0" w:color="auto"/>
              <w:left w:val="nil"/>
              <w:bottom w:val="single" w:sz="4" w:space="0" w:color="auto"/>
              <w:right w:val="single" w:sz="4" w:space="0" w:color="auto"/>
            </w:tcBorders>
            <w:shd w:val="clear" w:color="000000" w:fill="FFFFFF"/>
          </w:tcPr>
          <w:p w14:paraId="196C180D"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431CBE61" w14:textId="77777777" w:rsidTr="00FF44DF">
        <w:trPr>
          <w:trHeight w:val="315"/>
        </w:trPr>
        <w:tc>
          <w:tcPr>
            <w:tcW w:w="4219" w:type="dxa"/>
            <w:tcBorders>
              <w:top w:val="nil"/>
              <w:left w:val="single" w:sz="4" w:space="0" w:color="auto"/>
              <w:bottom w:val="single" w:sz="4" w:space="0" w:color="auto"/>
              <w:right w:val="single" w:sz="4" w:space="0" w:color="auto"/>
            </w:tcBorders>
            <w:vAlign w:val="bottom"/>
          </w:tcPr>
          <w:p w14:paraId="49060C2A"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Հարկային եկամուտներ և պետական տուրքեր</w:t>
            </w:r>
          </w:p>
        </w:tc>
        <w:tc>
          <w:tcPr>
            <w:tcW w:w="1559" w:type="dxa"/>
            <w:tcBorders>
              <w:top w:val="nil"/>
              <w:left w:val="nil"/>
              <w:bottom w:val="single" w:sz="4" w:space="0" w:color="auto"/>
              <w:right w:val="single" w:sz="4" w:space="0" w:color="auto"/>
            </w:tcBorders>
            <w:vAlign w:val="bottom"/>
          </w:tcPr>
          <w:p w14:paraId="080D745D"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1,926.0</w:t>
            </w:r>
          </w:p>
        </w:tc>
        <w:tc>
          <w:tcPr>
            <w:tcW w:w="1418" w:type="dxa"/>
            <w:tcBorders>
              <w:top w:val="nil"/>
              <w:left w:val="nil"/>
              <w:bottom w:val="single" w:sz="4" w:space="0" w:color="auto"/>
              <w:right w:val="single" w:sz="4" w:space="0" w:color="auto"/>
            </w:tcBorders>
            <w:vAlign w:val="bottom"/>
          </w:tcPr>
          <w:p w14:paraId="0735C3BE"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2,221.9</w:t>
            </w:r>
          </w:p>
        </w:tc>
        <w:tc>
          <w:tcPr>
            <w:tcW w:w="1559" w:type="dxa"/>
            <w:tcBorders>
              <w:top w:val="nil"/>
              <w:left w:val="nil"/>
              <w:bottom w:val="single" w:sz="4" w:space="0" w:color="auto"/>
              <w:right w:val="single" w:sz="4" w:space="0" w:color="auto"/>
            </w:tcBorders>
            <w:noWrap/>
            <w:vAlign w:val="bottom"/>
          </w:tcPr>
          <w:p w14:paraId="34A30D17"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115.4</w:t>
            </w:r>
          </w:p>
        </w:tc>
        <w:tc>
          <w:tcPr>
            <w:tcW w:w="1418" w:type="dxa"/>
            <w:tcBorders>
              <w:top w:val="nil"/>
              <w:left w:val="nil"/>
              <w:bottom w:val="single" w:sz="4" w:space="0" w:color="auto"/>
              <w:right w:val="single" w:sz="4" w:space="0" w:color="auto"/>
            </w:tcBorders>
            <w:vAlign w:val="bottom"/>
          </w:tcPr>
          <w:p w14:paraId="6E3A069E"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296.0</w:t>
            </w:r>
          </w:p>
        </w:tc>
      </w:tr>
      <w:tr w:rsidR="00FF44DF" w:rsidRPr="00C921DE" w14:paraId="41DD20F4"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40C06721"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1. Հարկային եկամուտներ</w:t>
            </w:r>
          </w:p>
        </w:tc>
        <w:tc>
          <w:tcPr>
            <w:tcW w:w="1559" w:type="dxa"/>
            <w:tcBorders>
              <w:top w:val="nil"/>
              <w:left w:val="nil"/>
              <w:bottom w:val="single" w:sz="4" w:space="0" w:color="auto"/>
              <w:right w:val="single" w:sz="4" w:space="0" w:color="auto"/>
            </w:tcBorders>
            <w:vAlign w:val="bottom"/>
          </w:tcPr>
          <w:p w14:paraId="3041394D"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1,819.1</w:t>
            </w:r>
          </w:p>
        </w:tc>
        <w:tc>
          <w:tcPr>
            <w:tcW w:w="1418" w:type="dxa"/>
            <w:tcBorders>
              <w:top w:val="nil"/>
              <w:left w:val="nil"/>
              <w:bottom w:val="single" w:sz="4" w:space="0" w:color="auto"/>
              <w:right w:val="single" w:sz="4" w:space="0" w:color="auto"/>
            </w:tcBorders>
            <w:vAlign w:val="bottom"/>
          </w:tcPr>
          <w:p w14:paraId="5140106B"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2,154.5</w:t>
            </w:r>
          </w:p>
        </w:tc>
        <w:tc>
          <w:tcPr>
            <w:tcW w:w="1559" w:type="dxa"/>
            <w:tcBorders>
              <w:top w:val="nil"/>
              <w:left w:val="nil"/>
              <w:bottom w:val="single" w:sz="4" w:space="0" w:color="auto"/>
              <w:right w:val="single" w:sz="4" w:space="0" w:color="auto"/>
            </w:tcBorders>
            <w:noWrap/>
            <w:vAlign w:val="bottom"/>
          </w:tcPr>
          <w:p w14:paraId="21C2C3B9"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118.4</w:t>
            </w:r>
          </w:p>
        </w:tc>
        <w:tc>
          <w:tcPr>
            <w:tcW w:w="1418" w:type="dxa"/>
            <w:tcBorders>
              <w:top w:val="nil"/>
              <w:left w:val="nil"/>
              <w:bottom w:val="single" w:sz="4" w:space="0" w:color="auto"/>
              <w:right w:val="single" w:sz="4" w:space="0" w:color="auto"/>
            </w:tcBorders>
            <w:vAlign w:val="bottom"/>
          </w:tcPr>
          <w:p w14:paraId="47DB446F"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335.3</w:t>
            </w:r>
          </w:p>
        </w:tc>
      </w:tr>
      <w:tr w:rsidR="00FF44DF" w:rsidRPr="00C921DE" w14:paraId="35EC7CFE"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5B46072E"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ԱԱՀ</w:t>
            </w:r>
          </w:p>
        </w:tc>
        <w:tc>
          <w:tcPr>
            <w:tcW w:w="1559" w:type="dxa"/>
            <w:tcBorders>
              <w:top w:val="nil"/>
              <w:left w:val="nil"/>
              <w:bottom w:val="single" w:sz="4" w:space="0" w:color="auto"/>
              <w:right w:val="single" w:sz="4" w:space="0" w:color="auto"/>
            </w:tcBorders>
            <w:noWrap/>
            <w:vAlign w:val="bottom"/>
          </w:tcPr>
          <w:p w14:paraId="288E680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679.6</w:t>
            </w:r>
          </w:p>
        </w:tc>
        <w:tc>
          <w:tcPr>
            <w:tcW w:w="1418" w:type="dxa"/>
            <w:tcBorders>
              <w:top w:val="nil"/>
              <w:left w:val="nil"/>
              <w:bottom w:val="single" w:sz="4" w:space="0" w:color="auto"/>
              <w:right w:val="single" w:sz="4" w:space="0" w:color="auto"/>
            </w:tcBorders>
            <w:noWrap/>
            <w:vAlign w:val="bottom"/>
          </w:tcPr>
          <w:p w14:paraId="7A3A634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767.2</w:t>
            </w:r>
          </w:p>
        </w:tc>
        <w:tc>
          <w:tcPr>
            <w:tcW w:w="1559" w:type="dxa"/>
            <w:tcBorders>
              <w:top w:val="nil"/>
              <w:left w:val="nil"/>
              <w:bottom w:val="single" w:sz="4" w:space="0" w:color="auto"/>
              <w:right w:val="single" w:sz="4" w:space="0" w:color="auto"/>
            </w:tcBorders>
            <w:noWrap/>
            <w:vAlign w:val="bottom"/>
          </w:tcPr>
          <w:p w14:paraId="2CFEBF1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112.9</w:t>
            </w:r>
          </w:p>
        </w:tc>
        <w:tc>
          <w:tcPr>
            <w:tcW w:w="1418" w:type="dxa"/>
            <w:tcBorders>
              <w:top w:val="nil"/>
              <w:left w:val="nil"/>
              <w:bottom w:val="single" w:sz="4" w:space="0" w:color="auto"/>
              <w:right w:val="single" w:sz="4" w:space="0" w:color="auto"/>
            </w:tcBorders>
            <w:vAlign w:val="bottom"/>
          </w:tcPr>
          <w:p w14:paraId="43F555E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87.6</w:t>
            </w:r>
          </w:p>
        </w:tc>
      </w:tr>
      <w:tr w:rsidR="00FF44DF" w:rsidRPr="00C921DE" w14:paraId="4671380F"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4C83F776"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Ակցիզային հարկ</w:t>
            </w:r>
          </w:p>
        </w:tc>
        <w:tc>
          <w:tcPr>
            <w:tcW w:w="1559" w:type="dxa"/>
            <w:tcBorders>
              <w:top w:val="nil"/>
              <w:left w:val="nil"/>
              <w:bottom w:val="single" w:sz="4" w:space="0" w:color="auto"/>
              <w:right w:val="single" w:sz="4" w:space="0" w:color="auto"/>
            </w:tcBorders>
            <w:noWrap/>
            <w:vAlign w:val="bottom"/>
          </w:tcPr>
          <w:p w14:paraId="7DB945E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127.5</w:t>
            </w:r>
          </w:p>
        </w:tc>
        <w:tc>
          <w:tcPr>
            <w:tcW w:w="1418" w:type="dxa"/>
            <w:tcBorders>
              <w:top w:val="nil"/>
              <w:left w:val="nil"/>
              <w:bottom w:val="single" w:sz="4" w:space="0" w:color="auto"/>
              <w:right w:val="single" w:sz="4" w:space="0" w:color="auto"/>
            </w:tcBorders>
            <w:noWrap/>
            <w:vAlign w:val="bottom"/>
          </w:tcPr>
          <w:p w14:paraId="47BAA4A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149.4</w:t>
            </w:r>
          </w:p>
        </w:tc>
        <w:tc>
          <w:tcPr>
            <w:tcW w:w="1559" w:type="dxa"/>
            <w:tcBorders>
              <w:top w:val="nil"/>
              <w:left w:val="nil"/>
              <w:bottom w:val="single" w:sz="4" w:space="0" w:color="auto"/>
              <w:right w:val="single" w:sz="4" w:space="0" w:color="auto"/>
            </w:tcBorders>
            <w:noWrap/>
            <w:vAlign w:val="bottom"/>
          </w:tcPr>
          <w:p w14:paraId="5E4C55E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117.2</w:t>
            </w:r>
          </w:p>
        </w:tc>
        <w:tc>
          <w:tcPr>
            <w:tcW w:w="1418" w:type="dxa"/>
            <w:tcBorders>
              <w:top w:val="nil"/>
              <w:left w:val="nil"/>
              <w:bottom w:val="single" w:sz="4" w:space="0" w:color="auto"/>
              <w:right w:val="single" w:sz="4" w:space="0" w:color="auto"/>
            </w:tcBorders>
            <w:vAlign w:val="bottom"/>
          </w:tcPr>
          <w:p w14:paraId="3187EBE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21.9</w:t>
            </w:r>
          </w:p>
        </w:tc>
      </w:tr>
      <w:tr w:rsidR="00FF44DF" w:rsidRPr="00C921DE" w14:paraId="50A5E311"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0807411"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Շահութահարկ</w:t>
            </w:r>
          </w:p>
        </w:tc>
        <w:tc>
          <w:tcPr>
            <w:tcW w:w="1559" w:type="dxa"/>
            <w:tcBorders>
              <w:top w:val="nil"/>
              <w:left w:val="nil"/>
              <w:bottom w:val="single" w:sz="4" w:space="0" w:color="auto"/>
              <w:right w:val="single" w:sz="4" w:space="0" w:color="auto"/>
            </w:tcBorders>
            <w:noWrap/>
            <w:vAlign w:val="bottom"/>
          </w:tcPr>
          <w:p w14:paraId="5AF150C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222.8</w:t>
            </w:r>
          </w:p>
        </w:tc>
        <w:tc>
          <w:tcPr>
            <w:tcW w:w="1418" w:type="dxa"/>
            <w:tcBorders>
              <w:top w:val="nil"/>
              <w:left w:val="nil"/>
              <w:bottom w:val="single" w:sz="4" w:space="0" w:color="auto"/>
              <w:right w:val="single" w:sz="4" w:space="0" w:color="auto"/>
            </w:tcBorders>
            <w:noWrap/>
            <w:vAlign w:val="bottom"/>
          </w:tcPr>
          <w:p w14:paraId="76B46FEE"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321.5</w:t>
            </w:r>
          </w:p>
        </w:tc>
        <w:tc>
          <w:tcPr>
            <w:tcW w:w="1559" w:type="dxa"/>
            <w:tcBorders>
              <w:top w:val="nil"/>
              <w:left w:val="nil"/>
              <w:bottom w:val="single" w:sz="4" w:space="0" w:color="auto"/>
              <w:right w:val="single" w:sz="4" w:space="0" w:color="auto"/>
            </w:tcBorders>
            <w:noWrap/>
            <w:vAlign w:val="bottom"/>
          </w:tcPr>
          <w:p w14:paraId="0336E50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144.3</w:t>
            </w:r>
          </w:p>
        </w:tc>
        <w:tc>
          <w:tcPr>
            <w:tcW w:w="1418" w:type="dxa"/>
            <w:tcBorders>
              <w:top w:val="nil"/>
              <w:left w:val="nil"/>
              <w:bottom w:val="single" w:sz="4" w:space="0" w:color="auto"/>
              <w:right w:val="single" w:sz="4" w:space="0" w:color="auto"/>
            </w:tcBorders>
            <w:vAlign w:val="bottom"/>
          </w:tcPr>
          <w:p w14:paraId="6BFC7F2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98.7</w:t>
            </w:r>
          </w:p>
        </w:tc>
      </w:tr>
      <w:tr w:rsidR="00FF44DF" w:rsidRPr="00C921DE" w14:paraId="018C01A1"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704D813"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Մաքսատուրք</w:t>
            </w:r>
          </w:p>
        </w:tc>
        <w:tc>
          <w:tcPr>
            <w:tcW w:w="1559" w:type="dxa"/>
            <w:tcBorders>
              <w:top w:val="nil"/>
              <w:left w:val="nil"/>
              <w:bottom w:val="single" w:sz="4" w:space="0" w:color="auto"/>
              <w:right w:val="single" w:sz="4" w:space="0" w:color="auto"/>
            </w:tcBorders>
            <w:noWrap/>
            <w:vAlign w:val="bottom"/>
          </w:tcPr>
          <w:p w14:paraId="5FE1FCA9"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56.7</w:t>
            </w:r>
          </w:p>
        </w:tc>
        <w:tc>
          <w:tcPr>
            <w:tcW w:w="1418" w:type="dxa"/>
            <w:tcBorders>
              <w:top w:val="nil"/>
              <w:left w:val="nil"/>
              <w:bottom w:val="single" w:sz="4" w:space="0" w:color="auto"/>
              <w:right w:val="single" w:sz="4" w:space="0" w:color="auto"/>
            </w:tcBorders>
            <w:noWrap/>
            <w:vAlign w:val="bottom"/>
          </w:tcPr>
          <w:p w14:paraId="7BA6BC3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75.3</w:t>
            </w:r>
          </w:p>
        </w:tc>
        <w:tc>
          <w:tcPr>
            <w:tcW w:w="1559" w:type="dxa"/>
            <w:tcBorders>
              <w:top w:val="nil"/>
              <w:left w:val="nil"/>
              <w:bottom w:val="single" w:sz="4" w:space="0" w:color="auto"/>
              <w:right w:val="single" w:sz="4" w:space="0" w:color="auto"/>
            </w:tcBorders>
            <w:noWrap/>
            <w:vAlign w:val="bottom"/>
          </w:tcPr>
          <w:p w14:paraId="468FFF4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132.8</w:t>
            </w:r>
          </w:p>
        </w:tc>
        <w:tc>
          <w:tcPr>
            <w:tcW w:w="1418" w:type="dxa"/>
            <w:tcBorders>
              <w:top w:val="nil"/>
              <w:left w:val="nil"/>
              <w:bottom w:val="single" w:sz="4" w:space="0" w:color="auto"/>
              <w:right w:val="single" w:sz="4" w:space="0" w:color="auto"/>
            </w:tcBorders>
            <w:vAlign w:val="bottom"/>
          </w:tcPr>
          <w:p w14:paraId="1D41D4C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18.6</w:t>
            </w:r>
          </w:p>
        </w:tc>
      </w:tr>
      <w:tr w:rsidR="00FF44DF" w:rsidRPr="00C921DE" w14:paraId="7775F322"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73272738"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Եկամտային հարկ</w:t>
            </w:r>
          </w:p>
        </w:tc>
        <w:tc>
          <w:tcPr>
            <w:tcW w:w="1559" w:type="dxa"/>
            <w:tcBorders>
              <w:top w:val="nil"/>
              <w:left w:val="nil"/>
              <w:bottom w:val="single" w:sz="4" w:space="0" w:color="auto"/>
              <w:right w:val="single" w:sz="4" w:space="0" w:color="auto"/>
            </w:tcBorders>
            <w:noWrap/>
            <w:vAlign w:val="bottom"/>
          </w:tcPr>
          <w:p w14:paraId="4018963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474.8</w:t>
            </w:r>
          </w:p>
        </w:tc>
        <w:tc>
          <w:tcPr>
            <w:tcW w:w="1418" w:type="dxa"/>
            <w:tcBorders>
              <w:top w:val="nil"/>
              <w:left w:val="nil"/>
              <w:bottom w:val="single" w:sz="4" w:space="0" w:color="auto"/>
              <w:right w:val="single" w:sz="4" w:space="0" w:color="auto"/>
            </w:tcBorders>
            <w:noWrap/>
            <w:vAlign w:val="bottom"/>
          </w:tcPr>
          <w:p w14:paraId="0A479F9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554.5</w:t>
            </w:r>
          </w:p>
        </w:tc>
        <w:tc>
          <w:tcPr>
            <w:tcW w:w="1559" w:type="dxa"/>
            <w:tcBorders>
              <w:top w:val="nil"/>
              <w:left w:val="nil"/>
              <w:bottom w:val="single" w:sz="4" w:space="0" w:color="auto"/>
              <w:right w:val="single" w:sz="4" w:space="0" w:color="auto"/>
            </w:tcBorders>
            <w:noWrap/>
            <w:vAlign w:val="bottom"/>
          </w:tcPr>
          <w:p w14:paraId="78C11A2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116.8</w:t>
            </w:r>
          </w:p>
        </w:tc>
        <w:tc>
          <w:tcPr>
            <w:tcW w:w="1418" w:type="dxa"/>
            <w:tcBorders>
              <w:top w:val="nil"/>
              <w:left w:val="nil"/>
              <w:bottom w:val="single" w:sz="4" w:space="0" w:color="auto"/>
              <w:right w:val="single" w:sz="4" w:space="0" w:color="auto"/>
            </w:tcBorders>
            <w:vAlign w:val="bottom"/>
          </w:tcPr>
          <w:p w14:paraId="2314FE8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79.7</w:t>
            </w:r>
          </w:p>
        </w:tc>
      </w:tr>
      <w:tr w:rsidR="00FF44DF" w:rsidRPr="00C921DE" w14:paraId="3FF26D58"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2FD5AFD"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Շրջանառության հարկ</w:t>
            </w:r>
          </w:p>
        </w:tc>
        <w:tc>
          <w:tcPr>
            <w:tcW w:w="1559" w:type="dxa"/>
            <w:tcBorders>
              <w:top w:val="nil"/>
              <w:left w:val="nil"/>
              <w:bottom w:val="single" w:sz="4" w:space="0" w:color="auto"/>
              <w:right w:val="single" w:sz="4" w:space="0" w:color="auto"/>
            </w:tcBorders>
            <w:noWrap/>
            <w:vAlign w:val="bottom"/>
          </w:tcPr>
          <w:p w14:paraId="4C98444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40.7</w:t>
            </w:r>
          </w:p>
        </w:tc>
        <w:tc>
          <w:tcPr>
            <w:tcW w:w="1418" w:type="dxa"/>
            <w:tcBorders>
              <w:top w:val="nil"/>
              <w:left w:val="nil"/>
              <w:bottom w:val="single" w:sz="4" w:space="0" w:color="auto"/>
              <w:right w:val="single" w:sz="4" w:space="0" w:color="auto"/>
            </w:tcBorders>
            <w:noWrap/>
            <w:vAlign w:val="bottom"/>
          </w:tcPr>
          <w:p w14:paraId="0880EDC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52.2</w:t>
            </w:r>
          </w:p>
        </w:tc>
        <w:tc>
          <w:tcPr>
            <w:tcW w:w="1559" w:type="dxa"/>
            <w:tcBorders>
              <w:top w:val="nil"/>
              <w:left w:val="nil"/>
              <w:bottom w:val="single" w:sz="4" w:space="0" w:color="auto"/>
              <w:right w:val="single" w:sz="4" w:space="0" w:color="auto"/>
            </w:tcBorders>
            <w:noWrap/>
            <w:vAlign w:val="bottom"/>
          </w:tcPr>
          <w:p w14:paraId="552ED7C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128.1</w:t>
            </w:r>
          </w:p>
        </w:tc>
        <w:tc>
          <w:tcPr>
            <w:tcW w:w="1418" w:type="dxa"/>
            <w:tcBorders>
              <w:top w:val="nil"/>
              <w:left w:val="nil"/>
              <w:bottom w:val="single" w:sz="4" w:space="0" w:color="auto"/>
              <w:right w:val="single" w:sz="4" w:space="0" w:color="auto"/>
            </w:tcBorders>
            <w:vAlign w:val="bottom"/>
          </w:tcPr>
          <w:p w14:paraId="01193AD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11.5</w:t>
            </w:r>
          </w:p>
        </w:tc>
      </w:tr>
      <w:tr w:rsidR="00FF44DF" w:rsidRPr="00C921DE" w14:paraId="4617A9EC" w14:textId="77777777" w:rsidTr="00FF44DF">
        <w:trPr>
          <w:trHeight w:val="329"/>
        </w:trPr>
        <w:tc>
          <w:tcPr>
            <w:tcW w:w="4219" w:type="dxa"/>
            <w:tcBorders>
              <w:top w:val="nil"/>
              <w:left w:val="single" w:sz="4" w:space="0" w:color="auto"/>
              <w:bottom w:val="single" w:sz="4" w:space="0" w:color="auto"/>
              <w:right w:val="single" w:sz="4" w:space="0" w:color="auto"/>
            </w:tcBorders>
            <w:vAlign w:val="bottom"/>
          </w:tcPr>
          <w:p w14:paraId="5259A7C1"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Սոցիալական վճար (կուտակային կենսաթոշակի գծով)</w:t>
            </w:r>
          </w:p>
        </w:tc>
        <w:tc>
          <w:tcPr>
            <w:tcW w:w="1559" w:type="dxa"/>
            <w:tcBorders>
              <w:top w:val="nil"/>
              <w:left w:val="nil"/>
              <w:bottom w:val="single" w:sz="4" w:space="0" w:color="auto"/>
              <w:right w:val="single" w:sz="4" w:space="0" w:color="auto"/>
            </w:tcBorders>
            <w:noWrap/>
            <w:vAlign w:val="bottom"/>
          </w:tcPr>
          <w:p w14:paraId="548573C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64.5</w:t>
            </w:r>
          </w:p>
        </w:tc>
        <w:tc>
          <w:tcPr>
            <w:tcW w:w="1418" w:type="dxa"/>
            <w:tcBorders>
              <w:top w:val="nil"/>
              <w:left w:val="nil"/>
              <w:bottom w:val="single" w:sz="4" w:space="0" w:color="auto"/>
              <w:right w:val="single" w:sz="4" w:space="0" w:color="auto"/>
            </w:tcBorders>
            <w:noWrap/>
            <w:vAlign w:val="bottom"/>
          </w:tcPr>
          <w:p w14:paraId="1EB84D6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90.3</w:t>
            </w:r>
          </w:p>
        </w:tc>
        <w:tc>
          <w:tcPr>
            <w:tcW w:w="1559" w:type="dxa"/>
            <w:tcBorders>
              <w:top w:val="nil"/>
              <w:left w:val="nil"/>
              <w:bottom w:val="single" w:sz="4" w:space="0" w:color="auto"/>
              <w:right w:val="single" w:sz="4" w:space="0" w:color="auto"/>
            </w:tcBorders>
            <w:noWrap/>
            <w:vAlign w:val="bottom"/>
          </w:tcPr>
          <w:p w14:paraId="1F7E184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140.1</w:t>
            </w:r>
          </w:p>
        </w:tc>
        <w:tc>
          <w:tcPr>
            <w:tcW w:w="1418" w:type="dxa"/>
            <w:tcBorders>
              <w:top w:val="nil"/>
              <w:left w:val="nil"/>
              <w:bottom w:val="single" w:sz="4" w:space="0" w:color="auto"/>
              <w:right w:val="single" w:sz="4" w:space="0" w:color="auto"/>
            </w:tcBorders>
            <w:vAlign w:val="bottom"/>
          </w:tcPr>
          <w:p w14:paraId="4376F81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25.8</w:t>
            </w:r>
          </w:p>
        </w:tc>
      </w:tr>
      <w:tr w:rsidR="00FF44DF" w:rsidRPr="00C921DE" w14:paraId="00157127" w14:textId="77777777" w:rsidTr="00FF44DF">
        <w:trPr>
          <w:trHeight w:val="329"/>
        </w:trPr>
        <w:tc>
          <w:tcPr>
            <w:tcW w:w="4219" w:type="dxa"/>
            <w:tcBorders>
              <w:top w:val="nil"/>
              <w:left w:val="single" w:sz="4" w:space="0" w:color="auto"/>
              <w:bottom w:val="single" w:sz="4" w:space="0" w:color="auto"/>
              <w:right w:val="single" w:sz="4" w:space="0" w:color="auto"/>
            </w:tcBorders>
            <w:vAlign w:val="bottom"/>
          </w:tcPr>
          <w:p w14:paraId="14DEA558"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Բնապահպանական հարկ և բնօգտագործման վճար</w:t>
            </w:r>
          </w:p>
        </w:tc>
        <w:tc>
          <w:tcPr>
            <w:tcW w:w="1559" w:type="dxa"/>
            <w:tcBorders>
              <w:top w:val="nil"/>
              <w:left w:val="nil"/>
              <w:bottom w:val="single" w:sz="4" w:space="0" w:color="auto"/>
              <w:right w:val="single" w:sz="4" w:space="0" w:color="auto"/>
            </w:tcBorders>
            <w:noWrap/>
            <w:vAlign w:val="bottom"/>
          </w:tcPr>
          <w:p w14:paraId="3C79D5F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95.9</w:t>
            </w:r>
          </w:p>
        </w:tc>
        <w:tc>
          <w:tcPr>
            <w:tcW w:w="1418" w:type="dxa"/>
            <w:tcBorders>
              <w:top w:val="nil"/>
              <w:left w:val="nil"/>
              <w:bottom w:val="single" w:sz="4" w:space="0" w:color="auto"/>
              <w:right w:val="single" w:sz="4" w:space="0" w:color="auto"/>
            </w:tcBorders>
            <w:noWrap/>
            <w:vAlign w:val="bottom"/>
          </w:tcPr>
          <w:p w14:paraId="2911688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60.6</w:t>
            </w:r>
          </w:p>
        </w:tc>
        <w:tc>
          <w:tcPr>
            <w:tcW w:w="1559" w:type="dxa"/>
            <w:tcBorders>
              <w:top w:val="nil"/>
              <w:left w:val="nil"/>
              <w:bottom w:val="single" w:sz="4" w:space="0" w:color="auto"/>
              <w:right w:val="single" w:sz="4" w:space="0" w:color="auto"/>
            </w:tcBorders>
            <w:noWrap/>
            <w:vAlign w:val="bottom"/>
          </w:tcPr>
          <w:p w14:paraId="1BE2CA3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63.2</w:t>
            </w:r>
          </w:p>
        </w:tc>
        <w:tc>
          <w:tcPr>
            <w:tcW w:w="1418" w:type="dxa"/>
            <w:tcBorders>
              <w:top w:val="nil"/>
              <w:left w:val="nil"/>
              <w:bottom w:val="single" w:sz="4" w:space="0" w:color="auto"/>
              <w:right w:val="single" w:sz="4" w:space="0" w:color="auto"/>
            </w:tcBorders>
            <w:vAlign w:val="bottom"/>
          </w:tcPr>
          <w:p w14:paraId="6673B5E1"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35.3</w:t>
            </w:r>
            <w:r w:rsidRPr="00C921DE">
              <w:rPr>
                <w:rFonts w:ascii="GHEA Grapalat" w:hAnsi="GHEA Grapalat" w:cs="Calibri"/>
                <w:sz w:val="18"/>
                <w:szCs w:val="18"/>
                <w:lang w:val="en-US"/>
              </w:rPr>
              <w:t>)</w:t>
            </w:r>
          </w:p>
        </w:tc>
      </w:tr>
      <w:tr w:rsidR="00FF44DF" w:rsidRPr="00C921DE" w14:paraId="59379C9F" w14:textId="77777777" w:rsidTr="00FF44DF">
        <w:trPr>
          <w:trHeight w:val="287"/>
        </w:trPr>
        <w:tc>
          <w:tcPr>
            <w:tcW w:w="4219" w:type="dxa"/>
            <w:tcBorders>
              <w:top w:val="nil"/>
              <w:left w:val="single" w:sz="4" w:space="0" w:color="auto"/>
              <w:bottom w:val="single" w:sz="4" w:space="0" w:color="auto"/>
              <w:right w:val="single" w:sz="4" w:space="0" w:color="auto"/>
            </w:tcBorders>
            <w:vAlign w:val="bottom"/>
          </w:tcPr>
          <w:p w14:paraId="51A294AC"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Այլ հարկեր</w:t>
            </w:r>
          </w:p>
        </w:tc>
        <w:tc>
          <w:tcPr>
            <w:tcW w:w="1559" w:type="dxa"/>
            <w:tcBorders>
              <w:top w:val="nil"/>
              <w:left w:val="nil"/>
              <w:bottom w:val="single" w:sz="4" w:space="0" w:color="auto"/>
              <w:right w:val="single" w:sz="4" w:space="0" w:color="auto"/>
            </w:tcBorders>
            <w:noWrap/>
            <w:vAlign w:val="bottom"/>
          </w:tcPr>
          <w:p w14:paraId="652E6A7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56.7</w:t>
            </w:r>
          </w:p>
        </w:tc>
        <w:tc>
          <w:tcPr>
            <w:tcW w:w="1418" w:type="dxa"/>
            <w:tcBorders>
              <w:top w:val="nil"/>
              <w:left w:val="nil"/>
              <w:bottom w:val="single" w:sz="4" w:space="0" w:color="auto"/>
              <w:right w:val="single" w:sz="4" w:space="0" w:color="auto"/>
            </w:tcBorders>
            <w:noWrap/>
            <w:vAlign w:val="bottom"/>
          </w:tcPr>
          <w:p w14:paraId="40B758DB"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83.4</w:t>
            </w:r>
          </w:p>
        </w:tc>
        <w:tc>
          <w:tcPr>
            <w:tcW w:w="1559" w:type="dxa"/>
            <w:tcBorders>
              <w:top w:val="nil"/>
              <w:left w:val="nil"/>
              <w:bottom w:val="single" w:sz="4" w:space="0" w:color="auto"/>
              <w:right w:val="single" w:sz="4" w:space="0" w:color="auto"/>
            </w:tcBorders>
            <w:noWrap/>
            <w:vAlign w:val="bottom"/>
          </w:tcPr>
          <w:p w14:paraId="54D8AC8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147.1</w:t>
            </w:r>
          </w:p>
        </w:tc>
        <w:tc>
          <w:tcPr>
            <w:tcW w:w="1418" w:type="dxa"/>
            <w:tcBorders>
              <w:top w:val="nil"/>
              <w:left w:val="nil"/>
              <w:bottom w:val="single" w:sz="4" w:space="0" w:color="auto"/>
              <w:right w:val="single" w:sz="4" w:space="0" w:color="auto"/>
            </w:tcBorders>
            <w:vAlign w:val="bottom"/>
          </w:tcPr>
          <w:p w14:paraId="176001F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26.7</w:t>
            </w:r>
          </w:p>
        </w:tc>
      </w:tr>
      <w:tr w:rsidR="00FF44DF" w:rsidRPr="00C921DE" w14:paraId="58E5FAC7"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45805554"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2. Պետական տուրք</w:t>
            </w:r>
          </w:p>
        </w:tc>
        <w:tc>
          <w:tcPr>
            <w:tcW w:w="1559" w:type="dxa"/>
            <w:tcBorders>
              <w:top w:val="nil"/>
              <w:left w:val="nil"/>
              <w:bottom w:val="single" w:sz="4" w:space="0" w:color="auto"/>
              <w:right w:val="single" w:sz="4" w:space="0" w:color="auto"/>
            </w:tcBorders>
            <w:noWrap/>
            <w:vAlign w:val="bottom"/>
          </w:tcPr>
          <w:p w14:paraId="675661FD"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106.8</w:t>
            </w:r>
          </w:p>
        </w:tc>
        <w:tc>
          <w:tcPr>
            <w:tcW w:w="1418" w:type="dxa"/>
            <w:tcBorders>
              <w:top w:val="nil"/>
              <w:left w:val="nil"/>
              <w:bottom w:val="single" w:sz="4" w:space="0" w:color="auto"/>
              <w:right w:val="single" w:sz="4" w:space="0" w:color="auto"/>
            </w:tcBorders>
            <w:noWrap/>
            <w:vAlign w:val="bottom"/>
          </w:tcPr>
          <w:p w14:paraId="77FA0504"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67.4</w:t>
            </w:r>
          </w:p>
        </w:tc>
        <w:tc>
          <w:tcPr>
            <w:tcW w:w="1559" w:type="dxa"/>
            <w:tcBorders>
              <w:top w:val="nil"/>
              <w:left w:val="nil"/>
              <w:bottom w:val="single" w:sz="4" w:space="0" w:color="auto"/>
              <w:right w:val="single" w:sz="4" w:space="0" w:color="auto"/>
            </w:tcBorders>
            <w:noWrap/>
            <w:vAlign w:val="bottom"/>
          </w:tcPr>
          <w:p w14:paraId="4D9F700D"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63.1</w:t>
            </w:r>
          </w:p>
        </w:tc>
        <w:tc>
          <w:tcPr>
            <w:tcW w:w="1418" w:type="dxa"/>
            <w:tcBorders>
              <w:top w:val="nil"/>
              <w:left w:val="nil"/>
              <w:bottom w:val="single" w:sz="4" w:space="0" w:color="auto"/>
              <w:right w:val="single" w:sz="4" w:space="0" w:color="auto"/>
            </w:tcBorders>
            <w:vAlign w:val="bottom"/>
          </w:tcPr>
          <w:p w14:paraId="789A7777" w14:textId="77777777" w:rsidR="00FF44DF" w:rsidRPr="00C921DE" w:rsidRDefault="00FF44DF" w:rsidP="00FF44DF">
            <w:pPr>
              <w:jc w:val="right"/>
              <w:rPr>
                <w:rFonts w:ascii="GHEA Grapalat" w:hAnsi="GHEA Grapalat" w:cs="Calibri"/>
                <w:b/>
                <w:bCs/>
                <w:sz w:val="18"/>
                <w:szCs w:val="18"/>
                <w:lang w:val="en-US"/>
              </w:rPr>
            </w:pPr>
            <w:r w:rsidRPr="00C921DE">
              <w:rPr>
                <w:rFonts w:ascii="GHEA Grapalat" w:hAnsi="GHEA Grapalat" w:cs="Calibri"/>
                <w:b/>
                <w:bCs/>
                <w:sz w:val="18"/>
                <w:szCs w:val="18"/>
                <w:lang w:val="en-US"/>
              </w:rPr>
              <w:t>(</w:t>
            </w:r>
            <w:r w:rsidRPr="00C921DE">
              <w:rPr>
                <w:rFonts w:ascii="GHEA Grapalat" w:hAnsi="GHEA Grapalat" w:cs="Calibri"/>
                <w:b/>
                <w:bCs/>
                <w:sz w:val="18"/>
                <w:szCs w:val="18"/>
              </w:rPr>
              <w:t>39.4</w:t>
            </w:r>
            <w:r w:rsidRPr="00C921DE">
              <w:rPr>
                <w:rFonts w:ascii="GHEA Grapalat" w:hAnsi="GHEA Grapalat" w:cs="Calibri"/>
                <w:b/>
                <w:bCs/>
                <w:sz w:val="18"/>
                <w:szCs w:val="18"/>
                <w:lang w:val="en-US"/>
              </w:rPr>
              <w:t>)</w:t>
            </w:r>
          </w:p>
        </w:tc>
      </w:tr>
      <w:tr w:rsidR="00FF44DF" w:rsidRPr="00C921DE" w14:paraId="51F5D626" w14:textId="77777777" w:rsidTr="00FF44DF">
        <w:trPr>
          <w:trHeight w:val="462"/>
        </w:trPr>
        <w:tc>
          <w:tcPr>
            <w:tcW w:w="4219" w:type="dxa"/>
            <w:tcBorders>
              <w:top w:val="nil"/>
              <w:left w:val="single" w:sz="4" w:space="0" w:color="auto"/>
              <w:bottom w:val="single" w:sz="4" w:space="0" w:color="auto"/>
              <w:right w:val="single" w:sz="4" w:space="0" w:color="auto"/>
            </w:tcBorders>
            <w:vAlign w:val="bottom"/>
          </w:tcPr>
          <w:p w14:paraId="09D28986"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Կշիռն ընդամենը հարկերի և տուրքերի մեջ</w:t>
            </w:r>
          </w:p>
        </w:tc>
        <w:tc>
          <w:tcPr>
            <w:tcW w:w="1559" w:type="dxa"/>
            <w:tcBorders>
              <w:top w:val="nil"/>
              <w:left w:val="nil"/>
              <w:bottom w:val="single" w:sz="4" w:space="0" w:color="auto"/>
              <w:right w:val="single" w:sz="4" w:space="0" w:color="auto"/>
            </w:tcBorders>
            <w:noWrap/>
            <w:vAlign w:val="bottom"/>
          </w:tcPr>
          <w:p w14:paraId="6CF29C5D" w14:textId="77777777" w:rsidR="00FF44DF" w:rsidRPr="00C921DE" w:rsidRDefault="00FF44DF" w:rsidP="00FF44DF">
            <w:pPr>
              <w:jc w:val="right"/>
              <w:rPr>
                <w:rFonts w:ascii="GHEA Grapalat" w:hAnsi="GHEA Grapalat" w:cs="Calibri"/>
                <w:sz w:val="18"/>
                <w:szCs w:val="18"/>
              </w:rPr>
            </w:pPr>
          </w:p>
        </w:tc>
        <w:tc>
          <w:tcPr>
            <w:tcW w:w="1418" w:type="dxa"/>
            <w:tcBorders>
              <w:top w:val="nil"/>
              <w:left w:val="nil"/>
              <w:bottom w:val="single" w:sz="4" w:space="0" w:color="auto"/>
              <w:right w:val="single" w:sz="4" w:space="0" w:color="auto"/>
            </w:tcBorders>
            <w:noWrap/>
            <w:vAlign w:val="bottom"/>
          </w:tcPr>
          <w:p w14:paraId="32658EF3" w14:textId="77777777" w:rsidR="00FF44DF" w:rsidRPr="00C921DE" w:rsidRDefault="00FF44DF" w:rsidP="00FF44DF">
            <w:pPr>
              <w:jc w:val="right"/>
              <w:rPr>
                <w:rFonts w:ascii="GHEA Grapalat" w:hAnsi="GHEA Grapalat" w:cs="Calibri"/>
                <w:sz w:val="18"/>
                <w:szCs w:val="18"/>
              </w:rPr>
            </w:pPr>
          </w:p>
        </w:tc>
        <w:tc>
          <w:tcPr>
            <w:tcW w:w="1559" w:type="dxa"/>
            <w:tcBorders>
              <w:top w:val="nil"/>
              <w:left w:val="nil"/>
              <w:bottom w:val="single" w:sz="4" w:space="0" w:color="auto"/>
              <w:right w:val="single" w:sz="4" w:space="0" w:color="auto"/>
            </w:tcBorders>
            <w:noWrap/>
            <w:vAlign w:val="bottom"/>
          </w:tcPr>
          <w:p w14:paraId="7D29E128" w14:textId="77777777" w:rsidR="00FF44DF" w:rsidRPr="00C921DE" w:rsidRDefault="00FF44DF" w:rsidP="00FF44DF">
            <w:pPr>
              <w:jc w:val="right"/>
              <w:rPr>
                <w:rFonts w:ascii="GHEA Grapalat" w:hAnsi="GHEA Grapalat" w:cs="Calibri"/>
                <w:sz w:val="18"/>
                <w:szCs w:val="18"/>
              </w:rPr>
            </w:pPr>
          </w:p>
        </w:tc>
        <w:tc>
          <w:tcPr>
            <w:tcW w:w="1418" w:type="dxa"/>
            <w:tcBorders>
              <w:top w:val="nil"/>
              <w:left w:val="nil"/>
              <w:bottom w:val="single" w:sz="4" w:space="0" w:color="auto"/>
              <w:right w:val="single" w:sz="4" w:space="0" w:color="auto"/>
            </w:tcBorders>
            <w:vAlign w:val="bottom"/>
          </w:tcPr>
          <w:p w14:paraId="4AAFB66A" w14:textId="77777777" w:rsidR="00FF44DF" w:rsidRPr="00C921DE" w:rsidRDefault="00FF44DF" w:rsidP="00FF44DF">
            <w:pPr>
              <w:jc w:val="right"/>
              <w:rPr>
                <w:rFonts w:ascii="Courier New" w:hAnsi="Courier New" w:cs="Courier New"/>
                <w:sz w:val="18"/>
                <w:szCs w:val="18"/>
              </w:rPr>
            </w:pPr>
          </w:p>
        </w:tc>
      </w:tr>
      <w:tr w:rsidR="00FF44DF" w:rsidRPr="00C921DE" w14:paraId="5DF38228"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5F25613F"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1. Հարկային եկամուտներ</w:t>
            </w:r>
          </w:p>
        </w:tc>
        <w:tc>
          <w:tcPr>
            <w:tcW w:w="1559" w:type="dxa"/>
            <w:tcBorders>
              <w:top w:val="nil"/>
              <w:left w:val="nil"/>
              <w:bottom w:val="single" w:sz="4" w:space="0" w:color="auto"/>
              <w:right w:val="single" w:sz="4" w:space="0" w:color="auto"/>
            </w:tcBorders>
            <w:noWrap/>
            <w:vAlign w:val="bottom"/>
          </w:tcPr>
          <w:p w14:paraId="381087E0"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94.5</w:t>
            </w:r>
          </w:p>
        </w:tc>
        <w:tc>
          <w:tcPr>
            <w:tcW w:w="1418" w:type="dxa"/>
            <w:tcBorders>
              <w:top w:val="nil"/>
              <w:left w:val="nil"/>
              <w:bottom w:val="single" w:sz="4" w:space="0" w:color="auto"/>
              <w:right w:val="single" w:sz="4" w:space="0" w:color="auto"/>
            </w:tcBorders>
            <w:noWrap/>
            <w:vAlign w:val="bottom"/>
          </w:tcPr>
          <w:p w14:paraId="6D397BFB"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97.0</w:t>
            </w:r>
          </w:p>
        </w:tc>
        <w:tc>
          <w:tcPr>
            <w:tcW w:w="1559" w:type="dxa"/>
            <w:tcBorders>
              <w:top w:val="nil"/>
              <w:left w:val="nil"/>
              <w:bottom w:val="single" w:sz="4" w:space="0" w:color="auto"/>
              <w:right w:val="single" w:sz="4" w:space="0" w:color="auto"/>
            </w:tcBorders>
            <w:noWrap/>
            <w:vAlign w:val="bottom"/>
          </w:tcPr>
          <w:p w14:paraId="515643B2"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756FD2B6" w14:textId="77777777" w:rsidR="00FF44DF" w:rsidRPr="00C921DE" w:rsidRDefault="00FF44DF" w:rsidP="00FF44DF">
            <w:pPr>
              <w:jc w:val="right"/>
              <w:rPr>
                <w:rFonts w:ascii="Courier New" w:hAnsi="Courier New" w:cs="Courier New"/>
                <w:sz w:val="18"/>
                <w:szCs w:val="18"/>
              </w:rPr>
            </w:pPr>
          </w:p>
        </w:tc>
      </w:tr>
      <w:tr w:rsidR="00FF44DF" w:rsidRPr="00C921DE" w14:paraId="42F368E0"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61D5240D"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ԱԱՀ</w:t>
            </w:r>
          </w:p>
        </w:tc>
        <w:tc>
          <w:tcPr>
            <w:tcW w:w="1559" w:type="dxa"/>
            <w:tcBorders>
              <w:top w:val="nil"/>
              <w:left w:val="nil"/>
              <w:bottom w:val="single" w:sz="4" w:space="0" w:color="auto"/>
              <w:right w:val="single" w:sz="4" w:space="0" w:color="auto"/>
            </w:tcBorders>
            <w:noWrap/>
            <w:vAlign w:val="bottom"/>
          </w:tcPr>
          <w:p w14:paraId="48D4F9A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35.3</w:t>
            </w:r>
          </w:p>
        </w:tc>
        <w:tc>
          <w:tcPr>
            <w:tcW w:w="1418" w:type="dxa"/>
            <w:tcBorders>
              <w:top w:val="nil"/>
              <w:left w:val="nil"/>
              <w:bottom w:val="single" w:sz="4" w:space="0" w:color="auto"/>
              <w:right w:val="single" w:sz="4" w:space="0" w:color="auto"/>
            </w:tcBorders>
            <w:noWrap/>
            <w:vAlign w:val="bottom"/>
          </w:tcPr>
          <w:p w14:paraId="2D7ABAA9"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34.5</w:t>
            </w:r>
          </w:p>
        </w:tc>
        <w:tc>
          <w:tcPr>
            <w:tcW w:w="1559" w:type="dxa"/>
            <w:tcBorders>
              <w:top w:val="nil"/>
              <w:left w:val="nil"/>
              <w:bottom w:val="single" w:sz="4" w:space="0" w:color="auto"/>
              <w:right w:val="single" w:sz="4" w:space="0" w:color="auto"/>
            </w:tcBorders>
            <w:noWrap/>
            <w:vAlign w:val="bottom"/>
          </w:tcPr>
          <w:p w14:paraId="5857BF4F"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39531257" w14:textId="77777777" w:rsidR="00FF44DF" w:rsidRPr="00C921DE" w:rsidRDefault="00FF44DF" w:rsidP="00FF44DF">
            <w:pPr>
              <w:jc w:val="right"/>
              <w:rPr>
                <w:rFonts w:ascii="Courier New" w:hAnsi="Courier New" w:cs="Courier New"/>
                <w:sz w:val="18"/>
                <w:szCs w:val="18"/>
              </w:rPr>
            </w:pPr>
          </w:p>
        </w:tc>
      </w:tr>
      <w:tr w:rsidR="00FF44DF" w:rsidRPr="00C921DE" w14:paraId="5ECD8EF4"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F0B27FA"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Ակցիզային հարկ</w:t>
            </w:r>
          </w:p>
        </w:tc>
        <w:tc>
          <w:tcPr>
            <w:tcW w:w="1559" w:type="dxa"/>
            <w:tcBorders>
              <w:top w:val="nil"/>
              <w:left w:val="nil"/>
              <w:bottom w:val="single" w:sz="4" w:space="0" w:color="auto"/>
              <w:right w:val="single" w:sz="4" w:space="0" w:color="auto"/>
            </w:tcBorders>
            <w:noWrap/>
            <w:vAlign w:val="bottom"/>
          </w:tcPr>
          <w:p w14:paraId="3A096A0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6.6</w:t>
            </w:r>
          </w:p>
        </w:tc>
        <w:tc>
          <w:tcPr>
            <w:tcW w:w="1418" w:type="dxa"/>
            <w:tcBorders>
              <w:top w:val="nil"/>
              <w:left w:val="nil"/>
              <w:bottom w:val="single" w:sz="4" w:space="0" w:color="auto"/>
              <w:right w:val="single" w:sz="4" w:space="0" w:color="auto"/>
            </w:tcBorders>
            <w:noWrap/>
            <w:vAlign w:val="bottom"/>
          </w:tcPr>
          <w:p w14:paraId="1636527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6.7</w:t>
            </w:r>
          </w:p>
        </w:tc>
        <w:tc>
          <w:tcPr>
            <w:tcW w:w="1559" w:type="dxa"/>
            <w:tcBorders>
              <w:top w:val="nil"/>
              <w:left w:val="nil"/>
              <w:bottom w:val="single" w:sz="4" w:space="0" w:color="auto"/>
              <w:right w:val="single" w:sz="4" w:space="0" w:color="auto"/>
            </w:tcBorders>
            <w:noWrap/>
            <w:vAlign w:val="bottom"/>
          </w:tcPr>
          <w:p w14:paraId="3D063543"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32360E41" w14:textId="77777777" w:rsidR="00FF44DF" w:rsidRPr="00C921DE" w:rsidRDefault="00FF44DF" w:rsidP="00FF44DF">
            <w:pPr>
              <w:jc w:val="right"/>
              <w:rPr>
                <w:rFonts w:ascii="Courier New" w:hAnsi="Courier New" w:cs="Courier New"/>
                <w:sz w:val="18"/>
                <w:szCs w:val="18"/>
              </w:rPr>
            </w:pPr>
          </w:p>
        </w:tc>
      </w:tr>
      <w:tr w:rsidR="00FF44DF" w:rsidRPr="00C921DE" w14:paraId="58642399"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EF22174"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Շահութահարկ</w:t>
            </w:r>
          </w:p>
        </w:tc>
        <w:tc>
          <w:tcPr>
            <w:tcW w:w="1559" w:type="dxa"/>
            <w:tcBorders>
              <w:top w:val="nil"/>
              <w:left w:val="nil"/>
              <w:bottom w:val="single" w:sz="4" w:space="0" w:color="auto"/>
              <w:right w:val="single" w:sz="4" w:space="0" w:color="auto"/>
            </w:tcBorders>
            <w:noWrap/>
            <w:vAlign w:val="bottom"/>
          </w:tcPr>
          <w:p w14:paraId="79FA077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11.6</w:t>
            </w:r>
          </w:p>
        </w:tc>
        <w:tc>
          <w:tcPr>
            <w:tcW w:w="1418" w:type="dxa"/>
            <w:tcBorders>
              <w:top w:val="nil"/>
              <w:left w:val="nil"/>
              <w:bottom w:val="single" w:sz="4" w:space="0" w:color="auto"/>
              <w:right w:val="single" w:sz="4" w:space="0" w:color="auto"/>
            </w:tcBorders>
            <w:noWrap/>
            <w:vAlign w:val="bottom"/>
          </w:tcPr>
          <w:p w14:paraId="07FCBC5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14.5</w:t>
            </w:r>
          </w:p>
        </w:tc>
        <w:tc>
          <w:tcPr>
            <w:tcW w:w="1559" w:type="dxa"/>
            <w:tcBorders>
              <w:top w:val="nil"/>
              <w:left w:val="nil"/>
              <w:bottom w:val="single" w:sz="4" w:space="0" w:color="auto"/>
              <w:right w:val="single" w:sz="4" w:space="0" w:color="auto"/>
            </w:tcBorders>
            <w:noWrap/>
            <w:vAlign w:val="bottom"/>
          </w:tcPr>
          <w:p w14:paraId="05D22F4C"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6B6D3A58" w14:textId="77777777" w:rsidR="00FF44DF" w:rsidRPr="00C921DE" w:rsidRDefault="00FF44DF" w:rsidP="00FF44DF">
            <w:pPr>
              <w:jc w:val="right"/>
              <w:rPr>
                <w:rFonts w:ascii="Courier New" w:hAnsi="Courier New" w:cs="Courier New"/>
                <w:sz w:val="18"/>
                <w:szCs w:val="18"/>
              </w:rPr>
            </w:pPr>
          </w:p>
        </w:tc>
      </w:tr>
      <w:tr w:rsidR="00FF44DF" w:rsidRPr="00C921DE" w14:paraId="5391426E"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14B69880"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Մաքսատուրք</w:t>
            </w:r>
          </w:p>
        </w:tc>
        <w:tc>
          <w:tcPr>
            <w:tcW w:w="1559" w:type="dxa"/>
            <w:tcBorders>
              <w:top w:val="nil"/>
              <w:left w:val="nil"/>
              <w:bottom w:val="single" w:sz="4" w:space="0" w:color="auto"/>
              <w:right w:val="single" w:sz="4" w:space="0" w:color="auto"/>
            </w:tcBorders>
            <w:vAlign w:val="bottom"/>
          </w:tcPr>
          <w:p w14:paraId="3C0519E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2.9</w:t>
            </w:r>
          </w:p>
        </w:tc>
        <w:tc>
          <w:tcPr>
            <w:tcW w:w="1418" w:type="dxa"/>
            <w:tcBorders>
              <w:top w:val="nil"/>
              <w:left w:val="nil"/>
              <w:bottom w:val="single" w:sz="4" w:space="0" w:color="auto"/>
              <w:right w:val="single" w:sz="4" w:space="0" w:color="auto"/>
            </w:tcBorders>
            <w:vAlign w:val="bottom"/>
          </w:tcPr>
          <w:p w14:paraId="2ABF7DA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3.4</w:t>
            </w:r>
          </w:p>
        </w:tc>
        <w:tc>
          <w:tcPr>
            <w:tcW w:w="1559" w:type="dxa"/>
            <w:tcBorders>
              <w:top w:val="nil"/>
              <w:left w:val="nil"/>
              <w:bottom w:val="single" w:sz="4" w:space="0" w:color="auto"/>
              <w:right w:val="single" w:sz="4" w:space="0" w:color="auto"/>
            </w:tcBorders>
            <w:noWrap/>
            <w:vAlign w:val="bottom"/>
          </w:tcPr>
          <w:p w14:paraId="0F431A47"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1C53BD48" w14:textId="77777777" w:rsidR="00FF44DF" w:rsidRPr="00C921DE" w:rsidRDefault="00FF44DF" w:rsidP="00FF44DF">
            <w:pPr>
              <w:jc w:val="right"/>
              <w:rPr>
                <w:rFonts w:ascii="Courier New" w:hAnsi="Courier New" w:cs="Courier New"/>
                <w:sz w:val="18"/>
                <w:szCs w:val="18"/>
              </w:rPr>
            </w:pPr>
          </w:p>
        </w:tc>
      </w:tr>
      <w:tr w:rsidR="00FF44DF" w:rsidRPr="00C921DE" w14:paraId="4D9FE75E"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6AE568C"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Եկամտային հարկ</w:t>
            </w:r>
          </w:p>
        </w:tc>
        <w:tc>
          <w:tcPr>
            <w:tcW w:w="1559" w:type="dxa"/>
            <w:tcBorders>
              <w:top w:val="nil"/>
              <w:left w:val="nil"/>
              <w:bottom w:val="single" w:sz="4" w:space="0" w:color="auto"/>
              <w:right w:val="single" w:sz="4" w:space="0" w:color="auto"/>
            </w:tcBorders>
            <w:vAlign w:val="bottom"/>
          </w:tcPr>
          <w:p w14:paraId="693AF18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24.7</w:t>
            </w:r>
          </w:p>
        </w:tc>
        <w:tc>
          <w:tcPr>
            <w:tcW w:w="1418" w:type="dxa"/>
            <w:tcBorders>
              <w:top w:val="nil"/>
              <w:left w:val="nil"/>
              <w:bottom w:val="single" w:sz="4" w:space="0" w:color="auto"/>
              <w:right w:val="single" w:sz="4" w:space="0" w:color="auto"/>
            </w:tcBorders>
            <w:noWrap/>
            <w:vAlign w:val="bottom"/>
          </w:tcPr>
          <w:p w14:paraId="154FC7FE"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25.0</w:t>
            </w:r>
          </w:p>
        </w:tc>
        <w:tc>
          <w:tcPr>
            <w:tcW w:w="1559" w:type="dxa"/>
            <w:tcBorders>
              <w:top w:val="nil"/>
              <w:left w:val="nil"/>
              <w:bottom w:val="single" w:sz="4" w:space="0" w:color="auto"/>
              <w:right w:val="single" w:sz="4" w:space="0" w:color="auto"/>
            </w:tcBorders>
            <w:noWrap/>
            <w:vAlign w:val="bottom"/>
          </w:tcPr>
          <w:p w14:paraId="30B824DB"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236AA746" w14:textId="77777777" w:rsidR="00FF44DF" w:rsidRPr="00C921DE" w:rsidRDefault="00FF44DF" w:rsidP="00FF44DF">
            <w:pPr>
              <w:jc w:val="right"/>
              <w:rPr>
                <w:rFonts w:ascii="Courier New" w:hAnsi="Courier New" w:cs="Courier New"/>
                <w:sz w:val="18"/>
                <w:szCs w:val="18"/>
              </w:rPr>
            </w:pPr>
          </w:p>
        </w:tc>
      </w:tr>
      <w:tr w:rsidR="00FF44DF" w:rsidRPr="00C921DE" w14:paraId="520AD99C"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0A7BF12B"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Շրջանառության հարկ</w:t>
            </w:r>
          </w:p>
        </w:tc>
        <w:tc>
          <w:tcPr>
            <w:tcW w:w="1559" w:type="dxa"/>
            <w:tcBorders>
              <w:top w:val="nil"/>
              <w:left w:val="nil"/>
              <w:bottom w:val="single" w:sz="4" w:space="0" w:color="auto"/>
              <w:right w:val="single" w:sz="4" w:space="0" w:color="auto"/>
            </w:tcBorders>
            <w:vAlign w:val="bottom"/>
          </w:tcPr>
          <w:p w14:paraId="4FDFC74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2.1</w:t>
            </w:r>
          </w:p>
        </w:tc>
        <w:tc>
          <w:tcPr>
            <w:tcW w:w="1418" w:type="dxa"/>
            <w:tcBorders>
              <w:top w:val="nil"/>
              <w:left w:val="nil"/>
              <w:bottom w:val="single" w:sz="4" w:space="0" w:color="auto"/>
              <w:right w:val="single" w:sz="4" w:space="0" w:color="auto"/>
            </w:tcBorders>
            <w:vAlign w:val="bottom"/>
          </w:tcPr>
          <w:p w14:paraId="56EDB62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2.3</w:t>
            </w:r>
          </w:p>
        </w:tc>
        <w:tc>
          <w:tcPr>
            <w:tcW w:w="1559" w:type="dxa"/>
            <w:tcBorders>
              <w:top w:val="nil"/>
              <w:left w:val="nil"/>
              <w:bottom w:val="single" w:sz="4" w:space="0" w:color="auto"/>
              <w:right w:val="single" w:sz="4" w:space="0" w:color="auto"/>
            </w:tcBorders>
            <w:noWrap/>
            <w:vAlign w:val="bottom"/>
          </w:tcPr>
          <w:p w14:paraId="7871E68F"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44A6E779" w14:textId="77777777" w:rsidR="00FF44DF" w:rsidRPr="00C921DE" w:rsidRDefault="00FF44DF" w:rsidP="00FF44DF">
            <w:pPr>
              <w:jc w:val="right"/>
              <w:rPr>
                <w:rFonts w:ascii="Courier New" w:hAnsi="Courier New" w:cs="Courier New"/>
                <w:sz w:val="18"/>
                <w:szCs w:val="18"/>
              </w:rPr>
            </w:pPr>
          </w:p>
        </w:tc>
      </w:tr>
      <w:tr w:rsidR="00FF44DF" w:rsidRPr="00C921DE" w14:paraId="642416DA" w14:textId="77777777" w:rsidTr="00FF44DF">
        <w:trPr>
          <w:trHeight w:val="315"/>
        </w:trPr>
        <w:tc>
          <w:tcPr>
            <w:tcW w:w="4219" w:type="dxa"/>
            <w:tcBorders>
              <w:top w:val="nil"/>
              <w:left w:val="single" w:sz="4" w:space="0" w:color="auto"/>
              <w:bottom w:val="single" w:sz="4" w:space="0" w:color="auto"/>
              <w:right w:val="single" w:sz="4" w:space="0" w:color="auto"/>
            </w:tcBorders>
            <w:vAlign w:val="bottom"/>
          </w:tcPr>
          <w:p w14:paraId="054B088C"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Սոցիալական վճար (կուտակային կենսաթոշակից)</w:t>
            </w:r>
          </w:p>
        </w:tc>
        <w:tc>
          <w:tcPr>
            <w:tcW w:w="1559" w:type="dxa"/>
            <w:tcBorders>
              <w:top w:val="nil"/>
              <w:left w:val="nil"/>
              <w:bottom w:val="single" w:sz="4" w:space="0" w:color="auto"/>
              <w:right w:val="single" w:sz="4" w:space="0" w:color="auto"/>
            </w:tcBorders>
            <w:noWrap/>
            <w:vAlign w:val="bottom"/>
          </w:tcPr>
          <w:p w14:paraId="2A93924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3.3</w:t>
            </w:r>
          </w:p>
        </w:tc>
        <w:tc>
          <w:tcPr>
            <w:tcW w:w="1418" w:type="dxa"/>
            <w:tcBorders>
              <w:top w:val="nil"/>
              <w:left w:val="nil"/>
              <w:bottom w:val="single" w:sz="4" w:space="0" w:color="auto"/>
              <w:right w:val="single" w:sz="4" w:space="0" w:color="auto"/>
            </w:tcBorders>
            <w:noWrap/>
            <w:vAlign w:val="bottom"/>
          </w:tcPr>
          <w:p w14:paraId="7A5FF9E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4.1</w:t>
            </w:r>
          </w:p>
        </w:tc>
        <w:tc>
          <w:tcPr>
            <w:tcW w:w="1559" w:type="dxa"/>
            <w:tcBorders>
              <w:top w:val="nil"/>
              <w:left w:val="nil"/>
              <w:bottom w:val="single" w:sz="4" w:space="0" w:color="auto"/>
              <w:right w:val="single" w:sz="4" w:space="0" w:color="auto"/>
            </w:tcBorders>
            <w:noWrap/>
            <w:vAlign w:val="bottom"/>
          </w:tcPr>
          <w:p w14:paraId="4F02BE4D"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374B7068" w14:textId="77777777" w:rsidR="00FF44DF" w:rsidRPr="00C921DE" w:rsidRDefault="00FF44DF" w:rsidP="00FF44DF">
            <w:pPr>
              <w:jc w:val="right"/>
              <w:rPr>
                <w:rFonts w:ascii="Courier New" w:hAnsi="Courier New" w:cs="Courier New"/>
                <w:sz w:val="18"/>
                <w:szCs w:val="18"/>
              </w:rPr>
            </w:pPr>
          </w:p>
        </w:tc>
      </w:tr>
      <w:tr w:rsidR="00FF44DF" w:rsidRPr="00C921DE" w14:paraId="1C70E698" w14:textId="77777777" w:rsidTr="00FF44DF">
        <w:trPr>
          <w:trHeight w:val="315"/>
        </w:trPr>
        <w:tc>
          <w:tcPr>
            <w:tcW w:w="4219" w:type="dxa"/>
            <w:tcBorders>
              <w:top w:val="nil"/>
              <w:left w:val="single" w:sz="4" w:space="0" w:color="auto"/>
              <w:bottom w:val="single" w:sz="4" w:space="0" w:color="auto"/>
              <w:right w:val="single" w:sz="4" w:space="0" w:color="auto"/>
            </w:tcBorders>
            <w:vAlign w:val="bottom"/>
          </w:tcPr>
          <w:p w14:paraId="578D9790"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Բնապահպանական հարկ և բնօգտագործման վճար</w:t>
            </w:r>
          </w:p>
        </w:tc>
        <w:tc>
          <w:tcPr>
            <w:tcW w:w="1559" w:type="dxa"/>
            <w:tcBorders>
              <w:top w:val="nil"/>
              <w:left w:val="nil"/>
              <w:bottom w:val="single" w:sz="4" w:space="0" w:color="auto"/>
              <w:right w:val="single" w:sz="4" w:space="0" w:color="auto"/>
            </w:tcBorders>
            <w:noWrap/>
            <w:vAlign w:val="bottom"/>
          </w:tcPr>
          <w:p w14:paraId="6DFC5E8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5.0</w:t>
            </w:r>
          </w:p>
        </w:tc>
        <w:tc>
          <w:tcPr>
            <w:tcW w:w="1418" w:type="dxa"/>
            <w:tcBorders>
              <w:top w:val="nil"/>
              <w:left w:val="nil"/>
              <w:bottom w:val="single" w:sz="4" w:space="0" w:color="auto"/>
              <w:right w:val="single" w:sz="4" w:space="0" w:color="auto"/>
            </w:tcBorders>
            <w:noWrap/>
            <w:vAlign w:val="bottom"/>
          </w:tcPr>
          <w:p w14:paraId="05C269F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2.7</w:t>
            </w:r>
          </w:p>
        </w:tc>
        <w:tc>
          <w:tcPr>
            <w:tcW w:w="1559" w:type="dxa"/>
            <w:tcBorders>
              <w:top w:val="nil"/>
              <w:left w:val="nil"/>
              <w:bottom w:val="single" w:sz="4" w:space="0" w:color="auto"/>
              <w:right w:val="single" w:sz="4" w:space="0" w:color="auto"/>
            </w:tcBorders>
            <w:noWrap/>
            <w:vAlign w:val="bottom"/>
          </w:tcPr>
          <w:p w14:paraId="0E68AA6A"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605E4B05" w14:textId="77777777" w:rsidR="00FF44DF" w:rsidRPr="00C921DE" w:rsidRDefault="00FF44DF" w:rsidP="00FF44DF">
            <w:pPr>
              <w:jc w:val="right"/>
              <w:rPr>
                <w:rFonts w:ascii="Courier New" w:hAnsi="Courier New" w:cs="Courier New"/>
                <w:sz w:val="18"/>
                <w:szCs w:val="18"/>
              </w:rPr>
            </w:pPr>
          </w:p>
        </w:tc>
      </w:tr>
      <w:tr w:rsidR="00FF44DF" w:rsidRPr="00C921DE" w14:paraId="7F3C4D61"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324B1EA6"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lang w:val="en-US"/>
              </w:rPr>
              <w:t>Ա</w:t>
            </w:r>
            <w:r w:rsidRPr="00C921DE">
              <w:rPr>
                <w:rFonts w:ascii="GHEA Grapalat" w:hAnsi="GHEA Grapalat" w:cs="Calibri"/>
                <w:sz w:val="18"/>
                <w:szCs w:val="18"/>
              </w:rPr>
              <w:t>յլ հարկեր</w:t>
            </w:r>
          </w:p>
        </w:tc>
        <w:tc>
          <w:tcPr>
            <w:tcW w:w="1559" w:type="dxa"/>
            <w:tcBorders>
              <w:top w:val="nil"/>
              <w:left w:val="nil"/>
              <w:bottom w:val="single" w:sz="4" w:space="0" w:color="auto"/>
              <w:right w:val="single" w:sz="4" w:space="0" w:color="auto"/>
            </w:tcBorders>
            <w:noWrap/>
            <w:vAlign w:val="bottom"/>
          </w:tcPr>
          <w:p w14:paraId="06E3A07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2.9</w:t>
            </w:r>
          </w:p>
        </w:tc>
        <w:tc>
          <w:tcPr>
            <w:tcW w:w="1418" w:type="dxa"/>
            <w:tcBorders>
              <w:top w:val="nil"/>
              <w:left w:val="nil"/>
              <w:bottom w:val="single" w:sz="4" w:space="0" w:color="auto"/>
              <w:right w:val="single" w:sz="4" w:space="0" w:color="auto"/>
            </w:tcBorders>
            <w:noWrap/>
            <w:vAlign w:val="bottom"/>
          </w:tcPr>
          <w:p w14:paraId="658EFC9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3.8</w:t>
            </w:r>
          </w:p>
        </w:tc>
        <w:tc>
          <w:tcPr>
            <w:tcW w:w="1559" w:type="dxa"/>
            <w:tcBorders>
              <w:top w:val="nil"/>
              <w:left w:val="nil"/>
              <w:bottom w:val="single" w:sz="4" w:space="0" w:color="auto"/>
              <w:right w:val="single" w:sz="4" w:space="0" w:color="auto"/>
            </w:tcBorders>
            <w:noWrap/>
            <w:vAlign w:val="bottom"/>
          </w:tcPr>
          <w:p w14:paraId="397D427D" w14:textId="77777777" w:rsidR="00FF44DF" w:rsidRPr="00C921DE" w:rsidRDefault="00FF44DF" w:rsidP="00FF44DF">
            <w:pPr>
              <w:jc w:val="right"/>
              <w:rPr>
                <w:rFonts w:ascii="GHEA Grapalat" w:hAnsi="GHEA Grapalat" w:cs="Calibri"/>
                <w:sz w:val="18"/>
                <w:szCs w:val="18"/>
              </w:rPr>
            </w:pPr>
            <w:r w:rsidRPr="00C921DE">
              <w:rPr>
                <w:rFonts w:ascii="Courier New" w:hAnsi="Courier New" w:cs="Courier New"/>
                <w:sz w:val="18"/>
                <w:szCs w:val="18"/>
              </w:rPr>
              <w:t> </w:t>
            </w:r>
          </w:p>
        </w:tc>
        <w:tc>
          <w:tcPr>
            <w:tcW w:w="1418" w:type="dxa"/>
            <w:tcBorders>
              <w:top w:val="nil"/>
              <w:left w:val="nil"/>
              <w:bottom w:val="single" w:sz="4" w:space="0" w:color="auto"/>
              <w:right w:val="single" w:sz="4" w:space="0" w:color="auto"/>
            </w:tcBorders>
            <w:vAlign w:val="bottom"/>
          </w:tcPr>
          <w:p w14:paraId="156C8523" w14:textId="77777777" w:rsidR="00FF44DF" w:rsidRPr="00C921DE" w:rsidRDefault="00FF44DF" w:rsidP="00FF44DF">
            <w:pPr>
              <w:jc w:val="right"/>
              <w:rPr>
                <w:rFonts w:ascii="Courier New" w:hAnsi="Courier New" w:cs="Courier New"/>
                <w:sz w:val="18"/>
                <w:szCs w:val="18"/>
              </w:rPr>
            </w:pPr>
          </w:p>
        </w:tc>
      </w:tr>
      <w:tr w:rsidR="00FF44DF" w:rsidRPr="00C921DE" w14:paraId="740A2BC6" w14:textId="77777777" w:rsidTr="00FF44DF">
        <w:trPr>
          <w:trHeight w:val="289"/>
        </w:trPr>
        <w:tc>
          <w:tcPr>
            <w:tcW w:w="4219" w:type="dxa"/>
            <w:tcBorders>
              <w:top w:val="nil"/>
              <w:left w:val="single" w:sz="4" w:space="0" w:color="auto"/>
              <w:bottom w:val="single" w:sz="4" w:space="0" w:color="auto"/>
              <w:right w:val="single" w:sz="4" w:space="0" w:color="auto"/>
            </w:tcBorders>
            <w:vAlign w:val="bottom"/>
          </w:tcPr>
          <w:p w14:paraId="47716EE2"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2. Պետական տուրք</w:t>
            </w:r>
          </w:p>
        </w:tc>
        <w:tc>
          <w:tcPr>
            <w:tcW w:w="1559" w:type="dxa"/>
            <w:tcBorders>
              <w:top w:val="nil"/>
              <w:left w:val="nil"/>
              <w:bottom w:val="single" w:sz="4" w:space="0" w:color="auto"/>
              <w:right w:val="single" w:sz="4" w:space="0" w:color="auto"/>
            </w:tcBorders>
            <w:noWrap/>
            <w:vAlign w:val="bottom"/>
          </w:tcPr>
          <w:p w14:paraId="65B7BCA0"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5.5</w:t>
            </w:r>
          </w:p>
        </w:tc>
        <w:tc>
          <w:tcPr>
            <w:tcW w:w="1418" w:type="dxa"/>
            <w:tcBorders>
              <w:top w:val="nil"/>
              <w:left w:val="nil"/>
              <w:bottom w:val="single" w:sz="4" w:space="0" w:color="auto"/>
              <w:right w:val="single" w:sz="4" w:space="0" w:color="auto"/>
            </w:tcBorders>
            <w:noWrap/>
            <w:vAlign w:val="bottom"/>
          </w:tcPr>
          <w:p w14:paraId="54CC2EE0"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3.0</w:t>
            </w:r>
          </w:p>
        </w:tc>
        <w:tc>
          <w:tcPr>
            <w:tcW w:w="1559" w:type="dxa"/>
            <w:tcBorders>
              <w:top w:val="nil"/>
              <w:left w:val="nil"/>
              <w:bottom w:val="single" w:sz="4" w:space="0" w:color="auto"/>
              <w:right w:val="single" w:sz="4" w:space="0" w:color="auto"/>
            </w:tcBorders>
            <w:noWrap/>
            <w:vAlign w:val="bottom"/>
          </w:tcPr>
          <w:p w14:paraId="382F1EAB" w14:textId="77777777" w:rsidR="00FF44DF" w:rsidRPr="00C921DE" w:rsidRDefault="00FF44DF" w:rsidP="00FF44DF">
            <w:pPr>
              <w:jc w:val="right"/>
              <w:rPr>
                <w:rFonts w:ascii="GHEA Grapalat" w:hAnsi="GHEA Grapalat" w:cs="Calibri"/>
                <w:b/>
                <w:bCs/>
                <w:sz w:val="18"/>
                <w:szCs w:val="18"/>
              </w:rPr>
            </w:pPr>
          </w:p>
        </w:tc>
        <w:tc>
          <w:tcPr>
            <w:tcW w:w="1418" w:type="dxa"/>
            <w:tcBorders>
              <w:top w:val="nil"/>
              <w:left w:val="nil"/>
              <w:bottom w:val="single" w:sz="4" w:space="0" w:color="auto"/>
              <w:right w:val="single" w:sz="4" w:space="0" w:color="auto"/>
            </w:tcBorders>
            <w:vAlign w:val="bottom"/>
          </w:tcPr>
          <w:p w14:paraId="02B8510E" w14:textId="77777777" w:rsidR="00FF44DF" w:rsidRPr="00C921DE" w:rsidRDefault="00FF44DF" w:rsidP="00FF44DF">
            <w:pPr>
              <w:jc w:val="right"/>
              <w:rPr>
                <w:rFonts w:ascii="GHEA Grapalat" w:hAnsi="GHEA Grapalat" w:cs="Calibri"/>
                <w:b/>
                <w:bCs/>
                <w:sz w:val="18"/>
                <w:szCs w:val="18"/>
              </w:rPr>
            </w:pPr>
          </w:p>
        </w:tc>
      </w:tr>
    </w:tbl>
    <w:p w14:paraId="453E32C8"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p>
    <w:p w14:paraId="7E2F0A21" w14:textId="77777777" w:rsidR="00FF44DF" w:rsidRPr="00C921DE" w:rsidRDefault="00FF44DF" w:rsidP="00FF44DF">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Հաշվետու ժամանակահատվածի հարկային եկամուտների և պետական տուրքերի 34.5%</w:t>
      </w:r>
      <w:r w:rsidRPr="00C921DE">
        <w:rPr>
          <w:rFonts w:ascii="GHEA Grapalat" w:hAnsi="GHEA Grapalat" w:cs="GHEA Grapalat"/>
          <w:sz w:val="22"/>
          <w:szCs w:val="22"/>
        </w:rPr>
        <w:noBreakHyphen/>
        <w:t xml:space="preserve">ն ապահովվել է </w:t>
      </w:r>
      <w:r w:rsidRPr="00C921DE">
        <w:rPr>
          <w:rFonts w:ascii="GHEA Grapalat" w:hAnsi="GHEA Grapalat" w:cs="GHEA Grapalat"/>
          <w:i/>
          <w:sz w:val="22"/>
          <w:szCs w:val="22"/>
        </w:rPr>
        <w:t>ավելացված արժեքի հարկի</w:t>
      </w:r>
      <w:r w:rsidRPr="00C921DE">
        <w:rPr>
          <w:rFonts w:ascii="GHEA Grapalat" w:hAnsi="GHEA Grapalat" w:cs="GHEA Grapalat"/>
          <w:sz w:val="22"/>
          <w:szCs w:val="22"/>
        </w:rPr>
        <w:t xml:space="preserve"> հաշվին՝ կազմելով շուրջ 767.2 մլրդ դրամ: Նախորդ տարվա համեմատ ԱԱՀ-ի մուտքերի աճը հիմնականում պայմանավորված է ԵԱՏՄ անդամ չհանդիսացող պետություններից ներմուծվող ապրանքներից ստացված մուտքերի աճով:</w:t>
      </w:r>
    </w:p>
    <w:p w14:paraId="6DA48E45" w14:textId="77777777" w:rsidR="00FF44DF" w:rsidRPr="00C921DE" w:rsidRDefault="00FF44DF" w:rsidP="00FF44DF">
      <w:pPr>
        <w:ind w:firstLine="567"/>
        <w:jc w:val="both"/>
        <w:rPr>
          <w:rFonts w:ascii="GHEA Grapalat" w:hAnsi="GHEA Grapalat" w:cs="GHEA Grapalat"/>
        </w:rPr>
      </w:pPr>
    </w:p>
    <w:p w14:paraId="5CF2D7B0"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ԱԱՀ-ի գծով ՀՀ պետական բյուջեի մուտքերը (մլրդ դրամ)</w:t>
      </w:r>
    </w:p>
    <w:tbl>
      <w:tblPr>
        <w:tblW w:w="10205" w:type="dxa"/>
        <w:tblLook w:val="00A0" w:firstRow="1" w:lastRow="0" w:firstColumn="1" w:lastColumn="0" w:noHBand="0" w:noVBand="0"/>
      </w:tblPr>
      <w:tblGrid>
        <w:gridCol w:w="4479"/>
        <w:gridCol w:w="1405"/>
        <w:gridCol w:w="1593"/>
        <w:gridCol w:w="1372"/>
        <w:gridCol w:w="1356"/>
      </w:tblGrid>
      <w:tr w:rsidR="00FF44DF" w:rsidRPr="00C921DE" w14:paraId="3048095A" w14:textId="77777777" w:rsidTr="00FF44DF">
        <w:trPr>
          <w:trHeight w:val="855"/>
        </w:trPr>
        <w:tc>
          <w:tcPr>
            <w:tcW w:w="4479" w:type="dxa"/>
            <w:tcBorders>
              <w:top w:val="single" w:sz="4" w:space="0" w:color="auto"/>
              <w:left w:val="single" w:sz="4" w:space="0" w:color="auto"/>
              <w:bottom w:val="single" w:sz="4" w:space="0" w:color="auto"/>
              <w:right w:val="single" w:sz="4" w:space="0" w:color="auto"/>
            </w:tcBorders>
            <w:noWrap/>
            <w:vAlign w:val="bottom"/>
          </w:tcPr>
          <w:p w14:paraId="6B49670F"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1405" w:type="dxa"/>
            <w:tcBorders>
              <w:top w:val="single" w:sz="4" w:space="0" w:color="auto"/>
              <w:left w:val="nil"/>
              <w:bottom w:val="single" w:sz="4" w:space="0" w:color="auto"/>
              <w:right w:val="single" w:sz="4" w:space="0" w:color="auto"/>
            </w:tcBorders>
          </w:tcPr>
          <w:p w14:paraId="7A038868"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2022թ. </w:t>
            </w:r>
            <w:r w:rsidRPr="00C921DE">
              <w:rPr>
                <w:rFonts w:ascii="GHEA Grapalat" w:hAnsi="GHEA Grapalat" w:cs="Calibri"/>
                <w:b/>
                <w:bCs/>
                <w:sz w:val="18"/>
                <w:szCs w:val="18"/>
              </w:rPr>
              <w:br/>
              <w:t>փաստ</w:t>
            </w:r>
          </w:p>
        </w:tc>
        <w:tc>
          <w:tcPr>
            <w:tcW w:w="1593" w:type="dxa"/>
            <w:tcBorders>
              <w:top w:val="single" w:sz="4" w:space="0" w:color="auto"/>
              <w:left w:val="nil"/>
              <w:bottom w:val="single" w:sz="4" w:space="0" w:color="auto"/>
              <w:right w:val="single" w:sz="4" w:space="0" w:color="auto"/>
            </w:tcBorders>
            <w:shd w:val="clear" w:color="000000" w:fill="FFFFFF"/>
          </w:tcPr>
          <w:p w14:paraId="7494F597"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2023թ. </w:t>
            </w:r>
            <w:r w:rsidRPr="00C921DE">
              <w:rPr>
                <w:rFonts w:ascii="GHEA Grapalat" w:hAnsi="GHEA Grapalat" w:cs="Calibri"/>
                <w:b/>
                <w:bCs/>
                <w:sz w:val="18"/>
                <w:szCs w:val="18"/>
              </w:rPr>
              <w:br/>
              <w:t>փաստ</w:t>
            </w:r>
          </w:p>
        </w:tc>
        <w:tc>
          <w:tcPr>
            <w:tcW w:w="1372" w:type="dxa"/>
            <w:tcBorders>
              <w:top w:val="single" w:sz="4" w:space="0" w:color="auto"/>
              <w:left w:val="nil"/>
              <w:bottom w:val="single" w:sz="4" w:space="0" w:color="auto"/>
              <w:right w:val="single" w:sz="4" w:space="0" w:color="auto"/>
            </w:tcBorders>
            <w:shd w:val="clear" w:color="000000" w:fill="FFFFFF"/>
          </w:tcPr>
          <w:p w14:paraId="119E8CC8"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2023թ. </w:t>
            </w:r>
          </w:p>
          <w:p w14:paraId="0A8B8FEE" w14:textId="0DDEBDC2"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2022թ.</w:t>
            </w:r>
            <w:r w:rsidR="00B74439"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271D4493"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356" w:type="dxa"/>
            <w:tcBorders>
              <w:top w:val="single" w:sz="4" w:space="0" w:color="auto"/>
              <w:left w:val="nil"/>
              <w:bottom w:val="single" w:sz="4" w:space="0" w:color="auto"/>
              <w:right w:val="single" w:sz="4" w:space="0" w:color="auto"/>
            </w:tcBorders>
            <w:shd w:val="clear" w:color="000000" w:fill="FFFFFF"/>
          </w:tcPr>
          <w:p w14:paraId="28DC8E33"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43550EB8" w14:textId="77777777" w:rsidTr="00FF44DF">
        <w:trPr>
          <w:trHeight w:val="289"/>
        </w:trPr>
        <w:tc>
          <w:tcPr>
            <w:tcW w:w="4479" w:type="dxa"/>
            <w:tcBorders>
              <w:top w:val="nil"/>
              <w:left w:val="single" w:sz="4" w:space="0" w:color="auto"/>
              <w:bottom w:val="single" w:sz="4" w:space="0" w:color="auto"/>
              <w:right w:val="single" w:sz="4" w:space="0" w:color="auto"/>
            </w:tcBorders>
            <w:vAlign w:val="bottom"/>
          </w:tcPr>
          <w:p w14:paraId="569B9ED5" w14:textId="77777777" w:rsidR="00FF44DF" w:rsidRPr="00C921DE" w:rsidRDefault="00FF44DF" w:rsidP="00FF44DF">
            <w:pPr>
              <w:rPr>
                <w:rFonts w:ascii="GHEA Grapalat" w:hAnsi="GHEA Grapalat" w:cs="Calibri"/>
                <w:b/>
                <w:bCs/>
                <w:sz w:val="18"/>
                <w:szCs w:val="18"/>
                <w:lang w:val="en-US"/>
              </w:rPr>
            </w:pPr>
            <w:r w:rsidRPr="00C921DE">
              <w:rPr>
                <w:rFonts w:ascii="GHEA Grapalat" w:hAnsi="GHEA Grapalat" w:cs="Calibri"/>
                <w:b/>
                <w:bCs/>
                <w:sz w:val="18"/>
                <w:szCs w:val="18"/>
              </w:rPr>
              <w:t>Ավելացված արժեքի հարկ</w:t>
            </w:r>
          </w:p>
        </w:tc>
        <w:tc>
          <w:tcPr>
            <w:tcW w:w="1405" w:type="dxa"/>
            <w:tcBorders>
              <w:top w:val="single" w:sz="4" w:space="0" w:color="auto"/>
              <w:left w:val="single" w:sz="4" w:space="0" w:color="auto"/>
              <w:bottom w:val="single" w:sz="4" w:space="0" w:color="auto"/>
              <w:right w:val="single" w:sz="4" w:space="0" w:color="auto"/>
            </w:tcBorders>
            <w:vAlign w:val="bottom"/>
          </w:tcPr>
          <w:p w14:paraId="2B2922C1"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679.6</w:t>
            </w:r>
          </w:p>
        </w:tc>
        <w:tc>
          <w:tcPr>
            <w:tcW w:w="1593" w:type="dxa"/>
            <w:tcBorders>
              <w:top w:val="nil"/>
              <w:left w:val="nil"/>
              <w:bottom w:val="single" w:sz="4" w:space="0" w:color="auto"/>
              <w:right w:val="single" w:sz="4" w:space="0" w:color="auto"/>
            </w:tcBorders>
            <w:noWrap/>
            <w:vAlign w:val="bottom"/>
          </w:tcPr>
          <w:p w14:paraId="642703A1"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767.2</w:t>
            </w:r>
          </w:p>
        </w:tc>
        <w:tc>
          <w:tcPr>
            <w:tcW w:w="1372" w:type="dxa"/>
            <w:tcBorders>
              <w:top w:val="nil"/>
              <w:left w:val="nil"/>
              <w:bottom w:val="single" w:sz="4" w:space="0" w:color="auto"/>
              <w:right w:val="single" w:sz="4" w:space="0" w:color="auto"/>
            </w:tcBorders>
            <w:vAlign w:val="bottom"/>
          </w:tcPr>
          <w:p w14:paraId="47C31633"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112.9</w:t>
            </w:r>
          </w:p>
        </w:tc>
        <w:tc>
          <w:tcPr>
            <w:tcW w:w="1356" w:type="dxa"/>
            <w:tcBorders>
              <w:top w:val="nil"/>
              <w:left w:val="nil"/>
              <w:bottom w:val="single" w:sz="4" w:space="0" w:color="auto"/>
              <w:right w:val="single" w:sz="4" w:space="0" w:color="auto"/>
            </w:tcBorders>
            <w:vAlign w:val="bottom"/>
          </w:tcPr>
          <w:p w14:paraId="22376CC9"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87.6</w:t>
            </w:r>
          </w:p>
        </w:tc>
      </w:tr>
      <w:tr w:rsidR="00FF44DF" w:rsidRPr="00C921DE" w14:paraId="0821E31D" w14:textId="77777777" w:rsidTr="00FF44DF">
        <w:trPr>
          <w:trHeight w:val="289"/>
        </w:trPr>
        <w:tc>
          <w:tcPr>
            <w:tcW w:w="4479" w:type="dxa"/>
            <w:tcBorders>
              <w:top w:val="nil"/>
              <w:left w:val="single" w:sz="4" w:space="0" w:color="auto"/>
              <w:bottom w:val="single" w:sz="4" w:space="0" w:color="auto"/>
              <w:right w:val="single" w:sz="4" w:space="0" w:color="auto"/>
            </w:tcBorders>
            <w:noWrap/>
            <w:vAlign w:val="bottom"/>
          </w:tcPr>
          <w:p w14:paraId="31228F6C"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lastRenderedPageBreak/>
              <w:t>Ներմուծումից, այդ թվում՝</w:t>
            </w:r>
          </w:p>
        </w:tc>
        <w:tc>
          <w:tcPr>
            <w:tcW w:w="1405" w:type="dxa"/>
            <w:tcBorders>
              <w:top w:val="nil"/>
              <w:left w:val="single" w:sz="4" w:space="0" w:color="auto"/>
              <w:bottom w:val="single" w:sz="4" w:space="0" w:color="auto"/>
              <w:right w:val="single" w:sz="4" w:space="0" w:color="auto"/>
            </w:tcBorders>
            <w:vAlign w:val="bottom"/>
          </w:tcPr>
          <w:p w14:paraId="15E4EF4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443.1</w:t>
            </w:r>
          </w:p>
        </w:tc>
        <w:tc>
          <w:tcPr>
            <w:tcW w:w="1593" w:type="dxa"/>
            <w:tcBorders>
              <w:top w:val="nil"/>
              <w:left w:val="nil"/>
              <w:bottom w:val="single" w:sz="4" w:space="0" w:color="auto"/>
              <w:right w:val="single" w:sz="4" w:space="0" w:color="auto"/>
            </w:tcBorders>
            <w:noWrap/>
            <w:vAlign w:val="bottom"/>
          </w:tcPr>
          <w:p w14:paraId="0ABBACB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516.9</w:t>
            </w:r>
          </w:p>
        </w:tc>
        <w:tc>
          <w:tcPr>
            <w:tcW w:w="1372" w:type="dxa"/>
            <w:tcBorders>
              <w:top w:val="nil"/>
              <w:left w:val="nil"/>
              <w:bottom w:val="single" w:sz="4" w:space="0" w:color="auto"/>
              <w:right w:val="single" w:sz="4" w:space="0" w:color="auto"/>
            </w:tcBorders>
            <w:vAlign w:val="bottom"/>
          </w:tcPr>
          <w:p w14:paraId="5CDCC37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116.7</w:t>
            </w:r>
          </w:p>
        </w:tc>
        <w:tc>
          <w:tcPr>
            <w:tcW w:w="1356" w:type="dxa"/>
            <w:tcBorders>
              <w:top w:val="nil"/>
              <w:left w:val="nil"/>
              <w:bottom w:val="single" w:sz="4" w:space="0" w:color="auto"/>
              <w:right w:val="single" w:sz="4" w:space="0" w:color="auto"/>
            </w:tcBorders>
            <w:vAlign w:val="bottom"/>
          </w:tcPr>
          <w:p w14:paraId="1C446D4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73.9</w:t>
            </w:r>
          </w:p>
        </w:tc>
      </w:tr>
      <w:tr w:rsidR="00FF44DF" w:rsidRPr="00C921DE" w14:paraId="43D04394" w14:textId="77777777" w:rsidTr="00FF44DF">
        <w:trPr>
          <w:trHeight w:val="289"/>
        </w:trPr>
        <w:tc>
          <w:tcPr>
            <w:tcW w:w="4479" w:type="dxa"/>
            <w:tcBorders>
              <w:top w:val="nil"/>
              <w:left w:val="single" w:sz="4" w:space="0" w:color="auto"/>
              <w:bottom w:val="single" w:sz="4" w:space="0" w:color="auto"/>
              <w:right w:val="single" w:sz="4" w:space="0" w:color="auto"/>
            </w:tcBorders>
            <w:noWrap/>
            <w:vAlign w:val="bottom"/>
          </w:tcPr>
          <w:p w14:paraId="17129599" w14:textId="77777777" w:rsidR="00FF44DF" w:rsidRPr="00C921DE" w:rsidRDefault="00FF44DF" w:rsidP="00AF07CE">
            <w:pPr>
              <w:pStyle w:val="ListParagraph"/>
              <w:numPr>
                <w:ilvl w:val="0"/>
                <w:numId w:val="31"/>
              </w:numPr>
              <w:tabs>
                <w:tab w:val="left" w:pos="459"/>
              </w:tabs>
              <w:spacing w:after="0" w:line="240" w:lineRule="auto"/>
              <w:ind w:left="34" w:firstLine="236"/>
              <w:rPr>
                <w:rFonts w:ascii="GHEA Grapalat" w:hAnsi="GHEA Grapalat"/>
                <w:sz w:val="18"/>
                <w:szCs w:val="18"/>
                <w:lang w:val="hy-AM"/>
              </w:rPr>
            </w:pPr>
            <w:r w:rsidRPr="00C921DE">
              <w:rPr>
                <w:rFonts w:ascii="GHEA Grapalat" w:hAnsi="GHEA Grapalat"/>
                <w:sz w:val="18"/>
                <w:szCs w:val="18"/>
                <w:lang w:val="hy-AM"/>
              </w:rPr>
              <w:t>ԵԱՏՄ երկրներից</w:t>
            </w:r>
          </w:p>
        </w:tc>
        <w:tc>
          <w:tcPr>
            <w:tcW w:w="1405" w:type="dxa"/>
            <w:tcBorders>
              <w:top w:val="nil"/>
              <w:left w:val="single" w:sz="4" w:space="0" w:color="auto"/>
              <w:bottom w:val="single" w:sz="4" w:space="0" w:color="auto"/>
              <w:right w:val="single" w:sz="4" w:space="0" w:color="auto"/>
            </w:tcBorders>
            <w:vAlign w:val="bottom"/>
          </w:tcPr>
          <w:p w14:paraId="3F01BBB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160.1</w:t>
            </w:r>
          </w:p>
        </w:tc>
        <w:tc>
          <w:tcPr>
            <w:tcW w:w="1593" w:type="dxa"/>
            <w:tcBorders>
              <w:top w:val="nil"/>
              <w:left w:val="nil"/>
              <w:bottom w:val="single" w:sz="4" w:space="0" w:color="auto"/>
              <w:right w:val="single" w:sz="4" w:space="0" w:color="auto"/>
            </w:tcBorders>
            <w:noWrap/>
            <w:vAlign w:val="bottom"/>
          </w:tcPr>
          <w:p w14:paraId="408A361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158.0</w:t>
            </w:r>
          </w:p>
        </w:tc>
        <w:tc>
          <w:tcPr>
            <w:tcW w:w="1372" w:type="dxa"/>
            <w:tcBorders>
              <w:top w:val="nil"/>
              <w:left w:val="nil"/>
              <w:bottom w:val="single" w:sz="4" w:space="0" w:color="auto"/>
              <w:right w:val="single" w:sz="4" w:space="0" w:color="auto"/>
            </w:tcBorders>
            <w:vAlign w:val="bottom"/>
          </w:tcPr>
          <w:p w14:paraId="114AD4F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98.6</w:t>
            </w:r>
          </w:p>
        </w:tc>
        <w:tc>
          <w:tcPr>
            <w:tcW w:w="1356" w:type="dxa"/>
            <w:tcBorders>
              <w:top w:val="nil"/>
              <w:left w:val="nil"/>
              <w:bottom w:val="single" w:sz="4" w:space="0" w:color="auto"/>
              <w:right w:val="single" w:sz="4" w:space="0" w:color="auto"/>
            </w:tcBorders>
            <w:vAlign w:val="bottom"/>
          </w:tcPr>
          <w:p w14:paraId="7ED81CA8"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2.2</w:t>
            </w:r>
            <w:r w:rsidRPr="00C921DE">
              <w:rPr>
                <w:rFonts w:ascii="GHEA Grapalat" w:hAnsi="GHEA Grapalat" w:cs="Calibri"/>
                <w:sz w:val="18"/>
                <w:szCs w:val="18"/>
                <w:lang w:val="en-US"/>
              </w:rPr>
              <w:t>)</w:t>
            </w:r>
          </w:p>
        </w:tc>
      </w:tr>
      <w:tr w:rsidR="00FF44DF" w:rsidRPr="00C921DE" w14:paraId="5E381847" w14:textId="77777777" w:rsidTr="00FF44DF">
        <w:trPr>
          <w:trHeight w:val="289"/>
        </w:trPr>
        <w:tc>
          <w:tcPr>
            <w:tcW w:w="4479" w:type="dxa"/>
            <w:tcBorders>
              <w:top w:val="nil"/>
              <w:left w:val="single" w:sz="4" w:space="0" w:color="auto"/>
              <w:bottom w:val="single" w:sz="4" w:space="0" w:color="auto"/>
              <w:right w:val="single" w:sz="4" w:space="0" w:color="auto"/>
            </w:tcBorders>
            <w:noWrap/>
            <w:vAlign w:val="bottom"/>
          </w:tcPr>
          <w:p w14:paraId="27BD69FF"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Ներքին շրջանառությունից</w:t>
            </w:r>
          </w:p>
        </w:tc>
        <w:tc>
          <w:tcPr>
            <w:tcW w:w="1405" w:type="dxa"/>
            <w:tcBorders>
              <w:top w:val="nil"/>
              <w:left w:val="single" w:sz="4" w:space="0" w:color="auto"/>
              <w:bottom w:val="single" w:sz="4" w:space="0" w:color="auto"/>
              <w:right w:val="single" w:sz="4" w:space="0" w:color="auto"/>
            </w:tcBorders>
            <w:vAlign w:val="bottom"/>
          </w:tcPr>
          <w:p w14:paraId="28981E5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236.5</w:t>
            </w:r>
          </w:p>
        </w:tc>
        <w:tc>
          <w:tcPr>
            <w:tcW w:w="1593" w:type="dxa"/>
            <w:tcBorders>
              <w:top w:val="nil"/>
              <w:left w:val="nil"/>
              <w:bottom w:val="single" w:sz="4" w:space="0" w:color="auto"/>
              <w:right w:val="single" w:sz="4" w:space="0" w:color="auto"/>
            </w:tcBorders>
            <w:noWrap/>
            <w:vAlign w:val="bottom"/>
          </w:tcPr>
          <w:p w14:paraId="6ED022F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250.2</w:t>
            </w:r>
          </w:p>
        </w:tc>
        <w:tc>
          <w:tcPr>
            <w:tcW w:w="1372" w:type="dxa"/>
            <w:tcBorders>
              <w:top w:val="nil"/>
              <w:left w:val="nil"/>
              <w:bottom w:val="single" w:sz="4" w:space="0" w:color="auto"/>
              <w:right w:val="single" w:sz="4" w:space="0" w:color="auto"/>
            </w:tcBorders>
            <w:vAlign w:val="bottom"/>
          </w:tcPr>
          <w:p w14:paraId="41D9CB7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105.8</w:t>
            </w:r>
          </w:p>
        </w:tc>
        <w:tc>
          <w:tcPr>
            <w:tcW w:w="1356" w:type="dxa"/>
            <w:tcBorders>
              <w:top w:val="nil"/>
              <w:left w:val="nil"/>
              <w:bottom w:val="single" w:sz="4" w:space="0" w:color="auto"/>
              <w:right w:val="single" w:sz="4" w:space="0" w:color="auto"/>
            </w:tcBorders>
            <w:vAlign w:val="bottom"/>
          </w:tcPr>
          <w:p w14:paraId="5B5EC85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13.7</w:t>
            </w:r>
          </w:p>
        </w:tc>
      </w:tr>
    </w:tbl>
    <w:p w14:paraId="29084CDD" w14:textId="77777777" w:rsidR="00FF44DF" w:rsidRPr="00C921DE" w:rsidRDefault="00FF44DF" w:rsidP="00FF44DF">
      <w:pPr>
        <w:spacing w:line="360" w:lineRule="auto"/>
        <w:ind w:firstLine="567"/>
        <w:jc w:val="both"/>
        <w:rPr>
          <w:rFonts w:ascii="GHEA Grapalat" w:hAnsi="GHEA Grapalat" w:cs="GHEA Grapalat"/>
        </w:rPr>
      </w:pPr>
    </w:p>
    <w:p w14:paraId="3E79716F" w14:textId="78E7BBCE" w:rsidR="00FF44DF" w:rsidRPr="00C921DE" w:rsidRDefault="00FF44DF" w:rsidP="00FF44DF">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2023 թվականի արդյունքներով արձանագրվել է ՀՆԱ-ի 9,502.8 մլրդ դրամ մակարդակ՝ կանխատեսված 9,317.9 մլրդ դրամի դիմաց: ՀՆԱ-ի փաստացի և կանխատեսված ցուցանիշների տարբերությունը կազմում է 184.9 մլրդ դրամ: Վերջինս, այլ հավասար պայմաններում, համարժեք է </w:t>
      </w:r>
      <w:r w:rsidR="00E538FF" w:rsidRPr="00C921DE">
        <w:rPr>
          <w:rFonts w:ascii="GHEA Grapalat" w:hAnsi="GHEA Grapalat" w:cs="Sylfaen"/>
          <w:sz w:val="22"/>
          <w:szCs w:val="22"/>
          <w:lang w:val="en-US"/>
        </w:rPr>
        <w:t>14.9</w:t>
      </w:r>
      <w:r w:rsidRPr="00C921DE">
        <w:rPr>
          <w:rFonts w:ascii="GHEA Grapalat" w:hAnsi="GHEA Grapalat" w:cs="Sylfaen"/>
          <w:sz w:val="22"/>
          <w:szCs w:val="22"/>
        </w:rPr>
        <w:t xml:space="preserve"> մլրդ դրամ ԱԱՀ</w:t>
      </w:r>
      <w:r w:rsidRPr="00C921DE">
        <w:rPr>
          <w:rFonts w:ascii="GHEA Grapalat" w:hAnsi="GHEA Grapalat" w:cs="Sylfaen"/>
          <w:sz w:val="22"/>
          <w:szCs w:val="22"/>
        </w:rPr>
        <w:noBreakHyphen/>
        <w:t>ի` հաշվի առնելով 2023 թվականին հարկային եկամուտներ և պետական տուրքեր/ՀՆԱ հարաբերակցության փաստացի ցուցանիշը՝ 23.</w:t>
      </w:r>
      <w:r w:rsidR="00E538FF" w:rsidRPr="00C921DE">
        <w:rPr>
          <w:rFonts w:ascii="GHEA Grapalat" w:hAnsi="GHEA Grapalat" w:cs="Sylfaen"/>
          <w:sz w:val="22"/>
          <w:szCs w:val="22"/>
          <w:lang w:val="en-US"/>
        </w:rPr>
        <w:t>4</w:t>
      </w:r>
      <w:r w:rsidRPr="00C921DE">
        <w:rPr>
          <w:rFonts w:ascii="GHEA Grapalat" w:hAnsi="GHEA Grapalat" w:cs="Sylfaen"/>
          <w:sz w:val="22"/>
          <w:szCs w:val="22"/>
        </w:rPr>
        <w:t xml:space="preserve">%-ը, և ԱԱՀ-ի փաստացի մուտքերի կշիռը (34.5%) հարկային եկամուտների և </w:t>
      </w:r>
      <w:r w:rsidR="00E538FF" w:rsidRPr="00C921DE">
        <w:rPr>
          <w:rFonts w:ascii="GHEA Grapalat" w:hAnsi="GHEA Grapalat" w:cs="Sylfaen"/>
          <w:sz w:val="22"/>
          <w:szCs w:val="22"/>
        </w:rPr>
        <w:t>պետական տուրքերի մեջ (184.9*23.4</w:t>
      </w:r>
      <w:r w:rsidRPr="00C921DE">
        <w:rPr>
          <w:rFonts w:ascii="GHEA Grapalat" w:hAnsi="GHEA Grapalat" w:cs="Sylfaen"/>
          <w:sz w:val="22"/>
          <w:szCs w:val="22"/>
        </w:rPr>
        <w:t>%*34.5%): ԱԱՀ-ի մուտքերի վրա դրական ազդեցություն են գործել տնտեսական գործունեության ոլորտներում ստեղծված ավելացված արժեքների և սպառման ծավալների աճը, ինչպես նաև ներմուծման աճը: ԱԱՀ-ի գծով մուտքերի վրա ազդող գործոններից հարկ է նշել գնաճի գործոնը, ընդ որում</w:t>
      </w:r>
      <w:r w:rsidR="003D5A98" w:rsidRPr="00C921DE">
        <w:rPr>
          <w:rFonts w:ascii="GHEA Grapalat" w:hAnsi="GHEA Grapalat" w:cs="Sylfaen"/>
          <w:sz w:val="22"/>
          <w:szCs w:val="22"/>
          <w:lang w:val="en-US"/>
        </w:rPr>
        <w:t>,</w:t>
      </w:r>
      <w:r w:rsidRPr="00C921DE">
        <w:rPr>
          <w:rFonts w:ascii="GHEA Grapalat" w:hAnsi="GHEA Grapalat" w:cs="Sylfaen"/>
          <w:sz w:val="22"/>
          <w:szCs w:val="22"/>
        </w:rPr>
        <w:t xml:space="preserve"> 2023 թվականին սպառողական գների ինդեքսը կազմել է 2%, իսկ ներմուծման գները նվազել են 8.9%</w:t>
      </w:r>
      <w:r w:rsidRPr="00C921DE">
        <w:rPr>
          <w:rFonts w:ascii="GHEA Grapalat" w:hAnsi="GHEA Grapalat" w:cs="Sylfaen"/>
          <w:sz w:val="22"/>
          <w:szCs w:val="22"/>
        </w:rPr>
        <w:noBreakHyphen/>
        <w:t>ով: Մյուս առանցքային ուղղությունը 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աճն է</w:t>
      </w:r>
      <w:r w:rsidR="00E14BD8" w:rsidRPr="00C921DE">
        <w:rPr>
          <w:rFonts w:ascii="GHEA Grapalat" w:hAnsi="GHEA Grapalat" w:cs="Sylfaen"/>
          <w:sz w:val="22"/>
          <w:szCs w:val="22"/>
          <w:lang w:val="en-US"/>
        </w:rPr>
        <w:t>:</w:t>
      </w:r>
      <w:r w:rsidRPr="00C921DE">
        <w:rPr>
          <w:rFonts w:ascii="GHEA Grapalat" w:hAnsi="GHEA Grapalat" w:cs="Sylfaen"/>
          <w:sz w:val="22"/>
          <w:szCs w:val="22"/>
        </w:rPr>
        <w:t xml:space="preserve"> </w:t>
      </w:r>
      <w:r w:rsidR="00E14BD8" w:rsidRPr="00C921DE">
        <w:rPr>
          <w:rFonts w:ascii="GHEA Grapalat" w:hAnsi="GHEA Grapalat" w:cs="Sylfaen"/>
          <w:sz w:val="22"/>
          <w:szCs w:val="22"/>
          <w:lang w:val="en-US"/>
        </w:rPr>
        <w:t>Նշված գործոններով</w:t>
      </w:r>
      <w:r w:rsidRPr="00C921DE">
        <w:rPr>
          <w:rFonts w:ascii="GHEA Grapalat" w:hAnsi="GHEA Grapalat" w:cs="Sylfaen"/>
          <w:sz w:val="22"/>
          <w:szCs w:val="22"/>
        </w:rPr>
        <w:t xml:space="preserve"> պայմանավորված՝ հնարավոր է եղել 2023 թվականի ընթաց</w:t>
      </w:r>
      <w:r w:rsidRPr="00C921DE">
        <w:rPr>
          <w:rFonts w:ascii="GHEA Grapalat" w:hAnsi="GHEA Grapalat" w:cs="Sylfaen"/>
          <w:sz w:val="22"/>
          <w:szCs w:val="22"/>
        </w:rPr>
        <w:softHyphen/>
        <w:t>քում հարկ վճարողներին վերադարձնել 75.4 մլրդ դրամով (35.4%-ով) ավել ԱԱՀ, քան նախորդ տարի: Վերջինս, ինչպես նշվել է, բացասական ազդեցություն է ունեցել ԱԱՀ-ի գծով մուտքերի վրա, որոնք 2023 թվականին կազմել են 288.4 մլրդ դրամ:</w:t>
      </w:r>
    </w:p>
    <w:p w14:paraId="54017D2C" w14:textId="77777777" w:rsidR="00FF44DF" w:rsidRPr="00C921DE" w:rsidRDefault="00FF44DF" w:rsidP="00FF44DF">
      <w:pPr>
        <w:autoSpaceDE w:val="0"/>
        <w:autoSpaceDN w:val="0"/>
        <w:adjustRightInd w:val="0"/>
        <w:spacing w:line="360" w:lineRule="auto"/>
        <w:ind w:firstLine="567"/>
        <w:jc w:val="both"/>
        <w:rPr>
          <w:rFonts w:ascii="GHEA Grapalat" w:hAnsi="GHEA Grapalat" w:cs="Sylfaen"/>
          <w:sz w:val="22"/>
          <w:szCs w:val="22"/>
        </w:rPr>
      </w:pPr>
    </w:p>
    <w:p w14:paraId="582BF69F"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bCs w:val="0"/>
          <w:i/>
          <w:sz w:val="18"/>
          <w:szCs w:val="18"/>
          <w:lang w:val="hy-AM"/>
        </w:rPr>
      </w:pPr>
      <w:r w:rsidRPr="00C921DE">
        <w:rPr>
          <w:rFonts w:ascii="GHEA Grapalat" w:hAnsi="GHEA Grapalat"/>
          <w:bCs w:val="0"/>
          <w:i/>
          <w:sz w:val="18"/>
          <w:szCs w:val="18"/>
          <w:lang w:val="hy-AM"/>
        </w:rPr>
        <w:t xml:space="preserve">2022-2023թթ. ԱԱՀ-ի վերադարձը (մլրդ դրամ) </w:t>
      </w:r>
    </w:p>
    <w:tbl>
      <w:tblPr>
        <w:tblW w:w="10221" w:type="dxa"/>
        <w:tblInd w:w="93" w:type="dxa"/>
        <w:tblLook w:val="00A0" w:firstRow="1" w:lastRow="0" w:firstColumn="1" w:lastColumn="0" w:noHBand="0" w:noVBand="0"/>
      </w:tblPr>
      <w:tblGrid>
        <w:gridCol w:w="4332"/>
        <w:gridCol w:w="1760"/>
        <w:gridCol w:w="1436"/>
        <w:gridCol w:w="1470"/>
        <w:gridCol w:w="1223"/>
      </w:tblGrid>
      <w:tr w:rsidR="00FF44DF" w:rsidRPr="00C921DE" w14:paraId="513D721E" w14:textId="77777777" w:rsidTr="00FF44DF">
        <w:trPr>
          <w:trHeight w:val="660"/>
        </w:trPr>
        <w:tc>
          <w:tcPr>
            <w:tcW w:w="4332" w:type="dxa"/>
            <w:tcBorders>
              <w:top w:val="single" w:sz="4" w:space="0" w:color="auto"/>
              <w:left w:val="single" w:sz="4" w:space="0" w:color="auto"/>
              <w:bottom w:val="single" w:sz="4" w:space="0" w:color="auto"/>
              <w:right w:val="single" w:sz="4" w:space="0" w:color="auto"/>
            </w:tcBorders>
            <w:noWrap/>
            <w:vAlign w:val="bottom"/>
          </w:tcPr>
          <w:p w14:paraId="29A11259" w14:textId="77777777" w:rsidR="00FF44DF" w:rsidRPr="00C921DE" w:rsidRDefault="00FF44DF" w:rsidP="00FF44DF">
            <w:pPr>
              <w:rPr>
                <w:rFonts w:ascii="GHEA Grapalat" w:hAnsi="GHEA Grapalat" w:cs="Calibri"/>
                <w:sz w:val="20"/>
                <w:szCs w:val="20"/>
              </w:rPr>
            </w:pPr>
            <w:r w:rsidRPr="00C921DE">
              <w:rPr>
                <w:rFonts w:ascii="Courier New" w:hAnsi="Courier New" w:cs="Courier New"/>
                <w:sz w:val="20"/>
                <w:szCs w:val="20"/>
              </w:rPr>
              <w:t> </w:t>
            </w:r>
          </w:p>
        </w:tc>
        <w:tc>
          <w:tcPr>
            <w:tcW w:w="1760" w:type="dxa"/>
            <w:tcBorders>
              <w:top w:val="single" w:sz="4" w:space="0" w:color="auto"/>
              <w:left w:val="nil"/>
              <w:bottom w:val="single" w:sz="4" w:space="0" w:color="auto"/>
              <w:right w:val="single" w:sz="4" w:space="0" w:color="auto"/>
            </w:tcBorders>
            <w:noWrap/>
          </w:tcPr>
          <w:p w14:paraId="234998FB"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2022թ. </w:t>
            </w:r>
            <w:r w:rsidRPr="00C921DE">
              <w:rPr>
                <w:rFonts w:ascii="GHEA Grapalat" w:hAnsi="GHEA Grapalat" w:cs="Calibri"/>
                <w:b/>
                <w:bCs/>
                <w:sz w:val="18"/>
                <w:szCs w:val="18"/>
              </w:rPr>
              <w:br/>
              <w:t>փաստ</w:t>
            </w:r>
          </w:p>
        </w:tc>
        <w:tc>
          <w:tcPr>
            <w:tcW w:w="1436" w:type="dxa"/>
            <w:tcBorders>
              <w:top w:val="single" w:sz="4" w:space="0" w:color="auto"/>
              <w:left w:val="nil"/>
              <w:bottom w:val="single" w:sz="4" w:space="0" w:color="auto"/>
              <w:right w:val="single" w:sz="4" w:space="0" w:color="auto"/>
            </w:tcBorders>
            <w:noWrap/>
          </w:tcPr>
          <w:p w14:paraId="597E94F2"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2023թ. </w:t>
            </w:r>
            <w:r w:rsidRPr="00C921DE">
              <w:rPr>
                <w:rFonts w:ascii="GHEA Grapalat" w:hAnsi="GHEA Grapalat" w:cs="Calibri"/>
                <w:b/>
                <w:bCs/>
                <w:sz w:val="18"/>
                <w:szCs w:val="18"/>
              </w:rPr>
              <w:br/>
              <w:t>փաստ</w:t>
            </w:r>
          </w:p>
        </w:tc>
        <w:tc>
          <w:tcPr>
            <w:tcW w:w="1470" w:type="dxa"/>
            <w:tcBorders>
              <w:top w:val="single" w:sz="4" w:space="0" w:color="auto"/>
              <w:left w:val="nil"/>
              <w:bottom w:val="single" w:sz="4" w:space="0" w:color="auto"/>
              <w:right w:val="single" w:sz="4" w:space="0" w:color="auto"/>
            </w:tcBorders>
          </w:tcPr>
          <w:p w14:paraId="6824F7DB"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2023թ. </w:t>
            </w:r>
          </w:p>
          <w:p w14:paraId="6D4574A2" w14:textId="34F8530D"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2022</w:t>
            </w:r>
            <w:r w:rsidR="00B74439" w:rsidRPr="00C921DE">
              <w:rPr>
                <w:rFonts w:ascii="GHEA Grapalat" w:hAnsi="GHEA Grapalat" w:cs="Calibri"/>
                <w:b/>
                <w:bCs/>
                <w:sz w:val="18"/>
                <w:szCs w:val="18"/>
              </w:rPr>
              <w:t>թ.-</w:t>
            </w:r>
            <w:r w:rsidR="00B74439" w:rsidRPr="00C921DE">
              <w:rPr>
                <w:rFonts w:ascii="GHEA Grapalat" w:hAnsi="GHEA Grapalat" w:cs="Calibri"/>
                <w:b/>
                <w:bCs/>
                <w:sz w:val="18"/>
                <w:szCs w:val="18"/>
                <w:lang w:val="en-US"/>
              </w:rPr>
              <w:t xml:space="preserve">ի </w:t>
            </w:r>
            <w:r w:rsidRPr="00C921DE">
              <w:rPr>
                <w:rFonts w:ascii="GHEA Grapalat" w:hAnsi="GHEA Grapalat" w:cs="Calibri"/>
                <w:b/>
                <w:bCs/>
                <w:sz w:val="18"/>
                <w:szCs w:val="18"/>
              </w:rPr>
              <w:t>նկատմամբ</w:t>
            </w:r>
          </w:p>
          <w:p w14:paraId="1C985028"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223" w:type="dxa"/>
            <w:tcBorders>
              <w:top w:val="single" w:sz="4" w:space="0" w:color="auto"/>
              <w:left w:val="nil"/>
              <w:bottom w:val="single" w:sz="4" w:space="0" w:color="auto"/>
              <w:right w:val="single" w:sz="4" w:space="0" w:color="auto"/>
            </w:tcBorders>
            <w:noWrap/>
          </w:tcPr>
          <w:p w14:paraId="1A47D830"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43D1A6E2" w14:textId="77777777" w:rsidTr="00FF44DF">
        <w:trPr>
          <w:trHeight w:val="279"/>
        </w:trPr>
        <w:tc>
          <w:tcPr>
            <w:tcW w:w="4332" w:type="dxa"/>
            <w:tcBorders>
              <w:top w:val="nil"/>
              <w:left w:val="single" w:sz="4" w:space="0" w:color="auto"/>
              <w:bottom w:val="single" w:sz="4" w:space="0" w:color="auto"/>
              <w:right w:val="single" w:sz="4" w:space="0" w:color="auto"/>
            </w:tcBorders>
            <w:noWrap/>
            <w:vAlign w:val="bottom"/>
          </w:tcPr>
          <w:p w14:paraId="3D4FCA15"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Ընդամենը ԱԱՀ-ի գծով վերադարձված գումարներ, այդ թվում՝</w:t>
            </w:r>
          </w:p>
        </w:tc>
        <w:tc>
          <w:tcPr>
            <w:tcW w:w="1760" w:type="dxa"/>
            <w:tcBorders>
              <w:top w:val="nil"/>
              <w:left w:val="nil"/>
              <w:bottom w:val="single" w:sz="4" w:space="0" w:color="auto"/>
              <w:right w:val="single" w:sz="4" w:space="0" w:color="auto"/>
            </w:tcBorders>
            <w:noWrap/>
            <w:vAlign w:val="bottom"/>
          </w:tcPr>
          <w:p w14:paraId="390851A9" w14:textId="77777777" w:rsidR="00FF44DF" w:rsidRPr="00C921DE" w:rsidRDefault="00FF44DF" w:rsidP="00FF44DF">
            <w:pPr>
              <w:jc w:val="right"/>
              <w:rPr>
                <w:rFonts w:ascii="GHEA Grapalat" w:hAnsi="GHEA Grapalat" w:cs="Calibri"/>
                <w:b/>
                <w:bCs/>
                <w:sz w:val="18"/>
                <w:szCs w:val="18"/>
                <w:lang w:val="en-US"/>
              </w:rPr>
            </w:pPr>
            <w:r w:rsidRPr="00C921DE">
              <w:rPr>
                <w:rFonts w:ascii="GHEA Grapalat" w:hAnsi="GHEA Grapalat" w:cs="Calibri"/>
                <w:b/>
                <w:bCs/>
                <w:sz w:val="18"/>
                <w:szCs w:val="18"/>
              </w:rPr>
              <w:t>21</w:t>
            </w:r>
            <w:r w:rsidRPr="00C921DE">
              <w:rPr>
                <w:rFonts w:ascii="GHEA Grapalat" w:hAnsi="GHEA Grapalat" w:cs="Calibri"/>
                <w:b/>
                <w:bCs/>
                <w:sz w:val="18"/>
                <w:szCs w:val="18"/>
                <w:lang w:val="en-US"/>
              </w:rPr>
              <w:t>3</w:t>
            </w:r>
            <w:r w:rsidRPr="00C921DE">
              <w:rPr>
                <w:rFonts w:ascii="GHEA Grapalat" w:hAnsi="GHEA Grapalat" w:cs="Calibri"/>
                <w:b/>
                <w:bCs/>
                <w:sz w:val="18"/>
                <w:szCs w:val="18"/>
              </w:rPr>
              <w:t>.</w:t>
            </w:r>
            <w:r w:rsidRPr="00C921DE">
              <w:rPr>
                <w:rFonts w:ascii="GHEA Grapalat" w:hAnsi="GHEA Grapalat" w:cs="Calibri"/>
                <w:b/>
                <w:bCs/>
                <w:sz w:val="18"/>
                <w:szCs w:val="18"/>
                <w:lang w:val="en-US"/>
              </w:rPr>
              <w:t>0</w:t>
            </w:r>
          </w:p>
        </w:tc>
        <w:tc>
          <w:tcPr>
            <w:tcW w:w="1436" w:type="dxa"/>
            <w:tcBorders>
              <w:top w:val="nil"/>
              <w:left w:val="nil"/>
              <w:bottom w:val="single" w:sz="4" w:space="0" w:color="auto"/>
              <w:right w:val="single" w:sz="4" w:space="0" w:color="auto"/>
            </w:tcBorders>
            <w:noWrap/>
            <w:vAlign w:val="bottom"/>
          </w:tcPr>
          <w:p w14:paraId="0F31858F" w14:textId="77777777" w:rsidR="00FF44DF" w:rsidRPr="00C921DE" w:rsidRDefault="00FF44DF" w:rsidP="00FF44DF">
            <w:pPr>
              <w:jc w:val="right"/>
              <w:rPr>
                <w:rFonts w:ascii="GHEA Grapalat" w:hAnsi="GHEA Grapalat" w:cs="Calibri"/>
                <w:b/>
                <w:bCs/>
                <w:sz w:val="18"/>
                <w:szCs w:val="18"/>
                <w:lang w:val="en-US"/>
              </w:rPr>
            </w:pPr>
            <w:r w:rsidRPr="00C921DE">
              <w:rPr>
                <w:rFonts w:ascii="GHEA Grapalat" w:hAnsi="GHEA Grapalat" w:cs="Calibri"/>
                <w:b/>
                <w:bCs/>
                <w:sz w:val="18"/>
                <w:szCs w:val="18"/>
              </w:rPr>
              <w:t>2</w:t>
            </w:r>
            <w:r w:rsidRPr="00C921DE">
              <w:rPr>
                <w:rFonts w:ascii="GHEA Grapalat" w:hAnsi="GHEA Grapalat" w:cs="Calibri"/>
                <w:b/>
                <w:bCs/>
                <w:sz w:val="18"/>
                <w:szCs w:val="18"/>
                <w:lang w:val="en-US"/>
              </w:rPr>
              <w:t>88</w:t>
            </w:r>
            <w:r w:rsidRPr="00C921DE">
              <w:rPr>
                <w:rFonts w:ascii="GHEA Grapalat" w:hAnsi="GHEA Grapalat" w:cs="Calibri"/>
                <w:b/>
                <w:bCs/>
                <w:sz w:val="18"/>
                <w:szCs w:val="18"/>
              </w:rPr>
              <w:t>.</w:t>
            </w:r>
            <w:r w:rsidRPr="00C921DE">
              <w:rPr>
                <w:rFonts w:ascii="GHEA Grapalat" w:hAnsi="GHEA Grapalat" w:cs="Calibri"/>
                <w:b/>
                <w:bCs/>
                <w:sz w:val="18"/>
                <w:szCs w:val="18"/>
                <w:lang w:val="en-US"/>
              </w:rPr>
              <w:t>4</w:t>
            </w:r>
          </w:p>
        </w:tc>
        <w:tc>
          <w:tcPr>
            <w:tcW w:w="1470" w:type="dxa"/>
            <w:tcBorders>
              <w:top w:val="nil"/>
              <w:left w:val="nil"/>
              <w:bottom w:val="single" w:sz="4" w:space="0" w:color="auto"/>
              <w:right w:val="single" w:sz="4" w:space="0" w:color="auto"/>
            </w:tcBorders>
            <w:noWrap/>
            <w:vAlign w:val="bottom"/>
          </w:tcPr>
          <w:p w14:paraId="79DD6529"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rPr>
              <w:t>1</w:t>
            </w:r>
            <w:r w:rsidRPr="00C921DE">
              <w:rPr>
                <w:rFonts w:ascii="GHEA Grapalat" w:hAnsi="GHEA Grapalat" w:cs="Calibri"/>
                <w:b/>
                <w:sz w:val="18"/>
                <w:szCs w:val="18"/>
                <w:lang w:val="en-US"/>
              </w:rPr>
              <w:t>3</w:t>
            </w:r>
            <w:r w:rsidRPr="00C921DE">
              <w:rPr>
                <w:rFonts w:ascii="GHEA Grapalat" w:hAnsi="GHEA Grapalat" w:cs="Calibri"/>
                <w:b/>
                <w:sz w:val="18"/>
                <w:szCs w:val="18"/>
              </w:rPr>
              <w:t>5.</w:t>
            </w:r>
            <w:r w:rsidRPr="00C921DE">
              <w:rPr>
                <w:rFonts w:ascii="GHEA Grapalat" w:hAnsi="GHEA Grapalat" w:cs="Calibri"/>
                <w:b/>
                <w:sz w:val="18"/>
                <w:szCs w:val="18"/>
                <w:lang w:val="en-US"/>
              </w:rPr>
              <w:t>4</w:t>
            </w:r>
          </w:p>
        </w:tc>
        <w:tc>
          <w:tcPr>
            <w:tcW w:w="1223" w:type="dxa"/>
            <w:tcBorders>
              <w:top w:val="nil"/>
              <w:left w:val="nil"/>
              <w:bottom w:val="single" w:sz="4" w:space="0" w:color="auto"/>
              <w:right w:val="single" w:sz="4" w:space="0" w:color="auto"/>
            </w:tcBorders>
            <w:noWrap/>
            <w:vAlign w:val="bottom"/>
          </w:tcPr>
          <w:p w14:paraId="3D7EC829" w14:textId="77777777" w:rsidR="00FF44DF" w:rsidRPr="00C921DE" w:rsidRDefault="00FF44DF" w:rsidP="00FF44DF">
            <w:pPr>
              <w:jc w:val="right"/>
              <w:rPr>
                <w:rFonts w:ascii="GHEA Grapalat" w:hAnsi="GHEA Grapalat" w:cs="Calibri"/>
                <w:b/>
                <w:sz w:val="18"/>
                <w:szCs w:val="18"/>
                <w:lang w:val="en-US"/>
              </w:rPr>
            </w:pPr>
            <w:r w:rsidRPr="00C921DE">
              <w:rPr>
                <w:rFonts w:ascii="GHEA Grapalat" w:hAnsi="GHEA Grapalat" w:cs="Calibri"/>
                <w:b/>
                <w:sz w:val="18"/>
                <w:szCs w:val="18"/>
                <w:lang w:val="en-US"/>
              </w:rPr>
              <w:t>75</w:t>
            </w:r>
            <w:r w:rsidRPr="00C921DE">
              <w:rPr>
                <w:rFonts w:ascii="GHEA Grapalat" w:hAnsi="GHEA Grapalat" w:cs="Calibri"/>
                <w:b/>
                <w:sz w:val="18"/>
                <w:szCs w:val="18"/>
              </w:rPr>
              <w:t>.</w:t>
            </w:r>
            <w:r w:rsidRPr="00C921DE">
              <w:rPr>
                <w:rFonts w:ascii="GHEA Grapalat" w:hAnsi="GHEA Grapalat" w:cs="Calibri"/>
                <w:b/>
                <w:sz w:val="18"/>
                <w:szCs w:val="18"/>
                <w:lang w:val="en-US"/>
              </w:rPr>
              <w:t>4</w:t>
            </w:r>
          </w:p>
        </w:tc>
      </w:tr>
      <w:tr w:rsidR="00FF44DF" w:rsidRPr="00C921DE" w14:paraId="089A90EB" w14:textId="77777777" w:rsidTr="00FF44DF">
        <w:trPr>
          <w:trHeight w:val="279"/>
        </w:trPr>
        <w:tc>
          <w:tcPr>
            <w:tcW w:w="4332" w:type="dxa"/>
            <w:tcBorders>
              <w:top w:val="nil"/>
              <w:left w:val="single" w:sz="4" w:space="0" w:color="auto"/>
              <w:bottom w:val="single" w:sz="4" w:space="0" w:color="auto"/>
              <w:right w:val="single" w:sz="4" w:space="0" w:color="auto"/>
            </w:tcBorders>
            <w:noWrap/>
            <w:vAlign w:val="bottom"/>
          </w:tcPr>
          <w:p w14:paraId="5CFC0BB5" w14:textId="77777777" w:rsidR="00FF44DF" w:rsidRPr="00C921DE" w:rsidRDefault="00FF44DF" w:rsidP="00FF44DF">
            <w:pPr>
              <w:ind w:left="333"/>
              <w:rPr>
                <w:rFonts w:ascii="GHEA Grapalat" w:hAnsi="GHEA Grapalat" w:cs="Calibri"/>
                <w:sz w:val="18"/>
                <w:szCs w:val="18"/>
              </w:rPr>
            </w:pPr>
            <w:r w:rsidRPr="00C921DE">
              <w:rPr>
                <w:rFonts w:ascii="GHEA Grapalat" w:hAnsi="GHEA Grapalat" w:cs="Calibri"/>
                <w:sz w:val="18"/>
                <w:szCs w:val="18"/>
              </w:rPr>
              <w:t>Արտահանողներին ԱԱՀ-ի փոխհատուցված գումարներ</w:t>
            </w:r>
          </w:p>
        </w:tc>
        <w:tc>
          <w:tcPr>
            <w:tcW w:w="1760" w:type="dxa"/>
            <w:tcBorders>
              <w:top w:val="nil"/>
              <w:left w:val="nil"/>
              <w:bottom w:val="single" w:sz="4" w:space="0" w:color="auto"/>
              <w:right w:val="single" w:sz="4" w:space="0" w:color="auto"/>
            </w:tcBorders>
            <w:noWrap/>
            <w:vAlign w:val="bottom"/>
          </w:tcPr>
          <w:p w14:paraId="4C5A1644"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 xml:space="preserve"> 21</w:t>
            </w:r>
            <w:r w:rsidRPr="00C921DE">
              <w:rPr>
                <w:rFonts w:ascii="GHEA Grapalat" w:hAnsi="GHEA Grapalat" w:cs="Calibri"/>
                <w:sz w:val="18"/>
                <w:szCs w:val="18"/>
                <w:lang w:val="en-US"/>
              </w:rPr>
              <w:t>2</w:t>
            </w:r>
            <w:r w:rsidRPr="00C921DE">
              <w:rPr>
                <w:rFonts w:ascii="GHEA Grapalat" w:hAnsi="GHEA Grapalat" w:cs="Calibri"/>
                <w:sz w:val="18"/>
                <w:szCs w:val="18"/>
              </w:rPr>
              <w:t>.</w:t>
            </w:r>
            <w:r w:rsidRPr="00C921DE">
              <w:rPr>
                <w:rFonts w:ascii="GHEA Grapalat" w:hAnsi="GHEA Grapalat" w:cs="Calibri"/>
                <w:sz w:val="18"/>
                <w:szCs w:val="18"/>
                <w:lang w:val="en-US"/>
              </w:rPr>
              <w:t>0</w:t>
            </w:r>
          </w:p>
        </w:tc>
        <w:tc>
          <w:tcPr>
            <w:tcW w:w="1436" w:type="dxa"/>
            <w:tcBorders>
              <w:top w:val="nil"/>
              <w:left w:val="nil"/>
              <w:bottom w:val="single" w:sz="4" w:space="0" w:color="auto"/>
              <w:right w:val="single" w:sz="4" w:space="0" w:color="auto"/>
            </w:tcBorders>
            <w:noWrap/>
            <w:vAlign w:val="bottom"/>
          </w:tcPr>
          <w:p w14:paraId="3714FDAE"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 xml:space="preserve"> 2</w:t>
            </w:r>
            <w:r w:rsidRPr="00C921DE">
              <w:rPr>
                <w:rFonts w:ascii="GHEA Grapalat" w:hAnsi="GHEA Grapalat" w:cs="Calibri"/>
                <w:sz w:val="18"/>
                <w:szCs w:val="18"/>
                <w:lang w:val="en-US"/>
              </w:rPr>
              <w:t>87</w:t>
            </w:r>
            <w:r w:rsidRPr="00C921DE">
              <w:rPr>
                <w:rFonts w:ascii="GHEA Grapalat" w:hAnsi="GHEA Grapalat" w:cs="Calibri"/>
                <w:sz w:val="18"/>
                <w:szCs w:val="18"/>
              </w:rPr>
              <w:t>.</w:t>
            </w:r>
            <w:r w:rsidRPr="00C921DE">
              <w:rPr>
                <w:rFonts w:ascii="GHEA Grapalat" w:hAnsi="GHEA Grapalat" w:cs="Calibri"/>
                <w:sz w:val="18"/>
                <w:szCs w:val="18"/>
                <w:lang w:val="en-US"/>
              </w:rPr>
              <w:t>4</w:t>
            </w:r>
          </w:p>
        </w:tc>
        <w:tc>
          <w:tcPr>
            <w:tcW w:w="1470" w:type="dxa"/>
            <w:tcBorders>
              <w:top w:val="nil"/>
              <w:left w:val="nil"/>
              <w:bottom w:val="single" w:sz="4" w:space="0" w:color="auto"/>
              <w:right w:val="single" w:sz="4" w:space="0" w:color="auto"/>
            </w:tcBorders>
            <w:noWrap/>
            <w:vAlign w:val="bottom"/>
          </w:tcPr>
          <w:p w14:paraId="3B54C0EC"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35</w:t>
            </w:r>
            <w:r w:rsidRPr="00C921DE">
              <w:rPr>
                <w:rFonts w:ascii="GHEA Grapalat" w:hAnsi="GHEA Grapalat" w:cs="Calibri"/>
                <w:sz w:val="18"/>
                <w:szCs w:val="18"/>
              </w:rPr>
              <w:t>.</w:t>
            </w:r>
            <w:r w:rsidRPr="00C921DE">
              <w:rPr>
                <w:rFonts w:ascii="GHEA Grapalat" w:hAnsi="GHEA Grapalat" w:cs="Calibri"/>
                <w:sz w:val="18"/>
                <w:szCs w:val="18"/>
                <w:lang w:val="en-US"/>
              </w:rPr>
              <w:t>6</w:t>
            </w:r>
          </w:p>
        </w:tc>
        <w:tc>
          <w:tcPr>
            <w:tcW w:w="1223" w:type="dxa"/>
            <w:tcBorders>
              <w:top w:val="nil"/>
              <w:left w:val="nil"/>
              <w:bottom w:val="single" w:sz="4" w:space="0" w:color="auto"/>
              <w:right w:val="single" w:sz="4" w:space="0" w:color="auto"/>
            </w:tcBorders>
            <w:noWrap/>
            <w:vAlign w:val="bottom"/>
          </w:tcPr>
          <w:p w14:paraId="3D79E6DD"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7</w:t>
            </w:r>
            <w:r w:rsidRPr="00C921DE">
              <w:rPr>
                <w:rFonts w:ascii="GHEA Grapalat" w:hAnsi="GHEA Grapalat" w:cs="Calibri"/>
                <w:sz w:val="18"/>
                <w:szCs w:val="18"/>
              </w:rPr>
              <w:t>5.</w:t>
            </w:r>
            <w:r w:rsidRPr="00C921DE">
              <w:rPr>
                <w:rFonts w:ascii="GHEA Grapalat" w:hAnsi="GHEA Grapalat" w:cs="Calibri"/>
                <w:sz w:val="18"/>
                <w:szCs w:val="18"/>
                <w:lang w:val="en-US"/>
              </w:rPr>
              <w:t>5</w:t>
            </w:r>
          </w:p>
        </w:tc>
      </w:tr>
      <w:tr w:rsidR="00FF44DF" w:rsidRPr="00C921DE" w14:paraId="7A30379C" w14:textId="77777777" w:rsidTr="00FF44DF">
        <w:trPr>
          <w:trHeight w:val="334"/>
        </w:trPr>
        <w:tc>
          <w:tcPr>
            <w:tcW w:w="4332" w:type="dxa"/>
            <w:tcBorders>
              <w:top w:val="nil"/>
              <w:left w:val="single" w:sz="4" w:space="0" w:color="auto"/>
              <w:bottom w:val="single" w:sz="4" w:space="0" w:color="auto"/>
              <w:right w:val="single" w:sz="4" w:space="0" w:color="auto"/>
            </w:tcBorders>
            <w:vAlign w:val="bottom"/>
          </w:tcPr>
          <w:p w14:paraId="2CB638AD" w14:textId="77777777" w:rsidR="00FF44DF" w:rsidRPr="00C921DE" w:rsidRDefault="00FF44DF" w:rsidP="00FF44DF">
            <w:pPr>
              <w:ind w:left="333"/>
              <w:rPr>
                <w:rFonts w:ascii="GHEA Grapalat" w:hAnsi="GHEA Grapalat" w:cs="Calibri"/>
                <w:sz w:val="18"/>
                <w:szCs w:val="18"/>
              </w:rPr>
            </w:pPr>
            <w:r w:rsidRPr="00C921DE">
              <w:rPr>
                <w:rFonts w:ascii="GHEA Grapalat" w:hAnsi="GHEA Grapalat" w:cs="Calibri"/>
                <w:sz w:val="18"/>
                <w:szCs w:val="18"/>
              </w:rPr>
              <w:t>Tax free հաշիվներով ԱԱՀ-ի վերադարձված գումարներ</w:t>
            </w:r>
          </w:p>
        </w:tc>
        <w:tc>
          <w:tcPr>
            <w:tcW w:w="1760" w:type="dxa"/>
            <w:tcBorders>
              <w:top w:val="nil"/>
              <w:left w:val="nil"/>
              <w:bottom w:val="single" w:sz="4" w:space="0" w:color="auto"/>
              <w:right w:val="single" w:sz="4" w:space="0" w:color="auto"/>
            </w:tcBorders>
            <w:noWrap/>
            <w:vAlign w:val="bottom"/>
          </w:tcPr>
          <w:p w14:paraId="65A90C41"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1.0</w:t>
            </w:r>
          </w:p>
        </w:tc>
        <w:tc>
          <w:tcPr>
            <w:tcW w:w="1436" w:type="dxa"/>
            <w:tcBorders>
              <w:top w:val="nil"/>
              <w:left w:val="nil"/>
              <w:bottom w:val="single" w:sz="4" w:space="0" w:color="auto"/>
              <w:right w:val="single" w:sz="4" w:space="0" w:color="auto"/>
            </w:tcBorders>
            <w:noWrap/>
            <w:vAlign w:val="bottom"/>
          </w:tcPr>
          <w:p w14:paraId="2147F76D"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1.0</w:t>
            </w:r>
          </w:p>
        </w:tc>
        <w:tc>
          <w:tcPr>
            <w:tcW w:w="1470" w:type="dxa"/>
            <w:tcBorders>
              <w:top w:val="nil"/>
              <w:left w:val="nil"/>
              <w:bottom w:val="single" w:sz="4" w:space="0" w:color="auto"/>
              <w:right w:val="single" w:sz="4" w:space="0" w:color="auto"/>
            </w:tcBorders>
            <w:noWrap/>
            <w:vAlign w:val="bottom"/>
          </w:tcPr>
          <w:p w14:paraId="60EBD3F5"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9</w:t>
            </w:r>
            <w:r w:rsidRPr="00C921DE">
              <w:rPr>
                <w:rFonts w:ascii="GHEA Grapalat" w:hAnsi="GHEA Grapalat" w:cs="Calibri"/>
                <w:sz w:val="18"/>
                <w:szCs w:val="18"/>
                <w:lang w:val="en-US"/>
              </w:rPr>
              <w:t>2</w:t>
            </w:r>
            <w:r w:rsidRPr="00C921DE">
              <w:rPr>
                <w:rFonts w:ascii="GHEA Grapalat" w:hAnsi="GHEA Grapalat" w:cs="Calibri"/>
                <w:sz w:val="18"/>
                <w:szCs w:val="18"/>
              </w:rPr>
              <w:t>.</w:t>
            </w:r>
            <w:r w:rsidRPr="00C921DE">
              <w:rPr>
                <w:rFonts w:ascii="GHEA Grapalat" w:hAnsi="GHEA Grapalat" w:cs="Calibri"/>
                <w:sz w:val="18"/>
                <w:szCs w:val="18"/>
                <w:lang w:val="en-US"/>
              </w:rPr>
              <w:t>0</w:t>
            </w:r>
          </w:p>
        </w:tc>
        <w:tc>
          <w:tcPr>
            <w:tcW w:w="1223" w:type="dxa"/>
            <w:tcBorders>
              <w:top w:val="nil"/>
              <w:left w:val="nil"/>
              <w:bottom w:val="single" w:sz="4" w:space="0" w:color="auto"/>
              <w:right w:val="single" w:sz="4" w:space="0" w:color="auto"/>
            </w:tcBorders>
            <w:noWrap/>
            <w:vAlign w:val="bottom"/>
          </w:tcPr>
          <w:p w14:paraId="522F4328"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0.</w:t>
            </w:r>
            <w:r w:rsidRPr="00C921DE">
              <w:rPr>
                <w:rFonts w:ascii="GHEA Grapalat" w:hAnsi="GHEA Grapalat" w:cs="Calibri"/>
                <w:sz w:val="18"/>
                <w:szCs w:val="18"/>
                <w:lang w:val="en-US"/>
              </w:rPr>
              <w:t>1)</w:t>
            </w:r>
          </w:p>
        </w:tc>
      </w:tr>
    </w:tbl>
    <w:p w14:paraId="26D252F6" w14:textId="77777777" w:rsidR="00FF44DF" w:rsidRPr="00C921DE" w:rsidRDefault="00FF44DF" w:rsidP="00FF44DF">
      <w:pPr>
        <w:autoSpaceDE w:val="0"/>
        <w:autoSpaceDN w:val="0"/>
        <w:adjustRightInd w:val="0"/>
        <w:spacing w:line="360" w:lineRule="auto"/>
        <w:ind w:firstLine="567"/>
        <w:jc w:val="both"/>
        <w:rPr>
          <w:rFonts w:ascii="GHEA Grapalat" w:hAnsi="GHEA Grapalat" w:cs="Sylfaen"/>
          <w:sz w:val="22"/>
          <w:szCs w:val="22"/>
        </w:rPr>
      </w:pPr>
    </w:p>
    <w:p w14:paraId="6DC5616F" w14:textId="77777777" w:rsidR="00FF44DF" w:rsidRPr="00C921DE" w:rsidRDefault="00FF44DF" w:rsidP="00FF44DF">
      <w:pPr>
        <w:spacing w:line="360" w:lineRule="auto"/>
        <w:ind w:firstLine="567"/>
        <w:jc w:val="both"/>
        <w:rPr>
          <w:rFonts w:ascii="GHEA Grapalat" w:hAnsi="GHEA Grapalat" w:cs="GHEA Grapalat"/>
          <w:sz w:val="22"/>
          <w:szCs w:val="22"/>
        </w:rPr>
      </w:pPr>
      <w:r w:rsidRPr="00C921DE">
        <w:rPr>
          <w:rFonts w:ascii="GHEA Grapalat" w:hAnsi="GHEA Grapalat"/>
          <w:sz w:val="22"/>
          <w:szCs w:val="22"/>
        </w:rPr>
        <w:t>ԱԱՀ-ի վերադարձը փաստացի մուտքերում ներառելու դեպքում ԱԱՀ-ի մուտքերի աճը կկազմի 18.3% կամ շուրջ 163 մլրդ դրամ, որից 8.7 տոկոսային կետը (լրացուցիչ աճի 47.7%-ը կամ 77.8 մլրդ դրամը) բաժին է ընկել</w:t>
      </w:r>
      <w:r w:rsidRPr="00C921DE">
        <w:rPr>
          <w:rFonts w:ascii="GHEA Grapalat" w:hAnsi="GHEA Grapalat" w:cs="GHEA Grapalat"/>
          <w:sz w:val="22"/>
          <w:szCs w:val="22"/>
        </w:rPr>
        <w:t xml:space="preserve"> տնտեսական աճին, 6.6 տոկոսային կետը (լրացուցիչ աճի 35.6%</w:t>
      </w:r>
      <w:r w:rsidRPr="00C921DE">
        <w:rPr>
          <w:rFonts w:ascii="GHEA Grapalat" w:hAnsi="GHEA Grapalat" w:cs="GHEA Grapalat"/>
          <w:sz w:val="22"/>
          <w:szCs w:val="22"/>
        </w:rPr>
        <w:noBreakHyphen/>
        <w:t xml:space="preserve">ը կամ 58 մլրդ դրամը)` հարկային վարչարարության արդյունավետության բարձրացման հաշվին հարկային </w:t>
      </w:r>
      <w:r w:rsidRPr="00C921DE">
        <w:rPr>
          <w:rFonts w:ascii="GHEA Grapalat" w:hAnsi="GHEA Grapalat" w:cs="GHEA Grapalat"/>
          <w:sz w:val="22"/>
          <w:szCs w:val="22"/>
        </w:rPr>
        <w:lastRenderedPageBreak/>
        <w:t xml:space="preserve">հսկողության և կանխարգելիչ միջոցառումների արդյունքում հավաքագրված լրացուցիչ մուտքերի աճին, իսկ մնացած 3 տոկոսային կետը (լրացուցիչ աճի 16.7%-ը կամ 27.2 մլրդ դրամը)՝ գնաճին: </w:t>
      </w:r>
    </w:p>
    <w:p w14:paraId="4837D6C2" w14:textId="77777777" w:rsidR="00FF44DF" w:rsidRPr="00C921DE" w:rsidRDefault="00FF44DF" w:rsidP="00FF44DF">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w:t>
      </w:r>
      <w:r w:rsidRPr="00C921DE">
        <w:rPr>
          <w:rFonts w:ascii="GHEA Grapalat" w:hAnsi="GHEA Grapalat"/>
          <w:sz w:val="22"/>
          <w:szCs w:val="22"/>
        </w:rPr>
        <w:t xml:space="preserve"> </w:t>
      </w:r>
      <w:r w:rsidRPr="00C921DE">
        <w:rPr>
          <w:rFonts w:ascii="GHEA Grapalat" w:hAnsi="GHEA Grapalat" w:cs="GHEA Grapalat"/>
          <w:sz w:val="22"/>
          <w:szCs w:val="22"/>
        </w:rPr>
        <w:t xml:space="preserve">պետական բյուջե մուտքագրված հարկային եկամուտների ու պետական տուրքերի 6.7%-ն ապահովվել է </w:t>
      </w:r>
      <w:r w:rsidRPr="00C921DE">
        <w:rPr>
          <w:rFonts w:ascii="GHEA Grapalat" w:hAnsi="GHEA Grapalat" w:cs="GHEA Grapalat"/>
          <w:i/>
          <w:sz w:val="22"/>
          <w:szCs w:val="22"/>
        </w:rPr>
        <w:t>ակցիզային հարկի</w:t>
      </w:r>
      <w:r w:rsidRPr="00C921DE">
        <w:rPr>
          <w:rFonts w:ascii="GHEA Grapalat" w:hAnsi="GHEA Grapalat" w:cs="GHEA Grapalat"/>
          <w:sz w:val="22"/>
          <w:szCs w:val="22"/>
        </w:rPr>
        <w:t xml:space="preserve"> հաշվին: </w:t>
      </w:r>
    </w:p>
    <w:p w14:paraId="4C4A1367" w14:textId="77777777" w:rsidR="00FF44DF" w:rsidRPr="00C921DE" w:rsidRDefault="00FF44DF" w:rsidP="00FF44DF">
      <w:pPr>
        <w:spacing w:line="360" w:lineRule="auto"/>
        <w:ind w:firstLine="567"/>
        <w:jc w:val="both"/>
        <w:rPr>
          <w:rFonts w:ascii="GHEA Grapalat" w:hAnsi="GHEA Grapalat" w:cs="GHEA Grapalat"/>
          <w:sz w:val="22"/>
          <w:szCs w:val="22"/>
        </w:rPr>
      </w:pPr>
    </w:p>
    <w:p w14:paraId="50D73D4B"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Ակցիզային հարկի գծով ՀՀ պետական բյուջեի մուտքերը (մլրդ դրամ)</w:t>
      </w:r>
    </w:p>
    <w:tbl>
      <w:tblPr>
        <w:tblW w:w="10206" w:type="dxa"/>
        <w:tblInd w:w="108" w:type="dxa"/>
        <w:tblLook w:val="00A0" w:firstRow="1" w:lastRow="0" w:firstColumn="1" w:lastColumn="0" w:noHBand="0" w:noVBand="0"/>
      </w:tblPr>
      <w:tblGrid>
        <w:gridCol w:w="4962"/>
        <w:gridCol w:w="1275"/>
        <w:gridCol w:w="1276"/>
        <w:gridCol w:w="1418"/>
        <w:gridCol w:w="1275"/>
      </w:tblGrid>
      <w:tr w:rsidR="00FF44DF" w:rsidRPr="00C921DE" w14:paraId="7937F8E6" w14:textId="77777777" w:rsidTr="00FF44DF">
        <w:trPr>
          <w:trHeight w:val="855"/>
        </w:trPr>
        <w:tc>
          <w:tcPr>
            <w:tcW w:w="4962" w:type="dxa"/>
            <w:tcBorders>
              <w:top w:val="single" w:sz="4" w:space="0" w:color="auto"/>
              <w:left w:val="single" w:sz="4" w:space="0" w:color="auto"/>
              <w:bottom w:val="single" w:sz="4" w:space="0" w:color="auto"/>
              <w:right w:val="single" w:sz="4" w:space="0" w:color="auto"/>
            </w:tcBorders>
            <w:noWrap/>
            <w:vAlign w:val="bottom"/>
          </w:tcPr>
          <w:p w14:paraId="6C574F25"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1275" w:type="dxa"/>
            <w:tcBorders>
              <w:top w:val="single" w:sz="4" w:space="0" w:color="auto"/>
              <w:left w:val="nil"/>
              <w:bottom w:val="single" w:sz="4" w:space="0" w:color="auto"/>
              <w:right w:val="single" w:sz="4" w:space="0" w:color="auto"/>
            </w:tcBorders>
          </w:tcPr>
          <w:p w14:paraId="6C8423AB"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14:paraId="2459403F"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418" w:type="dxa"/>
            <w:tcBorders>
              <w:top w:val="single" w:sz="4" w:space="0" w:color="auto"/>
              <w:left w:val="nil"/>
              <w:bottom w:val="single" w:sz="4" w:space="0" w:color="auto"/>
              <w:right w:val="single" w:sz="4" w:space="0" w:color="auto"/>
            </w:tcBorders>
            <w:shd w:val="clear" w:color="000000" w:fill="FFFFFF"/>
          </w:tcPr>
          <w:p w14:paraId="0F0284BC"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p>
          <w:p w14:paraId="6EAADD96" w14:textId="23944124"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00B74439" w:rsidRPr="00C921DE">
              <w:rPr>
                <w:rFonts w:ascii="GHEA Grapalat" w:hAnsi="GHEA Grapalat" w:cs="Calibri"/>
                <w:b/>
                <w:bCs/>
                <w:sz w:val="18"/>
                <w:szCs w:val="18"/>
              </w:rPr>
              <w:t xml:space="preserve">թ.-ի </w:t>
            </w:r>
            <w:r w:rsidRPr="00C921DE">
              <w:rPr>
                <w:rFonts w:ascii="GHEA Grapalat" w:hAnsi="GHEA Grapalat" w:cs="Calibri"/>
                <w:b/>
                <w:bCs/>
                <w:sz w:val="18"/>
                <w:szCs w:val="18"/>
              </w:rPr>
              <w:t>նկատմամբ</w:t>
            </w:r>
          </w:p>
          <w:p w14:paraId="2C03B3A9"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275" w:type="dxa"/>
            <w:tcBorders>
              <w:top w:val="single" w:sz="4" w:space="0" w:color="auto"/>
              <w:left w:val="nil"/>
              <w:bottom w:val="single" w:sz="4" w:space="0" w:color="auto"/>
              <w:right w:val="single" w:sz="4" w:space="0" w:color="auto"/>
            </w:tcBorders>
            <w:shd w:val="clear" w:color="000000" w:fill="FFFFFF"/>
          </w:tcPr>
          <w:p w14:paraId="25103117"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57BDC321" w14:textId="77777777" w:rsidTr="00FF44DF">
        <w:trPr>
          <w:trHeight w:val="293"/>
        </w:trPr>
        <w:tc>
          <w:tcPr>
            <w:tcW w:w="4962" w:type="dxa"/>
            <w:tcBorders>
              <w:top w:val="nil"/>
              <w:left w:val="single" w:sz="4" w:space="0" w:color="auto"/>
              <w:bottom w:val="single" w:sz="4" w:space="0" w:color="auto"/>
              <w:right w:val="single" w:sz="4" w:space="0" w:color="auto"/>
            </w:tcBorders>
            <w:vAlign w:val="bottom"/>
          </w:tcPr>
          <w:p w14:paraId="73547C93"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Ակցիզային հարկ</w:t>
            </w:r>
          </w:p>
        </w:tc>
        <w:tc>
          <w:tcPr>
            <w:tcW w:w="1275" w:type="dxa"/>
            <w:tcBorders>
              <w:top w:val="single" w:sz="4" w:space="0" w:color="auto"/>
              <w:left w:val="single" w:sz="4" w:space="0" w:color="auto"/>
              <w:bottom w:val="single" w:sz="4" w:space="0" w:color="auto"/>
              <w:right w:val="single" w:sz="4" w:space="0" w:color="auto"/>
            </w:tcBorders>
            <w:vAlign w:val="bottom"/>
          </w:tcPr>
          <w:p w14:paraId="0B3BF856"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127.5</w:t>
            </w:r>
          </w:p>
        </w:tc>
        <w:tc>
          <w:tcPr>
            <w:tcW w:w="1276" w:type="dxa"/>
            <w:tcBorders>
              <w:top w:val="nil"/>
              <w:left w:val="nil"/>
              <w:bottom w:val="single" w:sz="4" w:space="0" w:color="auto"/>
              <w:right w:val="single" w:sz="4" w:space="0" w:color="auto"/>
            </w:tcBorders>
            <w:noWrap/>
            <w:vAlign w:val="bottom"/>
          </w:tcPr>
          <w:p w14:paraId="16B2A222"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149.4</w:t>
            </w:r>
          </w:p>
        </w:tc>
        <w:tc>
          <w:tcPr>
            <w:tcW w:w="1418" w:type="dxa"/>
            <w:tcBorders>
              <w:top w:val="nil"/>
              <w:left w:val="nil"/>
              <w:bottom w:val="single" w:sz="4" w:space="0" w:color="auto"/>
              <w:right w:val="single" w:sz="4" w:space="0" w:color="auto"/>
            </w:tcBorders>
            <w:vAlign w:val="bottom"/>
          </w:tcPr>
          <w:p w14:paraId="5E02B03E"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117.2</w:t>
            </w:r>
          </w:p>
        </w:tc>
        <w:tc>
          <w:tcPr>
            <w:tcW w:w="1275" w:type="dxa"/>
            <w:tcBorders>
              <w:top w:val="nil"/>
              <w:left w:val="nil"/>
              <w:bottom w:val="single" w:sz="4" w:space="0" w:color="auto"/>
              <w:right w:val="single" w:sz="4" w:space="0" w:color="auto"/>
            </w:tcBorders>
            <w:vAlign w:val="bottom"/>
          </w:tcPr>
          <w:p w14:paraId="283015B7"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21.9</w:t>
            </w:r>
          </w:p>
        </w:tc>
      </w:tr>
      <w:tr w:rsidR="00FF44DF" w:rsidRPr="00C921DE" w14:paraId="56C4B4B9" w14:textId="77777777" w:rsidTr="00FF44DF">
        <w:trPr>
          <w:trHeight w:val="293"/>
        </w:trPr>
        <w:tc>
          <w:tcPr>
            <w:tcW w:w="4962" w:type="dxa"/>
            <w:tcBorders>
              <w:top w:val="nil"/>
              <w:left w:val="single" w:sz="4" w:space="0" w:color="auto"/>
              <w:bottom w:val="single" w:sz="4" w:space="0" w:color="auto"/>
              <w:right w:val="single" w:sz="4" w:space="0" w:color="auto"/>
            </w:tcBorders>
            <w:noWrap/>
            <w:vAlign w:val="bottom"/>
          </w:tcPr>
          <w:p w14:paraId="25F3A4ED"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Ներմուծվող ենթաակցիզային ապրանքներից, այդ թվում՝</w:t>
            </w:r>
          </w:p>
        </w:tc>
        <w:tc>
          <w:tcPr>
            <w:tcW w:w="1275" w:type="dxa"/>
            <w:tcBorders>
              <w:top w:val="nil"/>
              <w:left w:val="single" w:sz="4" w:space="0" w:color="auto"/>
              <w:bottom w:val="single" w:sz="4" w:space="0" w:color="auto"/>
              <w:right w:val="single" w:sz="4" w:space="0" w:color="auto"/>
            </w:tcBorders>
            <w:vAlign w:val="bottom"/>
          </w:tcPr>
          <w:p w14:paraId="0F0AED1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60.9</w:t>
            </w:r>
          </w:p>
        </w:tc>
        <w:tc>
          <w:tcPr>
            <w:tcW w:w="1276" w:type="dxa"/>
            <w:tcBorders>
              <w:top w:val="nil"/>
              <w:left w:val="nil"/>
              <w:bottom w:val="single" w:sz="4" w:space="0" w:color="auto"/>
              <w:right w:val="single" w:sz="4" w:space="0" w:color="auto"/>
            </w:tcBorders>
            <w:noWrap/>
            <w:vAlign w:val="bottom"/>
          </w:tcPr>
          <w:p w14:paraId="31357E4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76.0</w:t>
            </w:r>
          </w:p>
        </w:tc>
        <w:tc>
          <w:tcPr>
            <w:tcW w:w="1418" w:type="dxa"/>
            <w:tcBorders>
              <w:top w:val="nil"/>
              <w:left w:val="nil"/>
              <w:bottom w:val="single" w:sz="4" w:space="0" w:color="auto"/>
              <w:right w:val="single" w:sz="4" w:space="0" w:color="auto"/>
            </w:tcBorders>
            <w:vAlign w:val="bottom"/>
          </w:tcPr>
          <w:p w14:paraId="6C39CF6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124.8</w:t>
            </w:r>
          </w:p>
        </w:tc>
        <w:tc>
          <w:tcPr>
            <w:tcW w:w="1275" w:type="dxa"/>
            <w:tcBorders>
              <w:top w:val="nil"/>
              <w:left w:val="nil"/>
              <w:bottom w:val="single" w:sz="4" w:space="0" w:color="auto"/>
              <w:right w:val="single" w:sz="4" w:space="0" w:color="auto"/>
            </w:tcBorders>
            <w:vAlign w:val="bottom"/>
          </w:tcPr>
          <w:p w14:paraId="00D7181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15.1</w:t>
            </w:r>
          </w:p>
        </w:tc>
      </w:tr>
      <w:tr w:rsidR="00FF44DF" w:rsidRPr="00C921DE" w14:paraId="1F73347D" w14:textId="77777777" w:rsidTr="00FF44DF">
        <w:trPr>
          <w:trHeight w:val="289"/>
        </w:trPr>
        <w:tc>
          <w:tcPr>
            <w:tcW w:w="4962" w:type="dxa"/>
            <w:tcBorders>
              <w:top w:val="nil"/>
              <w:left w:val="single" w:sz="4" w:space="0" w:color="auto"/>
              <w:bottom w:val="single" w:sz="4" w:space="0" w:color="auto"/>
              <w:right w:val="single" w:sz="4" w:space="0" w:color="auto"/>
            </w:tcBorders>
            <w:noWrap/>
            <w:vAlign w:val="bottom"/>
          </w:tcPr>
          <w:p w14:paraId="53561325" w14:textId="77777777" w:rsidR="00FF44DF" w:rsidRPr="00C921DE" w:rsidRDefault="00FF44DF" w:rsidP="00AF07CE">
            <w:pPr>
              <w:pStyle w:val="ListParagraph"/>
              <w:numPr>
                <w:ilvl w:val="0"/>
                <w:numId w:val="31"/>
              </w:numPr>
              <w:tabs>
                <w:tab w:val="left" w:pos="459"/>
              </w:tabs>
              <w:spacing w:after="0" w:line="240" w:lineRule="auto"/>
              <w:ind w:left="34" w:firstLine="236"/>
              <w:rPr>
                <w:rFonts w:ascii="GHEA Grapalat" w:hAnsi="GHEA Grapalat"/>
                <w:sz w:val="18"/>
                <w:szCs w:val="18"/>
                <w:lang w:val="hy-AM"/>
              </w:rPr>
            </w:pPr>
            <w:r w:rsidRPr="00C921DE">
              <w:rPr>
                <w:rFonts w:ascii="GHEA Grapalat" w:hAnsi="GHEA Grapalat"/>
                <w:sz w:val="18"/>
                <w:szCs w:val="18"/>
                <w:lang w:val="hy-AM"/>
              </w:rPr>
              <w:t>ԵԱՏՄ երկրներից</w:t>
            </w:r>
          </w:p>
        </w:tc>
        <w:tc>
          <w:tcPr>
            <w:tcW w:w="1275" w:type="dxa"/>
            <w:tcBorders>
              <w:top w:val="nil"/>
              <w:left w:val="single" w:sz="4" w:space="0" w:color="auto"/>
              <w:bottom w:val="single" w:sz="4" w:space="0" w:color="auto"/>
              <w:right w:val="single" w:sz="4" w:space="0" w:color="auto"/>
            </w:tcBorders>
            <w:vAlign w:val="bottom"/>
          </w:tcPr>
          <w:p w14:paraId="2829540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17.9</w:t>
            </w:r>
          </w:p>
        </w:tc>
        <w:tc>
          <w:tcPr>
            <w:tcW w:w="1276" w:type="dxa"/>
            <w:tcBorders>
              <w:top w:val="nil"/>
              <w:left w:val="nil"/>
              <w:bottom w:val="single" w:sz="4" w:space="0" w:color="auto"/>
              <w:right w:val="single" w:sz="4" w:space="0" w:color="auto"/>
            </w:tcBorders>
            <w:noWrap/>
            <w:vAlign w:val="bottom"/>
          </w:tcPr>
          <w:p w14:paraId="54884A8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20.6</w:t>
            </w:r>
          </w:p>
        </w:tc>
        <w:tc>
          <w:tcPr>
            <w:tcW w:w="1418" w:type="dxa"/>
            <w:tcBorders>
              <w:top w:val="nil"/>
              <w:left w:val="nil"/>
              <w:bottom w:val="single" w:sz="4" w:space="0" w:color="auto"/>
              <w:right w:val="single" w:sz="4" w:space="0" w:color="auto"/>
            </w:tcBorders>
            <w:vAlign w:val="bottom"/>
          </w:tcPr>
          <w:p w14:paraId="0B9F342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115.0</w:t>
            </w:r>
          </w:p>
        </w:tc>
        <w:tc>
          <w:tcPr>
            <w:tcW w:w="1275" w:type="dxa"/>
            <w:tcBorders>
              <w:top w:val="nil"/>
              <w:left w:val="nil"/>
              <w:bottom w:val="single" w:sz="4" w:space="0" w:color="auto"/>
              <w:right w:val="single" w:sz="4" w:space="0" w:color="auto"/>
            </w:tcBorders>
            <w:vAlign w:val="bottom"/>
          </w:tcPr>
          <w:p w14:paraId="75A03DE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2.7</w:t>
            </w:r>
          </w:p>
        </w:tc>
      </w:tr>
      <w:tr w:rsidR="00FF44DF" w:rsidRPr="00C921DE" w14:paraId="223141D1" w14:textId="77777777" w:rsidTr="00FF44DF">
        <w:trPr>
          <w:trHeight w:val="289"/>
        </w:trPr>
        <w:tc>
          <w:tcPr>
            <w:tcW w:w="4962" w:type="dxa"/>
            <w:tcBorders>
              <w:top w:val="nil"/>
              <w:left w:val="single" w:sz="4" w:space="0" w:color="auto"/>
              <w:bottom w:val="single" w:sz="4" w:space="0" w:color="auto"/>
              <w:right w:val="single" w:sz="4" w:space="0" w:color="auto"/>
            </w:tcBorders>
            <w:noWrap/>
            <w:vAlign w:val="bottom"/>
          </w:tcPr>
          <w:p w14:paraId="21B15F2D"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ՀՀ-ում արտադրվող ենթաակցիզային ապրանքներից</w:t>
            </w:r>
          </w:p>
        </w:tc>
        <w:tc>
          <w:tcPr>
            <w:tcW w:w="1275" w:type="dxa"/>
            <w:tcBorders>
              <w:top w:val="nil"/>
              <w:left w:val="single" w:sz="4" w:space="0" w:color="auto"/>
              <w:bottom w:val="single" w:sz="4" w:space="0" w:color="auto"/>
              <w:right w:val="single" w:sz="4" w:space="0" w:color="auto"/>
            </w:tcBorders>
            <w:vAlign w:val="bottom"/>
          </w:tcPr>
          <w:p w14:paraId="2C9D0AEE"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66.6</w:t>
            </w:r>
          </w:p>
        </w:tc>
        <w:tc>
          <w:tcPr>
            <w:tcW w:w="1276" w:type="dxa"/>
            <w:tcBorders>
              <w:top w:val="nil"/>
              <w:left w:val="nil"/>
              <w:bottom w:val="single" w:sz="4" w:space="0" w:color="auto"/>
              <w:right w:val="single" w:sz="4" w:space="0" w:color="auto"/>
            </w:tcBorders>
            <w:noWrap/>
            <w:vAlign w:val="bottom"/>
          </w:tcPr>
          <w:p w14:paraId="1FB90E2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73.4</w:t>
            </w:r>
          </w:p>
        </w:tc>
        <w:tc>
          <w:tcPr>
            <w:tcW w:w="1418" w:type="dxa"/>
            <w:tcBorders>
              <w:top w:val="nil"/>
              <w:left w:val="nil"/>
              <w:bottom w:val="single" w:sz="4" w:space="0" w:color="auto"/>
              <w:right w:val="single" w:sz="4" w:space="0" w:color="auto"/>
            </w:tcBorders>
            <w:vAlign w:val="bottom"/>
          </w:tcPr>
          <w:p w14:paraId="1961934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110.3</w:t>
            </w:r>
          </w:p>
        </w:tc>
        <w:tc>
          <w:tcPr>
            <w:tcW w:w="1275" w:type="dxa"/>
            <w:tcBorders>
              <w:top w:val="nil"/>
              <w:left w:val="nil"/>
              <w:bottom w:val="single" w:sz="4" w:space="0" w:color="auto"/>
              <w:right w:val="single" w:sz="4" w:space="0" w:color="auto"/>
            </w:tcBorders>
            <w:vAlign w:val="bottom"/>
          </w:tcPr>
          <w:p w14:paraId="4F5C4789"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6.8</w:t>
            </w:r>
          </w:p>
        </w:tc>
      </w:tr>
    </w:tbl>
    <w:p w14:paraId="56B6A9BE" w14:textId="77777777" w:rsidR="00FF44DF" w:rsidRPr="00C921DE" w:rsidRDefault="00FF44DF" w:rsidP="00CA0DEC">
      <w:pPr>
        <w:spacing w:line="360" w:lineRule="auto"/>
        <w:ind w:firstLine="567"/>
        <w:jc w:val="both"/>
        <w:rPr>
          <w:rFonts w:ascii="GHEA Grapalat" w:hAnsi="GHEA Grapalat" w:cs="GHEA Grapalat"/>
          <w:sz w:val="22"/>
          <w:szCs w:val="22"/>
        </w:rPr>
      </w:pPr>
    </w:p>
    <w:p w14:paraId="389ACE6B" w14:textId="4D4B878A" w:rsidR="00FF44DF" w:rsidRPr="00C921DE" w:rsidRDefault="00FF44DF" w:rsidP="00FF44DF">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Նախորդ տարվա համեմատ ակցիզային հարկի մուտքերի աճը պայմանավորված է ինչպես հանրապետությունում արտադրվող, այնպես էլ ներմուծվող ենթաակցիզային ապրանքների գծով մուտքերի աճով: Ստորև ներկայացվում են ակցիզային հարկով հարկվող այն ապրանքների արտադրության և ներմուծման ծավալների փոփոխությունները, որոնք էական ազդեցություն են ունեցել 2023 թվականի ակցիզային հարկի մուտքերի վրա: Այսպես, սպիրտային խմիչքների արտադրության ծավալները կազմել են 5,767.7 հազար լիտր՝ նախորդ տարվա նկատմամբ աճելով 66%-ով կամ 2,293.5 հազար լիտրով, իսկ ներմուծման ծավալնե</w:t>
      </w:r>
      <w:r w:rsidR="00354D29" w:rsidRPr="00C921DE">
        <w:rPr>
          <w:rFonts w:ascii="GHEA Grapalat" w:hAnsi="GHEA Grapalat" w:cs="GHEA Grapalat"/>
          <w:sz w:val="22"/>
          <w:szCs w:val="22"/>
        </w:rPr>
        <w:t>րը նվազել են 29.3%-ով կամ 413.9</w:t>
      </w:r>
      <w:r w:rsidR="00354D29" w:rsidRPr="00C921DE">
        <w:rPr>
          <w:rFonts w:ascii="Calibri" w:hAnsi="Calibri" w:cs="Calibri"/>
          <w:sz w:val="22"/>
          <w:szCs w:val="22"/>
          <w:lang w:val="en-US"/>
        </w:rPr>
        <w:t> </w:t>
      </w:r>
      <w:r w:rsidRPr="00C921DE">
        <w:rPr>
          <w:rFonts w:ascii="GHEA Grapalat" w:hAnsi="GHEA Grapalat" w:cs="GHEA Grapalat"/>
          <w:sz w:val="22"/>
          <w:szCs w:val="22"/>
        </w:rPr>
        <w:t>հազար լիտրով: Պտուղներից և (կամ) հատապտուղներից պատրաստված օղու արտադրության ծավալները կազմել են 2,477.8 հազար լիտր՝ նախորդ տարվա նկատմամբ աճելով 2.1 անգամ կամ 1,339.3 հազար լիտրով: Ծխախոտի արտադրության ծավալները կազմել են 1,752.2 մլն տուփ՝ նախորդ տարվա նկատմամբ աճելով 22.5%-ով կամ 322.2 մլն տուփով, իսկ ծխախոտի ներմուծման ծավալները՝ 7%-ով կամ 8.4 մլն տուփով՝ կազմելով 127.2 մլն տուփ:</w:t>
      </w:r>
    </w:p>
    <w:p w14:paraId="0E4A1F40" w14:textId="06342D92" w:rsidR="00FF44DF" w:rsidRPr="00C921DE" w:rsidRDefault="00FF44DF" w:rsidP="00FF44DF">
      <w:pPr>
        <w:tabs>
          <w:tab w:val="left" w:pos="0"/>
          <w:tab w:val="left" w:pos="900"/>
        </w:tabs>
        <w:spacing w:line="360" w:lineRule="auto"/>
        <w:ind w:firstLine="567"/>
        <w:jc w:val="both"/>
        <w:rPr>
          <w:rFonts w:ascii="GHEA Grapalat" w:hAnsi="GHEA Grapalat" w:cs="GHEA Grapalat"/>
          <w:sz w:val="22"/>
          <w:szCs w:val="22"/>
        </w:rPr>
      </w:pPr>
      <w:r w:rsidRPr="00C921DE">
        <w:rPr>
          <w:rFonts w:ascii="GHEA Grapalat" w:hAnsi="GHEA Grapalat"/>
          <w:sz w:val="22"/>
          <w:szCs w:val="22"/>
          <w:lang w:eastAsia="nl-NL"/>
        </w:rPr>
        <w:t>2022 թվականին ՀՀ պետական բյուջեի հարկային եկամուտների և պետական տուրքերի 14.5%</w:t>
      </w:r>
      <w:r w:rsidRPr="00C921DE">
        <w:rPr>
          <w:rFonts w:ascii="GHEA Grapalat" w:hAnsi="GHEA Grapalat"/>
          <w:sz w:val="22"/>
          <w:szCs w:val="22"/>
          <w:lang w:eastAsia="nl-NL"/>
        </w:rPr>
        <w:noBreakHyphen/>
        <w:t xml:space="preserve">ն ապահովվել է </w:t>
      </w:r>
      <w:r w:rsidRPr="00C921DE">
        <w:rPr>
          <w:rFonts w:ascii="GHEA Grapalat" w:hAnsi="GHEA Grapalat"/>
          <w:i/>
          <w:sz w:val="22"/>
          <w:szCs w:val="22"/>
          <w:lang w:eastAsia="nl-NL"/>
        </w:rPr>
        <w:t>շահութահարկի</w:t>
      </w:r>
      <w:r w:rsidRPr="00C921DE">
        <w:rPr>
          <w:rFonts w:ascii="GHEA Grapalat" w:hAnsi="GHEA Grapalat"/>
          <w:sz w:val="22"/>
          <w:szCs w:val="22"/>
          <w:lang w:eastAsia="nl-NL"/>
        </w:rPr>
        <w:t xml:space="preserve"> հաշվին՝ կազմելով 321.5 մլրդ դրամ և 44.3%-ով (98.7 մլրդ դրամով) գերազանցելով նախորդ տարվա ցուցանիշը: Շահութահարկի գծով պետական բյուջեի մուտքերի վրա իր ազդեցությունն </w:t>
      </w:r>
      <w:r w:rsidR="00684835" w:rsidRPr="00C921DE">
        <w:rPr>
          <w:rFonts w:ascii="GHEA Grapalat" w:hAnsi="GHEA Grapalat"/>
          <w:sz w:val="22"/>
          <w:szCs w:val="22"/>
          <w:lang w:val="en-US" w:eastAsia="nl-NL"/>
        </w:rPr>
        <w:t>է</w:t>
      </w:r>
      <w:r w:rsidRPr="00C921DE">
        <w:rPr>
          <w:rFonts w:ascii="GHEA Grapalat" w:hAnsi="GHEA Grapalat"/>
          <w:sz w:val="22"/>
          <w:szCs w:val="22"/>
          <w:lang w:eastAsia="nl-NL"/>
        </w:rPr>
        <w:t xml:space="preserve"> ունեցել ռեզիդենտների և ոչ ռեզիդենտների շահութահարկի և աղբյուրի մոտ պահվող ոչ ռեզիդենտների շահութահարկի հաշվարկման բազաների աճը: Մասնավորապես, 2023 թվականին ռեզիդենտ և ոչ ռեզիդենտ շահութահարկ վճարողների համախառն եկամուտները կազմել են 13,751.1 մլրդ դրամ՝ նախորդ տարվա համեմատ աճելով 32.2%-ով կամ 3,349.6 մլրդ դրամով: Ռեզիդենտ և ոչ ռեզիդենտ շահութահարկ վճարողների 2023 թվականի հարկվող շահույթը կազմել է </w:t>
      </w:r>
      <w:r w:rsidRPr="00C921DE">
        <w:rPr>
          <w:rFonts w:ascii="GHEA Grapalat" w:hAnsi="GHEA Grapalat"/>
          <w:sz w:val="22"/>
          <w:szCs w:val="22"/>
          <w:lang w:eastAsia="nl-NL"/>
        </w:rPr>
        <w:lastRenderedPageBreak/>
        <w:t>1,535.1 մլրդ դրամ, որը նախորդ տարվա համեմատ աճել է 40.3%-ով կամ 441 մլրդ դրամով: Ռեզիդենտ շահութահարկ վճարողների՝ աղբյուրի մոտ պահվող 2023 թվակ</w:t>
      </w:r>
      <w:r w:rsidR="00F25A90" w:rsidRPr="00C921DE">
        <w:rPr>
          <w:rFonts w:ascii="GHEA Grapalat" w:hAnsi="GHEA Grapalat"/>
          <w:sz w:val="22"/>
          <w:szCs w:val="22"/>
          <w:lang w:eastAsia="nl-NL"/>
        </w:rPr>
        <w:t>անի եկամուտները կազմել են 477.6</w:t>
      </w:r>
      <w:r w:rsidR="00F25A90" w:rsidRPr="00C921DE">
        <w:rPr>
          <w:rFonts w:ascii="Calibri" w:hAnsi="Calibri" w:cs="Calibri"/>
          <w:sz w:val="22"/>
          <w:szCs w:val="22"/>
          <w:lang w:val="en-US" w:eastAsia="nl-NL"/>
        </w:rPr>
        <w:t> </w:t>
      </w:r>
      <w:r w:rsidRPr="00C921DE">
        <w:rPr>
          <w:rFonts w:ascii="GHEA Grapalat" w:hAnsi="GHEA Grapalat"/>
          <w:sz w:val="22"/>
          <w:szCs w:val="22"/>
          <w:lang w:eastAsia="nl-NL"/>
        </w:rPr>
        <w:t>մլրդ դրամ, որը նախորդ տարվա համեմատ աճել է 84.2%-ով կամ 218.2 մլրդ դրամով, իսկ վճարված եկամուտներից պահված հարկերը կազմել են 20.3</w:t>
      </w:r>
      <w:r w:rsidRPr="00C921DE">
        <w:rPr>
          <w:rFonts w:ascii="Courier New" w:hAnsi="Courier New" w:cs="Courier New"/>
          <w:sz w:val="22"/>
          <w:szCs w:val="22"/>
          <w:lang w:eastAsia="nl-NL"/>
        </w:rPr>
        <w:t> </w:t>
      </w:r>
      <w:r w:rsidRPr="00C921DE">
        <w:rPr>
          <w:rFonts w:ascii="GHEA Grapalat" w:hAnsi="GHEA Grapalat" w:cs="GHEA Grapalat"/>
          <w:sz w:val="22"/>
          <w:szCs w:val="22"/>
          <w:lang w:eastAsia="nl-NL"/>
        </w:rPr>
        <w:t>մլրդ</w:t>
      </w:r>
      <w:r w:rsidRPr="00C921DE">
        <w:rPr>
          <w:rFonts w:ascii="GHEA Grapalat" w:hAnsi="GHEA Grapalat"/>
          <w:sz w:val="22"/>
          <w:szCs w:val="22"/>
          <w:lang w:eastAsia="nl-NL"/>
        </w:rPr>
        <w:t xml:space="preserve"> </w:t>
      </w:r>
      <w:r w:rsidRPr="00C921DE">
        <w:rPr>
          <w:rFonts w:ascii="GHEA Grapalat" w:hAnsi="GHEA Grapalat" w:cs="GHEA Grapalat"/>
          <w:sz w:val="22"/>
          <w:szCs w:val="22"/>
          <w:lang w:eastAsia="nl-NL"/>
        </w:rPr>
        <w:t>դրամ՝ նախորդ</w:t>
      </w:r>
      <w:r w:rsidRPr="00C921DE">
        <w:rPr>
          <w:rFonts w:ascii="GHEA Grapalat" w:hAnsi="GHEA Grapalat"/>
          <w:sz w:val="22"/>
          <w:szCs w:val="22"/>
          <w:lang w:eastAsia="nl-NL"/>
        </w:rPr>
        <w:t xml:space="preserve"> </w:t>
      </w:r>
      <w:r w:rsidRPr="00C921DE">
        <w:rPr>
          <w:rFonts w:ascii="GHEA Grapalat" w:hAnsi="GHEA Grapalat" w:cs="GHEA Grapalat"/>
          <w:sz w:val="22"/>
          <w:szCs w:val="22"/>
          <w:lang w:eastAsia="nl-NL"/>
        </w:rPr>
        <w:t>տարվա</w:t>
      </w:r>
      <w:r w:rsidRPr="00C921DE">
        <w:rPr>
          <w:rFonts w:ascii="GHEA Grapalat" w:hAnsi="GHEA Grapalat"/>
          <w:sz w:val="22"/>
          <w:szCs w:val="22"/>
          <w:lang w:eastAsia="nl-NL"/>
        </w:rPr>
        <w:t xml:space="preserve"> </w:t>
      </w:r>
      <w:r w:rsidRPr="00C921DE">
        <w:rPr>
          <w:rFonts w:ascii="GHEA Grapalat" w:hAnsi="GHEA Grapalat" w:cs="GHEA Grapalat"/>
          <w:sz w:val="22"/>
          <w:szCs w:val="22"/>
          <w:lang w:eastAsia="nl-NL"/>
        </w:rPr>
        <w:t>համեմատ</w:t>
      </w:r>
      <w:r w:rsidRPr="00C921DE">
        <w:rPr>
          <w:rFonts w:ascii="GHEA Grapalat" w:hAnsi="GHEA Grapalat"/>
          <w:sz w:val="22"/>
          <w:szCs w:val="22"/>
          <w:lang w:eastAsia="nl-NL"/>
        </w:rPr>
        <w:t xml:space="preserve"> </w:t>
      </w:r>
      <w:r w:rsidRPr="00C921DE">
        <w:rPr>
          <w:rFonts w:ascii="GHEA Grapalat" w:hAnsi="GHEA Grapalat" w:cs="GHEA Grapalat"/>
          <w:sz w:val="22"/>
          <w:szCs w:val="22"/>
          <w:lang w:eastAsia="nl-NL"/>
        </w:rPr>
        <w:t>աճել</w:t>
      </w:r>
      <w:r w:rsidRPr="00C921DE">
        <w:rPr>
          <w:rFonts w:ascii="GHEA Grapalat" w:hAnsi="GHEA Grapalat"/>
          <w:sz w:val="22"/>
          <w:szCs w:val="22"/>
          <w:lang w:eastAsia="nl-NL"/>
        </w:rPr>
        <w:t>ով 43.2</w:t>
      </w:r>
      <w:r w:rsidRPr="00C921DE">
        <w:rPr>
          <w:rFonts w:ascii="GHEA Grapalat" w:hAnsi="GHEA Grapalat" w:cs="GHEA Grapalat"/>
          <w:sz w:val="22"/>
          <w:szCs w:val="22"/>
        </w:rPr>
        <w:t xml:space="preserve">%-ով կամ 6.1 մլրդ դրամով: </w:t>
      </w:r>
    </w:p>
    <w:p w14:paraId="4C9D834F" w14:textId="26D075AC" w:rsidR="00FF44DF" w:rsidRPr="00C921DE" w:rsidRDefault="00FF44DF" w:rsidP="00FF44DF">
      <w:pPr>
        <w:tabs>
          <w:tab w:val="left" w:pos="0"/>
          <w:tab w:val="left" w:pos="900"/>
        </w:tabs>
        <w:spacing w:line="360" w:lineRule="auto"/>
        <w:ind w:firstLine="567"/>
        <w:jc w:val="both"/>
        <w:rPr>
          <w:rFonts w:ascii="GHEA Grapalat" w:hAnsi="GHEA Grapalat" w:cs="Sylfaen"/>
          <w:sz w:val="22"/>
          <w:szCs w:val="22"/>
        </w:rPr>
      </w:pPr>
      <w:r w:rsidRPr="00C921DE">
        <w:rPr>
          <w:rFonts w:ascii="GHEA Grapalat" w:hAnsi="GHEA Grapalat" w:cs="GHEA Grapalat"/>
          <w:sz w:val="22"/>
          <w:szCs w:val="22"/>
        </w:rPr>
        <w:t xml:space="preserve">Հաշվետու ժամանակահատվածում 554.5 մլրդ դրամ են կազմել </w:t>
      </w:r>
      <w:r w:rsidRPr="00C921DE">
        <w:rPr>
          <w:rFonts w:ascii="GHEA Grapalat" w:hAnsi="GHEA Grapalat" w:cs="GHEA Grapalat"/>
          <w:i/>
          <w:iCs/>
          <w:sz w:val="22"/>
          <w:szCs w:val="22"/>
        </w:rPr>
        <w:t>եկամտային հարկի</w:t>
      </w:r>
      <w:r w:rsidRPr="00C921DE">
        <w:rPr>
          <w:rFonts w:ascii="GHEA Grapalat" w:hAnsi="GHEA Grapalat" w:cs="GHEA Grapalat"/>
          <w:sz w:val="22"/>
          <w:szCs w:val="22"/>
        </w:rPr>
        <w:t xml:space="preserve"> մուտքերը՝ ապահովելով հարկային եկամուտների և պետական տուրքերի 25%-ը: Նախորդ տարվա համեմատ ե</w:t>
      </w:r>
      <w:r w:rsidRPr="00C921DE">
        <w:rPr>
          <w:rFonts w:ascii="GHEA Grapalat" w:hAnsi="GHEA Grapalat" w:cs="Sylfaen"/>
          <w:sz w:val="22"/>
          <w:szCs w:val="22"/>
        </w:rPr>
        <w:t>կամտային հարկի 16.8% (79.7 մլրդ դրամ) աճը հիմնականում պայմանավորված է 2023 թվականին աշխատատեղերի և միջին աշխատավարձերի աճով: Մասնավորապես, 2023 թվականին գրանցված աշխատատեղերի թիվը նախորդ տարվա համեմատ աճել է 5.5</w:t>
      </w:r>
      <w:r w:rsidRPr="00C921DE">
        <w:rPr>
          <w:rFonts w:ascii="GHEA Grapalat" w:hAnsi="GHEA Grapalat" w:cs="GHEA Grapalat"/>
          <w:sz w:val="22"/>
          <w:szCs w:val="22"/>
        </w:rPr>
        <w:t>%</w:t>
      </w:r>
      <w:r w:rsidRPr="00C921DE">
        <w:rPr>
          <w:rFonts w:ascii="GHEA Grapalat" w:hAnsi="GHEA Grapalat" w:cs="Sylfaen"/>
          <w:sz w:val="22"/>
          <w:szCs w:val="22"/>
        </w:rPr>
        <w:t>-ով, իսկ միջին ամսական անվանական աշխատավարձն աճել է 14.</w:t>
      </w:r>
      <w:r w:rsidR="00BA39E3" w:rsidRPr="00C921DE">
        <w:rPr>
          <w:rFonts w:ascii="GHEA Grapalat" w:hAnsi="GHEA Grapalat" w:cs="Sylfaen"/>
          <w:sz w:val="22"/>
          <w:szCs w:val="22"/>
          <w:lang w:val="en-US"/>
        </w:rPr>
        <w:t>6</w:t>
      </w:r>
      <w:r w:rsidRPr="00C921DE">
        <w:rPr>
          <w:rFonts w:ascii="GHEA Grapalat" w:hAnsi="GHEA Grapalat" w:cs="Sylfaen"/>
          <w:sz w:val="22"/>
          <w:szCs w:val="22"/>
        </w:rPr>
        <w:t>%-ով: Նշված երկու գործոնների համադրմամբ, եկամտային հարկի հարկման բազայի նպաստումը եղել է 21.0 տոկոս (1.055*1.14</w:t>
      </w:r>
      <w:r w:rsidR="00BA39E3" w:rsidRPr="00C921DE">
        <w:rPr>
          <w:rFonts w:ascii="GHEA Grapalat" w:hAnsi="GHEA Grapalat" w:cs="Sylfaen"/>
          <w:sz w:val="22"/>
          <w:szCs w:val="22"/>
          <w:lang w:val="en-US"/>
        </w:rPr>
        <w:t>6</w:t>
      </w:r>
      <w:r w:rsidRPr="00C921DE">
        <w:rPr>
          <w:rFonts w:ascii="GHEA Grapalat" w:hAnsi="GHEA Grapalat" w:cs="Sylfaen"/>
          <w:sz w:val="22"/>
          <w:szCs w:val="22"/>
        </w:rPr>
        <w:t xml:space="preserve">=1.21): </w:t>
      </w:r>
    </w:p>
    <w:p w14:paraId="4CF02828" w14:textId="5095092F" w:rsidR="006C6DF6" w:rsidRPr="00C921DE" w:rsidRDefault="00FF44DF" w:rsidP="006C6DF6">
      <w:pPr>
        <w:tabs>
          <w:tab w:val="left" w:pos="0"/>
          <w:tab w:val="left" w:pos="900"/>
        </w:tabs>
        <w:spacing w:line="360" w:lineRule="auto"/>
        <w:ind w:firstLine="567"/>
        <w:jc w:val="both"/>
        <w:rPr>
          <w:rFonts w:ascii="GHEA Grapalat" w:hAnsi="GHEA Grapalat"/>
          <w:sz w:val="22"/>
          <w:szCs w:val="22"/>
        </w:rPr>
      </w:pPr>
      <w:r w:rsidRPr="00C921DE">
        <w:rPr>
          <w:rFonts w:ascii="GHEA Grapalat" w:hAnsi="GHEA Grapalat" w:cs="Sylfaen"/>
          <w:sz w:val="22"/>
          <w:szCs w:val="22"/>
        </w:rPr>
        <w:t>Միաժամանակ, եկամտային հարկի մուտքերի վրա բացասական ազդեցություն է ունեցել</w:t>
      </w:r>
      <w:r w:rsidRPr="00C921DE">
        <w:rPr>
          <w:rFonts w:ascii="GHEA Grapalat" w:hAnsi="GHEA Grapalat"/>
          <w:sz w:val="22"/>
          <w:szCs w:val="22"/>
        </w:rPr>
        <w:t xml:space="preserve"> եկամտային հարկի գծով վերադարձված գումարների աճը: 2023 թվականին եկամտային հարկի գծով վերադարձված գումարները կազմել են 68.2</w:t>
      </w:r>
      <w:r w:rsidRPr="00C921DE">
        <w:rPr>
          <w:rFonts w:ascii="Courier New" w:hAnsi="Courier New" w:cs="Courier New"/>
          <w:sz w:val="22"/>
          <w:szCs w:val="22"/>
        </w:rPr>
        <w:t> </w:t>
      </w:r>
      <w:r w:rsidRPr="00C921DE">
        <w:rPr>
          <w:rFonts w:ascii="GHEA Grapalat" w:hAnsi="GHEA Grapalat" w:cs="GHEA Grapalat"/>
          <w:sz w:val="22"/>
          <w:szCs w:val="22"/>
        </w:rPr>
        <w:t>մլրդ</w:t>
      </w:r>
      <w:r w:rsidRPr="00C921DE">
        <w:rPr>
          <w:rFonts w:ascii="GHEA Grapalat" w:hAnsi="GHEA Grapalat"/>
          <w:sz w:val="22"/>
          <w:szCs w:val="22"/>
        </w:rPr>
        <w:t xml:space="preserve"> </w:t>
      </w:r>
      <w:r w:rsidRPr="00C921DE">
        <w:rPr>
          <w:rFonts w:ascii="GHEA Grapalat" w:hAnsi="GHEA Grapalat" w:cs="GHEA Grapalat"/>
          <w:sz w:val="22"/>
          <w:szCs w:val="22"/>
        </w:rPr>
        <w:t>դրամ՝</w:t>
      </w:r>
      <w:r w:rsidRPr="00C921DE">
        <w:rPr>
          <w:rFonts w:ascii="GHEA Grapalat" w:hAnsi="GHEA Grapalat"/>
          <w:sz w:val="22"/>
          <w:szCs w:val="22"/>
        </w:rPr>
        <w:t xml:space="preserve"> 44.2</w:t>
      </w:r>
      <w:r w:rsidRPr="00C921DE">
        <w:rPr>
          <w:rFonts w:ascii="GHEA Grapalat" w:hAnsi="GHEA Grapalat" w:cs="GHEA Grapalat"/>
          <w:sz w:val="22"/>
          <w:szCs w:val="22"/>
        </w:rPr>
        <w:t>%-ով կամ 20.9</w:t>
      </w:r>
      <w:r w:rsidRPr="00C921DE">
        <w:rPr>
          <w:rFonts w:ascii="Calibri" w:hAnsi="Calibri" w:cs="Calibri"/>
          <w:sz w:val="22"/>
          <w:szCs w:val="22"/>
        </w:rPr>
        <w:t> </w:t>
      </w:r>
      <w:r w:rsidRPr="00C921DE">
        <w:rPr>
          <w:rFonts w:ascii="GHEA Grapalat" w:hAnsi="GHEA Grapalat" w:cs="GHEA Grapalat"/>
          <w:sz w:val="22"/>
          <w:szCs w:val="22"/>
        </w:rPr>
        <w:t xml:space="preserve">մլրդ դրամով գերազանցելով նախորդ տարվա ցուցանիշը: </w:t>
      </w:r>
      <w:r w:rsidR="006C6DF6" w:rsidRPr="00C921DE">
        <w:rPr>
          <w:rFonts w:ascii="GHEA Grapalat" w:hAnsi="GHEA Grapalat"/>
          <w:sz w:val="22"/>
          <w:szCs w:val="22"/>
        </w:rPr>
        <w:t>Բացասական նպաստման չափը կազմել է 3.6% (20.9/(554.5+20.9)*100):</w:t>
      </w:r>
    </w:p>
    <w:p w14:paraId="4EB5A71C" w14:textId="77777777" w:rsidR="00FF44DF" w:rsidRPr="00C921DE" w:rsidRDefault="00FF44DF" w:rsidP="00FF44DF">
      <w:pPr>
        <w:tabs>
          <w:tab w:val="left" w:pos="0"/>
          <w:tab w:val="left" w:pos="900"/>
        </w:tabs>
        <w:spacing w:line="360" w:lineRule="auto"/>
        <w:ind w:firstLine="567"/>
        <w:jc w:val="both"/>
        <w:rPr>
          <w:rFonts w:ascii="GHEA Grapalat" w:hAnsi="GHEA Grapalat"/>
          <w:sz w:val="22"/>
          <w:szCs w:val="22"/>
        </w:rPr>
      </w:pPr>
    </w:p>
    <w:p w14:paraId="29D8C40D"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bCs w:val="0"/>
          <w:i/>
          <w:sz w:val="18"/>
          <w:szCs w:val="18"/>
          <w:lang w:val="hy-AM"/>
        </w:rPr>
      </w:pPr>
      <w:r w:rsidRPr="00C921DE">
        <w:rPr>
          <w:rFonts w:ascii="GHEA Grapalat" w:hAnsi="GHEA Grapalat"/>
          <w:bCs w:val="0"/>
          <w:i/>
          <w:sz w:val="18"/>
          <w:szCs w:val="18"/>
          <w:lang w:val="hy-AM"/>
        </w:rPr>
        <w:t xml:space="preserve">2022-2023թթ. եկամտային հարկի վերադարձը (մլրդ դրամ) </w:t>
      </w:r>
    </w:p>
    <w:tbl>
      <w:tblPr>
        <w:tblW w:w="10221" w:type="dxa"/>
        <w:tblInd w:w="93" w:type="dxa"/>
        <w:tblLook w:val="00A0" w:firstRow="1" w:lastRow="0" w:firstColumn="1" w:lastColumn="0" w:noHBand="0" w:noVBand="0"/>
      </w:tblPr>
      <w:tblGrid>
        <w:gridCol w:w="5544"/>
        <w:gridCol w:w="1134"/>
        <w:gridCol w:w="1117"/>
        <w:gridCol w:w="1203"/>
        <w:gridCol w:w="1223"/>
      </w:tblGrid>
      <w:tr w:rsidR="00FF44DF" w:rsidRPr="00C921DE" w14:paraId="6E55D91D" w14:textId="77777777" w:rsidTr="00FF44DF">
        <w:trPr>
          <w:trHeight w:val="660"/>
        </w:trPr>
        <w:tc>
          <w:tcPr>
            <w:tcW w:w="5544" w:type="dxa"/>
            <w:tcBorders>
              <w:top w:val="single" w:sz="4" w:space="0" w:color="auto"/>
              <w:left w:val="single" w:sz="4" w:space="0" w:color="auto"/>
              <w:bottom w:val="single" w:sz="4" w:space="0" w:color="auto"/>
              <w:right w:val="single" w:sz="4" w:space="0" w:color="auto"/>
            </w:tcBorders>
            <w:noWrap/>
            <w:vAlign w:val="bottom"/>
          </w:tcPr>
          <w:p w14:paraId="7BE5E941" w14:textId="77777777" w:rsidR="00FF44DF" w:rsidRPr="00C921DE" w:rsidRDefault="00FF44DF" w:rsidP="00FF44DF">
            <w:pPr>
              <w:rPr>
                <w:rFonts w:ascii="GHEA Grapalat" w:hAnsi="GHEA Grapalat" w:cs="Calibri"/>
                <w:sz w:val="20"/>
                <w:szCs w:val="20"/>
              </w:rPr>
            </w:pPr>
            <w:r w:rsidRPr="00C921DE">
              <w:rPr>
                <w:rFonts w:ascii="Courier New" w:hAnsi="Courier New" w:cs="Courier New"/>
                <w:sz w:val="20"/>
                <w:szCs w:val="20"/>
              </w:rPr>
              <w:t> </w:t>
            </w:r>
          </w:p>
        </w:tc>
        <w:tc>
          <w:tcPr>
            <w:tcW w:w="1134" w:type="dxa"/>
            <w:tcBorders>
              <w:top w:val="single" w:sz="4" w:space="0" w:color="auto"/>
              <w:left w:val="nil"/>
              <w:bottom w:val="single" w:sz="4" w:space="0" w:color="auto"/>
              <w:right w:val="single" w:sz="4" w:space="0" w:color="auto"/>
            </w:tcBorders>
            <w:noWrap/>
          </w:tcPr>
          <w:p w14:paraId="3E326E35"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117" w:type="dxa"/>
            <w:tcBorders>
              <w:top w:val="single" w:sz="4" w:space="0" w:color="auto"/>
              <w:left w:val="nil"/>
              <w:bottom w:val="single" w:sz="4" w:space="0" w:color="auto"/>
              <w:right w:val="single" w:sz="4" w:space="0" w:color="auto"/>
            </w:tcBorders>
            <w:noWrap/>
          </w:tcPr>
          <w:p w14:paraId="2FBAAA04"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203" w:type="dxa"/>
            <w:tcBorders>
              <w:top w:val="single" w:sz="4" w:space="0" w:color="auto"/>
              <w:left w:val="nil"/>
              <w:bottom w:val="single" w:sz="4" w:space="0" w:color="auto"/>
              <w:right w:val="single" w:sz="4" w:space="0" w:color="auto"/>
            </w:tcBorders>
          </w:tcPr>
          <w:p w14:paraId="27192F3A"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p>
          <w:p w14:paraId="0C357A66" w14:textId="315F6985"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74439"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7AA5429D"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223" w:type="dxa"/>
            <w:tcBorders>
              <w:top w:val="single" w:sz="4" w:space="0" w:color="auto"/>
              <w:left w:val="nil"/>
              <w:bottom w:val="single" w:sz="4" w:space="0" w:color="auto"/>
              <w:right w:val="single" w:sz="4" w:space="0" w:color="auto"/>
            </w:tcBorders>
            <w:noWrap/>
          </w:tcPr>
          <w:p w14:paraId="30F97DA4"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397BED32" w14:textId="77777777" w:rsidTr="00FF44DF">
        <w:trPr>
          <w:trHeight w:val="279"/>
        </w:trPr>
        <w:tc>
          <w:tcPr>
            <w:tcW w:w="5544" w:type="dxa"/>
            <w:tcBorders>
              <w:top w:val="nil"/>
              <w:left w:val="single" w:sz="4" w:space="0" w:color="auto"/>
              <w:bottom w:val="single" w:sz="4" w:space="0" w:color="auto"/>
              <w:right w:val="single" w:sz="4" w:space="0" w:color="auto"/>
            </w:tcBorders>
            <w:noWrap/>
            <w:vAlign w:val="bottom"/>
          </w:tcPr>
          <w:p w14:paraId="6E7713E2"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Ընդամենը եկամտային հարկի գծով վերադարձված գումարներ, այդ թվում՝</w:t>
            </w:r>
          </w:p>
        </w:tc>
        <w:tc>
          <w:tcPr>
            <w:tcW w:w="1134" w:type="dxa"/>
            <w:tcBorders>
              <w:top w:val="nil"/>
              <w:left w:val="nil"/>
              <w:bottom w:val="single" w:sz="4" w:space="0" w:color="auto"/>
              <w:right w:val="single" w:sz="4" w:space="0" w:color="auto"/>
            </w:tcBorders>
            <w:noWrap/>
            <w:vAlign w:val="bottom"/>
          </w:tcPr>
          <w:p w14:paraId="6942CA19"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47.3</w:t>
            </w:r>
          </w:p>
        </w:tc>
        <w:tc>
          <w:tcPr>
            <w:tcW w:w="1117" w:type="dxa"/>
            <w:tcBorders>
              <w:top w:val="nil"/>
              <w:left w:val="nil"/>
              <w:bottom w:val="single" w:sz="4" w:space="0" w:color="auto"/>
              <w:right w:val="single" w:sz="4" w:space="0" w:color="auto"/>
            </w:tcBorders>
            <w:noWrap/>
            <w:vAlign w:val="bottom"/>
          </w:tcPr>
          <w:p w14:paraId="42500ACE"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68.2</w:t>
            </w:r>
          </w:p>
        </w:tc>
        <w:tc>
          <w:tcPr>
            <w:tcW w:w="1203" w:type="dxa"/>
            <w:tcBorders>
              <w:top w:val="nil"/>
              <w:left w:val="nil"/>
              <w:bottom w:val="single" w:sz="4" w:space="0" w:color="auto"/>
              <w:right w:val="single" w:sz="4" w:space="0" w:color="auto"/>
            </w:tcBorders>
            <w:noWrap/>
            <w:vAlign w:val="bottom"/>
          </w:tcPr>
          <w:p w14:paraId="13BB65FE"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144.2</w:t>
            </w:r>
          </w:p>
        </w:tc>
        <w:tc>
          <w:tcPr>
            <w:tcW w:w="1223" w:type="dxa"/>
            <w:tcBorders>
              <w:top w:val="nil"/>
              <w:left w:val="nil"/>
              <w:bottom w:val="single" w:sz="4" w:space="0" w:color="auto"/>
              <w:right w:val="single" w:sz="4" w:space="0" w:color="auto"/>
            </w:tcBorders>
            <w:noWrap/>
            <w:vAlign w:val="bottom"/>
          </w:tcPr>
          <w:p w14:paraId="17447CFE"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20.9</w:t>
            </w:r>
          </w:p>
        </w:tc>
      </w:tr>
      <w:tr w:rsidR="00FF44DF" w:rsidRPr="00C921DE" w14:paraId="43514EB3" w14:textId="77777777" w:rsidTr="00FF44DF">
        <w:trPr>
          <w:trHeight w:val="279"/>
        </w:trPr>
        <w:tc>
          <w:tcPr>
            <w:tcW w:w="5544" w:type="dxa"/>
            <w:tcBorders>
              <w:top w:val="nil"/>
              <w:left w:val="single" w:sz="4" w:space="0" w:color="auto"/>
              <w:bottom w:val="single" w:sz="4" w:space="0" w:color="auto"/>
              <w:right w:val="single" w:sz="4" w:space="0" w:color="auto"/>
            </w:tcBorders>
            <w:noWrap/>
            <w:vAlign w:val="bottom"/>
          </w:tcPr>
          <w:p w14:paraId="62477798" w14:textId="77777777" w:rsidR="00FF44DF" w:rsidRPr="00C921DE" w:rsidRDefault="00FF44DF" w:rsidP="00FF44DF">
            <w:pPr>
              <w:ind w:left="333"/>
              <w:rPr>
                <w:rFonts w:ascii="GHEA Grapalat" w:hAnsi="GHEA Grapalat" w:cs="Calibri"/>
                <w:sz w:val="18"/>
                <w:szCs w:val="18"/>
              </w:rPr>
            </w:pPr>
            <w:r w:rsidRPr="00C921DE">
              <w:rPr>
                <w:rFonts w:ascii="GHEA Grapalat" w:hAnsi="GHEA Grapalat" w:cs="Calibri"/>
                <w:sz w:val="18"/>
                <w:szCs w:val="18"/>
              </w:rPr>
              <w:t>Հիպոտեկային վարկի սպասարկման համար վճարվող տոկոսների մասով վարկառուներին և համավարկառու-ներին վերադարձված եկամտային հարկ</w:t>
            </w:r>
          </w:p>
        </w:tc>
        <w:tc>
          <w:tcPr>
            <w:tcW w:w="1134" w:type="dxa"/>
            <w:tcBorders>
              <w:top w:val="nil"/>
              <w:left w:val="nil"/>
              <w:bottom w:val="single" w:sz="4" w:space="0" w:color="auto"/>
              <w:right w:val="single" w:sz="4" w:space="0" w:color="auto"/>
            </w:tcBorders>
            <w:noWrap/>
            <w:vAlign w:val="bottom"/>
          </w:tcPr>
          <w:p w14:paraId="6AC3F9A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36.5</w:t>
            </w:r>
          </w:p>
        </w:tc>
        <w:tc>
          <w:tcPr>
            <w:tcW w:w="1117" w:type="dxa"/>
            <w:tcBorders>
              <w:top w:val="nil"/>
              <w:left w:val="nil"/>
              <w:bottom w:val="single" w:sz="4" w:space="0" w:color="auto"/>
              <w:right w:val="single" w:sz="4" w:space="0" w:color="auto"/>
            </w:tcBorders>
            <w:noWrap/>
            <w:vAlign w:val="bottom"/>
          </w:tcPr>
          <w:p w14:paraId="7B4D6A09"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51.9</w:t>
            </w:r>
          </w:p>
        </w:tc>
        <w:tc>
          <w:tcPr>
            <w:tcW w:w="1203" w:type="dxa"/>
            <w:tcBorders>
              <w:top w:val="nil"/>
              <w:left w:val="nil"/>
              <w:bottom w:val="single" w:sz="4" w:space="0" w:color="auto"/>
              <w:right w:val="single" w:sz="4" w:space="0" w:color="auto"/>
            </w:tcBorders>
            <w:noWrap/>
            <w:vAlign w:val="bottom"/>
          </w:tcPr>
          <w:p w14:paraId="63E9CA7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142.3</w:t>
            </w:r>
          </w:p>
        </w:tc>
        <w:tc>
          <w:tcPr>
            <w:tcW w:w="1223" w:type="dxa"/>
            <w:tcBorders>
              <w:top w:val="nil"/>
              <w:left w:val="nil"/>
              <w:bottom w:val="single" w:sz="4" w:space="0" w:color="auto"/>
              <w:right w:val="single" w:sz="4" w:space="0" w:color="auto"/>
            </w:tcBorders>
            <w:noWrap/>
            <w:vAlign w:val="bottom"/>
          </w:tcPr>
          <w:p w14:paraId="1B08FFF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15.4</w:t>
            </w:r>
          </w:p>
        </w:tc>
      </w:tr>
      <w:tr w:rsidR="00FF44DF" w:rsidRPr="00C921DE" w14:paraId="5D43894E" w14:textId="77777777" w:rsidTr="00FF44DF">
        <w:trPr>
          <w:trHeight w:val="279"/>
        </w:trPr>
        <w:tc>
          <w:tcPr>
            <w:tcW w:w="5544" w:type="dxa"/>
            <w:tcBorders>
              <w:top w:val="nil"/>
              <w:left w:val="single" w:sz="4" w:space="0" w:color="auto"/>
              <w:bottom w:val="single" w:sz="4" w:space="0" w:color="auto"/>
              <w:right w:val="single" w:sz="4" w:space="0" w:color="auto"/>
            </w:tcBorders>
            <w:noWrap/>
            <w:vAlign w:val="bottom"/>
          </w:tcPr>
          <w:p w14:paraId="2144EEF0" w14:textId="77777777" w:rsidR="00FF44DF" w:rsidRPr="00C921DE" w:rsidRDefault="00FF44DF" w:rsidP="00FF44DF">
            <w:pPr>
              <w:ind w:left="333"/>
              <w:rPr>
                <w:rFonts w:ascii="GHEA Grapalat" w:hAnsi="GHEA Grapalat" w:cs="Calibri"/>
                <w:sz w:val="18"/>
                <w:szCs w:val="18"/>
              </w:rPr>
            </w:pPr>
            <w:r w:rsidRPr="00C921DE">
              <w:rPr>
                <w:rFonts w:ascii="GHEA Grapalat" w:hAnsi="GHEA Grapalat" w:cs="Calibri"/>
                <w:sz w:val="18"/>
                <w:szCs w:val="18"/>
              </w:rPr>
              <w:t>Շահաբաժիններից վճարված՝ պետական բյուջեից փոխհատուցված եկամտային հարկ</w:t>
            </w:r>
          </w:p>
        </w:tc>
        <w:tc>
          <w:tcPr>
            <w:tcW w:w="1134" w:type="dxa"/>
            <w:tcBorders>
              <w:top w:val="nil"/>
              <w:left w:val="nil"/>
              <w:bottom w:val="single" w:sz="4" w:space="0" w:color="auto"/>
              <w:right w:val="single" w:sz="4" w:space="0" w:color="auto"/>
            </w:tcBorders>
            <w:noWrap/>
            <w:vAlign w:val="bottom"/>
          </w:tcPr>
          <w:p w14:paraId="6C8F32B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10.5</w:t>
            </w:r>
          </w:p>
        </w:tc>
        <w:tc>
          <w:tcPr>
            <w:tcW w:w="1117" w:type="dxa"/>
            <w:tcBorders>
              <w:top w:val="nil"/>
              <w:left w:val="nil"/>
              <w:bottom w:val="single" w:sz="4" w:space="0" w:color="auto"/>
              <w:right w:val="single" w:sz="4" w:space="0" w:color="auto"/>
            </w:tcBorders>
            <w:noWrap/>
            <w:vAlign w:val="bottom"/>
          </w:tcPr>
          <w:p w14:paraId="4C99AC4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16.0</w:t>
            </w:r>
          </w:p>
        </w:tc>
        <w:tc>
          <w:tcPr>
            <w:tcW w:w="1203" w:type="dxa"/>
            <w:tcBorders>
              <w:top w:val="nil"/>
              <w:left w:val="nil"/>
              <w:bottom w:val="single" w:sz="4" w:space="0" w:color="auto"/>
              <w:right w:val="single" w:sz="4" w:space="0" w:color="auto"/>
            </w:tcBorders>
            <w:noWrap/>
            <w:vAlign w:val="bottom"/>
          </w:tcPr>
          <w:p w14:paraId="3E72641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151.9</w:t>
            </w:r>
          </w:p>
        </w:tc>
        <w:tc>
          <w:tcPr>
            <w:tcW w:w="1223" w:type="dxa"/>
            <w:tcBorders>
              <w:top w:val="nil"/>
              <w:left w:val="nil"/>
              <w:bottom w:val="single" w:sz="4" w:space="0" w:color="auto"/>
              <w:right w:val="single" w:sz="4" w:space="0" w:color="auto"/>
            </w:tcBorders>
            <w:noWrap/>
            <w:vAlign w:val="bottom"/>
          </w:tcPr>
          <w:p w14:paraId="45760FA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5.5</w:t>
            </w:r>
          </w:p>
        </w:tc>
      </w:tr>
      <w:tr w:rsidR="00FF44DF" w:rsidRPr="00C921DE" w14:paraId="686DBB46" w14:textId="77777777" w:rsidTr="00FF44DF">
        <w:trPr>
          <w:trHeight w:val="334"/>
        </w:trPr>
        <w:tc>
          <w:tcPr>
            <w:tcW w:w="5544" w:type="dxa"/>
            <w:tcBorders>
              <w:top w:val="nil"/>
              <w:left w:val="single" w:sz="4" w:space="0" w:color="auto"/>
              <w:bottom w:val="single" w:sz="4" w:space="0" w:color="auto"/>
              <w:right w:val="single" w:sz="4" w:space="0" w:color="auto"/>
            </w:tcBorders>
            <w:vAlign w:val="bottom"/>
          </w:tcPr>
          <w:p w14:paraId="02F7570C" w14:textId="77777777" w:rsidR="00FF44DF" w:rsidRPr="00C921DE" w:rsidRDefault="00FF44DF" w:rsidP="00FF44DF">
            <w:pPr>
              <w:ind w:left="333"/>
              <w:rPr>
                <w:rFonts w:ascii="GHEA Grapalat" w:hAnsi="GHEA Grapalat" w:cs="Calibri"/>
                <w:sz w:val="18"/>
                <w:szCs w:val="18"/>
              </w:rPr>
            </w:pPr>
            <w:r w:rsidRPr="00C921DE">
              <w:rPr>
                <w:rFonts w:ascii="GHEA Grapalat" w:hAnsi="GHEA Grapalat" w:cs="Calibri"/>
                <w:sz w:val="18"/>
                <w:szCs w:val="18"/>
              </w:rPr>
              <w:t>Վարձու աշխատող հանդիսացող ֆիզիկական անձանց` ուսման վարձավճարի փոխհատուցման նպատակով վերադարձված եկամտային հարկ</w:t>
            </w:r>
          </w:p>
        </w:tc>
        <w:tc>
          <w:tcPr>
            <w:tcW w:w="1134" w:type="dxa"/>
            <w:tcBorders>
              <w:top w:val="nil"/>
              <w:left w:val="nil"/>
              <w:bottom w:val="single" w:sz="4" w:space="0" w:color="auto"/>
              <w:right w:val="single" w:sz="4" w:space="0" w:color="auto"/>
            </w:tcBorders>
            <w:noWrap/>
            <w:vAlign w:val="bottom"/>
          </w:tcPr>
          <w:p w14:paraId="65D31570"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0.</w:t>
            </w:r>
            <w:r w:rsidRPr="00C921DE">
              <w:rPr>
                <w:rFonts w:ascii="GHEA Grapalat" w:hAnsi="GHEA Grapalat" w:cs="Calibri"/>
                <w:sz w:val="18"/>
                <w:szCs w:val="18"/>
                <w:lang w:val="en-US"/>
              </w:rPr>
              <w:t>3</w:t>
            </w:r>
          </w:p>
        </w:tc>
        <w:tc>
          <w:tcPr>
            <w:tcW w:w="1117" w:type="dxa"/>
            <w:tcBorders>
              <w:top w:val="nil"/>
              <w:left w:val="nil"/>
              <w:bottom w:val="single" w:sz="4" w:space="0" w:color="auto"/>
              <w:right w:val="single" w:sz="4" w:space="0" w:color="auto"/>
            </w:tcBorders>
            <w:noWrap/>
            <w:vAlign w:val="bottom"/>
          </w:tcPr>
          <w:p w14:paraId="6DEA5EBA"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0</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1203" w:type="dxa"/>
            <w:tcBorders>
              <w:top w:val="nil"/>
              <w:left w:val="nil"/>
              <w:bottom w:val="single" w:sz="4" w:space="0" w:color="auto"/>
              <w:right w:val="single" w:sz="4" w:space="0" w:color="auto"/>
            </w:tcBorders>
            <w:noWrap/>
            <w:vAlign w:val="bottom"/>
          </w:tcPr>
          <w:p w14:paraId="5340EBC6"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11</w:t>
            </w:r>
            <w:r w:rsidRPr="00C921DE">
              <w:rPr>
                <w:rFonts w:ascii="GHEA Grapalat" w:hAnsi="GHEA Grapalat" w:cs="Calibri"/>
                <w:sz w:val="18"/>
                <w:szCs w:val="18"/>
                <w:lang w:val="en-US"/>
              </w:rPr>
              <w:t>2</w:t>
            </w:r>
            <w:r w:rsidRPr="00C921DE">
              <w:rPr>
                <w:rFonts w:ascii="GHEA Grapalat" w:hAnsi="GHEA Grapalat" w:cs="Calibri"/>
                <w:sz w:val="18"/>
                <w:szCs w:val="18"/>
              </w:rPr>
              <w:t>.</w:t>
            </w:r>
            <w:r w:rsidRPr="00C921DE">
              <w:rPr>
                <w:rFonts w:ascii="GHEA Grapalat" w:hAnsi="GHEA Grapalat" w:cs="Calibri"/>
                <w:sz w:val="18"/>
                <w:szCs w:val="18"/>
                <w:lang w:val="en-US"/>
              </w:rPr>
              <w:t>2</w:t>
            </w:r>
          </w:p>
        </w:tc>
        <w:tc>
          <w:tcPr>
            <w:tcW w:w="1223" w:type="dxa"/>
            <w:tcBorders>
              <w:top w:val="nil"/>
              <w:left w:val="nil"/>
              <w:bottom w:val="single" w:sz="4" w:space="0" w:color="auto"/>
              <w:right w:val="single" w:sz="4" w:space="0" w:color="auto"/>
            </w:tcBorders>
            <w:noWrap/>
            <w:vAlign w:val="bottom"/>
          </w:tcPr>
          <w:p w14:paraId="7CA1DB79"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0</w:t>
            </w:r>
            <w:r w:rsidRPr="00C921DE">
              <w:rPr>
                <w:rFonts w:ascii="GHEA Grapalat" w:hAnsi="GHEA Grapalat" w:cs="Calibri"/>
                <w:sz w:val="18"/>
                <w:szCs w:val="18"/>
              </w:rPr>
              <w:t>.</w:t>
            </w:r>
            <w:r w:rsidRPr="00C921DE">
              <w:rPr>
                <w:rFonts w:ascii="GHEA Grapalat" w:hAnsi="GHEA Grapalat" w:cs="Calibri"/>
                <w:sz w:val="18"/>
                <w:szCs w:val="18"/>
                <w:lang w:val="en-US"/>
              </w:rPr>
              <w:t>0</w:t>
            </w:r>
          </w:p>
        </w:tc>
      </w:tr>
    </w:tbl>
    <w:p w14:paraId="54B65242" w14:textId="77777777" w:rsidR="00FF44DF" w:rsidRPr="00C921DE" w:rsidRDefault="00FF44DF" w:rsidP="00FF44DF">
      <w:pPr>
        <w:tabs>
          <w:tab w:val="left" w:pos="0"/>
          <w:tab w:val="left" w:pos="900"/>
        </w:tabs>
        <w:spacing w:line="360" w:lineRule="auto"/>
        <w:ind w:firstLine="567"/>
        <w:jc w:val="both"/>
        <w:rPr>
          <w:rFonts w:ascii="GHEA Grapalat" w:hAnsi="GHEA Grapalat"/>
          <w:sz w:val="22"/>
          <w:szCs w:val="22"/>
          <w:lang w:val="en-US"/>
        </w:rPr>
      </w:pPr>
    </w:p>
    <w:p w14:paraId="1D4FD88F" w14:textId="77777777" w:rsidR="00FF44DF" w:rsidRPr="00C921DE" w:rsidRDefault="00FF44DF" w:rsidP="00FF44DF">
      <w:pPr>
        <w:tabs>
          <w:tab w:val="left" w:pos="0"/>
          <w:tab w:val="left" w:pos="900"/>
        </w:tabs>
        <w:spacing w:line="360" w:lineRule="auto"/>
        <w:ind w:firstLine="567"/>
        <w:jc w:val="both"/>
        <w:rPr>
          <w:rFonts w:ascii="GHEA Grapalat" w:hAnsi="GHEA Grapalat" w:cs="GHEA Grapalat"/>
          <w:sz w:val="22"/>
          <w:szCs w:val="22"/>
        </w:rPr>
      </w:pPr>
      <w:r w:rsidRPr="00C921DE">
        <w:rPr>
          <w:rFonts w:ascii="GHEA Grapalat" w:hAnsi="GHEA Grapalat"/>
          <w:sz w:val="22"/>
          <w:szCs w:val="22"/>
        </w:rPr>
        <w:t>2023 թվականին պետական</w:t>
      </w:r>
      <w:r w:rsidRPr="00C921DE">
        <w:rPr>
          <w:rFonts w:ascii="GHEA Grapalat" w:hAnsi="GHEA Grapalat" w:cs="GHEA Grapalat"/>
          <w:sz w:val="22"/>
          <w:szCs w:val="22"/>
        </w:rPr>
        <w:t xml:space="preserve"> բյուջե մուտքագրված հարկային եկամուտների ու պետական տուրքերի 3.4%-ն ապահովվել է </w:t>
      </w:r>
      <w:r w:rsidRPr="00C921DE">
        <w:rPr>
          <w:rFonts w:ascii="GHEA Grapalat" w:hAnsi="GHEA Grapalat" w:cs="GHEA Grapalat"/>
          <w:i/>
          <w:sz w:val="22"/>
          <w:szCs w:val="22"/>
        </w:rPr>
        <w:t>մաք</w:t>
      </w:r>
      <w:r w:rsidRPr="00C921DE">
        <w:rPr>
          <w:rFonts w:ascii="GHEA Grapalat" w:hAnsi="GHEA Grapalat" w:cs="GHEA Grapalat"/>
          <w:i/>
          <w:sz w:val="22"/>
          <w:szCs w:val="22"/>
        </w:rPr>
        <w:softHyphen/>
        <w:t>սա</w:t>
      </w:r>
      <w:r w:rsidRPr="00C921DE">
        <w:rPr>
          <w:rFonts w:ascii="GHEA Grapalat" w:hAnsi="GHEA Grapalat" w:cs="GHEA Grapalat"/>
          <w:i/>
          <w:sz w:val="22"/>
          <w:szCs w:val="22"/>
        </w:rPr>
        <w:softHyphen/>
        <w:t>տուրքերի</w:t>
      </w:r>
      <w:r w:rsidRPr="00C921DE">
        <w:rPr>
          <w:rFonts w:ascii="GHEA Grapalat" w:hAnsi="GHEA Grapalat" w:cs="GHEA Grapalat"/>
          <w:sz w:val="22"/>
          <w:szCs w:val="22"/>
        </w:rPr>
        <w:t xml:space="preserve"> հաշվին:</w:t>
      </w:r>
    </w:p>
    <w:p w14:paraId="1B33A378" w14:textId="77777777" w:rsidR="00FF44DF" w:rsidRPr="00C921DE" w:rsidRDefault="00FF44DF" w:rsidP="00FF44DF">
      <w:pPr>
        <w:tabs>
          <w:tab w:val="left" w:pos="0"/>
          <w:tab w:val="left" w:pos="900"/>
        </w:tabs>
        <w:ind w:firstLine="567"/>
        <w:jc w:val="both"/>
        <w:rPr>
          <w:rFonts w:ascii="GHEA Grapalat" w:hAnsi="GHEA Grapalat" w:cs="GHEA Grapalat"/>
          <w:sz w:val="22"/>
          <w:szCs w:val="22"/>
        </w:rPr>
      </w:pPr>
    </w:p>
    <w:p w14:paraId="2712EAF1"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lastRenderedPageBreak/>
        <w:t>Մաքսատուրքերի գծով ՀՀ պետական բյուջեի մուտքերը (մլրդ դրամ)</w:t>
      </w:r>
    </w:p>
    <w:tbl>
      <w:tblPr>
        <w:tblW w:w="10205" w:type="dxa"/>
        <w:tblLook w:val="00A0" w:firstRow="1" w:lastRow="0" w:firstColumn="1" w:lastColumn="0" w:noHBand="0" w:noVBand="0"/>
      </w:tblPr>
      <w:tblGrid>
        <w:gridCol w:w="4786"/>
        <w:gridCol w:w="1276"/>
        <w:gridCol w:w="1276"/>
        <w:gridCol w:w="1417"/>
        <w:gridCol w:w="1450"/>
      </w:tblGrid>
      <w:tr w:rsidR="00FF44DF" w:rsidRPr="00C921DE" w14:paraId="5385D5F9" w14:textId="77777777" w:rsidTr="00FF44DF">
        <w:trPr>
          <w:trHeight w:val="855"/>
        </w:trPr>
        <w:tc>
          <w:tcPr>
            <w:tcW w:w="4786" w:type="dxa"/>
            <w:tcBorders>
              <w:top w:val="single" w:sz="4" w:space="0" w:color="auto"/>
              <w:left w:val="single" w:sz="4" w:space="0" w:color="auto"/>
              <w:bottom w:val="single" w:sz="4" w:space="0" w:color="auto"/>
              <w:right w:val="single" w:sz="4" w:space="0" w:color="auto"/>
            </w:tcBorders>
            <w:noWrap/>
            <w:vAlign w:val="bottom"/>
          </w:tcPr>
          <w:p w14:paraId="1BCBE9CF"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tcPr>
          <w:p w14:paraId="78D55DE6"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14:paraId="2C802722"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417" w:type="dxa"/>
            <w:tcBorders>
              <w:top w:val="single" w:sz="4" w:space="0" w:color="auto"/>
              <w:left w:val="nil"/>
              <w:bottom w:val="single" w:sz="4" w:space="0" w:color="auto"/>
              <w:right w:val="single" w:sz="4" w:space="0" w:color="auto"/>
            </w:tcBorders>
            <w:shd w:val="clear" w:color="000000" w:fill="FFFFFF"/>
          </w:tcPr>
          <w:p w14:paraId="4B6A1074"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p>
          <w:p w14:paraId="3F060875" w14:textId="450E6CDF"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657F53EF"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450" w:type="dxa"/>
            <w:tcBorders>
              <w:top w:val="single" w:sz="4" w:space="0" w:color="auto"/>
              <w:left w:val="nil"/>
              <w:bottom w:val="single" w:sz="4" w:space="0" w:color="auto"/>
              <w:right w:val="single" w:sz="4" w:space="0" w:color="auto"/>
            </w:tcBorders>
            <w:shd w:val="clear" w:color="000000" w:fill="FFFFFF"/>
          </w:tcPr>
          <w:p w14:paraId="60C3D316"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58DDABE4" w14:textId="77777777" w:rsidTr="00FF44DF">
        <w:trPr>
          <w:trHeight w:val="293"/>
        </w:trPr>
        <w:tc>
          <w:tcPr>
            <w:tcW w:w="4786" w:type="dxa"/>
            <w:tcBorders>
              <w:top w:val="nil"/>
              <w:left w:val="single" w:sz="4" w:space="0" w:color="auto"/>
              <w:bottom w:val="single" w:sz="4" w:space="0" w:color="auto"/>
              <w:right w:val="single" w:sz="4" w:space="0" w:color="auto"/>
            </w:tcBorders>
            <w:vAlign w:val="bottom"/>
          </w:tcPr>
          <w:p w14:paraId="506E8946"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Մաքսատուրքեր</w:t>
            </w:r>
          </w:p>
        </w:tc>
        <w:tc>
          <w:tcPr>
            <w:tcW w:w="1276" w:type="dxa"/>
            <w:tcBorders>
              <w:top w:val="single" w:sz="4" w:space="0" w:color="auto"/>
              <w:left w:val="single" w:sz="4" w:space="0" w:color="auto"/>
              <w:bottom w:val="single" w:sz="4" w:space="0" w:color="auto"/>
              <w:right w:val="single" w:sz="4" w:space="0" w:color="auto"/>
            </w:tcBorders>
            <w:vAlign w:val="bottom"/>
          </w:tcPr>
          <w:p w14:paraId="3B9517C6"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56.7</w:t>
            </w:r>
          </w:p>
        </w:tc>
        <w:tc>
          <w:tcPr>
            <w:tcW w:w="1276" w:type="dxa"/>
            <w:tcBorders>
              <w:top w:val="nil"/>
              <w:left w:val="nil"/>
              <w:bottom w:val="single" w:sz="4" w:space="0" w:color="auto"/>
              <w:right w:val="single" w:sz="4" w:space="0" w:color="auto"/>
            </w:tcBorders>
            <w:noWrap/>
            <w:vAlign w:val="bottom"/>
          </w:tcPr>
          <w:p w14:paraId="61BDDC7F"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75.3</w:t>
            </w:r>
          </w:p>
        </w:tc>
        <w:tc>
          <w:tcPr>
            <w:tcW w:w="1417" w:type="dxa"/>
            <w:tcBorders>
              <w:top w:val="nil"/>
              <w:left w:val="nil"/>
              <w:bottom w:val="single" w:sz="4" w:space="0" w:color="auto"/>
              <w:right w:val="single" w:sz="4" w:space="0" w:color="auto"/>
            </w:tcBorders>
            <w:vAlign w:val="bottom"/>
          </w:tcPr>
          <w:p w14:paraId="4BC0DE9C"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132.8</w:t>
            </w:r>
          </w:p>
        </w:tc>
        <w:tc>
          <w:tcPr>
            <w:tcW w:w="1450" w:type="dxa"/>
            <w:tcBorders>
              <w:top w:val="nil"/>
              <w:left w:val="nil"/>
              <w:bottom w:val="single" w:sz="4" w:space="0" w:color="auto"/>
              <w:right w:val="single" w:sz="4" w:space="0" w:color="auto"/>
            </w:tcBorders>
            <w:vAlign w:val="bottom"/>
          </w:tcPr>
          <w:p w14:paraId="4128E4C8"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18.6</w:t>
            </w:r>
          </w:p>
        </w:tc>
      </w:tr>
      <w:tr w:rsidR="00FF44DF" w:rsidRPr="00C921DE" w14:paraId="429085C5" w14:textId="77777777" w:rsidTr="00FF44DF">
        <w:trPr>
          <w:trHeight w:val="293"/>
        </w:trPr>
        <w:tc>
          <w:tcPr>
            <w:tcW w:w="4786" w:type="dxa"/>
            <w:tcBorders>
              <w:top w:val="nil"/>
              <w:left w:val="single" w:sz="4" w:space="0" w:color="auto"/>
              <w:bottom w:val="single" w:sz="4" w:space="0" w:color="auto"/>
              <w:right w:val="single" w:sz="4" w:space="0" w:color="auto"/>
            </w:tcBorders>
            <w:noWrap/>
            <w:vAlign w:val="bottom"/>
          </w:tcPr>
          <w:p w14:paraId="4B181E7F"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ԵԱՏՄ անդամ պետությունների կողմից փոխանցված մաքսատուրքեր</w:t>
            </w:r>
          </w:p>
        </w:tc>
        <w:tc>
          <w:tcPr>
            <w:tcW w:w="1276" w:type="dxa"/>
            <w:tcBorders>
              <w:top w:val="nil"/>
              <w:left w:val="single" w:sz="4" w:space="0" w:color="auto"/>
              <w:bottom w:val="single" w:sz="4" w:space="0" w:color="auto"/>
              <w:right w:val="single" w:sz="4" w:space="0" w:color="auto"/>
            </w:tcBorders>
            <w:vAlign w:val="bottom"/>
          </w:tcPr>
          <w:p w14:paraId="7756D1B7"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55.1</w:t>
            </w:r>
          </w:p>
        </w:tc>
        <w:tc>
          <w:tcPr>
            <w:tcW w:w="1276" w:type="dxa"/>
            <w:tcBorders>
              <w:top w:val="nil"/>
              <w:left w:val="nil"/>
              <w:bottom w:val="single" w:sz="4" w:space="0" w:color="auto"/>
              <w:right w:val="single" w:sz="4" w:space="0" w:color="auto"/>
            </w:tcBorders>
            <w:noWrap/>
            <w:vAlign w:val="bottom"/>
          </w:tcPr>
          <w:p w14:paraId="58B842AE"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73.0</w:t>
            </w:r>
          </w:p>
        </w:tc>
        <w:tc>
          <w:tcPr>
            <w:tcW w:w="1417" w:type="dxa"/>
            <w:tcBorders>
              <w:top w:val="nil"/>
              <w:left w:val="nil"/>
              <w:bottom w:val="single" w:sz="4" w:space="0" w:color="auto"/>
              <w:right w:val="single" w:sz="4" w:space="0" w:color="auto"/>
            </w:tcBorders>
            <w:vAlign w:val="bottom"/>
          </w:tcPr>
          <w:p w14:paraId="2FE2E7F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132.4</w:t>
            </w:r>
          </w:p>
        </w:tc>
        <w:tc>
          <w:tcPr>
            <w:tcW w:w="1450" w:type="dxa"/>
            <w:tcBorders>
              <w:top w:val="nil"/>
              <w:left w:val="nil"/>
              <w:bottom w:val="single" w:sz="4" w:space="0" w:color="auto"/>
              <w:right w:val="single" w:sz="4" w:space="0" w:color="auto"/>
            </w:tcBorders>
            <w:vAlign w:val="bottom"/>
          </w:tcPr>
          <w:p w14:paraId="2EE92DD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17.9</w:t>
            </w:r>
          </w:p>
        </w:tc>
      </w:tr>
      <w:tr w:rsidR="00FF44DF" w:rsidRPr="00C921DE" w14:paraId="661DA4F4" w14:textId="77777777" w:rsidTr="00FF44DF">
        <w:trPr>
          <w:trHeight w:val="293"/>
        </w:trPr>
        <w:tc>
          <w:tcPr>
            <w:tcW w:w="4786" w:type="dxa"/>
            <w:tcBorders>
              <w:top w:val="nil"/>
              <w:left w:val="single" w:sz="4" w:space="0" w:color="auto"/>
              <w:bottom w:val="single" w:sz="4" w:space="0" w:color="auto"/>
              <w:right w:val="single" w:sz="4" w:space="0" w:color="auto"/>
            </w:tcBorders>
            <w:noWrap/>
            <w:vAlign w:val="bottom"/>
          </w:tcPr>
          <w:p w14:paraId="3D68A94A" w14:textId="77777777" w:rsidR="00FF44DF" w:rsidRPr="00C921DE" w:rsidRDefault="00FF44DF" w:rsidP="00FF44DF">
            <w:pPr>
              <w:ind w:firstLineChars="100" w:firstLine="180"/>
              <w:rPr>
                <w:rFonts w:ascii="GHEA Grapalat" w:hAnsi="GHEA Grapalat" w:cs="Calibri"/>
                <w:sz w:val="18"/>
                <w:szCs w:val="18"/>
              </w:rPr>
            </w:pPr>
            <w:r w:rsidRPr="00C921DE">
              <w:rPr>
                <w:rFonts w:ascii="GHEA Grapalat" w:hAnsi="GHEA Grapalat" w:cs="Calibri"/>
                <w:sz w:val="18"/>
                <w:szCs w:val="18"/>
              </w:rPr>
              <w:t>Երրորդ երկրներից ֆիզիկական անձանց կողմից ներմուծվող ապրանքներից գանձվող մաքսատուրքեր</w:t>
            </w:r>
          </w:p>
        </w:tc>
        <w:tc>
          <w:tcPr>
            <w:tcW w:w="1276" w:type="dxa"/>
            <w:tcBorders>
              <w:top w:val="nil"/>
              <w:left w:val="single" w:sz="4" w:space="0" w:color="auto"/>
              <w:bottom w:val="single" w:sz="4" w:space="0" w:color="auto"/>
              <w:right w:val="single" w:sz="4" w:space="0" w:color="auto"/>
            </w:tcBorders>
            <w:vAlign w:val="bottom"/>
          </w:tcPr>
          <w:p w14:paraId="733343B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1.6</w:t>
            </w:r>
          </w:p>
        </w:tc>
        <w:tc>
          <w:tcPr>
            <w:tcW w:w="1276" w:type="dxa"/>
            <w:tcBorders>
              <w:top w:val="nil"/>
              <w:left w:val="nil"/>
              <w:bottom w:val="single" w:sz="4" w:space="0" w:color="auto"/>
              <w:right w:val="single" w:sz="4" w:space="0" w:color="auto"/>
            </w:tcBorders>
            <w:noWrap/>
            <w:vAlign w:val="bottom"/>
          </w:tcPr>
          <w:p w14:paraId="10BA8AE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2.3</w:t>
            </w:r>
          </w:p>
        </w:tc>
        <w:tc>
          <w:tcPr>
            <w:tcW w:w="1417" w:type="dxa"/>
            <w:tcBorders>
              <w:top w:val="nil"/>
              <w:left w:val="nil"/>
              <w:bottom w:val="single" w:sz="4" w:space="0" w:color="auto"/>
              <w:right w:val="single" w:sz="4" w:space="0" w:color="auto"/>
            </w:tcBorders>
            <w:vAlign w:val="bottom"/>
          </w:tcPr>
          <w:p w14:paraId="5F702A8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145.8</w:t>
            </w:r>
          </w:p>
        </w:tc>
        <w:tc>
          <w:tcPr>
            <w:tcW w:w="1450" w:type="dxa"/>
            <w:tcBorders>
              <w:top w:val="nil"/>
              <w:left w:val="nil"/>
              <w:bottom w:val="single" w:sz="4" w:space="0" w:color="auto"/>
              <w:right w:val="single" w:sz="4" w:space="0" w:color="auto"/>
            </w:tcBorders>
            <w:vAlign w:val="bottom"/>
          </w:tcPr>
          <w:p w14:paraId="6D1BFF4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0.7</w:t>
            </w:r>
          </w:p>
        </w:tc>
      </w:tr>
    </w:tbl>
    <w:p w14:paraId="1A4E1436" w14:textId="77777777" w:rsidR="00FF44DF" w:rsidRPr="00C921DE" w:rsidRDefault="00FF44DF" w:rsidP="00FF44DF">
      <w:pPr>
        <w:tabs>
          <w:tab w:val="left" w:pos="0"/>
          <w:tab w:val="left" w:pos="900"/>
        </w:tabs>
        <w:spacing w:line="360" w:lineRule="auto"/>
        <w:ind w:firstLine="567"/>
        <w:jc w:val="both"/>
        <w:rPr>
          <w:rFonts w:ascii="GHEA Grapalat" w:hAnsi="GHEA Grapalat"/>
          <w:sz w:val="22"/>
          <w:szCs w:val="22"/>
          <w:lang w:val="en-US"/>
        </w:rPr>
      </w:pPr>
    </w:p>
    <w:p w14:paraId="07D38672" w14:textId="33F1EC7A" w:rsidR="00AD0126" w:rsidRPr="00C921DE" w:rsidRDefault="00FF44DF" w:rsidP="00FF44DF">
      <w:pPr>
        <w:tabs>
          <w:tab w:val="left" w:pos="0"/>
          <w:tab w:val="left" w:pos="900"/>
        </w:tabs>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2014 թվականի մայիսի 29-ի «Եվրասիական տնտեսական միության մասին» պայմանագրի 5</w:t>
      </w:r>
      <w:r w:rsidRPr="00C921DE">
        <w:rPr>
          <w:rFonts w:ascii="GHEA Grapalat" w:hAnsi="GHEA Grapalat" w:cs="Sylfaen"/>
          <w:sz w:val="22"/>
          <w:szCs w:val="22"/>
        </w:rPr>
        <w:noBreakHyphen/>
        <w:t>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համաձայն` 2023 թվականի ընթացքում ԵԱՏՄ երկրներից (այդ թվում՝ ՀՀ-ից) մաքսատուրքերի բաշխման արդյունքում ստացվել են 73.0</w:t>
      </w:r>
      <w:r w:rsidRPr="00C921DE">
        <w:rPr>
          <w:rFonts w:ascii="Calibri" w:hAnsi="Calibri" w:cs="Calibri"/>
          <w:sz w:val="22"/>
          <w:szCs w:val="22"/>
        </w:rPr>
        <w:t> </w:t>
      </w:r>
      <w:r w:rsidRPr="00C921DE">
        <w:rPr>
          <w:rFonts w:ascii="GHEA Grapalat" w:hAnsi="GHEA Grapalat" w:cs="Sylfaen"/>
          <w:sz w:val="22"/>
          <w:szCs w:val="22"/>
        </w:rPr>
        <w:t>մլրդ դրամ մուտքեր</w:t>
      </w:r>
      <w:r w:rsidR="0057455F" w:rsidRPr="00C921DE">
        <w:rPr>
          <w:rFonts w:ascii="GHEA Grapalat" w:hAnsi="GHEA Grapalat" w:cs="Sylfaen"/>
          <w:sz w:val="22"/>
          <w:szCs w:val="22"/>
          <w:lang w:val="en-US"/>
        </w:rPr>
        <w:t>:</w:t>
      </w:r>
      <w:r w:rsidRPr="00C921DE">
        <w:rPr>
          <w:rFonts w:ascii="GHEA Grapalat" w:hAnsi="GHEA Grapalat" w:cs="Sylfaen"/>
          <w:sz w:val="22"/>
          <w:szCs w:val="22"/>
        </w:rPr>
        <w:t xml:space="preserve"> ՀՀ ՖՆ միասնական գանձապետական հաշվին հաշվեգրված ներմուծման մաքսատուրքի գումարներից ԵԱՏՄ պետությունների</w:t>
      </w:r>
      <w:r w:rsidR="00106311" w:rsidRPr="00C921DE">
        <w:rPr>
          <w:rFonts w:ascii="GHEA Grapalat" w:hAnsi="GHEA Grapalat" w:cs="Sylfaen"/>
          <w:sz w:val="22"/>
          <w:szCs w:val="22"/>
          <w:lang w:val="en-US"/>
        </w:rPr>
        <w:t xml:space="preserve"> </w:t>
      </w:r>
      <w:r w:rsidRPr="00C921DE">
        <w:rPr>
          <w:rFonts w:ascii="GHEA Grapalat" w:hAnsi="GHEA Grapalat" w:cs="Sylfaen"/>
          <w:sz w:val="22"/>
          <w:szCs w:val="22"/>
        </w:rPr>
        <w:t>միջև բաշխվել է</w:t>
      </w:r>
      <w:r w:rsidR="0057455F" w:rsidRPr="00C921DE">
        <w:rPr>
          <w:rFonts w:ascii="GHEA Grapalat" w:hAnsi="GHEA Grapalat" w:cs="Sylfaen"/>
          <w:sz w:val="22"/>
          <w:szCs w:val="22"/>
          <w:lang w:val="en-US"/>
        </w:rPr>
        <w:t xml:space="preserve"> 186.8 մլրդ դրամ</w:t>
      </w:r>
      <w:r w:rsidR="0057455F" w:rsidRPr="00C921DE">
        <w:rPr>
          <w:rStyle w:val="FootnoteReference"/>
          <w:rFonts w:ascii="GHEA Grapalat" w:hAnsi="GHEA Grapalat"/>
          <w:sz w:val="22"/>
          <w:szCs w:val="22"/>
          <w:lang w:val="en-US"/>
        </w:rPr>
        <w:footnoteReference w:id="30"/>
      </w:r>
      <w:r w:rsidR="0057455F" w:rsidRPr="00C921DE">
        <w:rPr>
          <w:rFonts w:ascii="GHEA Grapalat" w:hAnsi="GHEA Grapalat" w:cs="Sylfaen"/>
          <w:sz w:val="22"/>
          <w:szCs w:val="22"/>
          <w:lang w:val="en-US"/>
        </w:rPr>
        <w:t>, որից</w:t>
      </w:r>
      <w:r w:rsidRPr="00C921DE">
        <w:rPr>
          <w:rFonts w:ascii="GHEA Grapalat" w:hAnsi="GHEA Grapalat" w:cs="Sylfaen"/>
          <w:sz w:val="22"/>
          <w:szCs w:val="22"/>
        </w:rPr>
        <w:t xml:space="preserve"> 184.5 մլրդ դրամ</w:t>
      </w:r>
      <w:r w:rsidR="0057455F" w:rsidRPr="00C921DE">
        <w:rPr>
          <w:rFonts w:ascii="GHEA Grapalat" w:hAnsi="GHEA Grapalat" w:cs="Sylfaen"/>
          <w:sz w:val="22"/>
          <w:szCs w:val="22"/>
          <w:lang w:val="en-US"/>
        </w:rPr>
        <w:t>ը փոխանց</w:t>
      </w:r>
      <w:r w:rsidR="00EE4EC0" w:rsidRPr="00C921DE">
        <w:rPr>
          <w:rFonts w:ascii="GHEA Grapalat" w:hAnsi="GHEA Grapalat" w:cs="Sylfaen"/>
          <w:sz w:val="22"/>
          <w:szCs w:val="22"/>
          <w:lang w:val="en-US"/>
        </w:rPr>
        <w:t>վ</w:t>
      </w:r>
      <w:r w:rsidR="0057455F" w:rsidRPr="00C921DE">
        <w:rPr>
          <w:rFonts w:ascii="GHEA Grapalat" w:hAnsi="GHEA Grapalat" w:cs="Sylfaen"/>
          <w:sz w:val="22"/>
          <w:szCs w:val="22"/>
          <w:lang w:val="en-US"/>
        </w:rPr>
        <w:t xml:space="preserve">ել է ԵԱՏՄ անդամ </w:t>
      </w:r>
      <w:r w:rsidR="00EE4EC0" w:rsidRPr="00C921DE">
        <w:rPr>
          <w:rFonts w:ascii="GHEA Grapalat" w:hAnsi="GHEA Grapalat" w:cs="Sylfaen"/>
          <w:sz w:val="22"/>
          <w:szCs w:val="22"/>
          <w:lang w:val="en-US"/>
        </w:rPr>
        <w:t>այլ</w:t>
      </w:r>
      <w:r w:rsidR="0057455F" w:rsidRPr="00C921DE">
        <w:rPr>
          <w:rFonts w:ascii="GHEA Grapalat" w:hAnsi="GHEA Grapalat" w:cs="Sylfaen"/>
          <w:sz w:val="22"/>
          <w:szCs w:val="22"/>
          <w:lang w:val="en-US"/>
        </w:rPr>
        <w:t xml:space="preserve"> պետություններին</w:t>
      </w:r>
      <w:r w:rsidRPr="00C921DE">
        <w:rPr>
          <w:rFonts w:ascii="GHEA Grapalat" w:hAnsi="GHEA Grapalat" w:cs="Sylfaen"/>
          <w:sz w:val="22"/>
          <w:szCs w:val="22"/>
        </w:rPr>
        <w:t>:</w:t>
      </w:r>
      <w:r w:rsidR="00AD0126" w:rsidRPr="00C921DE">
        <w:rPr>
          <w:rFonts w:ascii="GHEA Grapalat" w:hAnsi="GHEA Grapalat" w:cs="Sylfaen"/>
          <w:sz w:val="22"/>
          <w:szCs w:val="22"/>
        </w:rPr>
        <w:t xml:space="preserve"> Այսինքն</w:t>
      </w:r>
      <w:r w:rsidR="00EE4EC0" w:rsidRPr="00C921DE">
        <w:rPr>
          <w:rFonts w:ascii="GHEA Grapalat" w:hAnsi="GHEA Grapalat" w:cs="Sylfaen"/>
          <w:sz w:val="22"/>
          <w:szCs w:val="22"/>
          <w:lang w:val="en-US"/>
        </w:rPr>
        <w:t>՝</w:t>
      </w:r>
      <w:r w:rsidR="00AD0126" w:rsidRPr="00C921DE">
        <w:rPr>
          <w:rFonts w:ascii="GHEA Grapalat" w:hAnsi="GHEA Grapalat" w:cs="Sylfaen"/>
          <w:sz w:val="22"/>
          <w:szCs w:val="22"/>
        </w:rPr>
        <w:t xml:space="preserve"> 2023 թվականին </w:t>
      </w:r>
      <w:r w:rsidR="00E26D31" w:rsidRPr="00C921DE">
        <w:rPr>
          <w:rFonts w:ascii="GHEA Grapalat" w:hAnsi="GHEA Grapalat" w:cs="Sylfaen"/>
          <w:sz w:val="22"/>
          <w:szCs w:val="22"/>
          <w:lang w:val="en-US"/>
        </w:rPr>
        <w:t>ՀՀ</w:t>
      </w:r>
      <w:r w:rsidR="00AD0126" w:rsidRPr="00C921DE">
        <w:rPr>
          <w:rFonts w:ascii="GHEA Grapalat" w:hAnsi="GHEA Grapalat" w:cs="Sylfaen"/>
          <w:sz w:val="22"/>
          <w:szCs w:val="22"/>
        </w:rPr>
        <w:t xml:space="preserve"> պետական բյուջեն </w:t>
      </w:r>
      <w:r w:rsidR="00E26D31" w:rsidRPr="00C921DE">
        <w:rPr>
          <w:rFonts w:ascii="GHEA Grapalat" w:hAnsi="GHEA Grapalat" w:cs="Sylfaen"/>
          <w:sz w:val="22"/>
          <w:szCs w:val="22"/>
          <w:lang w:val="en-US"/>
        </w:rPr>
        <w:t>ՀՀ</w:t>
      </w:r>
      <w:r w:rsidR="00AD0126" w:rsidRPr="00C921DE">
        <w:rPr>
          <w:rFonts w:ascii="GHEA Grapalat" w:hAnsi="GHEA Grapalat" w:cs="Sylfaen"/>
          <w:sz w:val="22"/>
          <w:szCs w:val="22"/>
        </w:rPr>
        <w:t xml:space="preserve"> կողմից հավաքագրված</w:t>
      </w:r>
      <w:r w:rsidR="009D11FB" w:rsidRPr="00C921DE">
        <w:rPr>
          <w:rFonts w:ascii="GHEA Grapalat" w:hAnsi="GHEA Grapalat" w:cs="Sylfaen"/>
          <w:sz w:val="22"/>
          <w:szCs w:val="22"/>
        </w:rPr>
        <w:t xml:space="preserve"> մաքսատուրքից պակաս է ստացել 111</w:t>
      </w:r>
      <w:r w:rsidR="00AD0126" w:rsidRPr="00C921DE">
        <w:rPr>
          <w:rFonts w:ascii="GHEA Grapalat" w:hAnsi="GHEA Grapalat" w:cs="Sylfaen"/>
          <w:sz w:val="22"/>
          <w:szCs w:val="22"/>
        </w:rPr>
        <w:t>.5 մլրդ դրամ</w:t>
      </w:r>
      <w:r w:rsidR="00EF5E6E" w:rsidRPr="00C921DE">
        <w:rPr>
          <w:rFonts w:ascii="GHEA Grapalat" w:hAnsi="GHEA Grapalat" w:cs="Sylfaen"/>
          <w:sz w:val="22"/>
          <w:szCs w:val="22"/>
          <w:lang w:val="en-US"/>
        </w:rPr>
        <w:t xml:space="preserve"> (184.5 – 73.0)</w:t>
      </w:r>
      <w:r w:rsidR="00AD0126" w:rsidRPr="00C921DE">
        <w:rPr>
          <w:rFonts w:ascii="GHEA Grapalat" w:hAnsi="GHEA Grapalat" w:cs="Sylfaen"/>
          <w:sz w:val="22"/>
          <w:szCs w:val="22"/>
        </w:rPr>
        <w:t xml:space="preserve">, ինչը հիմնականում պայմանավորված է </w:t>
      </w:r>
      <w:r w:rsidR="00E26D31" w:rsidRPr="00C921DE">
        <w:rPr>
          <w:rFonts w:ascii="GHEA Grapalat" w:hAnsi="GHEA Grapalat" w:cs="Sylfaen"/>
          <w:sz w:val="22"/>
          <w:szCs w:val="22"/>
          <w:lang w:val="en-US"/>
        </w:rPr>
        <w:t>ՌԴ</w:t>
      </w:r>
      <w:r w:rsidR="00AD0126" w:rsidRPr="00C921DE">
        <w:rPr>
          <w:rFonts w:ascii="GHEA Grapalat" w:hAnsi="GHEA Grapalat" w:cs="Sylfaen"/>
          <w:sz w:val="22"/>
          <w:szCs w:val="22"/>
        </w:rPr>
        <w:t xml:space="preserve"> դեմ Եվրամիության և արևմուտքի մի շարք երկ</w:t>
      </w:r>
      <w:r w:rsidR="0082049F" w:rsidRPr="00C921DE">
        <w:rPr>
          <w:rFonts w:ascii="GHEA Grapalat" w:hAnsi="GHEA Grapalat" w:cs="Sylfaen"/>
          <w:sz w:val="22"/>
          <w:szCs w:val="22"/>
          <w:lang w:val="en-US"/>
        </w:rPr>
        <w:t>ր</w:t>
      </w:r>
      <w:r w:rsidR="00AD0126" w:rsidRPr="00C921DE">
        <w:rPr>
          <w:rFonts w:ascii="GHEA Grapalat" w:hAnsi="GHEA Grapalat" w:cs="Sylfaen"/>
          <w:sz w:val="22"/>
          <w:szCs w:val="22"/>
        </w:rPr>
        <w:t>ների կո</w:t>
      </w:r>
      <w:r w:rsidR="00EE4EC0" w:rsidRPr="00C921DE">
        <w:rPr>
          <w:rFonts w:ascii="GHEA Grapalat" w:hAnsi="GHEA Grapalat" w:cs="Sylfaen"/>
          <w:sz w:val="22"/>
          <w:szCs w:val="22"/>
        </w:rPr>
        <w:t>ղմից սահմանված պատժամիջոցներով:</w:t>
      </w:r>
    </w:p>
    <w:p w14:paraId="427B1EBE" w14:textId="78770CA5" w:rsidR="00FF44DF" w:rsidRPr="00C921DE" w:rsidRDefault="00FF44DF" w:rsidP="00FF44DF">
      <w:pPr>
        <w:tabs>
          <w:tab w:val="left" w:pos="0"/>
          <w:tab w:val="left" w:pos="900"/>
        </w:tabs>
        <w:spacing w:line="360" w:lineRule="auto"/>
        <w:ind w:firstLine="567"/>
        <w:jc w:val="both"/>
        <w:rPr>
          <w:rFonts w:ascii="GHEA Grapalat" w:hAnsi="GHEA Grapalat"/>
          <w:sz w:val="22"/>
          <w:szCs w:val="22"/>
        </w:rPr>
      </w:pPr>
      <w:r w:rsidRPr="00C921DE">
        <w:rPr>
          <w:rFonts w:ascii="GHEA Grapalat" w:hAnsi="GHEA Grapalat"/>
          <w:sz w:val="22"/>
          <w:szCs w:val="22"/>
        </w:rPr>
        <w:t xml:space="preserve">Նախորդ տարվա </w:t>
      </w:r>
      <w:r w:rsidRPr="00C921DE">
        <w:rPr>
          <w:rFonts w:ascii="GHEA Grapalat" w:hAnsi="GHEA Grapalat" w:cs="Sylfaen"/>
          <w:sz w:val="22"/>
          <w:szCs w:val="22"/>
        </w:rPr>
        <w:t>համեմատ</w:t>
      </w:r>
      <w:r w:rsidRPr="00C921DE">
        <w:rPr>
          <w:rFonts w:ascii="GHEA Grapalat" w:hAnsi="GHEA Grapalat"/>
          <w:sz w:val="22"/>
          <w:szCs w:val="22"/>
        </w:rPr>
        <w:t xml:space="preserve"> մաքսատուրքերի գծով մուտքերի աճը հիմնականում պայմանավորված է ներմուծվող ապրա</w:t>
      </w:r>
      <w:r w:rsidR="00915140" w:rsidRPr="00C921DE">
        <w:rPr>
          <w:rFonts w:ascii="GHEA Grapalat" w:hAnsi="GHEA Grapalat"/>
          <w:sz w:val="22"/>
          <w:szCs w:val="22"/>
          <w:lang w:val="en-US"/>
        </w:rPr>
        <w:t>ն</w:t>
      </w:r>
      <w:r w:rsidRPr="00C921DE">
        <w:rPr>
          <w:rFonts w:ascii="GHEA Grapalat" w:hAnsi="GHEA Grapalat"/>
          <w:sz w:val="22"/>
          <w:szCs w:val="22"/>
        </w:rPr>
        <w:t>քների ծավալների աճով:</w:t>
      </w:r>
    </w:p>
    <w:p w14:paraId="085726CF" w14:textId="7ECBB3A3" w:rsidR="00FF44DF" w:rsidRPr="00C921DE" w:rsidRDefault="00FF44DF" w:rsidP="00FF44DF">
      <w:pPr>
        <w:tabs>
          <w:tab w:val="left" w:pos="0"/>
          <w:tab w:val="left" w:pos="900"/>
        </w:tabs>
        <w:spacing w:line="360" w:lineRule="auto"/>
        <w:ind w:firstLine="567"/>
        <w:jc w:val="both"/>
        <w:rPr>
          <w:rFonts w:ascii="GHEA Grapalat" w:hAnsi="GHEA Grapalat"/>
          <w:sz w:val="22"/>
          <w:szCs w:val="22"/>
          <w:lang w:eastAsia="nl-NL"/>
        </w:rPr>
      </w:pPr>
      <w:r w:rsidRPr="00C921DE">
        <w:rPr>
          <w:rFonts w:ascii="GHEA Grapalat" w:hAnsi="GHEA Grapalat" w:cs="Sylfaen"/>
          <w:sz w:val="22"/>
          <w:szCs w:val="22"/>
        </w:rPr>
        <w:t>2023 թվականին</w:t>
      </w:r>
      <w:r w:rsidR="005166CD" w:rsidRPr="00C921DE">
        <w:rPr>
          <w:rFonts w:ascii="GHEA Grapalat" w:hAnsi="GHEA Grapalat" w:cs="Sylfaen"/>
          <w:sz w:val="22"/>
          <w:szCs w:val="22"/>
          <w:lang w:val="en-US"/>
        </w:rPr>
        <w:t xml:space="preserve"> կատարվել են</w:t>
      </w:r>
      <w:r w:rsidRPr="00C921DE">
        <w:rPr>
          <w:rFonts w:ascii="GHEA Grapalat" w:hAnsi="GHEA Grapalat" w:cs="Sylfaen"/>
          <w:sz w:val="22"/>
          <w:szCs w:val="22"/>
        </w:rPr>
        <w:t xml:space="preserve"> մի շարք ապրանքատեսակների </w:t>
      </w:r>
      <w:r w:rsidR="005166CD" w:rsidRPr="00C921DE">
        <w:rPr>
          <w:rFonts w:ascii="GHEA Grapalat" w:hAnsi="GHEA Grapalat"/>
          <w:sz w:val="22"/>
          <w:szCs w:val="22"/>
          <w:lang w:eastAsia="nl-NL"/>
        </w:rPr>
        <w:t>ներմուծման մաք</w:t>
      </w:r>
      <w:r w:rsidR="005166CD" w:rsidRPr="00C921DE">
        <w:rPr>
          <w:rFonts w:ascii="GHEA Grapalat" w:hAnsi="GHEA Grapalat"/>
          <w:sz w:val="22"/>
          <w:szCs w:val="22"/>
          <w:lang w:eastAsia="nl-NL"/>
        </w:rPr>
        <w:softHyphen/>
        <w:t>սա</w:t>
      </w:r>
      <w:r w:rsidR="005166CD" w:rsidRPr="00C921DE">
        <w:rPr>
          <w:rFonts w:ascii="GHEA Grapalat" w:hAnsi="GHEA Grapalat"/>
          <w:sz w:val="22"/>
          <w:szCs w:val="22"/>
          <w:lang w:eastAsia="nl-NL"/>
        </w:rPr>
        <w:softHyphen/>
        <w:t>տուրք</w:t>
      </w:r>
      <w:r w:rsidRPr="00C921DE">
        <w:rPr>
          <w:rFonts w:ascii="GHEA Grapalat" w:hAnsi="GHEA Grapalat"/>
          <w:sz w:val="22"/>
          <w:szCs w:val="22"/>
          <w:lang w:eastAsia="nl-NL"/>
        </w:rPr>
        <w:t>ի դրույքաչափերի փոփոխություններ: Նշված փոփո</w:t>
      </w:r>
      <w:r w:rsidRPr="00C921DE">
        <w:rPr>
          <w:rFonts w:ascii="GHEA Grapalat" w:hAnsi="GHEA Grapalat"/>
          <w:sz w:val="22"/>
          <w:szCs w:val="22"/>
          <w:lang w:eastAsia="nl-NL"/>
        </w:rPr>
        <w:softHyphen/>
        <w:t>խու</w:t>
      </w:r>
      <w:r w:rsidRPr="00C921DE">
        <w:rPr>
          <w:rFonts w:ascii="GHEA Grapalat" w:hAnsi="GHEA Grapalat"/>
          <w:sz w:val="22"/>
          <w:szCs w:val="22"/>
          <w:lang w:eastAsia="nl-NL"/>
        </w:rPr>
        <w:softHyphen/>
        <w:t>թ</w:t>
      </w:r>
      <w:r w:rsidRPr="00C921DE">
        <w:rPr>
          <w:rFonts w:ascii="GHEA Grapalat" w:hAnsi="GHEA Grapalat"/>
          <w:sz w:val="22"/>
          <w:szCs w:val="22"/>
          <w:lang w:eastAsia="nl-NL"/>
        </w:rPr>
        <w:softHyphen/>
        <w:t>յուն</w:t>
      </w:r>
      <w:r w:rsidRPr="00C921DE">
        <w:rPr>
          <w:rFonts w:ascii="GHEA Grapalat" w:hAnsi="GHEA Grapalat"/>
          <w:sz w:val="22"/>
          <w:szCs w:val="22"/>
          <w:lang w:eastAsia="nl-NL"/>
        </w:rPr>
        <w:softHyphen/>
        <w:t>ներն, այլ հավա</w:t>
      </w:r>
      <w:r w:rsidRPr="00C921DE">
        <w:rPr>
          <w:rFonts w:ascii="GHEA Grapalat" w:hAnsi="GHEA Grapalat"/>
          <w:sz w:val="22"/>
          <w:szCs w:val="22"/>
          <w:lang w:eastAsia="nl-NL"/>
        </w:rPr>
        <w:softHyphen/>
        <w:t>սար պայ</w:t>
      </w:r>
      <w:r w:rsidRPr="00C921DE">
        <w:rPr>
          <w:rFonts w:ascii="GHEA Grapalat" w:hAnsi="GHEA Grapalat"/>
          <w:sz w:val="22"/>
          <w:szCs w:val="22"/>
          <w:lang w:eastAsia="nl-NL"/>
        </w:rPr>
        <w:softHyphen/>
      </w:r>
      <w:r w:rsidRPr="00C921DE">
        <w:rPr>
          <w:rFonts w:ascii="GHEA Grapalat" w:hAnsi="GHEA Grapalat"/>
          <w:sz w:val="22"/>
          <w:szCs w:val="22"/>
          <w:lang w:eastAsia="nl-NL"/>
        </w:rPr>
        <w:softHyphen/>
      </w:r>
      <w:r w:rsidRPr="00C921DE">
        <w:rPr>
          <w:rFonts w:ascii="GHEA Grapalat" w:hAnsi="GHEA Grapalat"/>
          <w:sz w:val="22"/>
          <w:szCs w:val="22"/>
          <w:lang w:eastAsia="nl-NL"/>
        </w:rPr>
        <w:softHyphen/>
        <w:t>ման</w:t>
      </w:r>
      <w:r w:rsidRPr="00C921DE">
        <w:rPr>
          <w:rFonts w:ascii="GHEA Grapalat" w:hAnsi="GHEA Grapalat"/>
          <w:sz w:val="22"/>
          <w:szCs w:val="22"/>
          <w:lang w:eastAsia="nl-NL"/>
        </w:rPr>
        <w:softHyphen/>
        <w:t>ներում, կարող են հանգեցնել ՀՀ պետական բյուջե հավա</w:t>
      </w:r>
      <w:r w:rsidRPr="00C921DE">
        <w:rPr>
          <w:rFonts w:ascii="GHEA Grapalat" w:hAnsi="GHEA Grapalat"/>
          <w:sz w:val="22"/>
          <w:szCs w:val="22"/>
          <w:lang w:eastAsia="nl-NL"/>
        </w:rPr>
        <w:softHyphen/>
      </w:r>
      <w:r w:rsidRPr="00C921DE">
        <w:rPr>
          <w:rFonts w:ascii="GHEA Grapalat" w:hAnsi="GHEA Grapalat"/>
          <w:sz w:val="22"/>
          <w:szCs w:val="22"/>
          <w:lang w:eastAsia="nl-NL"/>
        </w:rPr>
        <w:softHyphen/>
      </w:r>
      <w:r w:rsidRPr="00C921DE">
        <w:rPr>
          <w:rFonts w:ascii="GHEA Grapalat" w:hAnsi="GHEA Grapalat"/>
          <w:sz w:val="22"/>
          <w:szCs w:val="22"/>
          <w:lang w:eastAsia="nl-NL"/>
        </w:rPr>
        <w:softHyphen/>
      </w:r>
      <w:r w:rsidRPr="00C921DE">
        <w:rPr>
          <w:rFonts w:ascii="GHEA Grapalat" w:hAnsi="GHEA Grapalat"/>
          <w:sz w:val="22"/>
          <w:szCs w:val="22"/>
          <w:lang w:eastAsia="nl-NL"/>
        </w:rPr>
        <w:softHyphen/>
        <w:t>քա</w:t>
      </w:r>
      <w:r w:rsidRPr="00C921DE">
        <w:rPr>
          <w:rFonts w:ascii="GHEA Grapalat" w:hAnsi="GHEA Grapalat"/>
          <w:sz w:val="22"/>
          <w:szCs w:val="22"/>
          <w:lang w:eastAsia="nl-NL"/>
        </w:rPr>
        <w:softHyphen/>
        <w:t>գրվող մաքսատուրքերի գծով եկամուտների փոփոխության, որի չափը հնարավոր չէ գնահա</w:t>
      </w:r>
      <w:r w:rsidRPr="00C921DE">
        <w:rPr>
          <w:rFonts w:ascii="GHEA Grapalat" w:hAnsi="GHEA Grapalat"/>
          <w:sz w:val="22"/>
          <w:szCs w:val="22"/>
          <w:lang w:eastAsia="nl-NL"/>
        </w:rPr>
        <w:softHyphen/>
        <w:t>տել:</w:t>
      </w:r>
    </w:p>
    <w:p w14:paraId="12788721" w14:textId="7CDCC6A9" w:rsidR="00FF44DF" w:rsidRPr="00C921DE" w:rsidRDefault="00FF44DF" w:rsidP="00FF44DF">
      <w:pPr>
        <w:tabs>
          <w:tab w:val="left" w:pos="0"/>
          <w:tab w:val="left" w:pos="900"/>
        </w:tabs>
        <w:spacing w:line="360" w:lineRule="auto"/>
        <w:ind w:firstLine="567"/>
        <w:jc w:val="both"/>
        <w:rPr>
          <w:rFonts w:ascii="GHEA Grapalat" w:hAnsi="GHEA Grapalat"/>
          <w:sz w:val="22"/>
          <w:szCs w:val="22"/>
        </w:rPr>
      </w:pPr>
      <w:r w:rsidRPr="00C921DE">
        <w:rPr>
          <w:rFonts w:ascii="GHEA Grapalat" w:hAnsi="GHEA Grapalat"/>
          <w:sz w:val="22"/>
          <w:szCs w:val="22"/>
          <w:lang w:eastAsia="nl-NL"/>
        </w:rPr>
        <w:t xml:space="preserve">Հաշվետու ժամանակահատվածում ՀՀ պետական բյուջեի հարկային եկամուտների և պետական տուրքերի 2.3%-ն ապահովվել է </w:t>
      </w:r>
      <w:r w:rsidRPr="00C921DE">
        <w:rPr>
          <w:rFonts w:ascii="GHEA Grapalat" w:hAnsi="GHEA Grapalat"/>
          <w:i/>
          <w:sz w:val="22"/>
          <w:szCs w:val="22"/>
          <w:lang w:eastAsia="nl-NL"/>
        </w:rPr>
        <w:t>շրջանառության հարկի</w:t>
      </w:r>
      <w:r w:rsidRPr="00C921DE">
        <w:rPr>
          <w:rFonts w:ascii="GHEA Grapalat" w:hAnsi="GHEA Grapalat"/>
          <w:sz w:val="22"/>
          <w:szCs w:val="22"/>
          <w:lang w:eastAsia="nl-NL"/>
        </w:rPr>
        <w:t xml:space="preserve"> հաշվին՝ կազմելով 52.2 մլրդ դրամ և 28.1%-ով (11.5 մլրդ դրամով) գերազանցելով նախորդ տարվա ցուցանիշը: </w:t>
      </w:r>
      <w:r w:rsidRPr="00C921DE">
        <w:rPr>
          <w:rFonts w:ascii="GHEA Grapalat" w:hAnsi="GHEA Grapalat"/>
          <w:sz w:val="22"/>
          <w:szCs w:val="22"/>
        </w:rPr>
        <w:t>Նախորդ տարվա համեմատ շրջանառության հարկի գծով մուտքերի աճը հիմնականում պայմանավորվա</w:t>
      </w:r>
      <w:r w:rsidR="00CC577B" w:rsidRPr="00C921DE">
        <w:rPr>
          <w:rFonts w:ascii="GHEA Grapalat" w:hAnsi="GHEA Grapalat"/>
          <w:sz w:val="22"/>
          <w:szCs w:val="22"/>
        </w:rPr>
        <w:t xml:space="preserve">ծ է տնտեսական ակտիվության աճով </w:t>
      </w:r>
      <w:r w:rsidRPr="00C921DE">
        <w:rPr>
          <w:rFonts w:ascii="GHEA Grapalat" w:hAnsi="GHEA Grapalat"/>
          <w:sz w:val="22"/>
          <w:szCs w:val="22"/>
        </w:rPr>
        <w:t xml:space="preserve">այն ոլորտներում, որտեղ գործում են շրջանառության հարկով հարկվող գործունեություն ծավալող հարկ վճարողները: Մասնավորապես, </w:t>
      </w:r>
      <w:r w:rsidR="00CC577B" w:rsidRPr="00C921DE">
        <w:rPr>
          <w:rFonts w:ascii="GHEA Grapalat" w:hAnsi="GHEA Grapalat"/>
          <w:sz w:val="22"/>
          <w:szCs w:val="22"/>
          <w:lang w:val="en-US"/>
        </w:rPr>
        <w:t xml:space="preserve">2023 թվականին </w:t>
      </w:r>
      <w:r w:rsidRPr="00C921DE">
        <w:rPr>
          <w:rFonts w:ascii="GHEA Grapalat" w:hAnsi="GHEA Grapalat"/>
          <w:sz w:val="22"/>
          <w:szCs w:val="22"/>
        </w:rPr>
        <w:t xml:space="preserve">առևտրի </w:t>
      </w:r>
      <w:r w:rsidRPr="00C921DE">
        <w:rPr>
          <w:rFonts w:ascii="GHEA Grapalat" w:hAnsi="GHEA Grapalat"/>
          <w:sz w:val="22"/>
          <w:szCs w:val="22"/>
        </w:rPr>
        <w:lastRenderedPageBreak/>
        <w:t>ծավալներն աճել են 11.1%-ով, արդյունաբերական արտադրանքի ծավալները՝ 6.7%-ով, իսկ ծառայությունների ծավալները՝ 10.3%-ով:</w:t>
      </w:r>
    </w:p>
    <w:p w14:paraId="34E4ABBF" w14:textId="77777777" w:rsidR="00FF44DF" w:rsidRPr="00C921DE" w:rsidRDefault="00FF44DF" w:rsidP="00FF44DF">
      <w:pPr>
        <w:tabs>
          <w:tab w:val="left" w:pos="0"/>
          <w:tab w:val="left" w:pos="900"/>
        </w:tabs>
        <w:spacing w:line="360" w:lineRule="auto"/>
        <w:ind w:firstLine="567"/>
        <w:jc w:val="both"/>
        <w:rPr>
          <w:rFonts w:ascii="GHEA Grapalat" w:hAnsi="GHEA Grapalat" w:cs="GHEA Grapalat"/>
          <w:iCs/>
          <w:sz w:val="22"/>
          <w:szCs w:val="22"/>
        </w:rPr>
      </w:pPr>
      <w:r w:rsidRPr="00C921DE">
        <w:rPr>
          <w:rFonts w:ascii="GHEA Grapalat" w:hAnsi="GHEA Grapalat"/>
          <w:sz w:val="22"/>
          <w:szCs w:val="22"/>
        </w:rPr>
        <w:t xml:space="preserve">2023 թվականին </w:t>
      </w:r>
      <w:r w:rsidRPr="00C921DE">
        <w:rPr>
          <w:rFonts w:ascii="GHEA Grapalat" w:hAnsi="GHEA Grapalat" w:cs="Sylfaen"/>
          <w:sz w:val="22"/>
          <w:szCs w:val="22"/>
        </w:rPr>
        <w:t>պետական</w:t>
      </w:r>
      <w:r w:rsidRPr="00C921DE">
        <w:rPr>
          <w:rFonts w:ascii="GHEA Grapalat" w:hAnsi="GHEA Grapalat" w:cs="GHEA Grapalat"/>
          <w:sz w:val="22"/>
          <w:szCs w:val="22"/>
        </w:rPr>
        <w:t xml:space="preserve"> բյուջեի հարկային եկամուտների և պետական տուրքերի 2.7%</w:t>
      </w:r>
      <w:r w:rsidRPr="00C921DE">
        <w:rPr>
          <w:rFonts w:ascii="GHEA Grapalat" w:hAnsi="GHEA Grapalat" w:cs="GHEA Grapalat"/>
          <w:sz w:val="22"/>
          <w:szCs w:val="22"/>
        </w:rPr>
        <w:noBreakHyphen/>
        <w:t xml:space="preserve">ն ապահովվել է </w:t>
      </w:r>
      <w:r w:rsidRPr="00C921DE">
        <w:rPr>
          <w:rFonts w:ascii="GHEA Grapalat" w:hAnsi="GHEA Grapalat" w:cs="GHEA Grapalat"/>
          <w:i/>
          <w:iCs/>
          <w:sz w:val="22"/>
          <w:szCs w:val="22"/>
        </w:rPr>
        <w:t xml:space="preserve">բնապահպանական հարկի և բնօգտագործման վճարի </w:t>
      </w:r>
      <w:r w:rsidRPr="00C921DE">
        <w:rPr>
          <w:rFonts w:ascii="GHEA Grapalat" w:hAnsi="GHEA Grapalat" w:cs="GHEA Grapalat"/>
          <w:iCs/>
          <w:sz w:val="22"/>
          <w:szCs w:val="22"/>
        </w:rPr>
        <w:t xml:space="preserve">հաշվին: </w:t>
      </w:r>
    </w:p>
    <w:p w14:paraId="439D7F0D" w14:textId="77777777" w:rsidR="00FF44DF" w:rsidRPr="00C921DE" w:rsidRDefault="00FF44DF" w:rsidP="00FF44DF">
      <w:pPr>
        <w:tabs>
          <w:tab w:val="left" w:pos="0"/>
          <w:tab w:val="left" w:pos="900"/>
        </w:tabs>
        <w:ind w:firstLine="567"/>
        <w:jc w:val="both"/>
        <w:rPr>
          <w:rFonts w:ascii="GHEA Grapalat" w:hAnsi="GHEA Grapalat" w:cs="GHEA Grapalat"/>
          <w:iCs/>
          <w:sz w:val="22"/>
          <w:szCs w:val="22"/>
        </w:rPr>
      </w:pPr>
    </w:p>
    <w:p w14:paraId="0C1FE633"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Բնապահպանական հարկերի և բնօգտագործման վճարների գծով ՀՀ պետական բյուջեի մուտքերը (մլրդ դրամ)</w:t>
      </w:r>
    </w:p>
    <w:tbl>
      <w:tblPr>
        <w:tblW w:w="10205" w:type="dxa"/>
        <w:tblLook w:val="00A0" w:firstRow="1" w:lastRow="0" w:firstColumn="1" w:lastColumn="0" w:noHBand="0" w:noVBand="0"/>
      </w:tblPr>
      <w:tblGrid>
        <w:gridCol w:w="4644"/>
        <w:gridCol w:w="1240"/>
        <w:gridCol w:w="1593"/>
        <w:gridCol w:w="1372"/>
        <w:gridCol w:w="1356"/>
      </w:tblGrid>
      <w:tr w:rsidR="00FF44DF" w:rsidRPr="00C921DE" w14:paraId="53F5B942" w14:textId="77777777" w:rsidTr="00FF44DF">
        <w:trPr>
          <w:trHeight w:val="855"/>
        </w:trPr>
        <w:tc>
          <w:tcPr>
            <w:tcW w:w="4644" w:type="dxa"/>
            <w:tcBorders>
              <w:top w:val="single" w:sz="4" w:space="0" w:color="auto"/>
              <w:left w:val="single" w:sz="4" w:space="0" w:color="auto"/>
              <w:bottom w:val="single" w:sz="4" w:space="0" w:color="auto"/>
              <w:right w:val="single" w:sz="4" w:space="0" w:color="auto"/>
            </w:tcBorders>
            <w:noWrap/>
            <w:vAlign w:val="bottom"/>
          </w:tcPr>
          <w:p w14:paraId="3ECEE927"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1240" w:type="dxa"/>
            <w:tcBorders>
              <w:top w:val="single" w:sz="4" w:space="0" w:color="auto"/>
              <w:left w:val="nil"/>
              <w:bottom w:val="single" w:sz="4" w:space="0" w:color="auto"/>
              <w:right w:val="single" w:sz="4" w:space="0" w:color="auto"/>
            </w:tcBorders>
          </w:tcPr>
          <w:p w14:paraId="22D3409B"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593" w:type="dxa"/>
            <w:tcBorders>
              <w:top w:val="single" w:sz="4" w:space="0" w:color="auto"/>
              <w:left w:val="nil"/>
              <w:bottom w:val="single" w:sz="4" w:space="0" w:color="auto"/>
              <w:right w:val="single" w:sz="4" w:space="0" w:color="auto"/>
            </w:tcBorders>
            <w:shd w:val="clear" w:color="000000" w:fill="FFFFFF"/>
          </w:tcPr>
          <w:p w14:paraId="1D624012"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372" w:type="dxa"/>
            <w:tcBorders>
              <w:top w:val="single" w:sz="4" w:space="0" w:color="auto"/>
              <w:left w:val="nil"/>
              <w:bottom w:val="single" w:sz="4" w:space="0" w:color="auto"/>
              <w:right w:val="single" w:sz="4" w:space="0" w:color="auto"/>
            </w:tcBorders>
            <w:shd w:val="clear" w:color="000000" w:fill="FFFFFF"/>
          </w:tcPr>
          <w:p w14:paraId="5D40AA22"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p>
          <w:p w14:paraId="14CBD204" w14:textId="128C0E86"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6A449A00"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 xml:space="preserve"> (%)</w:t>
            </w:r>
          </w:p>
        </w:tc>
        <w:tc>
          <w:tcPr>
            <w:tcW w:w="1356" w:type="dxa"/>
            <w:tcBorders>
              <w:top w:val="single" w:sz="4" w:space="0" w:color="auto"/>
              <w:left w:val="nil"/>
              <w:bottom w:val="single" w:sz="4" w:space="0" w:color="auto"/>
              <w:right w:val="single" w:sz="4" w:space="0" w:color="auto"/>
            </w:tcBorders>
            <w:shd w:val="clear" w:color="000000" w:fill="FFFFFF"/>
          </w:tcPr>
          <w:p w14:paraId="64D4D4D4"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2023թ. և 2022թ. տարբերու-թյունը</w:t>
            </w:r>
          </w:p>
        </w:tc>
      </w:tr>
      <w:tr w:rsidR="00FF44DF" w:rsidRPr="00C921DE" w14:paraId="54254DD0" w14:textId="77777777" w:rsidTr="00FF44DF">
        <w:trPr>
          <w:trHeight w:val="293"/>
        </w:trPr>
        <w:tc>
          <w:tcPr>
            <w:tcW w:w="4644" w:type="dxa"/>
            <w:tcBorders>
              <w:top w:val="nil"/>
              <w:left w:val="single" w:sz="4" w:space="0" w:color="auto"/>
              <w:bottom w:val="single" w:sz="4" w:space="0" w:color="auto"/>
              <w:right w:val="single" w:sz="4" w:space="0" w:color="auto"/>
            </w:tcBorders>
          </w:tcPr>
          <w:p w14:paraId="14D0F691" w14:textId="77777777" w:rsidR="00FF44DF" w:rsidRPr="00C921DE" w:rsidRDefault="00FF44DF" w:rsidP="00FF44DF">
            <w:pPr>
              <w:rPr>
                <w:rFonts w:ascii="GHEA Grapalat" w:hAnsi="GHEA Grapalat" w:cs="Calibri"/>
                <w:b/>
                <w:bCs/>
                <w:sz w:val="18"/>
                <w:szCs w:val="18"/>
              </w:rPr>
            </w:pPr>
            <w:r w:rsidRPr="00C921DE">
              <w:rPr>
                <w:rFonts w:ascii="GHEA Grapalat" w:hAnsi="GHEA Grapalat" w:cs="Calibri"/>
                <w:b/>
                <w:bCs/>
                <w:sz w:val="18"/>
                <w:szCs w:val="18"/>
              </w:rPr>
              <w:t>Բնապահպանական հարկեր և բնօգտագործման վճարներ</w:t>
            </w:r>
          </w:p>
        </w:tc>
        <w:tc>
          <w:tcPr>
            <w:tcW w:w="1240" w:type="dxa"/>
            <w:tcBorders>
              <w:top w:val="single" w:sz="4" w:space="0" w:color="auto"/>
              <w:left w:val="single" w:sz="4" w:space="0" w:color="auto"/>
              <w:bottom w:val="single" w:sz="4" w:space="0" w:color="auto"/>
              <w:right w:val="single" w:sz="4" w:space="0" w:color="auto"/>
            </w:tcBorders>
            <w:vAlign w:val="bottom"/>
          </w:tcPr>
          <w:p w14:paraId="2F8FC722"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95.9</w:t>
            </w:r>
          </w:p>
        </w:tc>
        <w:tc>
          <w:tcPr>
            <w:tcW w:w="1593" w:type="dxa"/>
            <w:tcBorders>
              <w:top w:val="nil"/>
              <w:left w:val="nil"/>
              <w:bottom w:val="single" w:sz="4" w:space="0" w:color="auto"/>
              <w:right w:val="single" w:sz="4" w:space="0" w:color="auto"/>
            </w:tcBorders>
            <w:noWrap/>
            <w:vAlign w:val="bottom"/>
          </w:tcPr>
          <w:p w14:paraId="39D72E81"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60.6</w:t>
            </w:r>
          </w:p>
        </w:tc>
        <w:tc>
          <w:tcPr>
            <w:tcW w:w="1372" w:type="dxa"/>
            <w:tcBorders>
              <w:top w:val="nil"/>
              <w:left w:val="nil"/>
              <w:bottom w:val="single" w:sz="4" w:space="0" w:color="auto"/>
              <w:right w:val="single" w:sz="4" w:space="0" w:color="auto"/>
            </w:tcBorders>
            <w:vAlign w:val="bottom"/>
          </w:tcPr>
          <w:p w14:paraId="0F1FEBD3"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63.2</w:t>
            </w:r>
          </w:p>
        </w:tc>
        <w:tc>
          <w:tcPr>
            <w:tcW w:w="1356" w:type="dxa"/>
            <w:tcBorders>
              <w:top w:val="nil"/>
              <w:left w:val="nil"/>
              <w:bottom w:val="single" w:sz="4" w:space="0" w:color="auto"/>
              <w:right w:val="single" w:sz="4" w:space="0" w:color="auto"/>
            </w:tcBorders>
            <w:vAlign w:val="bottom"/>
          </w:tcPr>
          <w:p w14:paraId="56A6B2C7" w14:textId="77777777" w:rsidR="00FF44DF" w:rsidRPr="00C921DE" w:rsidRDefault="00FF44DF" w:rsidP="00FF44DF">
            <w:pPr>
              <w:jc w:val="right"/>
              <w:rPr>
                <w:rFonts w:ascii="GHEA Grapalat" w:hAnsi="GHEA Grapalat" w:cs="Calibri"/>
                <w:b/>
                <w:bCs/>
                <w:sz w:val="18"/>
                <w:szCs w:val="18"/>
                <w:lang w:val="en-US"/>
              </w:rPr>
            </w:pPr>
            <w:r w:rsidRPr="00C921DE">
              <w:rPr>
                <w:rFonts w:ascii="GHEA Grapalat" w:hAnsi="GHEA Grapalat" w:cs="Calibri"/>
                <w:b/>
                <w:bCs/>
                <w:sz w:val="18"/>
                <w:szCs w:val="18"/>
                <w:lang w:val="en-US"/>
              </w:rPr>
              <w:t>(</w:t>
            </w:r>
            <w:r w:rsidRPr="00C921DE">
              <w:rPr>
                <w:rFonts w:ascii="GHEA Grapalat" w:hAnsi="GHEA Grapalat" w:cs="Calibri"/>
                <w:b/>
                <w:bCs/>
                <w:sz w:val="18"/>
                <w:szCs w:val="18"/>
              </w:rPr>
              <w:t>35.3</w:t>
            </w:r>
            <w:r w:rsidRPr="00C921DE">
              <w:rPr>
                <w:rFonts w:ascii="GHEA Grapalat" w:hAnsi="GHEA Grapalat" w:cs="Calibri"/>
                <w:b/>
                <w:bCs/>
                <w:sz w:val="18"/>
                <w:szCs w:val="18"/>
                <w:lang w:val="en-US"/>
              </w:rPr>
              <w:t>)</w:t>
            </w:r>
          </w:p>
        </w:tc>
      </w:tr>
      <w:tr w:rsidR="00FF44DF" w:rsidRPr="00C921DE" w14:paraId="331EC07F" w14:textId="77777777" w:rsidTr="008920A6">
        <w:trPr>
          <w:trHeight w:val="293"/>
        </w:trPr>
        <w:tc>
          <w:tcPr>
            <w:tcW w:w="4644" w:type="dxa"/>
            <w:tcBorders>
              <w:top w:val="nil"/>
              <w:left w:val="single" w:sz="4" w:space="0" w:color="auto"/>
              <w:bottom w:val="single" w:sz="4" w:space="0" w:color="auto"/>
              <w:right w:val="single" w:sz="4" w:space="0" w:color="auto"/>
            </w:tcBorders>
            <w:noWrap/>
            <w:tcMar>
              <w:left w:w="170" w:type="dxa"/>
            </w:tcMar>
          </w:tcPr>
          <w:p w14:paraId="36271661" w14:textId="729081AD"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lang w:val="en-US"/>
              </w:rPr>
              <w:t>Օգտակար հանածոների արդյունահանման համար</w:t>
            </w:r>
          </w:p>
        </w:tc>
        <w:tc>
          <w:tcPr>
            <w:tcW w:w="1240" w:type="dxa"/>
            <w:tcBorders>
              <w:top w:val="nil"/>
              <w:left w:val="single" w:sz="4" w:space="0" w:color="auto"/>
              <w:bottom w:val="single" w:sz="4" w:space="0" w:color="auto"/>
              <w:right w:val="single" w:sz="4" w:space="0" w:color="auto"/>
            </w:tcBorders>
            <w:vAlign w:val="bottom"/>
          </w:tcPr>
          <w:p w14:paraId="14925DB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5.3</w:t>
            </w:r>
          </w:p>
        </w:tc>
        <w:tc>
          <w:tcPr>
            <w:tcW w:w="1593" w:type="dxa"/>
            <w:tcBorders>
              <w:top w:val="nil"/>
              <w:left w:val="nil"/>
              <w:bottom w:val="single" w:sz="4" w:space="0" w:color="auto"/>
              <w:right w:val="single" w:sz="4" w:space="0" w:color="auto"/>
            </w:tcBorders>
            <w:noWrap/>
            <w:vAlign w:val="bottom"/>
          </w:tcPr>
          <w:p w14:paraId="4E21B3C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6.7</w:t>
            </w:r>
          </w:p>
        </w:tc>
        <w:tc>
          <w:tcPr>
            <w:tcW w:w="1372" w:type="dxa"/>
            <w:tcBorders>
              <w:top w:val="nil"/>
              <w:left w:val="nil"/>
              <w:bottom w:val="single" w:sz="4" w:space="0" w:color="auto"/>
              <w:right w:val="single" w:sz="4" w:space="0" w:color="auto"/>
            </w:tcBorders>
            <w:vAlign w:val="bottom"/>
          </w:tcPr>
          <w:p w14:paraId="7DF9EC7E"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126.8</w:t>
            </w:r>
          </w:p>
        </w:tc>
        <w:tc>
          <w:tcPr>
            <w:tcW w:w="1356" w:type="dxa"/>
            <w:tcBorders>
              <w:top w:val="nil"/>
              <w:left w:val="nil"/>
              <w:bottom w:val="single" w:sz="4" w:space="0" w:color="auto"/>
              <w:right w:val="single" w:sz="4" w:space="0" w:color="auto"/>
            </w:tcBorders>
            <w:vAlign w:val="bottom"/>
          </w:tcPr>
          <w:p w14:paraId="77F2A7D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1.4</w:t>
            </w:r>
          </w:p>
        </w:tc>
      </w:tr>
      <w:tr w:rsidR="00FF44DF" w:rsidRPr="00C921DE" w14:paraId="0E2775D4" w14:textId="77777777" w:rsidTr="008920A6">
        <w:trPr>
          <w:trHeight w:val="293"/>
        </w:trPr>
        <w:tc>
          <w:tcPr>
            <w:tcW w:w="4644" w:type="dxa"/>
            <w:tcBorders>
              <w:top w:val="nil"/>
              <w:left w:val="single" w:sz="4" w:space="0" w:color="auto"/>
              <w:bottom w:val="single" w:sz="4" w:space="0" w:color="auto"/>
              <w:right w:val="single" w:sz="4" w:space="0" w:color="auto"/>
            </w:tcBorders>
            <w:noWrap/>
            <w:tcMar>
              <w:left w:w="170" w:type="dxa"/>
            </w:tcMar>
          </w:tcPr>
          <w:p w14:paraId="3DCBA1AD" w14:textId="206FF9D4"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Ավտոմեքենաներից</w:t>
            </w:r>
            <w:r w:rsidRPr="00C921DE">
              <w:t xml:space="preserve"> </w:t>
            </w:r>
            <w:r w:rsidRPr="00C921DE">
              <w:rPr>
                <w:rFonts w:ascii="GHEA Grapalat" w:hAnsi="GHEA Grapalat" w:cs="Calibri"/>
                <w:sz w:val="18"/>
                <w:szCs w:val="18"/>
              </w:rPr>
              <w:t>արտանետվող վնասակար նյութերի համար</w:t>
            </w:r>
          </w:p>
        </w:tc>
        <w:tc>
          <w:tcPr>
            <w:tcW w:w="1240" w:type="dxa"/>
            <w:tcBorders>
              <w:top w:val="nil"/>
              <w:left w:val="single" w:sz="4" w:space="0" w:color="auto"/>
              <w:bottom w:val="single" w:sz="4" w:space="0" w:color="auto"/>
              <w:right w:val="single" w:sz="4" w:space="0" w:color="auto"/>
            </w:tcBorders>
            <w:vAlign w:val="bottom"/>
          </w:tcPr>
          <w:p w14:paraId="4806460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1.8</w:t>
            </w:r>
          </w:p>
        </w:tc>
        <w:tc>
          <w:tcPr>
            <w:tcW w:w="1593" w:type="dxa"/>
            <w:tcBorders>
              <w:top w:val="nil"/>
              <w:left w:val="nil"/>
              <w:bottom w:val="single" w:sz="4" w:space="0" w:color="auto"/>
              <w:right w:val="single" w:sz="4" w:space="0" w:color="auto"/>
            </w:tcBorders>
            <w:noWrap/>
            <w:vAlign w:val="bottom"/>
          </w:tcPr>
          <w:p w14:paraId="33B8A49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1.8</w:t>
            </w:r>
          </w:p>
        </w:tc>
        <w:tc>
          <w:tcPr>
            <w:tcW w:w="1372" w:type="dxa"/>
            <w:tcBorders>
              <w:top w:val="nil"/>
              <w:left w:val="nil"/>
              <w:bottom w:val="single" w:sz="4" w:space="0" w:color="auto"/>
              <w:right w:val="single" w:sz="4" w:space="0" w:color="auto"/>
            </w:tcBorders>
            <w:vAlign w:val="bottom"/>
          </w:tcPr>
          <w:p w14:paraId="4D8F74A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100.9</w:t>
            </w:r>
          </w:p>
        </w:tc>
        <w:tc>
          <w:tcPr>
            <w:tcW w:w="1356" w:type="dxa"/>
            <w:tcBorders>
              <w:top w:val="nil"/>
              <w:left w:val="nil"/>
              <w:bottom w:val="single" w:sz="4" w:space="0" w:color="auto"/>
              <w:right w:val="single" w:sz="4" w:space="0" w:color="auto"/>
            </w:tcBorders>
            <w:vAlign w:val="bottom"/>
          </w:tcPr>
          <w:p w14:paraId="137BC45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0.0</w:t>
            </w:r>
          </w:p>
        </w:tc>
      </w:tr>
      <w:tr w:rsidR="00FF44DF" w:rsidRPr="00C921DE" w14:paraId="192CE538" w14:textId="77777777" w:rsidTr="008920A6">
        <w:trPr>
          <w:trHeight w:val="293"/>
        </w:trPr>
        <w:tc>
          <w:tcPr>
            <w:tcW w:w="4644" w:type="dxa"/>
            <w:tcBorders>
              <w:top w:val="nil"/>
              <w:left w:val="single" w:sz="4" w:space="0" w:color="auto"/>
              <w:bottom w:val="single" w:sz="4" w:space="0" w:color="auto"/>
              <w:right w:val="single" w:sz="4" w:space="0" w:color="auto"/>
            </w:tcBorders>
            <w:noWrap/>
            <w:tcMar>
              <w:left w:w="170" w:type="dxa"/>
            </w:tcMar>
          </w:tcPr>
          <w:p w14:paraId="1ADFF90B" w14:textId="0C718955"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ՀՀ-ում չգրանցված (չհաշվառված)՝ ՀՀ մուտք գործող ավտոտրանսպորտային միջոցներից մթնոլորտային օդ վնասակար նյութերի արտանետման համար</w:t>
            </w:r>
          </w:p>
        </w:tc>
        <w:tc>
          <w:tcPr>
            <w:tcW w:w="1240" w:type="dxa"/>
            <w:tcBorders>
              <w:top w:val="nil"/>
              <w:left w:val="single" w:sz="4" w:space="0" w:color="auto"/>
              <w:bottom w:val="single" w:sz="4" w:space="0" w:color="auto"/>
              <w:right w:val="single" w:sz="4" w:space="0" w:color="auto"/>
            </w:tcBorders>
            <w:vAlign w:val="bottom"/>
          </w:tcPr>
          <w:p w14:paraId="1D61E939"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w:t>
            </w:r>
          </w:p>
        </w:tc>
        <w:tc>
          <w:tcPr>
            <w:tcW w:w="1593" w:type="dxa"/>
            <w:tcBorders>
              <w:top w:val="nil"/>
              <w:left w:val="nil"/>
              <w:bottom w:val="single" w:sz="4" w:space="0" w:color="auto"/>
              <w:right w:val="single" w:sz="4" w:space="0" w:color="auto"/>
            </w:tcBorders>
            <w:noWrap/>
            <w:vAlign w:val="bottom"/>
          </w:tcPr>
          <w:p w14:paraId="503CFB7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w:t>
            </w:r>
          </w:p>
        </w:tc>
        <w:tc>
          <w:tcPr>
            <w:tcW w:w="1372" w:type="dxa"/>
            <w:tcBorders>
              <w:top w:val="nil"/>
              <w:left w:val="nil"/>
              <w:bottom w:val="single" w:sz="4" w:space="0" w:color="auto"/>
              <w:right w:val="single" w:sz="4" w:space="0" w:color="auto"/>
            </w:tcBorders>
            <w:vAlign w:val="bottom"/>
          </w:tcPr>
          <w:p w14:paraId="4E87A9D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115.0</w:t>
            </w:r>
          </w:p>
        </w:tc>
        <w:tc>
          <w:tcPr>
            <w:tcW w:w="1356" w:type="dxa"/>
            <w:tcBorders>
              <w:top w:val="nil"/>
              <w:left w:val="nil"/>
              <w:bottom w:val="single" w:sz="4" w:space="0" w:color="auto"/>
              <w:right w:val="single" w:sz="4" w:space="0" w:color="auto"/>
            </w:tcBorders>
            <w:vAlign w:val="bottom"/>
          </w:tcPr>
          <w:p w14:paraId="458BA45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0.2</w:t>
            </w:r>
          </w:p>
        </w:tc>
      </w:tr>
      <w:tr w:rsidR="00FF44DF" w:rsidRPr="00C921DE" w14:paraId="0230F4AA" w14:textId="77777777" w:rsidTr="008920A6">
        <w:trPr>
          <w:trHeight w:val="293"/>
        </w:trPr>
        <w:tc>
          <w:tcPr>
            <w:tcW w:w="4644" w:type="dxa"/>
            <w:tcBorders>
              <w:top w:val="nil"/>
              <w:left w:val="single" w:sz="4" w:space="0" w:color="auto"/>
              <w:bottom w:val="single" w:sz="4" w:space="0" w:color="auto"/>
              <w:right w:val="single" w:sz="4" w:space="0" w:color="auto"/>
            </w:tcBorders>
            <w:noWrap/>
            <w:tcMar>
              <w:left w:w="170" w:type="dxa"/>
            </w:tcMar>
          </w:tcPr>
          <w:p w14:paraId="6A62449F" w14:textId="77777777" w:rsidR="00FF44DF" w:rsidRPr="00C921DE" w:rsidRDefault="00FF44DF" w:rsidP="008920A6">
            <w:pPr>
              <w:rPr>
                <w:rFonts w:ascii="GHEA Grapalat" w:hAnsi="GHEA Grapalat" w:cs="Calibri"/>
                <w:sz w:val="18"/>
                <w:szCs w:val="18"/>
              </w:rPr>
            </w:pPr>
            <w:r w:rsidRPr="00C921DE">
              <w:rPr>
                <w:rFonts w:ascii="GHEA Grapalat" w:hAnsi="GHEA Grapalat" w:cs="Calibri"/>
                <w:sz w:val="18"/>
                <w:szCs w:val="18"/>
              </w:rPr>
              <w:t>ՀՀ ներմուծվող շրջակա միջավայրին վնաս պատճառող ապրանքների համար</w:t>
            </w:r>
          </w:p>
        </w:tc>
        <w:tc>
          <w:tcPr>
            <w:tcW w:w="1240" w:type="dxa"/>
            <w:tcBorders>
              <w:top w:val="nil"/>
              <w:left w:val="single" w:sz="4" w:space="0" w:color="auto"/>
              <w:bottom w:val="single" w:sz="4" w:space="0" w:color="auto"/>
              <w:right w:val="single" w:sz="4" w:space="0" w:color="auto"/>
            </w:tcBorders>
            <w:vAlign w:val="bottom"/>
          </w:tcPr>
          <w:p w14:paraId="56EF793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6.1</w:t>
            </w:r>
          </w:p>
        </w:tc>
        <w:tc>
          <w:tcPr>
            <w:tcW w:w="1593" w:type="dxa"/>
            <w:tcBorders>
              <w:top w:val="nil"/>
              <w:left w:val="nil"/>
              <w:bottom w:val="single" w:sz="4" w:space="0" w:color="auto"/>
              <w:right w:val="single" w:sz="4" w:space="0" w:color="auto"/>
            </w:tcBorders>
            <w:noWrap/>
            <w:vAlign w:val="bottom"/>
          </w:tcPr>
          <w:p w14:paraId="3C0999E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9.2</w:t>
            </w:r>
          </w:p>
        </w:tc>
        <w:tc>
          <w:tcPr>
            <w:tcW w:w="1372" w:type="dxa"/>
            <w:tcBorders>
              <w:top w:val="nil"/>
              <w:left w:val="nil"/>
              <w:bottom w:val="single" w:sz="4" w:space="0" w:color="auto"/>
              <w:right w:val="single" w:sz="4" w:space="0" w:color="auto"/>
            </w:tcBorders>
            <w:vAlign w:val="bottom"/>
          </w:tcPr>
          <w:p w14:paraId="57612C5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151.5</w:t>
            </w:r>
          </w:p>
        </w:tc>
        <w:tc>
          <w:tcPr>
            <w:tcW w:w="1356" w:type="dxa"/>
            <w:tcBorders>
              <w:top w:val="nil"/>
              <w:left w:val="nil"/>
              <w:bottom w:val="single" w:sz="4" w:space="0" w:color="auto"/>
              <w:right w:val="single" w:sz="4" w:space="0" w:color="auto"/>
            </w:tcBorders>
            <w:vAlign w:val="bottom"/>
          </w:tcPr>
          <w:p w14:paraId="45EF237B"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3.1</w:t>
            </w:r>
          </w:p>
        </w:tc>
      </w:tr>
      <w:tr w:rsidR="00FF44DF" w:rsidRPr="00C921DE" w14:paraId="789A342E" w14:textId="77777777" w:rsidTr="008920A6">
        <w:trPr>
          <w:trHeight w:val="293"/>
        </w:trPr>
        <w:tc>
          <w:tcPr>
            <w:tcW w:w="4644" w:type="dxa"/>
            <w:tcBorders>
              <w:top w:val="nil"/>
              <w:left w:val="single" w:sz="4" w:space="0" w:color="auto"/>
              <w:bottom w:val="single" w:sz="4" w:space="0" w:color="auto"/>
              <w:right w:val="single" w:sz="4" w:space="0" w:color="auto"/>
            </w:tcBorders>
            <w:noWrap/>
            <w:tcMar>
              <w:left w:w="170" w:type="dxa"/>
            </w:tcMar>
          </w:tcPr>
          <w:p w14:paraId="2B26BC1B" w14:textId="77777777" w:rsidR="00FF44DF" w:rsidRPr="00C921DE" w:rsidRDefault="00FF44DF" w:rsidP="008920A6">
            <w:pPr>
              <w:rPr>
                <w:rFonts w:ascii="GHEA Grapalat" w:hAnsi="GHEA Grapalat" w:cs="Calibri"/>
                <w:sz w:val="18"/>
                <w:szCs w:val="18"/>
              </w:rPr>
            </w:pPr>
            <w:r w:rsidRPr="00C921DE">
              <w:rPr>
                <w:rFonts w:ascii="GHEA Grapalat" w:hAnsi="GHEA Grapalat" w:cs="Calibri"/>
                <w:sz w:val="18"/>
                <w:szCs w:val="18"/>
              </w:rPr>
              <w:t>Արդյունահանված մետաղական օգտակար հանածոների և դրանց վերամշակման արդյունքում ստացված արտադրանքի իրացման համար վճարվող ռոյալթի</w:t>
            </w:r>
          </w:p>
        </w:tc>
        <w:tc>
          <w:tcPr>
            <w:tcW w:w="1240" w:type="dxa"/>
            <w:tcBorders>
              <w:top w:val="nil"/>
              <w:left w:val="single" w:sz="4" w:space="0" w:color="auto"/>
              <w:bottom w:val="single" w:sz="4" w:space="0" w:color="auto"/>
              <w:right w:val="single" w:sz="4" w:space="0" w:color="auto"/>
            </w:tcBorders>
            <w:vAlign w:val="bottom"/>
          </w:tcPr>
          <w:p w14:paraId="080B20F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81.7</w:t>
            </w:r>
          </w:p>
        </w:tc>
        <w:tc>
          <w:tcPr>
            <w:tcW w:w="1593" w:type="dxa"/>
            <w:tcBorders>
              <w:top w:val="nil"/>
              <w:left w:val="nil"/>
              <w:bottom w:val="single" w:sz="4" w:space="0" w:color="auto"/>
              <w:right w:val="single" w:sz="4" w:space="0" w:color="auto"/>
            </w:tcBorders>
            <w:noWrap/>
            <w:vAlign w:val="bottom"/>
          </w:tcPr>
          <w:p w14:paraId="2DFB92D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41.7</w:t>
            </w:r>
          </w:p>
        </w:tc>
        <w:tc>
          <w:tcPr>
            <w:tcW w:w="1372" w:type="dxa"/>
            <w:tcBorders>
              <w:top w:val="nil"/>
              <w:left w:val="nil"/>
              <w:bottom w:val="single" w:sz="4" w:space="0" w:color="auto"/>
              <w:right w:val="single" w:sz="4" w:space="0" w:color="auto"/>
            </w:tcBorders>
            <w:vAlign w:val="bottom"/>
          </w:tcPr>
          <w:p w14:paraId="273C50E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51.1</w:t>
            </w:r>
          </w:p>
        </w:tc>
        <w:tc>
          <w:tcPr>
            <w:tcW w:w="1356" w:type="dxa"/>
            <w:tcBorders>
              <w:top w:val="nil"/>
              <w:left w:val="nil"/>
              <w:bottom w:val="single" w:sz="4" w:space="0" w:color="auto"/>
              <w:right w:val="single" w:sz="4" w:space="0" w:color="auto"/>
            </w:tcBorders>
            <w:vAlign w:val="bottom"/>
          </w:tcPr>
          <w:p w14:paraId="4FF8030F"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40.0</w:t>
            </w:r>
            <w:r w:rsidRPr="00C921DE">
              <w:rPr>
                <w:rFonts w:ascii="GHEA Grapalat" w:hAnsi="GHEA Grapalat" w:cs="Calibri"/>
                <w:sz w:val="18"/>
                <w:szCs w:val="18"/>
                <w:lang w:val="en-US"/>
              </w:rPr>
              <w:t>)</w:t>
            </w:r>
          </w:p>
        </w:tc>
      </w:tr>
    </w:tbl>
    <w:p w14:paraId="4ED0D1D4" w14:textId="77777777" w:rsidR="00FF44DF" w:rsidRPr="00C921DE" w:rsidRDefault="00FF44DF" w:rsidP="00FF44DF">
      <w:pPr>
        <w:autoSpaceDE w:val="0"/>
        <w:autoSpaceDN w:val="0"/>
        <w:adjustRightInd w:val="0"/>
        <w:spacing w:line="360" w:lineRule="auto"/>
        <w:ind w:firstLine="567"/>
        <w:jc w:val="both"/>
        <w:rPr>
          <w:rFonts w:ascii="GHEA Grapalat" w:hAnsi="GHEA Grapalat" w:cs="GHEA Grapalat"/>
          <w:iCs/>
          <w:sz w:val="22"/>
          <w:szCs w:val="22"/>
        </w:rPr>
      </w:pPr>
    </w:p>
    <w:p w14:paraId="3C0E9B71" w14:textId="4BE689E3" w:rsidR="00FF44DF" w:rsidRPr="00C921DE" w:rsidRDefault="00FF44DF" w:rsidP="00FF44DF">
      <w:pPr>
        <w:tabs>
          <w:tab w:val="left" w:pos="0"/>
          <w:tab w:val="left" w:pos="900"/>
        </w:tabs>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Նախորդ տարվա համեմատ բնօգտագործման վճարների գծով մուտքերի նվազումը հիմնականում պայմանավորված է հանքարդյունաբերության և բաց հանքերի շահագործման ոլորտում 2022 թվականին 2021 թվականի համեմատ ավելացված արժեքների իրական աճով, որը կազմել է</w:t>
      </w:r>
      <w:r w:rsidR="0020172B" w:rsidRPr="00C921DE">
        <w:rPr>
          <w:rFonts w:ascii="GHEA Grapalat" w:hAnsi="GHEA Grapalat" w:cs="GHEA Grapalat"/>
          <w:iCs/>
          <w:sz w:val="22"/>
          <w:szCs w:val="22"/>
          <w:lang w:val="en-US"/>
        </w:rPr>
        <w:t xml:space="preserve"> </w:t>
      </w:r>
      <w:r w:rsidR="0020172B" w:rsidRPr="00C921DE">
        <w:rPr>
          <w:rFonts w:ascii="GHEA Grapalat" w:hAnsi="GHEA Grapalat" w:cs="GHEA Grapalat"/>
          <w:iCs/>
          <w:sz w:val="22"/>
          <w:szCs w:val="22"/>
        </w:rPr>
        <w:noBreakHyphen/>
      </w:r>
      <w:r w:rsidRPr="00C921DE">
        <w:rPr>
          <w:rFonts w:ascii="GHEA Grapalat" w:hAnsi="GHEA Grapalat" w:cs="GHEA Grapalat"/>
          <w:iCs/>
          <w:sz w:val="22"/>
          <w:szCs w:val="22"/>
        </w:rPr>
        <w:t>16.9%: Մասնավորապես՝ պղնձի խտանյութի արտադրության ծավալները նվազել են 1</w:t>
      </w:r>
      <w:r w:rsidR="00097B74" w:rsidRPr="00C921DE">
        <w:rPr>
          <w:rFonts w:ascii="GHEA Grapalat" w:hAnsi="GHEA Grapalat" w:cs="GHEA Grapalat"/>
          <w:iCs/>
          <w:sz w:val="22"/>
          <w:szCs w:val="22"/>
          <w:lang w:val="en-US"/>
        </w:rPr>
        <w:t>4.1</w:t>
      </w:r>
      <w:r w:rsidRPr="00C921DE">
        <w:rPr>
          <w:rFonts w:ascii="GHEA Grapalat" w:hAnsi="GHEA Grapalat" w:cs="GHEA Grapalat"/>
          <w:iCs/>
          <w:sz w:val="22"/>
          <w:szCs w:val="22"/>
        </w:rPr>
        <w:t>%-ով, ցինկի խտանյութին</w:t>
      </w:r>
      <w:r w:rsidR="0020172B" w:rsidRPr="00C921DE">
        <w:rPr>
          <w:rFonts w:ascii="GHEA Grapalat" w:hAnsi="GHEA Grapalat" w:cs="GHEA Grapalat"/>
          <w:iCs/>
          <w:sz w:val="22"/>
          <w:szCs w:val="22"/>
          <w:lang w:val="en-US"/>
        </w:rPr>
        <w:t>ը</w:t>
      </w:r>
      <w:r w:rsidRPr="00C921DE">
        <w:rPr>
          <w:rFonts w:ascii="GHEA Grapalat" w:hAnsi="GHEA Grapalat" w:cs="GHEA Grapalat"/>
          <w:iCs/>
          <w:sz w:val="22"/>
          <w:szCs w:val="22"/>
        </w:rPr>
        <w:t xml:space="preserve">` 6.4%-ով, իսկ մոլիբդենի խտանյութի արտադրության ծավալներն աճել են ընդամենը 0.7%-ով: Ընդ որում, Լոնդոնի մետաղների բորսայի տվյալներով 2022 թվականին 2021 թվականի համեմատ </w:t>
      </w:r>
      <w:r w:rsidR="00BA33ED" w:rsidRPr="00C921DE">
        <w:rPr>
          <w:rFonts w:ascii="GHEA Grapalat" w:hAnsi="GHEA Grapalat" w:cs="GHEA Grapalat"/>
          <w:iCs/>
          <w:sz w:val="22"/>
          <w:szCs w:val="22"/>
        </w:rPr>
        <w:t>մոլիբդենի գինն աճել է 17%-ով</w:t>
      </w:r>
      <w:r w:rsidR="00BA33ED" w:rsidRPr="00C921DE">
        <w:rPr>
          <w:rFonts w:ascii="GHEA Grapalat" w:hAnsi="GHEA Grapalat" w:cs="GHEA Grapalat"/>
          <w:iCs/>
          <w:sz w:val="22"/>
          <w:szCs w:val="22"/>
          <w:lang w:val="en-US"/>
        </w:rPr>
        <w:t>,</w:t>
      </w:r>
      <w:r w:rsidR="00BA33ED" w:rsidRPr="00C921DE">
        <w:rPr>
          <w:rFonts w:ascii="GHEA Grapalat" w:hAnsi="GHEA Grapalat" w:cs="GHEA Grapalat"/>
          <w:iCs/>
          <w:sz w:val="22"/>
          <w:szCs w:val="22"/>
        </w:rPr>
        <w:t xml:space="preserve"> </w:t>
      </w:r>
      <w:r w:rsidRPr="00C921DE">
        <w:rPr>
          <w:rFonts w:ascii="GHEA Grapalat" w:hAnsi="GHEA Grapalat" w:cs="GHEA Grapalat"/>
          <w:iCs/>
          <w:sz w:val="22"/>
          <w:szCs w:val="22"/>
        </w:rPr>
        <w:t>պղնձինը</w:t>
      </w:r>
      <w:r w:rsidR="00BA33ED" w:rsidRPr="00C921DE">
        <w:rPr>
          <w:rFonts w:ascii="GHEA Grapalat" w:hAnsi="GHEA Grapalat" w:cs="GHEA Grapalat"/>
          <w:iCs/>
          <w:sz w:val="22"/>
          <w:szCs w:val="22"/>
          <w:lang w:val="en-US"/>
        </w:rPr>
        <w:t xml:space="preserve"> </w:t>
      </w:r>
      <w:r w:rsidRPr="00C921DE">
        <w:rPr>
          <w:rFonts w:ascii="GHEA Grapalat" w:hAnsi="GHEA Grapalat" w:cs="GHEA Grapalat"/>
          <w:iCs/>
          <w:sz w:val="22"/>
          <w:szCs w:val="22"/>
        </w:rPr>
        <w:t>նվազել է 5.4%-ով, իսկ ոսկու գին</w:t>
      </w:r>
      <w:r w:rsidR="00BA33ED" w:rsidRPr="00C921DE">
        <w:rPr>
          <w:rFonts w:ascii="GHEA Grapalat" w:hAnsi="GHEA Grapalat" w:cs="GHEA Grapalat"/>
          <w:iCs/>
          <w:sz w:val="22"/>
          <w:szCs w:val="22"/>
          <w:lang w:val="en-US"/>
        </w:rPr>
        <w:t>ն աճել է</w:t>
      </w:r>
      <w:r w:rsidRPr="00C921DE">
        <w:rPr>
          <w:rFonts w:ascii="GHEA Grapalat" w:hAnsi="GHEA Grapalat" w:cs="GHEA Grapalat"/>
          <w:iCs/>
          <w:sz w:val="22"/>
          <w:szCs w:val="22"/>
        </w:rPr>
        <w:t xml:space="preserve"> ընդամենը 0.1%-ով: </w:t>
      </w:r>
    </w:p>
    <w:p w14:paraId="176E0755" w14:textId="6E51B97A" w:rsidR="00FF44DF" w:rsidRPr="00C921DE" w:rsidRDefault="006650DD" w:rsidP="00FF44DF">
      <w:pPr>
        <w:tabs>
          <w:tab w:val="left" w:pos="0"/>
          <w:tab w:val="left" w:pos="900"/>
        </w:tabs>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 xml:space="preserve">Պինդ օգտակար հանածոների, բացառությամբ մետաղական օգտակար հանածոների մարված պաշարների, ստորերկրյա քաղցրահամ ու հանքային ջրերի և աղի արդյունահանված պաշարների համար գանձվող բնօգտագործման վճարների գծով մուտքերը </w:t>
      </w:r>
      <w:r w:rsidR="00FF44DF" w:rsidRPr="00C921DE">
        <w:rPr>
          <w:rFonts w:ascii="GHEA Grapalat" w:hAnsi="GHEA Grapalat" w:cs="GHEA Grapalat"/>
          <w:iCs/>
          <w:sz w:val="22"/>
          <w:szCs w:val="22"/>
        </w:rPr>
        <w:t xml:space="preserve">26.8%-ով կամ 1.4 մլրդ դրամով գերազանցել են նախորդ տարվա մուտքերը, որը հիմնականում պայմանավորված է արդյունահանման ծավալների աճով: </w:t>
      </w:r>
    </w:p>
    <w:p w14:paraId="731C1414" w14:textId="2291BBC7" w:rsidR="00FF44DF" w:rsidRPr="00C921DE" w:rsidRDefault="00FF44DF" w:rsidP="00FF44DF">
      <w:pPr>
        <w:tabs>
          <w:tab w:val="left" w:pos="0"/>
          <w:tab w:val="left" w:pos="900"/>
        </w:tabs>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lastRenderedPageBreak/>
        <w:t>ՀՀ ներմուծվող (այդ թվում՝ ԵԱՏՄ անդամ պետություններից) շրջակա միջավայրին վնաս պատճառող ապրանքների համար գանձվող մուտքերի 51.5% (3.1 մլրդ դրամ) աճը հիմնականում պայմանավորված է ներմուծման ծավալների աճով:</w:t>
      </w:r>
      <w:r w:rsidR="001331FE" w:rsidRPr="00C921DE">
        <w:rPr>
          <w:rFonts w:ascii="GHEA Grapalat" w:hAnsi="GHEA Grapalat" w:cs="GHEA Grapalat"/>
          <w:iCs/>
          <w:sz w:val="22"/>
          <w:szCs w:val="22"/>
          <w:lang w:val="en-US"/>
        </w:rPr>
        <w:t xml:space="preserve"> Մասնավորապես՝ </w:t>
      </w:r>
      <w:r w:rsidRPr="00C921DE">
        <w:rPr>
          <w:rFonts w:ascii="GHEA Grapalat" w:hAnsi="GHEA Grapalat" w:cs="GHEA Grapalat"/>
          <w:iCs/>
          <w:sz w:val="22"/>
          <w:szCs w:val="22"/>
        </w:rPr>
        <w:t>ԵԱՏՄ անդամ պետություններից ներմուծվող` շրջակա միջավայրին վնաս պատճառող ապրանքների համար գանձվող մուտքերն աճել են 42.3%-ով</w:t>
      </w:r>
      <w:r w:rsidR="001331FE" w:rsidRPr="00C921DE">
        <w:rPr>
          <w:rFonts w:ascii="GHEA Grapalat" w:hAnsi="GHEA Grapalat" w:cs="GHEA Grapalat"/>
          <w:iCs/>
          <w:sz w:val="22"/>
          <w:szCs w:val="22"/>
          <w:lang w:val="en-US"/>
        </w:rPr>
        <w:t xml:space="preserve"> կամ 910.6 մլն դրամով</w:t>
      </w:r>
      <w:r w:rsidRPr="00C921DE">
        <w:rPr>
          <w:rFonts w:ascii="GHEA Grapalat" w:hAnsi="GHEA Grapalat" w:cs="GHEA Grapalat"/>
          <w:iCs/>
          <w:sz w:val="22"/>
          <w:szCs w:val="22"/>
        </w:rPr>
        <w:t>:</w:t>
      </w:r>
    </w:p>
    <w:p w14:paraId="5608963E" w14:textId="77777777" w:rsidR="00FF44DF" w:rsidRPr="00C921DE" w:rsidRDefault="00FF44DF" w:rsidP="00FF44DF">
      <w:pPr>
        <w:tabs>
          <w:tab w:val="left" w:pos="0"/>
          <w:tab w:val="left" w:pos="900"/>
        </w:tabs>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 xml:space="preserve">ՀՀ-ում չգրանցված (չհաշվառված)՝ ՀՀ մուտք գործող ավտոտրանսպորտային միջոցներից մթնոլորտային օդ վնասակար նյութերի արտանետման համար մուտքերի 15% (167.5 մլն դրամ) աճը հիմնականում պայմանավորված է այլ պետություններում գրանցված՝ ՀՀ սահմանը հատող մարդատար տրանսպորտային միջոցների քանակի ավելացմամբ: </w:t>
      </w:r>
    </w:p>
    <w:p w14:paraId="22789F4B" w14:textId="61A4D0D5" w:rsidR="00FF44DF" w:rsidRPr="00C921DE" w:rsidRDefault="00FF44DF" w:rsidP="00FF44DF">
      <w:pPr>
        <w:tabs>
          <w:tab w:val="left" w:pos="0"/>
          <w:tab w:val="left" w:pos="900"/>
        </w:tabs>
        <w:spacing w:line="360" w:lineRule="auto"/>
        <w:ind w:firstLine="567"/>
        <w:jc w:val="both"/>
        <w:rPr>
          <w:rFonts w:ascii="GHEA Grapalat" w:hAnsi="GHEA Grapalat" w:cs="GHEA Grapalat"/>
          <w:sz w:val="22"/>
          <w:szCs w:val="22"/>
        </w:rPr>
      </w:pPr>
      <w:r w:rsidRPr="00C921DE">
        <w:rPr>
          <w:rFonts w:ascii="GHEA Grapalat" w:hAnsi="GHEA Grapalat" w:cs="GHEA Grapalat"/>
          <w:iCs/>
          <w:sz w:val="22"/>
          <w:szCs w:val="22"/>
        </w:rPr>
        <w:t>Հաշվետու</w:t>
      </w:r>
      <w:r w:rsidRPr="00C921DE">
        <w:rPr>
          <w:rFonts w:ascii="GHEA Grapalat" w:hAnsi="GHEA Grapalat" w:cs="GHEA Grapalat"/>
          <w:sz w:val="22"/>
          <w:szCs w:val="22"/>
        </w:rPr>
        <w:t xml:space="preserve"> ժամանակահատվածում կուտակային կենսաթոշակային բաղադրիչի մասնակիցների կողմից պետական բյուջե է փոխանցվել շուրջ 90.3 մլրդ դրամ </w:t>
      </w:r>
      <w:r w:rsidRPr="00C921DE">
        <w:rPr>
          <w:rFonts w:ascii="GHEA Grapalat" w:hAnsi="GHEA Grapalat" w:cs="GHEA Grapalat"/>
          <w:i/>
          <w:iCs/>
          <w:sz w:val="22"/>
          <w:szCs w:val="22"/>
        </w:rPr>
        <w:t>սոցիալական վճար</w:t>
      </w:r>
      <w:r w:rsidRPr="00C921DE">
        <w:rPr>
          <w:rFonts w:ascii="GHEA Grapalat" w:hAnsi="GHEA Grapalat" w:cs="GHEA Grapalat"/>
          <w:sz w:val="22"/>
          <w:szCs w:val="22"/>
        </w:rPr>
        <w:t xml:space="preserve">` 40.1%-ով </w:t>
      </w:r>
      <w:r w:rsidRPr="00C921DE">
        <w:rPr>
          <w:rFonts w:ascii="GHEA Grapalat" w:hAnsi="GHEA Grapalat" w:cs="Sylfaen"/>
          <w:sz w:val="22"/>
          <w:szCs w:val="22"/>
        </w:rPr>
        <w:t>գերազանցելով</w:t>
      </w:r>
      <w:r w:rsidRPr="00C921DE">
        <w:rPr>
          <w:rFonts w:ascii="GHEA Grapalat" w:hAnsi="GHEA Grapalat" w:cs="GHEA Grapalat"/>
          <w:sz w:val="22"/>
          <w:szCs w:val="22"/>
        </w:rPr>
        <w:t xml:space="preserve"> նախորդ տարվա ցուցանիշը: Աճը հիմնականում պայմանավորված է «Կուտակային կենսաթոշակների մասին» ՀՀ օրենքում կատարված փոփոխություններով, որոնք ներկայացված են առանձին տեղեկանքով</w:t>
      </w:r>
      <w:r w:rsidR="006725FD" w:rsidRPr="00C921DE">
        <w:rPr>
          <w:rStyle w:val="FootnoteReference"/>
          <w:rFonts w:ascii="GHEA Grapalat" w:hAnsi="GHEA Grapalat"/>
          <w:sz w:val="22"/>
          <w:szCs w:val="22"/>
        </w:rPr>
        <w:footnoteReference w:id="31"/>
      </w:r>
      <w:r w:rsidR="003046AB" w:rsidRPr="00C921DE">
        <w:rPr>
          <w:rFonts w:ascii="GHEA Grapalat" w:hAnsi="GHEA Grapalat" w:cs="GHEA Grapalat"/>
          <w:sz w:val="22"/>
          <w:szCs w:val="22"/>
          <w:lang w:val="en-US"/>
        </w:rPr>
        <w:t xml:space="preserve">, ինչպես </w:t>
      </w:r>
      <w:r w:rsidRPr="00C921DE">
        <w:rPr>
          <w:rFonts w:ascii="GHEA Grapalat" w:hAnsi="GHEA Grapalat" w:cs="GHEA Grapalat"/>
          <w:sz w:val="22"/>
          <w:szCs w:val="22"/>
        </w:rPr>
        <w:t xml:space="preserve">նաև 2023 թվականին աշխատատեղերի թվի և միջին </w:t>
      </w:r>
      <w:r w:rsidR="003046AB" w:rsidRPr="00C921DE">
        <w:rPr>
          <w:rFonts w:ascii="GHEA Grapalat" w:hAnsi="GHEA Grapalat" w:cs="GHEA Grapalat"/>
          <w:sz w:val="22"/>
          <w:szCs w:val="22"/>
          <w:lang w:val="en-US"/>
        </w:rPr>
        <w:t xml:space="preserve">ամսական անվանական </w:t>
      </w:r>
      <w:r w:rsidR="003046AB" w:rsidRPr="00C921DE">
        <w:rPr>
          <w:rFonts w:ascii="GHEA Grapalat" w:hAnsi="GHEA Grapalat" w:cs="GHEA Grapalat"/>
          <w:sz w:val="22"/>
          <w:szCs w:val="22"/>
        </w:rPr>
        <w:t>աշխատավարձ</w:t>
      </w:r>
      <w:r w:rsidRPr="00C921DE">
        <w:rPr>
          <w:rFonts w:ascii="GHEA Grapalat" w:hAnsi="GHEA Grapalat" w:cs="GHEA Grapalat"/>
          <w:sz w:val="22"/>
          <w:szCs w:val="22"/>
        </w:rPr>
        <w:t>ի աճով:</w:t>
      </w:r>
    </w:p>
    <w:p w14:paraId="0883C0C3" w14:textId="10999E65" w:rsidR="00FF44DF" w:rsidRPr="00C921DE" w:rsidRDefault="00FF44DF" w:rsidP="00FF44DF">
      <w:pPr>
        <w:spacing w:line="360" w:lineRule="auto"/>
        <w:ind w:firstLine="567"/>
        <w:jc w:val="both"/>
        <w:rPr>
          <w:rFonts w:ascii="GHEA Grapalat" w:hAnsi="GHEA Grapalat" w:cs="Calibri"/>
          <w:sz w:val="22"/>
          <w:szCs w:val="22"/>
        </w:rPr>
      </w:pPr>
      <w:r w:rsidRPr="00C921DE">
        <w:rPr>
          <w:rFonts w:ascii="GHEA Grapalat" w:hAnsi="GHEA Grapalat" w:cs="GHEA Grapalat"/>
          <w:sz w:val="22"/>
          <w:szCs w:val="22"/>
        </w:rPr>
        <w:t>2023 թվականի ընթացքում</w:t>
      </w:r>
      <w:r w:rsidRPr="00C921DE">
        <w:rPr>
          <w:rFonts w:ascii="GHEA Grapalat" w:hAnsi="GHEA Grapalat" w:cs="GHEA Grapalat"/>
          <w:iCs/>
          <w:sz w:val="22"/>
          <w:szCs w:val="22"/>
        </w:rPr>
        <w:t xml:space="preserve"> ՀՀ պետական բյուջե են մուտքագրվել ընդհանուր առմամբ 83.4</w:t>
      </w:r>
      <w:r w:rsidRPr="00C921DE">
        <w:rPr>
          <w:rFonts w:ascii="Courier New" w:hAnsi="Courier New" w:cs="Courier New"/>
          <w:iCs/>
          <w:sz w:val="22"/>
          <w:szCs w:val="22"/>
        </w:rPr>
        <w:t> </w:t>
      </w:r>
      <w:r w:rsidRPr="00C921DE">
        <w:rPr>
          <w:rFonts w:ascii="GHEA Grapalat" w:hAnsi="GHEA Grapalat" w:cs="GHEA Grapalat"/>
          <w:iCs/>
          <w:sz w:val="22"/>
          <w:szCs w:val="22"/>
        </w:rPr>
        <w:t>մլրդ</w:t>
      </w:r>
      <w:r w:rsidRPr="00C921DE">
        <w:rPr>
          <w:rFonts w:ascii="Courier New" w:hAnsi="Courier New" w:cs="Courier New"/>
          <w:iCs/>
          <w:sz w:val="22"/>
          <w:szCs w:val="22"/>
        </w:rPr>
        <w:t> </w:t>
      </w:r>
      <w:r w:rsidRPr="00C921DE">
        <w:rPr>
          <w:rFonts w:ascii="GHEA Grapalat" w:hAnsi="GHEA Grapalat" w:cs="GHEA Grapalat"/>
          <w:iCs/>
          <w:sz w:val="22"/>
          <w:szCs w:val="22"/>
        </w:rPr>
        <w:t xml:space="preserve">դրամ այլ հարկեր՝ կազմելով պետական բյուջեի հարկային եկամուտների և պետական տուրքերի 3.8%-ը և 47.1%-ով գերազանցելով նախորդ տարվա փաստացի ցուցանիշը: Մասնավորապես՝ ավելի քան 43 մլրդ դրամ են կազմել «Հայաստանի Հանրապետության պաշտպանության ժամանակ զինծառայողների կյանքին կամ առողջությանը պատճառված վնասների հատուցման </w:t>
      </w:r>
      <w:r w:rsidRPr="00C921DE">
        <w:rPr>
          <w:rFonts w:ascii="GHEA Grapalat" w:hAnsi="GHEA Grapalat" w:cs="Calibri"/>
          <w:sz w:val="22"/>
          <w:szCs w:val="22"/>
        </w:rPr>
        <w:t xml:space="preserve">մասին» ՀՀ օրենքով սահմանված </w:t>
      </w:r>
      <w:r w:rsidRPr="00C921DE">
        <w:rPr>
          <w:rFonts w:ascii="GHEA Grapalat" w:hAnsi="GHEA Grapalat" w:cs="Calibri"/>
          <w:i/>
          <w:sz w:val="22"/>
          <w:szCs w:val="22"/>
        </w:rPr>
        <w:t>դրոշմանիշային վճարները</w:t>
      </w:r>
      <w:r w:rsidRPr="00C921DE">
        <w:rPr>
          <w:rFonts w:ascii="GHEA Grapalat" w:hAnsi="GHEA Grapalat" w:cs="Calibri"/>
          <w:sz w:val="22"/>
          <w:szCs w:val="22"/>
        </w:rPr>
        <w:t>: Նախորդ տարվա համեմատ նշված մուտքերն աճել են 16.5%-ով կամ 6.1 մլրդ դրամով, ինչը պայմանավորված է 2023 թվականին աշխատատեղերի թվի և միջին</w:t>
      </w:r>
      <w:r w:rsidR="009F3F5D" w:rsidRPr="00C921DE">
        <w:rPr>
          <w:rFonts w:ascii="GHEA Grapalat" w:hAnsi="GHEA Grapalat" w:cs="Calibri"/>
          <w:sz w:val="22"/>
          <w:szCs w:val="22"/>
          <w:lang w:val="en-US"/>
        </w:rPr>
        <w:t xml:space="preserve"> ամսական</w:t>
      </w:r>
      <w:r w:rsidR="009F3F5D" w:rsidRPr="00C921DE">
        <w:rPr>
          <w:rFonts w:ascii="GHEA Grapalat" w:hAnsi="GHEA Grapalat" w:cs="Calibri"/>
          <w:sz w:val="22"/>
          <w:szCs w:val="22"/>
        </w:rPr>
        <w:t xml:space="preserve"> աշխատավարձ</w:t>
      </w:r>
      <w:r w:rsidRPr="00C921DE">
        <w:rPr>
          <w:rFonts w:ascii="GHEA Grapalat" w:hAnsi="GHEA Grapalat" w:cs="Calibri"/>
          <w:sz w:val="22"/>
          <w:szCs w:val="22"/>
        </w:rPr>
        <w:t>ի աճով:</w:t>
      </w:r>
    </w:p>
    <w:p w14:paraId="4186BB60" w14:textId="77777777" w:rsidR="00FF44DF" w:rsidRPr="00C921DE" w:rsidRDefault="00FF44DF" w:rsidP="00FF44DF">
      <w:pPr>
        <w:tabs>
          <w:tab w:val="left" w:pos="851"/>
        </w:tabs>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Հաշվետու</w:t>
      </w:r>
      <w:r w:rsidRPr="00C921DE">
        <w:rPr>
          <w:rFonts w:ascii="GHEA Grapalat" w:hAnsi="GHEA Grapalat" w:cs="Calibri"/>
          <w:sz w:val="22"/>
          <w:szCs w:val="22"/>
        </w:rPr>
        <w:t xml:space="preserve"> տար</w:t>
      </w:r>
      <w:r w:rsidRPr="00C921DE">
        <w:rPr>
          <w:rFonts w:ascii="GHEA Grapalat" w:hAnsi="GHEA Grapalat" w:cs="Sylfaen"/>
          <w:sz w:val="22"/>
          <w:szCs w:val="22"/>
        </w:rPr>
        <w:t xml:space="preserve">ում </w:t>
      </w:r>
      <w:r w:rsidRPr="00C921DE">
        <w:rPr>
          <w:rFonts w:ascii="GHEA Grapalat" w:hAnsi="GHEA Grapalat" w:cs="GHEA Grapalat"/>
          <w:iCs/>
          <w:sz w:val="22"/>
          <w:szCs w:val="22"/>
        </w:rPr>
        <w:t xml:space="preserve">շուրջ 19.7 մլրդ դրամ է կազմել </w:t>
      </w:r>
      <w:r w:rsidRPr="00C921DE">
        <w:rPr>
          <w:rFonts w:ascii="GHEA Grapalat" w:hAnsi="GHEA Grapalat" w:cs="Calibri"/>
          <w:sz w:val="22"/>
          <w:szCs w:val="22"/>
        </w:rPr>
        <w:t>ԵԱՏՄ անդամ չհանդիսացող պետություններից միջազգային փոստային կամ սուրհանդակային առաքումներով կամ որպես ուղեկցող բեռ ներմուծվող ապրանքների համար ՀՀ մաքսային մարմինների կողմից գանձվող</w:t>
      </w:r>
      <w:r w:rsidRPr="00C921DE">
        <w:rPr>
          <w:rFonts w:ascii="GHEA Grapalat" w:hAnsi="GHEA Grapalat" w:cs="GHEA Grapalat"/>
          <w:i/>
          <w:iCs/>
          <w:sz w:val="22"/>
          <w:szCs w:val="22"/>
        </w:rPr>
        <w:t xml:space="preserve"> միասնական մաքսային վճարը,</w:t>
      </w:r>
      <w:r w:rsidRPr="00C921DE">
        <w:rPr>
          <w:rFonts w:ascii="GHEA Grapalat" w:hAnsi="GHEA Grapalat" w:cs="Sylfaen"/>
          <w:sz w:val="22"/>
          <w:szCs w:val="22"/>
        </w:rPr>
        <w:t xml:space="preserve"> որը 5.1 անգամ կամ 15.8 մլրդ դրամով գերազանցել է նախորդ տարվա ցուցանիշը՝ հիմնականում պայմանավորված ՀՀ տարածք ներմուծվող ապրանքների ծավալների աճով:</w:t>
      </w:r>
    </w:p>
    <w:p w14:paraId="4574AA80" w14:textId="3D7F0747" w:rsidR="003D06B3" w:rsidRPr="00C921DE" w:rsidRDefault="00FF44DF" w:rsidP="003D06B3">
      <w:pPr>
        <w:tabs>
          <w:tab w:val="left" w:pos="851"/>
        </w:tabs>
        <w:spacing w:line="360" w:lineRule="auto"/>
        <w:ind w:firstLine="567"/>
        <w:jc w:val="both"/>
        <w:rPr>
          <w:rFonts w:ascii="GHEA Grapalat" w:hAnsi="GHEA Grapalat" w:cs="Sylfaen"/>
          <w:sz w:val="22"/>
          <w:szCs w:val="22"/>
        </w:rPr>
      </w:pPr>
      <w:r w:rsidRPr="00C921DE">
        <w:rPr>
          <w:rFonts w:ascii="GHEA Grapalat" w:hAnsi="GHEA Grapalat" w:cs="Calibri"/>
          <w:sz w:val="22"/>
          <w:szCs w:val="22"/>
        </w:rPr>
        <w:t>Հաշվետու տարում 10</w:t>
      </w:r>
      <w:r w:rsidRPr="00C921DE">
        <w:rPr>
          <w:rFonts w:ascii="GHEA Grapalat" w:hAnsi="GHEA Grapalat" w:cs="Sylfaen"/>
          <w:sz w:val="22"/>
          <w:szCs w:val="22"/>
        </w:rPr>
        <w:t xml:space="preserve"> մլրդ դրամ են կազմել </w:t>
      </w:r>
      <w:r w:rsidRPr="00C921DE">
        <w:rPr>
          <w:rFonts w:ascii="GHEA Grapalat" w:hAnsi="GHEA Grapalat" w:cs="Sylfaen"/>
          <w:i/>
          <w:sz w:val="22"/>
          <w:szCs w:val="22"/>
        </w:rPr>
        <w:t>ռադիոհաճախականության օգտագործման պարտադիր վճարները`</w:t>
      </w:r>
      <w:r w:rsidRPr="00C921DE">
        <w:rPr>
          <w:rFonts w:ascii="GHEA Grapalat" w:hAnsi="GHEA Grapalat" w:cs="Sylfaen"/>
          <w:sz w:val="22"/>
          <w:szCs w:val="22"/>
        </w:rPr>
        <w:t xml:space="preserve"> նախորդ տարվա համեմատ աճելով 48%</w:t>
      </w:r>
      <w:r w:rsidRPr="00C921DE">
        <w:rPr>
          <w:rFonts w:ascii="GHEA Grapalat" w:hAnsi="GHEA Grapalat" w:cs="Sylfaen"/>
          <w:sz w:val="22"/>
          <w:szCs w:val="22"/>
        </w:rPr>
        <w:noBreakHyphen/>
        <w:t xml:space="preserve">ով կամ շուրջ 3.3 մլրդ դրամով, որը </w:t>
      </w:r>
      <w:r w:rsidRPr="00C921DE">
        <w:rPr>
          <w:rFonts w:ascii="GHEA Grapalat" w:hAnsi="GHEA Grapalat" w:cs="Sylfaen"/>
          <w:sz w:val="22"/>
          <w:szCs w:val="22"/>
        </w:rPr>
        <w:lastRenderedPageBreak/>
        <w:t xml:space="preserve">հիմնականում պայմանավորված է ռադիոհաճախականությունների օգտագործման տրամադրված թույլտվությունների քանակի աճով, ինչպես նաև մեկ կազմակերպության կողմից 2022 թվականի </w:t>
      </w:r>
      <w:r w:rsidR="00F958F1" w:rsidRPr="00C921DE">
        <w:rPr>
          <w:rFonts w:ascii="GHEA Grapalat" w:hAnsi="GHEA Grapalat" w:cs="Sylfaen"/>
          <w:sz w:val="22"/>
          <w:szCs w:val="22"/>
        </w:rPr>
        <w:t>համար հաշվարկված ապառքը (պարտադիր վճարները և տույժերը) 2023 թվականին ամբողջությամբ վճարվելու հանգամանքով։</w:t>
      </w:r>
    </w:p>
    <w:p w14:paraId="62FF4F58" w14:textId="614F9785" w:rsidR="005C0C95" w:rsidRPr="00C921DE" w:rsidRDefault="005C0C95" w:rsidP="003D06B3">
      <w:pPr>
        <w:tabs>
          <w:tab w:val="left" w:pos="851"/>
        </w:tabs>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Հաշվետու</w:t>
      </w:r>
      <w:r w:rsidRPr="00C921DE">
        <w:rPr>
          <w:rFonts w:ascii="GHEA Grapalat" w:hAnsi="GHEA Grapalat" w:cs="Calibri"/>
          <w:sz w:val="22"/>
          <w:szCs w:val="22"/>
        </w:rPr>
        <w:t xml:space="preserve"> տար</w:t>
      </w:r>
      <w:r w:rsidRPr="00C921DE">
        <w:rPr>
          <w:rFonts w:ascii="GHEA Grapalat" w:hAnsi="GHEA Grapalat" w:cs="Sylfaen"/>
          <w:sz w:val="22"/>
          <w:szCs w:val="22"/>
        </w:rPr>
        <w:t xml:space="preserve">ում </w:t>
      </w:r>
      <w:r w:rsidRPr="00C921DE">
        <w:rPr>
          <w:rFonts w:ascii="GHEA Grapalat" w:hAnsi="GHEA Grapalat" w:cs="GHEA Grapalat"/>
          <w:iCs/>
          <w:sz w:val="22"/>
          <w:szCs w:val="22"/>
        </w:rPr>
        <w:t xml:space="preserve">1.1 մլրդ դրամ է մուտքագրվել </w:t>
      </w:r>
      <w:r w:rsidRPr="00C921DE">
        <w:rPr>
          <w:rFonts w:ascii="GHEA Grapalat" w:hAnsi="GHEA Grapalat" w:cs="GHEA Grapalat"/>
          <w:i/>
          <w:iCs/>
          <w:sz w:val="22"/>
          <w:szCs w:val="22"/>
        </w:rPr>
        <w:t>հանրային ծառայությունների կարգավորման պարտադիր վճարների</w:t>
      </w:r>
      <w:r w:rsidRPr="00C921DE">
        <w:rPr>
          <w:rFonts w:ascii="GHEA Grapalat" w:hAnsi="GHEA Grapalat" w:cs="Calibri"/>
          <w:sz w:val="22"/>
          <w:szCs w:val="22"/>
        </w:rPr>
        <w:t xml:space="preserve"> </w:t>
      </w:r>
      <w:r w:rsidRPr="00C921DE">
        <w:rPr>
          <w:rFonts w:ascii="GHEA Grapalat" w:hAnsi="GHEA Grapalat" w:cs="Sylfaen"/>
          <w:sz w:val="22"/>
          <w:szCs w:val="22"/>
        </w:rPr>
        <w:t xml:space="preserve">գծով՝ 13.2%-ով կամ 131.3 մլն դրամով գերազանցելով նախորդ տարվա </w:t>
      </w:r>
      <w:r w:rsidRPr="00C921DE">
        <w:rPr>
          <w:rFonts w:ascii="GHEA Grapalat" w:hAnsi="GHEA Grapalat" w:cs="GHEA Grapalat"/>
          <w:sz w:val="22"/>
          <w:szCs w:val="22"/>
        </w:rPr>
        <w:t>ցուցանիշը:</w:t>
      </w:r>
    </w:p>
    <w:p w14:paraId="7081C97E" w14:textId="77777777" w:rsidR="00FF44DF" w:rsidRPr="00C921DE" w:rsidRDefault="00FF44DF" w:rsidP="00FF44DF">
      <w:pPr>
        <w:tabs>
          <w:tab w:val="left" w:pos="0"/>
          <w:tab w:val="left" w:pos="900"/>
        </w:tabs>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Հաշվետու տարում </w:t>
      </w:r>
      <w:r w:rsidRPr="00C921DE">
        <w:rPr>
          <w:rFonts w:ascii="GHEA Grapalat" w:hAnsi="GHEA Grapalat" w:cs="GHEA Grapalat"/>
          <w:iCs/>
          <w:sz w:val="22"/>
          <w:szCs w:val="22"/>
        </w:rPr>
        <w:t xml:space="preserve">5.8 </w:t>
      </w:r>
      <w:r w:rsidRPr="00C921DE">
        <w:rPr>
          <w:rFonts w:ascii="GHEA Grapalat" w:hAnsi="GHEA Grapalat" w:cs="Sylfaen"/>
          <w:sz w:val="22"/>
          <w:szCs w:val="22"/>
        </w:rPr>
        <w:t xml:space="preserve">մլրդ դրամ են կազմել </w:t>
      </w:r>
      <w:r w:rsidRPr="00C921DE">
        <w:rPr>
          <w:rFonts w:ascii="GHEA Grapalat" w:hAnsi="GHEA Grapalat" w:cs="Sylfaen"/>
          <w:i/>
          <w:sz w:val="22"/>
          <w:szCs w:val="22"/>
        </w:rPr>
        <w:t>ճանապարհային հարկի</w:t>
      </w:r>
      <w:r w:rsidRPr="00C921DE">
        <w:rPr>
          <w:rFonts w:ascii="GHEA Grapalat" w:hAnsi="GHEA Grapalat" w:cs="Sylfaen"/>
          <w:sz w:val="22"/>
          <w:szCs w:val="22"/>
        </w:rPr>
        <w:t xml:space="preserve"> գծով մուտքերը, որոնք նախորդ </w:t>
      </w:r>
      <w:r w:rsidRPr="00C921DE">
        <w:rPr>
          <w:rFonts w:ascii="GHEA Grapalat" w:hAnsi="GHEA Grapalat" w:cs="Calibri"/>
          <w:sz w:val="22"/>
          <w:szCs w:val="22"/>
        </w:rPr>
        <w:t>տարվա համեմատ աճել են 19.5%</w:t>
      </w:r>
      <w:r w:rsidRPr="00C921DE">
        <w:rPr>
          <w:rFonts w:ascii="GHEA Grapalat" w:hAnsi="GHEA Grapalat" w:cs="Calibri"/>
          <w:sz w:val="22"/>
          <w:szCs w:val="22"/>
        </w:rPr>
        <w:noBreakHyphen/>
        <w:t>ով կամ 939.5 մլն դրամով՝ հիմնականում պայմանա</w:t>
      </w:r>
      <w:r w:rsidRPr="00C921DE">
        <w:rPr>
          <w:rFonts w:ascii="GHEA Grapalat" w:hAnsi="GHEA Grapalat" w:cs="Sylfaen"/>
          <w:sz w:val="22"/>
          <w:szCs w:val="22"/>
        </w:rPr>
        <w:t xml:space="preserve">վորված </w:t>
      </w:r>
      <w:r w:rsidRPr="00C921DE">
        <w:rPr>
          <w:rFonts w:ascii="GHEA Grapalat" w:hAnsi="GHEA Grapalat" w:cs="GHEA Grapalat"/>
          <w:iCs/>
          <w:sz w:val="22"/>
          <w:szCs w:val="22"/>
        </w:rPr>
        <w:t>տնտեսական</w:t>
      </w:r>
      <w:r w:rsidRPr="00C921DE">
        <w:rPr>
          <w:rFonts w:ascii="GHEA Grapalat" w:hAnsi="GHEA Grapalat" w:cs="Sylfaen"/>
          <w:sz w:val="22"/>
          <w:szCs w:val="22"/>
        </w:rPr>
        <w:t xml:space="preserve"> ակտիվության աճով, որի հետևանքով ավելացել են 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օգտվող սուբյեկտների մուտքն ու ելքը, ինչպես նաև Հայաստանի Հանրապետության ընդհանուր օգտագործման պետական ավտոմոբիլային ճանապարհներին գովազդ տեղադրելու դեպքերը: </w:t>
      </w:r>
    </w:p>
    <w:p w14:paraId="3E1BD9F0" w14:textId="708FC6CD" w:rsidR="00FF44DF" w:rsidRPr="00C921DE" w:rsidRDefault="0092752F" w:rsidP="00FF44DF">
      <w:pPr>
        <w:tabs>
          <w:tab w:val="left" w:pos="851"/>
        </w:tabs>
        <w:spacing w:line="360" w:lineRule="auto"/>
        <w:ind w:firstLine="567"/>
        <w:jc w:val="both"/>
        <w:rPr>
          <w:rFonts w:ascii="GHEA Grapalat" w:hAnsi="GHEA Grapalat"/>
          <w:sz w:val="22"/>
          <w:szCs w:val="22"/>
        </w:rPr>
      </w:pPr>
      <w:r w:rsidRPr="00C921DE">
        <w:rPr>
          <w:rFonts w:ascii="GHEA Grapalat" w:hAnsi="GHEA Grapalat" w:cs="GHEA Grapalat"/>
          <w:iCs/>
          <w:sz w:val="22"/>
          <w:szCs w:val="22"/>
        </w:rPr>
        <w:t>2023 թվականի</w:t>
      </w:r>
      <w:r w:rsidRPr="00C921DE">
        <w:rPr>
          <w:rFonts w:ascii="GHEA Grapalat" w:hAnsi="GHEA Grapalat" w:cs="GHEA Grapalat"/>
          <w:iCs/>
          <w:sz w:val="22"/>
          <w:szCs w:val="22"/>
          <w:lang w:val="en-US"/>
        </w:rPr>
        <w:t>ն</w:t>
      </w:r>
      <w:r w:rsidR="00FF44DF" w:rsidRPr="00C921DE">
        <w:rPr>
          <w:rFonts w:ascii="GHEA Grapalat" w:hAnsi="GHEA Grapalat" w:cs="GHEA Grapalat"/>
          <w:iCs/>
          <w:sz w:val="22"/>
          <w:szCs w:val="22"/>
        </w:rPr>
        <w:t xml:space="preserve"> 3.7 մլրդ դրամ</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են</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 xml:space="preserve">կազմել </w:t>
      </w:r>
      <w:r w:rsidR="00FF44DF" w:rsidRPr="00C921DE">
        <w:rPr>
          <w:rFonts w:ascii="GHEA Grapalat" w:hAnsi="GHEA Grapalat" w:cs="GHEA Grapalat"/>
          <w:i/>
          <w:iCs/>
          <w:sz w:val="22"/>
          <w:szCs w:val="22"/>
          <w:lang w:val="af-ZA"/>
        </w:rPr>
        <w:t>հ</w:t>
      </w:r>
      <w:r w:rsidR="00FF44DF" w:rsidRPr="00C921DE">
        <w:rPr>
          <w:rFonts w:ascii="GHEA Grapalat" w:hAnsi="GHEA Grapalat" w:cs="GHEA Grapalat"/>
          <w:i/>
          <w:iCs/>
          <w:sz w:val="22"/>
          <w:szCs w:val="22"/>
        </w:rPr>
        <w:t>արկային օրենսդրության խախտման համար սահմանված տուգանքները</w:t>
      </w:r>
      <w:r w:rsidR="00FF44DF" w:rsidRPr="00C921DE">
        <w:rPr>
          <w:rFonts w:ascii="GHEA Grapalat" w:hAnsi="GHEA Grapalat" w:cs="GHEA Grapalat"/>
          <w:iCs/>
          <w:sz w:val="22"/>
          <w:szCs w:val="22"/>
        </w:rPr>
        <w:t>՝</w:t>
      </w:r>
      <w:r w:rsidR="00FF44DF" w:rsidRPr="00C921DE">
        <w:rPr>
          <w:rFonts w:ascii="GHEA Grapalat" w:hAnsi="GHEA Grapalat" w:cs="GHEA Grapalat"/>
          <w:iCs/>
          <w:sz w:val="22"/>
          <w:szCs w:val="22"/>
          <w:lang w:val="af-ZA"/>
        </w:rPr>
        <w:t xml:space="preserve"> 2</w:t>
      </w:r>
      <w:r w:rsidR="00FF44DF" w:rsidRPr="00C921DE">
        <w:rPr>
          <w:rFonts w:ascii="GHEA Grapalat" w:hAnsi="GHEA Grapalat" w:cs="GHEA Grapalat"/>
          <w:iCs/>
          <w:sz w:val="22"/>
          <w:szCs w:val="22"/>
        </w:rPr>
        <w:t>1.9%-ով կամ</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668.6 մլն դրամով</w:t>
      </w:r>
      <w:r w:rsidR="00FF44DF" w:rsidRPr="00C921DE">
        <w:rPr>
          <w:rFonts w:ascii="GHEA Grapalat" w:hAnsi="GHEA Grapalat" w:cs="GHEA Grapalat"/>
          <w:iCs/>
          <w:sz w:val="22"/>
          <w:szCs w:val="22"/>
          <w:lang w:val="af-ZA"/>
        </w:rPr>
        <w:t xml:space="preserve"> գերա</w:t>
      </w:r>
      <w:r w:rsidR="00FF44DF" w:rsidRPr="00C921DE">
        <w:rPr>
          <w:rFonts w:ascii="GHEA Grapalat" w:hAnsi="GHEA Grapalat" w:cs="GHEA Grapalat"/>
          <w:iCs/>
          <w:sz w:val="22"/>
          <w:szCs w:val="22"/>
        </w:rPr>
        <w:t>զանցելով</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նախորդ</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տարվա</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փաստացի</w:t>
      </w:r>
      <w:r w:rsidR="00FF44DF" w:rsidRPr="00C921DE">
        <w:rPr>
          <w:rFonts w:ascii="GHEA Grapalat" w:hAnsi="GHEA Grapalat" w:cs="GHEA Grapalat"/>
          <w:iCs/>
          <w:sz w:val="22"/>
          <w:szCs w:val="22"/>
          <w:lang w:val="af-ZA"/>
        </w:rPr>
        <w:t xml:space="preserve"> </w:t>
      </w:r>
      <w:r w:rsidR="00FF44DF" w:rsidRPr="00C921DE">
        <w:rPr>
          <w:rFonts w:ascii="GHEA Grapalat" w:hAnsi="GHEA Grapalat" w:cs="GHEA Grapalat"/>
          <w:iCs/>
          <w:sz w:val="22"/>
          <w:szCs w:val="22"/>
        </w:rPr>
        <w:t>ցուցանիշը</w:t>
      </w:r>
      <w:r w:rsidR="00FF44DF" w:rsidRPr="00C921DE">
        <w:rPr>
          <w:rFonts w:ascii="GHEA Grapalat" w:hAnsi="GHEA Grapalat" w:cs="GHEA Grapalat"/>
          <w:iCs/>
          <w:sz w:val="22"/>
          <w:szCs w:val="22"/>
          <w:lang w:val="af-ZA"/>
        </w:rPr>
        <w:t>:</w:t>
      </w:r>
    </w:p>
    <w:p w14:paraId="75F0600E" w14:textId="09496EFE" w:rsidR="00FF44DF" w:rsidRPr="00C921DE" w:rsidRDefault="00FF44DF" w:rsidP="00FF44DF">
      <w:pPr>
        <w:tabs>
          <w:tab w:val="left" w:pos="0"/>
          <w:tab w:val="left" w:pos="900"/>
        </w:tabs>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2023 թվականի ընթացքում ՀՀ պետական բյուջե են մուտքագրվել ավելի քան 67.4 մլրդ դրամ </w:t>
      </w:r>
      <w:r w:rsidRPr="00C921DE">
        <w:rPr>
          <w:rFonts w:ascii="GHEA Grapalat" w:hAnsi="GHEA Grapalat" w:cs="GHEA Grapalat"/>
          <w:i/>
          <w:sz w:val="22"/>
          <w:szCs w:val="22"/>
        </w:rPr>
        <w:t>պետական տուրքեր`</w:t>
      </w:r>
      <w:r w:rsidRPr="00C921DE">
        <w:rPr>
          <w:rFonts w:ascii="GHEA Grapalat" w:hAnsi="GHEA Grapalat" w:cs="GHEA Grapalat"/>
          <w:sz w:val="22"/>
          <w:szCs w:val="22"/>
        </w:rPr>
        <w:t xml:space="preserve"> </w:t>
      </w:r>
      <w:r w:rsidR="00A1325A" w:rsidRPr="00C921DE">
        <w:rPr>
          <w:rFonts w:ascii="GHEA Grapalat" w:hAnsi="GHEA Grapalat" w:cs="GHEA Grapalat"/>
          <w:sz w:val="22"/>
          <w:szCs w:val="22"/>
          <w:lang w:val="en-US"/>
        </w:rPr>
        <w:t>27.6%-ով գերազանցելով</w:t>
      </w:r>
      <w:r w:rsidR="00A1325A" w:rsidRPr="00C921DE">
        <w:rPr>
          <w:rFonts w:ascii="GHEA Grapalat" w:hAnsi="GHEA Grapalat" w:cs="GHEA Grapalat"/>
          <w:sz w:val="22"/>
          <w:szCs w:val="22"/>
        </w:rPr>
        <w:t xml:space="preserve"> տարեկան ճշտված ծրագիր</w:t>
      </w:r>
      <w:r w:rsidRPr="00C921DE">
        <w:rPr>
          <w:rFonts w:ascii="GHEA Grapalat" w:hAnsi="GHEA Grapalat" w:cs="GHEA Grapalat"/>
          <w:sz w:val="22"/>
          <w:szCs w:val="22"/>
        </w:rPr>
        <w:t xml:space="preserve">ը: Ծրագրի գերազանցումը հիմնականում պայմանավորված է լիցենզավորման ենթակա կամ թույլտվություններով գործունեություն իրականացնելու նպատակով լիցենզիաներ, արտոնագրեր (թույլտվություններ) տալու ու օրենքով սահմանված այլ ծառայությունների և գործողությունների համար սահմանված պետական տուրքերի կատարողականով: Նախորդ տարվա համեմատ պետական տուրքի գծով մուտքերի 36.9% (39.4 մլրդ դրամ) նվազումը հիմնականում պայմանավորված </w:t>
      </w:r>
      <w:r w:rsidR="00217BF1" w:rsidRPr="00C921DE">
        <w:rPr>
          <w:rFonts w:ascii="GHEA Grapalat" w:hAnsi="GHEA Grapalat" w:cs="GHEA Grapalat"/>
          <w:sz w:val="22"/>
          <w:szCs w:val="22"/>
          <w:lang w:val="en-US"/>
        </w:rPr>
        <w:t xml:space="preserve">է </w:t>
      </w:r>
      <w:r w:rsidRPr="00C921DE">
        <w:rPr>
          <w:rFonts w:ascii="GHEA Grapalat" w:hAnsi="GHEA Grapalat" w:cs="GHEA Grapalat"/>
          <w:sz w:val="22"/>
          <w:szCs w:val="22"/>
        </w:rPr>
        <w:t>այն հանգամանքով, որ «Պետական տուրքի մասին» ՀՀ օրենքով 2021 թվականի սեպտեմբերից պղնձի և մոլիբդենի խտահանքեր արտահանելու լիցենզիաներ կամ թույլտվություններ կամ հավաստագրեր տրամադրելու համար սահմանված պետական տուրքը կիրառվել է մինչև 2022 թվականի սեպտեմբերի 10-ը:</w:t>
      </w:r>
    </w:p>
    <w:p w14:paraId="5D4464DF" w14:textId="361813B1" w:rsidR="00FF44DF" w:rsidRPr="00C921DE" w:rsidRDefault="00FF44DF" w:rsidP="00FF44D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Առանձին պետական տուրքերի վերաբերյալ տեղեկատվությունը ներկայացված է Աղյուսակ 1</w:t>
      </w:r>
      <w:r w:rsidR="00377F61" w:rsidRPr="00C921DE">
        <w:rPr>
          <w:rFonts w:ascii="GHEA Grapalat" w:hAnsi="GHEA Grapalat" w:cs="GHEA Grapalat"/>
          <w:sz w:val="22"/>
          <w:szCs w:val="22"/>
          <w:lang w:val="en-US"/>
        </w:rPr>
        <w:t>3</w:t>
      </w:r>
      <w:r w:rsidRPr="00C921DE">
        <w:rPr>
          <w:rFonts w:ascii="GHEA Grapalat" w:hAnsi="GHEA Grapalat" w:cs="GHEA Grapalat"/>
          <w:sz w:val="22"/>
          <w:szCs w:val="22"/>
        </w:rPr>
        <w:noBreakHyphen/>
        <w:t>ում:</w:t>
      </w:r>
    </w:p>
    <w:p w14:paraId="23DE9FF9" w14:textId="77777777" w:rsidR="00FF44DF" w:rsidRPr="00C921DE" w:rsidRDefault="00FF44DF" w:rsidP="00FF44DF">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lastRenderedPageBreak/>
        <w:t>Պետական տուրքերի գծով ՀՀ պետական բյուջեի մուտքերը (մլրդ դրամ)</w:t>
      </w:r>
    </w:p>
    <w:tbl>
      <w:tblPr>
        <w:tblW w:w="10314" w:type="dxa"/>
        <w:tblLayout w:type="fixed"/>
        <w:tblLook w:val="00A0" w:firstRow="1" w:lastRow="0" w:firstColumn="1" w:lastColumn="0" w:noHBand="0" w:noVBand="0"/>
      </w:tblPr>
      <w:tblGrid>
        <w:gridCol w:w="4644"/>
        <w:gridCol w:w="993"/>
        <w:gridCol w:w="1134"/>
        <w:gridCol w:w="992"/>
        <w:gridCol w:w="1276"/>
        <w:gridCol w:w="1275"/>
      </w:tblGrid>
      <w:tr w:rsidR="00FF44DF" w:rsidRPr="00C921DE" w14:paraId="69FF4848" w14:textId="77777777" w:rsidTr="00FF44DF">
        <w:trPr>
          <w:trHeight w:val="1320"/>
        </w:trPr>
        <w:tc>
          <w:tcPr>
            <w:tcW w:w="4644" w:type="dxa"/>
            <w:tcBorders>
              <w:top w:val="single" w:sz="4" w:space="0" w:color="auto"/>
              <w:left w:val="single" w:sz="4" w:space="0" w:color="auto"/>
              <w:bottom w:val="single" w:sz="4" w:space="0" w:color="auto"/>
              <w:right w:val="single" w:sz="4" w:space="0" w:color="auto"/>
            </w:tcBorders>
            <w:noWrap/>
            <w:vAlign w:val="bottom"/>
          </w:tcPr>
          <w:p w14:paraId="2EABC895" w14:textId="77777777" w:rsidR="00FF44DF" w:rsidRPr="00C921DE" w:rsidRDefault="00FF44DF" w:rsidP="00FF44DF">
            <w:pPr>
              <w:rPr>
                <w:rFonts w:ascii="GHEA Grapalat" w:hAnsi="GHEA Grapalat" w:cs="Calibri"/>
                <w:sz w:val="18"/>
                <w:szCs w:val="18"/>
              </w:rPr>
            </w:pPr>
            <w:r w:rsidRPr="00C921DE">
              <w:rPr>
                <w:rFonts w:ascii="Courier New" w:hAnsi="Courier New" w:cs="Courier New"/>
                <w:sz w:val="18"/>
                <w:szCs w:val="18"/>
              </w:rPr>
              <w:t> </w:t>
            </w:r>
          </w:p>
        </w:tc>
        <w:tc>
          <w:tcPr>
            <w:tcW w:w="993" w:type="dxa"/>
            <w:tcBorders>
              <w:top w:val="single" w:sz="4" w:space="0" w:color="auto"/>
              <w:left w:val="nil"/>
              <w:bottom w:val="single" w:sz="4" w:space="0" w:color="auto"/>
              <w:right w:val="single" w:sz="4" w:space="0" w:color="auto"/>
            </w:tcBorders>
            <w:shd w:val="clear" w:color="000000" w:fill="FFFFFF"/>
          </w:tcPr>
          <w:p w14:paraId="0F3ACDA7"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ru-RU"/>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134" w:type="dxa"/>
            <w:tcBorders>
              <w:top w:val="single" w:sz="4" w:space="0" w:color="auto"/>
              <w:left w:val="nil"/>
              <w:bottom w:val="single" w:sz="4" w:space="0" w:color="auto"/>
              <w:right w:val="single" w:sz="4" w:space="0" w:color="auto"/>
            </w:tcBorders>
            <w:shd w:val="clear" w:color="000000" w:fill="FFFFFF"/>
          </w:tcPr>
          <w:p w14:paraId="5DF04B1F" w14:textId="0216E071" w:rsidR="00FF44DF" w:rsidRPr="00C921DE" w:rsidRDefault="00FF44DF" w:rsidP="00BF4CEF">
            <w:pPr>
              <w:jc w:val="center"/>
              <w:rPr>
                <w:rFonts w:ascii="GHEA Grapalat" w:hAnsi="GHEA Grapalat" w:cs="Calibri"/>
                <w:b/>
                <w:bCs/>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ճշտված </w:t>
            </w:r>
            <w:r w:rsidR="00BF4CEF" w:rsidRPr="00C921DE">
              <w:rPr>
                <w:rFonts w:ascii="GHEA Grapalat" w:hAnsi="GHEA Grapalat" w:cs="Calibri"/>
                <w:b/>
                <w:bCs/>
                <w:sz w:val="18"/>
                <w:szCs w:val="18"/>
                <w:lang w:val="en-US"/>
              </w:rPr>
              <w:t>ծրագիր</w:t>
            </w:r>
          </w:p>
        </w:tc>
        <w:tc>
          <w:tcPr>
            <w:tcW w:w="992" w:type="dxa"/>
            <w:tcBorders>
              <w:top w:val="single" w:sz="4" w:space="0" w:color="auto"/>
              <w:left w:val="nil"/>
              <w:bottom w:val="single" w:sz="4" w:space="0" w:color="auto"/>
              <w:right w:val="single" w:sz="4" w:space="0" w:color="auto"/>
            </w:tcBorders>
            <w:shd w:val="clear" w:color="000000" w:fill="FFFFFF"/>
          </w:tcPr>
          <w:p w14:paraId="667EBABA"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276" w:type="dxa"/>
            <w:tcBorders>
              <w:top w:val="single" w:sz="4" w:space="0" w:color="auto"/>
              <w:left w:val="nil"/>
              <w:bottom w:val="single" w:sz="4" w:space="0" w:color="auto"/>
              <w:right w:val="single" w:sz="4" w:space="0" w:color="auto"/>
            </w:tcBorders>
            <w:shd w:val="clear" w:color="000000" w:fill="FFFFFF"/>
          </w:tcPr>
          <w:p w14:paraId="26CE62F0" w14:textId="3B6C4FDD" w:rsidR="00FF44DF" w:rsidRPr="00C921DE" w:rsidRDefault="00BF4CEF" w:rsidP="00FF44DF">
            <w:pPr>
              <w:jc w:val="center"/>
              <w:rPr>
                <w:rFonts w:ascii="GHEA Grapalat" w:hAnsi="GHEA Grapalat" w:cs="Calibri"/>
                <w:b/>
                <w:bCs/>
                <w:sz w:val="18"/>
                <w:szCs w:val="18"/>
              </w:rPr>
            </w:pPr>
            <w:r w:rsidRPr="00C921DE">
              <w:rPr>
                <w:rFonts w:ascii="GHEA Grapalat" w:hAnsi="GHEA Grapalat" w:cs="Calibri"/>
                <w:b/>
                <w:bCs/>
                <w:sz w:val="18"/>
                <w:szCs w:val="18"/>
              </w:rPr>
              <w:t>Կատարո-ղականը ճշտված ծրագր</w:t>
            </w:r>
            <w:r w:rsidR="00FF44DF" w:rsidRPr="00C921DE">
              <w:rPr>
                <w:rFonts w:ascii="GHEA Grapalat" w:hAnsi="GHEA Grapalat" w:cs="Calibri"/>
                <w:b/>
                <w:bCs/>
                <w:sz w:val="18"/>
                <w:szCs w:val="18"/>
              </w:rPr>
              <w:t>ի նկատմամբ</w:t>
            </w:r>
          </w:p>
          <w:p w14:paraId="56B66435"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w:t>
            </w:r>
          </w:p>
        </w:tc>
        <w:tc>
          <w:tcPr>
            <w:tcW w:w="1275" w:type="dxa"/>
            <w:tcBorders>
              <w:top w:val="single" w:sz="4" w:space="0" w:color="auto"/>
              <w:left w:val="nil"/>
              <w:bottom w:val="single" w:sz="4" w:space="0" w:color="auto"/>
              <w:right w:val="single" w:sz="4" w:space="0" w:color="auto"/>
            </w:tcBorders>
            <w:shd w:val="clear" w:color="000000" w:fill="FFFFFF"/>
          </w:tcPr>
          <w:p w14:paraId="2E2F28FC" w14:textId="13A226D1"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ru-RU"/>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62441C51" w14:textId="77777777" w:rsidR="00FF44DF" w:rsidRPr="00C921DE" w:rsidRDefault="00FF44DF" w:rsidP="00FF44DF">
            <w:pPr>
              <w:jc w:val="center"/>
              <w:rPr>
                <w:rFonts w:ascii="GHEA Grapalat" w:hAnsi="GHEA Grapalat" w:cs="Calibri"/>
                <w:b/>
                <w:bCs/>
                <w:sz w:val="18"/>
                <w:szCs w:val="18"/>
              </w:rPr>
            </w:pPr>
            <w:r w:rsidRPr="00C921DE">
              <w:rPr>
                <w:rFonts w:ascii="GHEA Grapalat" w:hAnsi="GHEA Grapalat" w:cs="Calibri"/>
                <w:b/>
                <w:bCs/>
                <w:sz w:val="18"/>
                <w:szCs w:val="18"/>
              </w:rPr>
              <w:t>(%)</w:t>
            </w:r>
          </w:p>
        </w:tc>
      </w:tr>
      <w:tr w:rsidR="00FF44DF" w:rsidRPr="00C921DE" w14:paraId="2B90212C" w14:textId="77777777" w:rsidTr="00FF44DF">
        <w:trPr>
          <w:trHeight w:val="315"/>
        </w:trPr>
        <w:tc>
          <w:tcPr>
            <w:tcW w:w="4644" w:type="dxa"/>
            <w:tcBorders>
              <w:top w:val="nil"/>
              <w:left w:val="single" w:sz="4" w:space="0" w:color="auto"/>
              <w:bottom w:val="single" w:sz="4" w:space="0" w:color="auto"/>
              <w:right w:val="single" w:sz="4" w:space="0" w:color="auto"/>
            </w:tcBorders>
            <w:vAlign w:val="bottom"/>
          </w:tcPr>
          <w:p w14:paraId="0184F1D7" w14:textId="77777777" w:rsidR="00FF44DF" w:rsidRPr="00C921DE" w:rsidRDefault="00FF44DF" w:rsidP="00FF44DF">
            <w:pPr>
              <w:rPr>
                <w:rFonts w:ascii="GHEA Grapalat" w:hAnsi="GHEA Grapalat" w:cs="Calibri"/>
                <w:b/>
                <w:bCs/>
                <w:sz w:val="18"/>
                <w:szCs w:val="18"/>
                <w:lang w:val="en-US"/>
              </w:rPr>
            </w:pPr>
            <w:r w:rsidRPr="00C921DE">
              <w:rPr>
                <w:rFonts w:ascii="GHEA Grapalat" w:hAnsi="GHEA Grapalat" w:cs="Calibri"/>
                <w:b/>
                <w:bCs/>
                <w:sz w:val="18"/>
                <w:szCs w:val="18"/>
              </w:rPr>
              <w:t>Պետական տուրքեր</w:t>
            </w:r>
          </w:p>
        </w:tc>
        <w:tc>
          <w:tcPr>
            <w:tcW w:w="993" w:type="dxa"/>
            <w:tcBorders>
              <w:top w:val="nil"/>
              <w:left w:val="nil"/>
              <w:bottom w:val="single" w:sz="4" w:space="0" w:color="auto"/>
              <w:right w:val="single" w:sz="4" w:space="0" w:color="auto"/>
            </w:tcBorders>
            <w:vAlign w:val="bottom"/>
          </w:tcPr>
          <w:p w14:paraId="643E65FF" w14:textId="77777777" w:rsidR="00FF44DF" w:rsidRPr="00C921DE" w:rsidRDefault="00FF44DF" w:rsidP="00FF44DF">
            <w:pPr>
              <w:jc w:val="right"/>
              <w:rPr>
                <w:rFonts w:ascii="GHEA Grapalat" w:hAnsi="GHEA Grapalat" w:cs="Calibri"/>
                <w:b/>
                <w:bCs/>
                <w:noProof w:val="0"/>
                <w:sz w:val="18"/>
                <w:szCs w:val="18"/>
                <w:lang w:val="en-US"/>
              </w:rPr>
            </w:pPr>
            <w:r w:rsidRPr="00C921DE">
              <w:rPr>
                <w:rFonts w:ascii="GHEA Grapalat" w:hAnsi="GHEA Grapalat" w:cs="Calibri"/>
                <w:b/>
                <w:bCs/>
                <w:sz w:val="18"/>
                <w:szCs w:val="18"/>
              </w:rPr>
              <w:t>106.8</w:t>
            </w:r>
          </w:p>
        </w:tc>
        <w:tc>
          <w:tcPr>
            <w:tcW w:w="1134" w:type="dxa"/>
            <w:tcBorders>
              <w:top w:val="nil"/>
              <w:left w:val="nil"/>
              <w:bottom w:val="single" w:sz="4" w:space="0" w:color="auto"/>
              <w:right w:val="single" w:sz="4" w:space="0" w:color="auto"/>
            </w:tcBorders>
            <w:vAlign w:val="bottom"/>
          </w:tcPr>
          <w:p w14:paraId="48DBDDE0"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52.9</w:t>
            </w:r>
          </w:p>
        </w:tc>
        <w:tc>
          <w:tcPr>
            <w:tcW w:w="992" w:type="dxa"/>
            <w:tcBorders>
              <w:top w:val="nil"/>
              <w:left w:val="nil"/>
              <w:bottom w:val="single" w:sz="4" w:space="0" w:color="auto"/>
              <w:right w:val="single" w:sz="4" w:space="0" w:color="auto"/>
            </w:tcBorders>
            <w:noWrap/>
            <w:vAlign w:val="bottom"/>
          </w:tcPr>
          <w:p w14:paraId="35DBB171"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67.4</w:t>
            </w:r>
          </w:p>
        </w:tc>
        <w:tc>
          <w:tcPr>
            <w:tcW w:w="1276" w:type="dxa"/>
            <w:tcBorders>
              <w:top w:val="nil"/>
              <w:left w:val="nil"/>
              <w:bottom w:val="single" w:sz="4" w:space="0" w:color="auto"/>
              <w:right w:val="single" w:sz="4" w:space="0" w:color="auto"/>
            </w:tcBorders>
            <w:vAlign w:val="bottom"/>
          </w:tcPr>
          <w:p w14:paraId="48331870"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127.6</w:t>
            </w:r>
          </w:p>
        </w:tc>
        <w:tc>
          <w:tcPr>
            <w:tcW w:w="1275" w:type="dxa"/>
            <w:tcBorders>
              <w:top w:val="nil"/>
              <w:left w:val="nil"/>
              <w:bottom w:val="single" w:sz="4" w:space="0" w:color="auto"/>
              <w:right w:val="single" w:sz="4" w:space="0" w:color="auto"/>
            </w:tcBorders>
            <w:vAlign w:val="bottom"/>
          </w:tcPr>
          <w:p w14:paraId="6B3D591A" w14:textId="77777777" w:rsidR="00FF44DF" w:rsidRPr="00C921DE" w:rsidRDefault="00FF44DF" w:rsidP="00FF44DF">
            <w:pPr>
              <w:jc w:val="right"/>
              <w:rPr>
                <w:rFonts w:ascii="GHEA Grapalat" w:hAnsi="GHEA Grapalat" w:cs="Calibri"/>
                <w:b/>
                <w:bCs/>
                <w:sz w:val="18"/>
                <w:szCs w:val="18"/>
              </w:rPr>
            </w:pPr>
            <w:r w:rsidRPr="00C921DE">
              <w:rPr>
                <w:rFonts w:ascii="GHEA Grapalat" w:hAnsi="GHEA Grapalat" w:cs="Calibri"/>
                <w:b/>
                <w:bCs/>
                <w:sz w:val="18"/>
                <w:szCs w:val="18"/>
              </w:rPr>
              <w:t>63.1</w:t>
            </w:r>
          </w:p>
        </w:tc>
      </w:tr>
      <w:tr w:rsidR="00FF44DF" w:rsidRPr="00C921DE" w14:paraId="22214D79" w14:textId="77777777" w:rsidTr="00FF44DF">
        <w:trPr>
          <w:trHeight w:val="315"/>
        </w:trPr>
        <w:tc>
          <w:tcPr>
            <w:tcW w:w="4644" w:type="dxa"/>
            <w:tcBorders>
              <w:top w:val="nil"/>
              <w:left w:val="single" w:sz="4" w:space="0" w:color="auto"/>
              <w:bottom w:val="single" w:sz="4" w:space="0" w:color="auto"/>
              <w:right w:val="single" w:sz="4" w:space="0" w:color="auto"/>
            </w:tcBorders>
            <w:vAlign w:val="bottom"/>
          </w:tcPr>
          <w:p w14:paraId="53557005"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Դատարան տրվող հայցադիմումների, դիմումների, դատարանի դատական ակտերի դեմ վերաքննիչ և վճռաբեկ բողոքների համար, ինչպես նաև դատարանի կողմից տրվող փաստաթղթերի պատճեններ (կրկնօրինակներ), գործում առկա լուսանկարների (լուսաժապավենների), ձայնագրությունների, տեսագրությունների և դրանց էլեկտրոնային կրիչների բնօրինակից պատճենահանված կրիչ և դատական նիստի համակարգչային ձայնագրման կրկնօրինակ տալու համար</w:t>
            </w:r>
          </w:p>
        </w:tc>
        <w:tc>
          <w:tcPr>
            <w:tcW w:w="993" w:type="dxa"/>
            <w:tcBorders>
              <w:top w:val="nil"/>
              <w:left w:val="nil"/>
              <w:bottom w:val="single" w:sz="4" w:space="0" w:color="auto"/>
              <w:right w:val="single" w:sz="4" w:space="0" w:color="auto"/>
            </w:tcBorders>
            <w:noWrap/>
            <w:vAlign w:val="bottom"/>
          </w:tcPr>
          <w:p w14:paraId="0FB76442"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3.1</w:t>
            </w:r>
          </w:p>
        </w:tc>
        <w:tc>
          <w:tcPr>
            <w:tcW w:w="1134" w:type="dxa"/>
            <w:tcBorders>
              <w:top w:val="nil"/>
              <w:left w:val="nil"/>
              <w:bottom w:val="single" w:sz="4" w:space="0" w:color="auto"/>
              <w:right w:val="single" w:sz="4" w:space="0" w:color="auto"/>
            </w:tcBorders>
            <w:noWrap/>
            <w:vAlign w:val="bottom"/>
          </w:tcPr>
          <w:p w14:paraId="098DF5C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3.0</w:t>
            </w:r>
          </w:p>
        </w:tc>
        <w:tc>
          <w:tcPr>
            <w:tcW w:w="992" w:type="dxa"/>
            <w:tcBorders>
              <w:top w:val="nil"/>
              <w:left w:val="nil"/>
              <w:bottom w:val="single" w:sz="4" w:space="0" w:color="auto"/>
              <w:right w:val="single" w:sz="4" w:space="0" w:color="auto"/>
            </w:tcBorders>
            <w:noWrap/>
            <w:vAlign w:val="bottom"/>
          </w:tcPr>
          <w:p w14:paraId="261B40F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2.7</w:t>
            </w:r>
          </w:p>
        </w:tc>
        <w:tc>
          <w:tcPr>
            <w:tcW w:w="1276" w:type="dxa"/>
            <w:tcBorders>
              <w:top w:val="nil"/>
              <w:left w:val="nil"/>
              <w:bottom w:val="single" w:sz="4" w:space="0" w:color="auto"/>
              <w:right w:val="single" w:sz="4" w:space="0" w:color="auto"/>
            </w:tcBorders>
            <w:vAlign w:val="bottom"/>
          </w:tcPr>
          <w:p w14:paraId="7E9823D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92.9</w:t>
            </w:r>
          </w:p>
        </w:tc>
        <w:tc>
          <w:tcPr>
            <w:tcW w:w="1275" w:type="dxa"/>
            <w:tcBorders>
              <w:top w:val="nil"/>
              <w:left w:val="nil"/>
              <w:bottom w:val="single" w:sz="4" w:space="0" w:color="auto"/>
              <w:right w:val="single" w:sz="4" w:space="0" w:color="auto"/>
            </w:tcBorders>
            <w:vAlign w:val="bottom"/>
          </w:tcPr>
          <w:p w14:paraId="2DA4B0D9"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89.4</w:t>
            </w:r>
          </w:p>
        </w:tc>
      </w:tr>
      <w:tr w:rsidR="00FF44DF" w:rsidRPr="00C921DE" w14:paraId="2598BE44" w14:textId="77777777" w:rsidTr="00FF44DF">
        <w:trPr>
          <w:trHeight w:val="315"/>
        </w:trPr>
        <w:tc>
          <w:tcPr>
            <w:tcW w:w="4644" w:type="dxa"/>
            <w:tcBorders>
              <w:top w:val="nil"/>
              <w:left w:val="single" w:sz="4" w:space="0" w:color="auto"/>
              <w:bottom w:val="single" w:sz="4" w:space="0" w:color="auto"/>
              <w:right w:val="single" w:sz="4" w:space="0" w:color="auto"/>
            </w:tcBorders>
          </w:tcPr>
          <w:p w14:paraId="72A5F039"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Հյուպատոսական ծառայությունների կամ գործողությունների համար</w:t>
            </w:r>
          </w:p>
        </w:tc>
        <w:tc>
          <w:tcPr>
            <w:tcW w:w="993" w:type="dxa"/>
            <w:tcBorders>
              <w:top w:val="nil"/>
              <w:left w:val="nil"/>
              <w:bottom w:val="single" w:sz="4" w:space="0" w:color="auto"/>
              <w:right w:val="single" w:sz="4" w:space="0" w:color="auto"/>
            </w:tcBorders>
            <w:noWrap/>
            <w:vAlign w:val="bottom"/>
          </w:tcPr>
          <w:p w14:paraId="62FDAFAB"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2.6</w:t>
            </w:r>
          </w:p>
        </w:tc>
        <w:tc>
          <w:tcPr>
            <w:tcW w:w="1134" w:type="dxa"/>
            <w:tcBorders>
              <w:top w:val="nil"/>
              <w:left w:val="nil"/>
              <w:bottom w:val="single" w:sz="4" w:space="0" w:color="auto"/>
              <w:right w:val="single" w:sz="4" w:space="0" w:color="auto"/>
            </w:tcBorders>
            <w:noWrap/>
            <w:vAlign w:val="bottom"/>
          </w:tcPr>
          <w:p w14:paraId="394921C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2.5</w:t>
            </w:r>
          </w:p>
        </w:tc>
        <w:tc>
          <w:tcPr>
            <w:tcW w:w="992" w:type="dxa"/>
            <w:tcBorders>
              <w:top w:val="nil"/>
              <w:left w:val="nil"/>
              <w:bottom w:val="single" w:sz="4" w:space="0" w:color="auto"/>
              <w:right w:val="single" w:sz="4" w:space="0" w:color="auto"/>
            </w:tcBorders>
            <w:noWrap/>
            <w:vAlign w:val="bottom"/>
          </w:tcPr>
          <w:p w14:paraId="45A2271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2.8</w:t>
            </w:r>
          </w:p>
        </w:tc>
        <w:tc>
          <w:tcPr>
            <w:tcW w:w="1276" w:type="dxa"/>
            <w:tcBorders>
              <w:top w:val="nil"/>
              <w:left w:val="nil"/>
              <w:bottom w:val="single" w:sz="4" w:space="0" w:color="auto"/>
              <w:right w:val="single" w:sz="4" w:space="0" w:color="auto"/>
            </w:tcBorders>
            <w:vAlign w:val="bottom"/>
          </w:tcPr>
          <w:p w14:paraId="78C255A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110.8</w:t>
            </w:r>
          </w:p>
        </w:tc>
        <w:tc>
          <w:tcPr>
            <w:tcW w:w="1275" w:type="dxa"/>
            <w:tcBorders>
              <w:top w:val="nil"/>
              <w:left w:val="nil"/>
              <w:bottom w:val="single" w:sz="4" w:space="0" w:color="auto"/>
              <w:right w:val="single" w:sz="4" w:space="0" w:color="auto"/>
            </w:tcBorders>
            <w:vAlign w:val="bottom"/>
          </w:tcPr>
          <w:p w14:paraId="525BC4C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108.2</w:t>
            </w:r>
          </w:p>
        </w:tc>
      </w:tr>
      <w:tr w:rsidR="00FF44DF" w:rsidRPr="00C921DE" w14:paraId="220B0C9F" w14:textId="77777777" w:rsidTr="00FF44DF">
        <w:trPr>
          <w:trHeight w:val="315"/>
        </w:trPr>
        <w:tc>
          <w:tcPr>
            <w:tcW w:w="4644" w:type="dxa"/>
            <w:tcBorders>
              <w:top w:val="nil"/>
              <w:left w:val="single" w:sz="4" w:space="0" w:color="auto"/>
              <w:bottom w:val="single" w:sz="4" w:space="0" w:color="auto"/>
              <w:right w:val="single" w:sz="4" w:space="0" w:color="auto"/>
            </w:tcBorders>
          </w:tcPr>
          <w:p w14:paraId="6FC8047A"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Պետական գրանցման համար</w:t>
            </w:r>
          </w:p>
        </w:tc>
        <w:tc>
          <w:tcPr>
            <w:tcW w:w="993" w:type="dxa"/>
            <w:tcBorders>
              <w:top w:val="nil"/>
              <w:left w:val="nil"/>
              <w:bottom w:val="single" w:sz="4" w:space="0" w:color="auto"/>
              <w:right w:val="single" w:sz="4" w:space="0" w:color="auto"/>
            </w:tcBorders>
            <w:noWrap/>
            <w:vAlign w:val="bottom"/>
          </w:tcPr>
          <w:p w14:paraId="6760AAFD"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4.9</w:t>
            </w:r>
          </w:p>
        </w:tc>
        <w:tc>
          <w:tcPr>
            <w:tcW w:w="1134" w:type="dxa"/>
            <w:tcBorders>
              <w:top w:val="nil"/>
              <w:left w:val="nil"/>
              <w:bottom w:val="single" w:sz="4" w:space="0" w:color="auto"/>
              <w:right w:val="single" w:sz="4" w:space="0" w:color="auto"/>
            </w:tcBorders>
            <w:noWrap/>
            <w:vAlign w:val="bottom"/>
          </w:tcPr>
          <w:p w14:paraId="028C90B1"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5.3</w:t>
            </w:r>
          </w:p>
        </w:tc>
        <w:tc>
          <w:tcPr>
            <w:tcW w:w="992" w:type="dxa"/>
            <w:tcBorders>
              <w:top w:val="nil"/>
              <w:left w:val="nil"/>
              <w:bottom w:val="single" w:sz="4" w:space="0" w:color="auto"/>
              <w:right w:val="single" w:sz="4" w:space="0" w:color="auto"/>
            </w:tcBorders>
            <w:noWrap/>
            <w:vAlign w:val="bottom"/>
          </w:tcPr>
          <w:p w14:paraId="6597958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6.5</w:t>
            </w:r>
          </w:p>
        </w:tc>
        <w:tc>
          <w:tcPr>
            <w:tcW w:w="1276" w:type="dxa"/>
            <w:tcBorders>
              <w:top w:val="nil"/>
              <w:left w:val="nil"/>
              <w:bottom w:val="single" w:sz="4" w:space="0" w:color="auto"/>
              <w:right w:val="single" w:sz="4" w:space="0" w:color="auto"/>
            </w:tcBorders>
            <w:vAlign w:val="bottom"/>
          </w:tcPr>
          <w:p w14:paraId="0350B4AB"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122.7</w:t>
            </w:r>
          </w:p>
        </w:tc>
        <w:tc>
          <w:tcPr>
            <w:tcW w:w="1275" w:type="dxa"/>
            <w:tcBorders>
              <w:top w:val="nil"/>
              <w:left w:val="nil"/>
              <w:bottom w:val="single" w:sz="4" w:space="0" w:color="auto"/>
              <w:right w:val="single" w:sz="4" w:space="0" w:color="auto"/>
            </w:tcBorders>
            <w:vAlign w:val="bottom"/>
          </w:tcPr>
          <w:p w14:paraId="4A2FACF5"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134.2</w:t>
            </w:r>
          </w:p>
        </w:tc>
      </w:tr>
      <w:tr w:rsidR="00FF44DF" w:rsidRPr="00C921DE" w14:paraId="4A824BC6" w14:textId="77777777" w:rsidTr="00FF44DF">
        <w:trPr>
          <w:trHeight w:val="315"/>
        </w:trPr>
        <w:tc>
          <w:tcPr>
            <w:tcW w:w="4644" w:type="dxa"/>
            <w:tcBorders>
              <w:top w:val="nil"/>
              <w:left w:val="single" w:sz="4" w:space="0" w:color="auto"/>
              <w:bottom w:val="single" w:sz="4" w:space="0" w:color="auto"/>
              <w:right w:val="single" w:sz="4" w:space="0" w:color="auto"/>
            </w:tcBorders>
            <w:vAlign w:val="bottom"/>
          </w:tcPr>
          <w:p w14:paraId="1CF00389"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Ֆիզիկական անձանց տրվող իրավաբանական նշանակություն ունեցող փաստաթղթերի, որոշակի ծառայությունների կամ գործողությունների համար</w:t>
            </w:r>
          </w:p>
        </w:tc>
        <w:tc>
          <w:tcPr>
            <w:tcW w:w="993" w:type="dxa"/>
            <w:tcBorders>
              <w:top w:val="nil"/>
              <w:left w:val="nil"/>
              <w:bottom w:val="single" w:sz="4" w:space="0" w:color="auto"/>
              <w:right w:val="single" w:sz="4" w:space="0" w:color="auto"/>
            </w:tcBorders>
            <w:noWrap/>
            <w:vAlign w:val="bottom"/>
          </w:tcPr>
          <w:p w14:paraId="3EC4551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3.2</w:t>
            </w:r>
          </w:p>
        </w:tc>
        <w:tc>
          <w:tcPr>
            <w:tcW w:w="1134" w:type="dxa"/>
            <w:tcBorders>
              <w:top w:val="nil"/>
              <w:left w:val="nil"/>
              <w:bottom w:val="single" w:sz="4" w:space="0" w:color="auto"/>
              <w:right w:val="single" w:sz="4" w:space="0" w:color="auto"/>
            </w:tcBorders>
            <w:noWrap/>
            <w:vAlign w:val="bottom"/>
          </w:tcPr>
          <w:p w14:paraId="0D0147A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3.2</w:t>
            </w:r>
          </w:p>
        </w:tc>
        <w:tc>
          <w:tcPr>
            <w:tcW w:w="992" w:type="dxa"/>
            <w:tcBorders>
              <w:top w:val="nil"/>
              <w:left w:val="nil"/>
              <w:bottom w:val="single" w:sz="4" w:space="0" w:color="auto"/>
              <w:right w:val="single" w:sz="4" w:space="0" w:color="auto"/>
            </w:tcBorders>
            <w:noWrap/>
            <w:vAlign w:val="bottom"/>
          </w:tcPr>
          <w:p w14:paraId="05265B3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3.0</w:t>
            </w:r>
          </w:p>
        </w:tc>
        <w:tc>
          <w:tcPr>
            <w:tcW w:w="1276" w:type="dxa"/>
            <w:tcBorders>
              <w:top w:val="nil"/>
              <w:left w:val="nil"/>
              <w:bottom w:val="single" w:sz="4" w:space="0" w:color="auto"/>
              <w:right w:val="single" w:sz="4" w:space="0" w:color="auto"/>
            </w:tcBorders>
            <w:vAlign w:val="bottom"/>
          </w:tcPr>
          <w:p w14:paraId="2B84F68A"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95.3</w:t>
            </w:r>
          </w:p>
        </w:tc>
        <w:tc>
          <w:tcPr>
            <w:tcW w:w="1275" w:type="dxa"/>
            <w:tcBorders>
              <w:top w:val="nil"/>
              <w:left w:val="nil"/>
              <w:bottom w:val="single" w:sz="4" w:space="0" w:color="auto"/>
              <w:right w:val="single" w:sz="4" w:space="0" w:color="auto"/>
            </w:tcBorders>
            <w:vAlign w:val="bottom"/>
          </w:tcPr>
          <w:p w14:paraId="26F2C52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96.1</w:t>
            </w:r>
          </w:p>
        </w:tc>
      </w:tr>
      <w:tr w:rsidR="00FF44DF" w:rsidRPr="00C921DE" w14:paraId="4DC3A2C6" w14:textId="77777777" w:rsidTr="00FF44DF">
        <w:trPr>
          <w:trHeight w:val="315"/>
        </w:trPr>
        <w:tc>
          <w:tcPr>
            <w:tcW w:w="4644" w:type="dxa"/>
            <w:tcBorders>
              <w:top w:val="nil"/>
              <w:left w:val="single" w:sz="4" w:space="0" w:color="auto"/>
              <w:bottom w:val="single" w:sz="4" w:space="0" w:color="auto"/>
              <w:right w:val="single" w:sz="4" w:space="0" w:color="auto"/>
            </w:tcBorders>
            <w:vAlign w:val="bottom"/>
          </w:tcPr>
          <w:p w14:paraId="03A1C645"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Լիցենզավորման ենթակա կամ թույլտվություններով գործունեություն իրականացնելու նպատակով լիցենզիաներ, արտոնագրեր (թույլտվություններ) տալու համար</w:t>
            </w:r>
          </w:p>
        </w:tc>
        <w:tc>
          <w:tcPr>
            <w:tcW w:w="993" w:type="dxa"/>
            <w:tcBorders>
              <w:top w:val="nil"/>
              <w:left w:val="nil"/>
              <w:bottom w:val="single" w:sz="4" w:space="0" w:color="auto"/>
              <w:right w:val="single" w:sz="4" w:space="0" w:color="auto"/>
            </w:tcBorders>
            <w:noWrap/>
            <w:vAlign w:val="bottom"/>
          </w:tcPr>
          <w:p w14:paraId="704008A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74.8</w:t>
            </w:r>
          </w:p>
        </w:tc>
        <w:tc>
          <w:tcPr>
            <w:tcW w:w="1134" w:type="dxa"/>
            <w:tcBorders>
              <w:top w:val="nil"/>
              <w:left w:val="nil"/>
              <w:bottom w:val="single" w:sz="4" w:space="0" w:color="auto"/>
              <w:right w:val="single" w:sz="4" w:space="0" w:color="auto"/>
            </w:tcBorders>
            <w:noWrap/>
            <w:vAlign w:val="bottom"/>
          </w:tcPr>
          <w:p w14:paraId="6398C25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20.5</w:t>
            </w:r>
          </w:p>
        </w:tc>
        <w:tc>
          <w:tcPr>
            <w:tcW w:w="992" w:type="dxa"/>
            <w:tcBorders>
              <w:top w:val="nil"/>
              <w:left w:val="nil"/>
              <w:bottom w:val="single" w:sz="4" w:space="0" w:color="auto"/>
              <w:right w:val="single" w:sz="4" w:space="0" w:color="auto"/>
            </w:tcBorders>
            <w:noWrap/>
            <w:vAlign w:val="bottom"/>
          </w:tcPr>
          <w:p w14:paraId="76653F93"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29.6</w:t>
            </w:r>
          </w:p>
        </w:tc>
        <w:tc>
          <w:tcPr>
            <w:tcW w:w="1276" w:type="dxa"/>
            <w:tcBorders>
              <w:top w:val="nil"/>
              <w:left w:val="nil"/>
              <w:bottom w:val="single" w:sz="4" w:space="0" w:color="auto"/>
              <w:right w:val="single" w:sz="4" w:space="0" w:color="auto"/>
            </w:tcBorders>
            <w:vAlign w:val="bottom"/>
          </w:tcPr>
          <w:p w14:paraId="2544E9C8"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14</w:t>
            </w:r>
            <w:r w:rsidRPr="00C921DE">
              <w:rPr>
                <w:rFonts w:ascii="GHEA Grapalat" w:hAnsi="GHEA Grapalat" w:cs="Calibri"/>
                <w:sz w:val="18"/>
                <w:szCs w:val="18"/>
                <w:lang w:val="en-US"/>
              </w:rPr>
              <w:t>3</w:t>
            </w:r>
            <w:r w:rsidRPr="00C921DE">
              <w:rPr>
                <w:rFonts w:ascii="GHEA Grapalat" w:hAnsi="GHEA Grapalat" w:cs="Calibri"/>
                <w:sz w:val="18"/>
                <w:szCs w:val="18"/>
              </w:rPr>
              <w:t>.</w:t>
            </w:r>
            <w:r w:rsidRPr="00C921DE">
              <w:rPr>
                <w:rFonts w:ascii="GHEA Grapalat" w:hAnsi="GHEA Grapalat" w:cs="Calibri"/>
                <w:sz w:val="18"/>
                <w:szCs w:val="18"/>
                <w:lang w:val="en-US"/>
              </w:rPr>
              <w:t>9</w:t>
            </w:r>
          </w:p>
        </w:tc>
        <w:tc>
          <w:tcPr>
            <w:tcW w:w="1275" w:type="dxa"/>
            <w:tcBorders>
              <w:top w:val="nil"/>
              <w:left w:val="nil"/>
              <w:bottom w:val="single" w:sz="4" w:space="0" w:color="auto"/>
              <w:right w:val="single" w:sz="4" w:space="0" w:color="auto"/>
            </w:tcBorders>
            <w:vAlign w:val="bottom"/>
          </w:tcPr>
          <w:p w14:paraId="5FC96F67"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39.</w:t>
            </w:r>
            <w:r w:rsidRPr="00C921DE">
              <w:rPr>
                <w:rFonts w:ascii="GHEA Grapalat" w:hAnsi="GHEA Grapalat" w:cs="Calibri"/>
                <w:sz w:val="18"/>
                <w:szCs w:val="18"/>
                <w:lang w:val="en-US"/>
              </w:rPr>
              <w:t>5</w:t>
            </w:r>
          </w:p>
        </w:tc>
      </w:tr>
      <w:tr w:rsidR="00FF44DF" w:rsidRPr="00C921DE" w14:paraId="4D8B0100" w14:textId="77777777" w:rsidTr="00FF44DF">
        <w:trPr>
          <w:trHeight w:val="315"/>
        </w:trPr>
        <w:tc>
          <w:tcPr>
            <w:tcW w:w="4644" w:type="dxa"/>
            <w:tcBorders>
              <w:top w:val="nil"/>
              <w:left w:val="single" w:sz="4" w:space="0" w:color="auto"/>
              <w:bottom w:val="single" w:sz="4" w:space="0" w:color="auto"/>
              <w:right w:val="single" w:sz="4" w:space="0" w:color="auto"/>
            </w:tcBorders>
            <w:vAlign w:val="bottom"/>
          </w:tcPr>
          <w:p w14:paraId="65487665"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Օրենքով սահմանված այլ ծառայությունների և գործողությունների համար</w:t>
            </w:r>
          </w:p>
        </w:tc>
        <w:tc>
          <w:tcPr>
            <w:tcW w:w="993" w:type="dxa"/>
            <w:tcBorders>
              <w:top w:val="nil"/>
              <w:left w:val="nil"/>
              <w:bottom w:val="single" w:sz="4" w:space="0" w:color="auto"/>
              <w:right w:val="single" w:sz="4" w:space="0" w:color="auto"/>
            </w:tcBorders>
            <w:noWrap/>
            <w:vAlign w:val="bottom"/>
          </w:tcPr>
          <w:p w14:paraId="27F2F32F"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17.9</w:t>
            </w:r>
          </w:p>
        </w:tc>
        <w:tc>
          <w:tcPr>
            <w:tcW w:w="1134" w:type="dxa"/>
            <w:tcBorders>
              <w:top w:val="nil"/>
              <w:left w:val="nil"/>
              <w:bottom w:val="single" w:sz="4" w:space="0" w:color="auto"/>
              <w:right w:val="single" w:sz="4" w:space="0" w:color="auto"/>
            </w:tcBorders>
            <w:noWrap/>
            <w:vAlign w:val="bottom"/>
          </w:tcPr>
          <w:p w14:paraId="2E681A8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17.8</w:t>
            </w:r>
          </w:p>
        </w:tc>
        <w:tc>
          <w:tcPr>
            <w:tcW w:w="992" w:type="dxa"/>
            <w:tcBorders>
              <w:top w:val="nil"/>
              <w:left w:val="nil"/>
              <w:bottom w:val="single" w:sz="4" w:space="0" w:color="auto"/>
              <w:right w:val="single" w:sz="4" w:space="0" w:color="auto"/>
            </w:tcBorders>
            <w:noWrap/>
            <w:vAlign w:val="bottom"/>
          </w:tcPr>
          <w:p w14:paraId="6ACE9FAE"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22.3</w:t>
            </w:r>
          </w:p>
        </w:tc>
        <w:tc>
          <w:tcPr>
            <w:tcW w:w="1276" w:type="dxa"/>
            <w:tcBorders>
              <w:top w:val="nil"/>
              <w:left w:val="nil"/>
              <w:bottom w:val="single" w:sz="4" w:space="0" w:color="auto"/>
              <w:right w:val="single" w:sz="4" w:space="0" w:color="auto"/>
            </w:tcBorders>
            <w:vAlign w:val="bottom"/>
          </w:tcPr>
          <w:p w14:paraId="13D0D2F8" w14:textId="77777777" w:rsidR="00FF44DF" w:rsidRPr="00C921DE" w:rsidRDefault="00FF44DF" w:rsidP="00FF44DF">
            <w:pPr>
              <w:jc w:val="right"/>
              <w:rPr>
                <w:rFonts w:ascii="GHEA Grapalat" w:hAnsi="GHEA Grapalat" w:cs="Calibri"/>
                <w:sz w:val="18"/>
                <w:szCs w:val="18"/>
                <w:lang w:val="en-US"/>
              </w:rPr>
            </w:pPr>
            <w:r w:rsidRPr="00C921DE">
              <w:rPr>
                <w:rFonts w:ascii="GHEA Grapalat" w:hAnsi="GHEA Grapalat" w:cs="Calibri"/>
                <w:sz w:val="18"/>
                <w:szCs w:val="18"/>
              </w:rPr>
              <w:t>125.</w:t>
            </w:r>
            <w:r w:rsidRPr="00C921DE">
              <w:rPr>
                <w:rFonts w:ascii="GHEA Grapalat" w:hAnsi="GHEA Grapalat" w:cs="Calibri"/>
                <w:sz w:val="18"/>
                <w:szCs w:val="18"/>
                <w:lang w:val="en-US"/>
              </w:rPr>
              <w:t>3</w:t>
            </w:r>
          </w:p>
        </w:tc>
        <w:tc>
          <w:tcPr>
            <w:tcW w:w="1275" w:type="dxa"/>
            <w:tcBorders>
              <w:top w:val="nil"/>
              <w:left w:val="nil"/>
              <w:bottom w:val="single" w:sz="4" w:space="0" w:color="auto"/>
              <w:right w:val="single" w:sz="4" w:space="0" w:color="auto"/>
            </w:tcBorders>
            <w:vAlign w:val="bottom"/>
          </w:tcPr>
          <w:p w14:paraId="4D3A3834"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124.7</w:t>
            </w:r>
          </w:p>
        </w:tc>
      </w:tr>
      <w:tr w:rsidR="00FF44DF" w:rsidRPr="00C921DE" w14:paraId="21521E5D" w14:textId="77777777" w:rsidTr="00FF44DF">
        <w:trPr>
          <w:trHeight w:val="315"/>
        </w:trPr>
        <w:tc>
          <w:tcPr>
            <w:tcW w:w="4644" w:type="dxa"/>
            <w:tcBorders>
              <w:top w:val="nil"/>
              <w:left w:val="single" w:sz="4" w:space="0" w:color="auto"/>
              <w:bottom w:val="single" w:sz="4" w:space="0" w:color="auto"/>
              <w:right w:val="single" w:sz="4" w:space="0" w:color="auto"/>
            </w:tcBorders>
            <w:vAlign w:val="bottom"/>
          </w:tcPr>
          <w:p w14:paraId="68B23C3B" w14:textId="77777777" w:rsidR="00FF44DF" w:rsidRPr="00C921DE" w:rsidRDefault="00FF44DF" w:rsidP="00FF44DF">
            <w:pPr>
              <w:rPr>
                <w:rFonts w:ascii="GHEA Grapalat" w:hAnsi="GHEA Grapalat" w:cs="Calibri"/>
                <w:sz w:val="18"/>
                <w:szCs w:val="18"/>
              </w:rPr>
            </w:pPr>
            <w:r w:rsidRPr="00C921DE">
              <w:rPr>
                <w:rFonts w:ascii="GHEA Grapalat" w:hAnsi="GHEA Grapalat" w:cs="Calibri"/>
                <w:sz w:val="18"/>
                <w:szCs w:val="18"/>
              </w:rPr>
              <w:t>Այլ պետական տուրքեր</w:t>
            </w:r>
            <w:r w:rsidRPr="00C921DE">
              <w:rPr>
                <w:rStyle w:val="FootnoteReference"/>
                <w:rFonts w:ascii="GHEA Grapalat" w:hAnsi="GHEA Grapalat" w:cs="Calibri"/>
                <w:sz w:val="18"/>
                <w:szCs w:val="18"/>
              </w:rPr>
              <w:footnoteReference w:id="32"/>
            </w:r>
          </w:p>
        </w:tc>
        <w:tc>
          <w:tcPr>
            <w:tcW w:w="993" w:type="dxa"/>
            <w:tcBorders>
              <w:top w:val="nil"/>
              <w:left w:val="nil"/>
              <w:bottom w:val="single" w:sz="4" w:space="0" w:color="auto"/>
              <w:right w:val="single" w:sz="4" w:space="0" w:color="auto"/>
            </w:tcBorders>
            <w:noWrap/>
            <w:vAlign w:val="bottom"/>
          </w:tcPr>
          <w:p w14:paraId="18BD9E78"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0.5</w:t>
            </w:r>
          </w:p>
        </w:tc>
        <w:tc>
          <w:tcPr>
            <w:tcW w:w="1134" w:type="dxa"/>
            <w:tcBorders>
              <w:top w:val="nil"/>
              <w:left w:val="nil"/>
              <w:bottom w:val="single" w:sz="4" w:space="0" w:color="auto"/>
              <w:right w:val="single" w:sz="4" w:space="0" w:color="auto"/>
            </w:tcBorders>
            <w:noWrap/>
            <w:vAlign w:val="bottom"/>
          </w:tcPr>
          <w:p w14:paraId="3D751ED0"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0.5</w:t>
            </w:r>
          </w:p>
        </w:tc>
        <w:tc>
          <w:tcPr>
            <w:tcW w:w="992" w:type="dxa"/>
            <w:tcBorders>
              <w:top w:val="nil"/>
              <w:left w:val="nil"/>
              <w:bottom w:val="single" w:sz="4" w:space="0" w:color="auto"/>
              <w:right w:val="single" w:sz="4" w:space="0" w:color="auto"/>
            </w:tcBorders>
            <w:noWrap/>
            <w:vAlign w:val="bottom"/>
          </w:tcPr>
          <w:p w14:paraId="512BD466"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0.5</w:t>
            </w:r>
          </w:p>
        </w:tc>
        <w:tc>
          <w:tcPr>
            <w:tcW w:w="1276" w:type="dxa"/>
            <w:tcBorders>
              <w:top w:val="nil"/>
              <w:left w:val="nil"/>
              <w:bottom w:val="single" w:sz="4" w:space="0" w:color="auto"/>
              <w:right w:val="single" w:sz="4" w:space="0" w:color="auto"/>
            </w:tcBorders>
            <w:vAlign w:val="bottom"/>
          </w:tcPr>
          <w:p w14:paraId="198027CC"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92.3</w:t>
            </w:r>
          </w:p>
        </w:tc>
        <w:tc>
          <w:tcPr>
            <w:tcW w:w="1275" w:type="dxa"/>
            <w:tcBorders>
              <w:top w:val="nil"/>
              <w:left w:val="nil"/>
              <w:bottom w:val="single" w:sz="4" w:space="0" w:color="auto"/>
              <w:right w:val="single" w:sz="4" w:space="0" w:color="auto"/>
            </w:tcBorders>
            <w:vAlign w:val="bottom"/>
          </w:tcPr>
          <w:p w14:paraId="64836F4F" w14:textId="77777777" w:rsidR="00FF44DF" w:rsidRPr="00C921DE" w:rsidRDefault="00FF44DF" w:rsidP="00FF44DF">
            <w:pPr>
              <w:jc w:val="right"/>
              <w:rPr>
                <w:rFonts w:ascii="GHEA Grapalat" w:hAnsi="GHEA Grapalat" w:cs="Calibri"/>
                <w:sz w:val="18"/>
                <w:szCs w:val="18"/>
              </w:rPr>
            </w:pPr>
            <w:r w:rsidRPr="00C921DE">
              <w:rPr>
                <w:rFonts w:ascii="GHEA Grapalat" w:hAnsi="GHEA Grapalat" w:cs="Calibri"/>
                <w:sz w:val="18"/>
                <w:szCs w:val="18"/>
              </w:rPr>
              <w:t>97.1</w:t>
            </w:r>
          </w:p>
        </w:tc>
      </w:tr>
    </w:tbl>
    <w:p w14:paraId="6663A881" w14:textId="77777777" w:rsidR="00FF44DF" w:rsidRPr="00C921DE" w:rsidRDefault="00FF44DF" w:rsidP="00FF44DF">
      <w:pPr>
        <w:tabs>
          <w:tab w:val="left" w:pos="851"/>
        </w:tabs>
        <w:spacing w:line="360" w:lineRule="auto"/>
        <w:ind w:firstLine="567"/>
        <w:jc w:val="both"/>
        <w:rPr>
          <w:rFonts w:ascii="GHEA Grapalat" w:hAnsi="GHEA Grapalat" w:cs="GHEA Grapalat"/>
          <w:sz w:val="22"/>
          <w:szCs w:val="22"/>
        </w:rPr>
      </w:pPr>
    </w:p>
    <w:p w14:paraId="2F519058" w14:textId="77777777" w:rsidR="000F4583" w:rsidRPr="00C921DE" w:rsidRDefault="00FF44DF" w:rsidP="00FF44DF">
      <w:pPr>
        <w:tabs>
          <w:tab w:val="left" w:pos="851"/>
        </w:tabs>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 xml:space="preserve">Հաշվետու տարում </w:t>
      </w:r>
      <w:r w:rsidRPr="00C921DE">
        <w:rPr>
          <w:rFonts w:ascii="GHEA Grapalat" w:hAnsi="GHEA Grapalat" w:cs="GHEA Grapalat"/>
          <w:sz w:val="22"/>
          <w:szCs w:val="22"/>
        </w:rPr>
        <w:t xml:space="preserve">պետական տուրքերի 43.8%-ը կազմել են </w:t>
      </w:r>
      <w:r w:rsidRPr="00C921DE">
        <w:rPr>
          <w:rFonts w:ascii="GHEA Grapalat" w:hAnsi="GHEA Grapalat" w:cs="GHEA Grapalat"/>
          <w:i/>
          <w:sz w:val="22"/>
          <w:szCs w:val="22"/>
        </w:rPr>
        <w:t>լիցենզավորման ենթակա գործունեություն իրականացնելու նպատակով լիցենզիաներ, արտոնագրեր (թույլտվություններ) տալու համար գանձվող տուրքերը:</w:t>
      </w:r>
      <w:r w:rsidRPr="00C921DE">
        <w:rPr>
          <w:rFonts w:ascii="GHEA Grapalat" w:hAnsi="GHEA Grapalat" w:cs="GHEA Grapalat"/>
          <w:sz w:val="22"/>
          <w:szCs w:val="22"/>
        </w:rPr>
        <w:t xml:space="preserve"> Վերջիններս 43.9%-ով գերազանցել են տարեկան ծրագրային ցուցանիշը` հիմնականում պայմանավորված վիճակախաղերի, շահումներով խաղերի և մետաղադրամով և (կամ) թղթադրամով շահագործվող ավտոմատների միջոցով սննդի առևտրի և խաղերի բնագավառից գանձվող ու մաքսային բնագավառում լիցենզավորման գծով գանձվող տուրքերի կատարողականով:</w:t>
      </w:r>
    </w:p>
    <w:p w14:paraId="6E084E07" w14:textId="6BD007E9" w:rsidR="000F4583" w:rsidRPr="00C921DE" w:rsidRDefault="000F4583" w:rsidP="000F4583">
      <w:pPr>
        <w:tabs>
          <w:tab w:val="left" w:pos="851"/>
        </w:tabs>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Վ</w:t>
      </w:r>
      <w:r w:rsidRPr="00C921DE">
        <w:rPr>
          <w:rFonts w:ascii="GHEA Grapalat" w:hAnsi="GHEA Grapalat" w:cs="GHEA Grapalat"/>
          <w:sz w:val="22"/>
          <w:szCs w:val="22"/>
        </w:rPr>
        <w:t>իճակախաղերի, շահումներով խաղերի բնագավառից գանձված տուրքերը կազմել են շուրջ 18</w:t>
      </w:r>
      <w:r w:rsidRPr="00C921DE">
        <w:rPr>
          <w:rFonts w:ascii="Calibri" w:hAnsi="Calibri" w:cs="Calibri"/>
          <w:sz w:val="22"/>
          <w:szCs w:val="22"/>
          <w:lang w:val="en-US"/>
        </w:rPr>
        <w:t> </w:t>
      </w:r>
      <w:r w:rsidRPr="00C921DE">
        <w:rPr>
          <w:rFonts w:ascii="GHEA Grapalat" w:hAnsi="GHEA Grapalat" w:cs="GHEA Grapalat"/>
          <w:sz w:val="22"/>
          <w:szCs w:val="22"/>
        </w:rPr>
        <w:t xml:space="preserve">մլրդ դրամ, որոնք կանխատեսված ցուցանիշը գերազանցել են 61.8%-ով կամ շուրջ 6.9 մլրդ </w:t>
      </w:r>
      <w:r w:rsidRPr="00C921DE">
        <w:rPr>
          <w:rFonts w:ascii="GHEA Grapalat" w:hAnsi="GHEA Grapalat" w:cs="GHEA Grapalat"/>
          <w:sz w:val="22"/>
          <w:szCs w:val="22"/>
        </w:rPr>
        <w:lastRenderedPageBreak/>
        <w:t>դրամով, իսկ նախորդ տարվա փաստացի ցուցանիշը՝ 43.4%-ով կամ 5.4 մլրդ դրամով: Մուտքերի գերազանցումը հիմնականում պայմանավորված է «Պետական տուրքի մասին» ՀՀ օրենքում կատարվ</w:t>
      </w:r>
      <w:r w:rsidR="00057891" w:rsidRPr="00C921DE">
        <w:rPr>
          <w:rFonts w:ascii="GHEA Grapalat" w:hAnsi="GHEA Grapalat" w:cs="GHEA Grapalat"/>
          <w:sz w:val="22"/>
          <w:szCs w:val="22"/>
          <w:lang w:val="en-US"/>
        </w:rPr>
        <w:t>ած</w:t>
      </w:r>
      <w:r w:rsidRPr="00C921DE">
        <w:rPr>
          <w:rFonts w:ascii="GHEA Grapalat" w:hAnsi="GHEA Grapalat" w:cs="GHEA Grapalat"/>
          <w:sz w:val="22"/>
          <w:szCs w:val="22"/>
        </w:rPr>
        <w:t xml:space="preserve"> փոփոխությ</w:t>
      </w:r>
      <w:r w:rsidR="00057891" w:rsidRPr="00C921DE">
        <w:rPr>
          <w:rFonts w:ascii="GHEA Grapalat" w:hAnsi="GHEA Grapalat" w:cs="GHEA Grapalat"/>
          <w:sz w:val="22"/>
          <w:szCs w:val="22"/>
          <w:lang w:val="en-US"/>
        </w:rPr>
        <w:t>ամբ</w:t>
      </w:r>
      <w:r w:rsidRPr="00C921DE">
        <w:rPr>
          <w:rFonts w:ascii="GHEA Grapalat" w:hAnsi="GHEA Grapalat" w:cs="GHEA Grapalat"/>
          <w:sz w:val="22"/>
          <w:szCs w:val="22"/>
        </w:rPr>
        <w:t xml:space="preserve"> (ուժի մեջ է մտել 2023 թվականի հուլիսի 1-ից), </w:t>
      </w:r>
      <w:r w:rsidR="00057891" w:rsidRPr="00C921DE">
        <w:rPr>
          <w:rFonts w:ascii="GHEA Grapalat" w:hAnsi="GHEA Grapalat" w:cs="GHEA Grapalat"/>
          <w:sz w:val="22"/>
          <w:szCs w:val="22"/>
        </w:rPr>
        <w:t>որով</w:t>
      </w:r>
      <w:r w:rsidRPr="00C921DE">
        <w:rPr>
          <w:rFonts w:ascii="GHEA Grapalat" w:hAnsi="GHEA Grapalat" w:cs="GHEA Grapalat"/>
          <w:sz w:val="22"/>
          <w:szCs w:val="22"/>
        </w:rPr>
        <w:t xml:space="preserve"> պետական տուրք </w:t>
      </w:r>
      <w:r w:rsidR="00057891" w:rsidRPr="00C921DE">
        <w:rPr>
          <w:rFonts w:ascii="GHEA Grapalat" w:hAnsi="GHEA Grapalat" w:cs="GHEA Grapalat"/>
          <w:sz w:val="22"/>
          <w:szCs w:val="22"/>
          <w:lang w:val="en-US"/>
        </w:rPr>
        <w:t xml:space="preserve">է սահմանվել </w:t>
      </w:r>
      <w:r w:rsidRPr="00C921DE">
        <w:rPr>
          <w:rFonts w:ascii="GHEA Grapalat" w:hAnsi="GHEA Grapalat" w:cs="GHEA Grapalat"/>
          <w:sz w:val="22"/>
          <w:szCs w:val="22"/>
        </w:rPr>
        <w:t>ինտերնետ շահումով խաղի և (կամ) տոտալիզատորի (ինտերնետ տոտալիզատորի) կազմակերպչի կողմից խաղադրույք ընդունելու իրավունք ձեռք բերելու համար, որը ներկայացված է առանձին տեղեկանքով</w:t>
      </w:r>
      <w:r w:rsidR="006725FD" w:rsidRPr="00C921DE">
        <w:rPr>
          <w:rStyle w:val="FootnoteReference"/>
          <w:rFonts w:ascii="GHEA Grapalat" w:hAnsi="GHEA Grapalat"/>
          <w:sz w:val="22"/>
          <w:szCs w:val="22"/>
        </w:rPr>
        <w:footnoteReference w:id="33"/>
      </w:r>
      <w:r w:rsidRPr="00C921DE">
        <w:rPr>
          <w:rFonts w:ascii="GHEA Grapalat" w:hAnsi="GHEA Grapalat" w:cs="GHEA Grapalat"/>
          <w:sz w:val="22"/>
          <w:szCs w:val="22"/>
        </w:rPr>
        <w:t>: Բացի այդ, նշված մուտքերի գերազանցումը պայմանավորված է նաև այլ վայրում 1 խաղատան կազմակերպման լիցենզիայի վերականգ</w:t>
      </w:r>
      <w:r w:rsidR="00022D37" w:rsidRPr="00C921DE">
        <w:rPr>
          <w:rFonts w:ascii="GHEA Grapalat" w:hAnsi="GHEA Grapalat" w:cs="GHEA Grapalat"/>
          <w:sz w:val="22"/>
          <w:szCs w:val="22"/>
          <w:lang w:val="en-US"/>
        </w:rPr>
        <w:t>ն</w:t>
      </w:r>
      <w:r w:rsidRPr="00C921DE">
        <w:rPr>
          <w:rFonts w:ascii="GHEA Grapalat" w:hAnsi="GHEA Grapalat" w:cs="GHEA Grapalat"/>
          <w:sz w:val="22"/>
          <w:szCs w:val="22"/>
        </w:rPr>
        <w:t>մա</w:t>
      </w:r>
      <w:r w:rsidR="002021B0" w:rsidRPr="00C921DE">
        <w:rPr>
          <w:rFonts w:ascii="GHEA Grapalat" w:hAnsi="GHEA Grapalat" w:cs="GHEA Grapalat"/>
          <w:sz w:val="22"/>
          <w:szCs w:val="22"/>
          <w:lang w:val="en-US"/>
        </w:rPr>
        <w:t>մբ և</w:t>
      </w:r>
      <w:r w:rsidRPr="00C921DE">
        <w:rPr>
          <w:rFonts w:ascii="GHEA Grapalat" w:hAnsi="GHEA Grapalat" w:cs="GHEA Grapalat"/>
          <w:sz w:val="22"/>
          <w:szCs w:val="22"/>
        </w:rPr>
        <w:t xml:space="preserve"> հաշվարկված </w:t>
      </w:r>
      <w:r w:rsidR="002021B0" w:rsidRPr="00C921DE">
        <w:rPr>
          <w:rFonts w:ascii="GHEA Grapalat" w:hAnsi="GHEA Grapalat" w:cs="GHEA Grapalat"/>
          <w:sz w:val="22"/>
          <w:szCs w:val="22"/>
          <w:lang w:val="en-US"/>
        </w:rPr>
        <w:t>տույժերի վճարմամբ</w:t>
      </w:r>
      <w:r w:rsidRPr="00C921DE">
        <w:rPr>
          <w:rFonts w:ascii="GHEA Grapalat" w:hAnsi="GHEA Grapalat" w:cs="GHEA Grapalat"/>
          <w:sz w:val="22"/>
          <w:szCs w:val="22"/>
        </w:rPr>
        <w:t>:</w:t>
      </w:r>
    </w:p>
    <w:p w14:paraId="18444B16" w14:textId="04F66D76" w:rsidR="00FF44DF" w:rsidRPr="00C921DE" w:rsidRDefault="00FF44DF" w:rsidP="00FF44DF">
      <w:pPr>
        <w:tabs>
          <w:tab w:val="left" w:pos="851"/>
        </w:tabs>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Նախորդ տարվա համեմատ լիցենզավորման ենթակա գործունեություն իրականացնելու նպատակով լիցենզիաներ, արտոնագրեր (թույլտվություններ) տալու համար գանձվող տուրքերի գծով մուտքերը նվազել են 60.5%-ով կամ 45.2 մլրդ դրամով, որը </w:t>
      </w:r>
      <w:r w:rsidR="000F4583" w:rsidRPr="00C921DE">
        <w:rPr>
          <w:rFonts w:ascii="GHEA Grapalat" w:hAnsi="GHEA Grapalat" w:cs="GHEA Grapalat"/>
          <w:sz w:val="22"/>
          <w:szCs w:val="22"/>
          <w:lang w:val="en-US"/>
        </w:rPr>
        <w:t xml:space="preserve">հիմնականում </w:t>
      </w:r>
      <w:r w:rsidRPr="00C921DE">
        <w:rPr>
          <w:rFonts w:ascii="GHEA Grapalat" w:hAnsi="GHEA Grapalat" w:cs="GHEA Grapalat"/>
          <w:sz w:val="22"/>
          <w:szCs w:val="22"/>
        </w:rPr>
        <w:t xml:space="preserve">պայմանավորված է նրանով, որ </w:t>
      </w:r>
      <w:r w:rsidR="00AB4AEF" w:rsidRPr="00C921DE">
        <w:rPr>
          <w:rFonts w:ascii="GHEA Grapalat" w:hAnsi="GHEA Grapalat" w:cs="GHEA Grapalat"/>
          <w:sz w:val="22"/>
          <w:szCs w:val="22"/>
          <w:lang w:val="en-US"/>
        </w:rPr>
        <w:t>«</w:t>
      </w:r>
      <w:r w:rsidRPr="00C921DE">
        <w:rPr>
          <w:rFonts w:ascii="GHEA Grapalat" w:hAnsi="GHEA Grapalat" w:cs="GHEA Grapalat"/>
          <w:sz w:val="22"/>
          <w:szCs w:val="22"/>
        </w:rPr>
        <w:t>Պետական տուրքի մասին» ՀՀ օրենքով 2021 թվականի սեպտեմբերից պղնձի և մոլիբդենի խտահանքեր արտահանելու լիցենզիաներ կամ թույլտվություններ կամ հավաստագրեր տրամադրելու համար սահմանված պետական տուրքը կիրառվել է մինչև 2022 թվականի սեպտեմբերի 10-ը: Միաժամանակ, նախորդ տարվա համեմատ վիճակախաղերի, շահումներով խաղերի և մետաղադրամով և (կամ) թղթադրամով շահագործվող ավտոմատների միջոցով սննդի առևտրի և խաղերի բնագավառից գանձվող ու մաքսային բնագավառում լիցենզավորման գծով գանձվող տուրքերի գծով արձանագրվել է</w:t>
      </w:r>
      <w:r w:rsidR="00F37C6F" w:rsidRPr="00C921DE">
        <w:rPr>
          <w:rFonts w:ascii="GHEA Grapalat" w:hAnsi="GHEA Grapalat" w:cs="GHEA Grapalat"/>
          <w:sz w:val="22"/>
          <w:szCs w:val="22"/>
          <w:lang w:val="en-US"/>
        </w:rPr>
        <w:t xml:space="preserve"> 43.4% (5.4</w:t>
      </w:r>
      <w:r w:rsidR="00F37C6F" w:rsidRPr="00C921DE">
        <w:rPr>
          <w:rFonts w:ascii="Calibri" w:hAnsi="Calibri" w:cs="Calibri"/>
          <w:sz w:val="22"/>
          <w:szCs w:val="22"/>
          <w:lang w:val="en-US"/>
        </w:rPr>
        <w:t> </w:t>
      </w:r>
      <w:r w:rsidR="00F37C6F" w:rsidRPr="00C921DE">
        <w:rPr>
          <w:rFonts w:ascii="GHEA Grapalat" w:hAnsi="GHEA Grapalat" w:cs="GHEA Grapalat"/>
          <w:sz w:val="22"/>
          <w:szCs w:val="22"/>
          <w:lang w:val="en-US"/>
        </w:rPr>
        <w:t>մլրդ դրամ)</w:t>
      </w:r>
      <w:r w:rsidRPr="00C921DE">
        <w:rPr>
          <w:rFonts w:ascii="GHEA Grapalat" w:hAnsi="GHEA Grapalat" w:cs="GHEA Grapalat"/>
          <w:sz w:val="22"/>
          <w:szCs w:val="22"/>
        </w:rPr>
        <w:t xml:space="preserve"> աճ:</w:t>
      </w:r>
    </w:p>
    <w:p w14:paraId="3EE2E676" w14:textId="443218B6" w:rsidR="00FF44DF" w:rsidRPr="00C921DE" w:rsidRDefault="00FF44DF" w:rsidP="00FF44DF">
      <w:pPr>
        <w:tabs>
          <w:tab w:val="left" w:pos="851"/>
        </w:tabs>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Մաքսային բնագավառում լիցենզավորման գծով մուտքերը կազմել են շուրջ 6.2 մլրդ դրամ՝ 43.2%-ով գերազանցելով կանխատեսված ցուցանիշը, ինչը պայմանավորված է ներմուծման ծավալների աճով, որը հանգեցրել է արտաքին տնտեսական գործունեություն իրականացնողների կողմից նախատեսվածից շատ քանակով մաքսային ձևակերպումների: Հիմնականում վերոնշյալ հանգամանքով էլ պայմանավորված է նախորդ տարվա համեմատ մաքսային բնագավառի լիցենզավորման գծով մուտքերի 25.2% կամ 1.3 մլրդ դրամ աճը: </w:t>
      </w:r>
    </w:p>
    <w:p w14:paraId="21B02445" w14:textId="4839A76C" w:rsidR="00FF44DF" w:rsidRPr="00C921DE" w:rsidRDefault="00FF44DF" w:rsidP="00FF44DF">
      <w:pPr>
        <w:tabs>
          <w:tab w:val="left" w:pos="851"/>
        </w:tabs>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2023 թվականին պետական տուրքերի 33.1%</w:t>
      </w:r>
      <w:r w:rsidRPr="00C921DE">
        <w:rPr>
          <w:rFonts w:ascii="GHEA Grapalat" w:hAnsi="GHEA Grapalat" w:cs="GHEA Grapalat"/>
          <w:sz w:val="22"/>
          <w:szCs w:val="22"/>
        </w:rPr>
        <w:noBreakHyphen/>
        <w:t xml:space="preserve">ը </w:t>
      </w:r>
      <w:r w:rsidRPr="00C921DE">
        <w:rPr>
          <w:rFonts w:ascii="GHEA Grapalat" w:hAnsi="GHEA Grapalat" w:cs="Calibri"/>
          <w:sz w:val="22"/>
          <w:szCs w:val="22"/>
        </w:rPr>
        <w:t xml:space="preserve">կազմել են </w:t>
      </w:r>
      <w:r w:rsidRPr="00C921DE">
        <w:rPr>
          <w:rFonts w:ascii="GHEA Grapalat" w:hAnsi="GHEA Grapalat" w:cs="GHEA Grapalat"/>
          <w:i/>
          <w:sz w:val="22"/>
          <w:szCs w:val="22"/>
        </w:rPr>
        <w:t>օրենքով սահմանված այլ ծառայությունների և գործողությունների համար գանձվող տուրքերը,</w:t>
      </w:r>
      <w:r w:rsidRPr="00C921DE">
        <w:rPr>
          <w:rFonts w:ascii="GHEA Grapalat" w:hAnsi="GHEA Grapalat" w:cs="GHEA Grapalat"/>
          <w:sz w:val="22"/>
          <w:szCs w:val="22"/>
        </w:rPr>
        <w:t xml:space="preserve"> որոնք 25.3</w:t>
      </w:r>
      <w:r w:rsidRPr="00C921DE">
        <w:rPr>
          <w:rFonts w:ascii="GHEA Grapalat" w:hAnsi="GHEA Grapalat" w:cs="Calibri"/>
          <w:sz w:val="22"/>
          <w:szCs w:val="22"/>
        </w:rPr>
        <w:t xml:space="preserve">%-ով գերազանցել են կանխատեսված ցուցանիշը և 24.7%-ով՝ նախորդ տարվա փաստացի մուտքերը՝ հիմնականում պայմանավորված </w:t>
      </w:r>
      <w:r w:rsidRPr="00C921DE">
        <w:rPr>
          <w:rFonts w:ascii="GHEA Grapalat" w:hAnsi="GHEA Grapalat" w:cs="GHEA Grapalat"/>
          <w:sz w:val="22"/>
          <w:szCs w:val="22"/>
        </w:rPr>
        <w:t>ՀՀ-ից օդային տրանսպորտի միջոցներով ֆիզիկական անձանց (օդային ուղևորների) ելքի համար գանձված տուրքերի կատարողականով</w:t>
      </w:r>
      <w:r w:rsidR="006338A8" w:rsidRPr="00C921DE">
        <w:rPr>
          <w:rFonts w:ascii="GHEA Grapalat" w:hAnsi="GHEA Grapalat" w:cs="GHEA Grapalat"/>
          <w:sz w:val="22"/>
          <w:szCs w:val="22"/>
          <w:lang w:val="en-US"/>
        </w:rPr>
        <w:t xml:space="preserve">, որոնք կազմել են </w:t>
      </w:r>
      <w:r w:rsidR="008A2708" w:rsidRPr="00C921DE">
        <w:rPr>
          <w:rFonts w:ascii="GHEA Grapalat" w:hAnsi="GHEA Grapalat" w:cs="GHEA Grapalat"/>
          <w:sz w:val="22"/>
          <w:szCs w:val="22"/>
          <w:lang w:val="en-US"/>
        </w:rPr>
        <w:t xml:space="preserve">16.7 մլրդ դրամ՝ </w:t>
      </w:r>
      <w:r w:rsidRPr="00C921DE">
        <w:rPr>
          <w:rFonts w:ascii="GHEA Grapalat" w:hAnsi="GHEA Grapalat" w:cs="GHEA Grapalat"/>
          <w:sz w:val="22"/>
          <w:szCs w:val="22"/>
        </w:rPr>
        <w:t>26%-ով (3.4 մլրդ դրամով) գերազանցելով կանխատեսված ցուցանիշը</w:t>
      </w:r>
      <w:r w:rsidR="008A2708" w:rsidRPr="00C921DE">
        <w:rPr>
          <w:rFonts w:ascii="GHEA Grapalat" w:hAnsi="GHEA Grapalat" w:cs="GHEA Grapalat"/>
          <w:sz w:val="22"/>
          <w:szCs w:val="22"/>
          <w:lang w:val="en-US"/>
        </w:rPr>
        <w:t xml:space="preserve"> և </w:t>
      </w:r>
      <w:r w:rsidR="008A2708" w:rsidRPr="00C921DE">
        <w:rPr>
          <w:rFonts w:ascii="GHEA Grapalat" w:hAnsi="GHEA Grapalat" w:cs="GHEA Grapalat"/>
          <w:sz w:val="22"/>
          <w:szCs w:val="22"/>
        </w:rPr>
        <w:t>27.6%</w:t>
      </w:r>
      <w:r w:rsidR="008A2708" w:rsidRPr="00C921DE">
        <w:rPr>
          <w:rFonts w:ascii="GHEA Grapalat" w:hAnsi="GHEA Grapalat" w:cs="GHEA Grapalat"/>
          <w:sz w:val="22"/>
          <w:szCs w:val="22"/>
          <w:lang w:val="en-US"/>
        </w:rPr>
        <w:t>-ով</w:t>
      </w:r>
      <w:r w:rsidR="008A2708" w:rsidRPr="00C921DE">
        <w:rPr>
          <w:rFonts w:ascii="GHEA Grapalat" w:hAnsi="GHEA Grapalat" w:cs="GHEA Grapalat"/>
          <w:sz w:val="22"/>
          <w:szCs w:val="22"/>
        </w:rPr>
        <w:t xml:space="preserve"> </w:t>
      </w:r>
      <w:r w:rsidR="008A2708" w:rsidRPr="00C921DE">
        <w:rPr>
          <w:rFonts w:ascii="GHEA Grapalat" w:hAnsi="GHEA Grapalat" w:cs="GHEA Grapalat"/>
          <w:sz w:val="22"/>
          <w:szCs w:val="22"/>
          <w:lang w:val="en-US"/>
        </w:rPr>
        <w:t>(</w:t>
      </w:r>
      <w:r w:rsidR="008A2708" w:rsidRPr="00C921DE">
        <w:rPr>
          <w:rFonts w:ascii="GHEA Grapalat" w:hAnsi="GHEA Grapalat" w:cs="GHEA Grapalat"/>
          <w:sz w:val="22"/>
          <w:szCs w:val="22"/>
        </w:rPr>
        <w:t>3.6 մլրդ դրամ</w:t>
      </w:r>
      <w:r w:rsidR="008A2708" w:rsidRPr="00C921DE">
        <w:rPr>
          <w:rFonts w:ascii="GHEA Grapalat" w:hAnsi="GHEA Grapalat" w:cs="GHEA Grapalat"/>
          <w:sz w:val="22"/>
          <w:szCs w:val="22"/>
          <w:lang w:val="en-US"/>
        </w:rPr>
        <w:t>ով)՝ նախորդ տարվա ցուցանիշը: Նշված մուտքերի բարձր մակարդակը</w:t>
      </w:r>
      <w:r w:rsidRPr="00C921DE">
        <w:rPr>
          <w:rFonts w:ascii="GHEA Grapalat" w:hAnsi="GHEA Grapalat" w:cs="GHEA Grapalat"/>
          <w:sz w:val="22"/>
          <w:szCs w:val="22"/>
        </w:rPr>
        <w:t xml:space="preserve"> պայմանավորված է օտարերկրյա </w:t>
      </w:r>
      <w:r w:rsidRPr="00C921DE">
        <w:rPr>
          <w:rFonts w:ascii="GHEA Grapalat" w:hAnsi="GHEA Grapalat" w:cs="GHEA Grapalat"/>
          <w:sz w:val="22"/>
          <w:szCs w:val="22"/>
        </w:rPr>
        <w:lastRenderedPageBreak/>
        <w:t>խոշոր ավիաընկերությունների կողմից</w:t>
      </w:r>
      <w:r w:rsidR="0066680D" w:rsidRPr="00C921DE">
        <w:rPr>
          <w:rFonts w:ascii="GHEA Grapalat" w:hAnsi="GHEA Grapalat" w:cs="GHEA Grapalat"/>
          <w:sz w:val="22"/>
          <w:szCs w:val="22"/>
          <w:lang w:val="en-US"/>
        </w:rPr>
        <w:t xml:space="preserve"> դեպի Հայաստան</w:t>
      </w:r>
      <w:r w:rsidR="0066680D" w:rsidRPr="00C921DE">
        <w:rPr>
          <w:rFonts w:ascii="GHEA Grapalat" w:hAnsi="GHEA Grapalat" w:cs="GHEA Grapalat"/>
          <w:sz w:val="22"/>
          <w:szCs w:val="22"/>
        </w:rPr>
        <w:t xml:space="preserve"> չվերթերի իրականացմամբ</w:t>
      </w:r>
      <w:r w:rsidRPr="00C921DE">
        <w:rPr>
          <w:rFonts w:ascii="GHEA Grapalat" w:hAnsi="GHEA Grapalat" w:cs="GHEA Grapalat"/>
          <w:sz w:val="22"/>
          <w:szCs w:val="22"/>
        </w:rPr>
        <w:t xml:space="preserve"> և ոչ կանոնավոր </w:t>
      </w:r>
      <w:r w:rsidRPr="00C921DE">
        <w:rPr>
          <w:rFonts w:ascii="GHEA Grapalat" w:hAnsi="GHEA Grapalat" w:cs="GHEA Grapalat"/>
          <w:sz w:val="22"/>
          <w:szCs w:val="22"/>
          <w:lang w:val="en-US"/>
        </w:rPr>
        <w:t xml:space="preserve">չվերթերի քանակի աճով: </w:t>
      </w:r>
      <w:r w:rsidR="0066680D" w:rsidRPr="00C921DE">
        <w:rPr>
          <w:rFonts w:ascii="GHEA Grapalat" w:hAnsi="GHEA Grapalat" w:cs="GHEA Grapalat"/>
          <w:sz w:val="22"/>
          <w:szCs w:val="22"/>
          <w:lang w:val="en-US"/>
        </w:rPr>
        <w:t>2023 թվականի ընթացքում ՀՀ օդանավակայանների կողմից սպասարկվել է ավելի քան 5.4 մլն ուղևոր, որը 47%-ով ավելի է 2022 թվականի ցուցանիշից</w:t>
      </w:r>
      <w:r w:rsidRPr="00C921DE">
        <w:rPr>
          <w:rFonts w:ascii="GHEA Grapalat" w:hAnsi="GHEA Grapalat" w:cs="GHEA Grapalat"/>
          <w:sz w:val="22"/>
          <w:szCs w:val="22"/>
          <w:lang w:val="en-US"/>
        </w:rPr>
        <w:t>:</w:t>
      </w:r>
    </w:p>
    <w:p w14:paraId="7D6C3804" w14:textId="63DDE646" w:rsidR="00FF44DF" w:rsidRPr="00C921DE" w:rsidRDefault="00FF44DF" w:rsidP="00FF44DF">
      <w:pPr>
        <w:tabs>
          <w:tab w:val="left" w:pos="851"/>
        </w:tabs>
        <w:spacing w:line="360" w:lineRule="auto"/>
        <w:ind w:firstLine="567"/>
        <w:jc w:val="both"/>
        <w:rPr>
          <w:rFonts w:ascii="GHEA Grapalat" w:hAnsi="GHEA Grapalat" w:cs="Calibri"/>
          <w:sz w:val="22"/>
          <w:szCs w:val="22"/>
        </w:rPr>
      </w:pPr>
      <w:r w:rsidRPr="00C921DE">
        <w:rPr>
          <w:rFonts w:ascii="GHEA Grapalat" w:hAnsi="GHEA Grapalat" w:cs="GHEA Grapalat"/>
          <w:sz w:val="22"/>
          <w:szCs w:val="22"/>
          <w:lang w:val="en-US"/>
        </w:rPr>
        <w:t>Օրենքով սահմանված դեպքերում ծանուցման ենթակա գործունեությամբ զբաղվելու իրավունք</w:t>
      </w:r>
      <w:r w:rsidRPr="00C921DE">
        <w:rPr>
          <w:rFonts w:ascii="GHEA Grapalat" w:hAnsi="GHEA Grapalat" w:cs="GHEA Grapalat"/>
          <w:sz w:val="22"/>
          <w:szCs w:val="22"/>
        </w:rPr>
        <w:t xml:space="preserve"> ձեռք բերելո</w:t>
      </w:r>
      <w:r w:rsidR="00E56284" w:rsidRPr="00C921DE">
        <w:rPr>
          <w:rFonts w:ascii="GHEA Grapalat" w:hAnsi="GHEA Grapalat" w:cs="GHEA Grapalat"/>
          <w:sz w:val="22"/>
          <w:szCs w:val="22"/>
        </w:rPr>
        <w:t>ւ համար սահմանված պետական տուրքի գծով մուտքերը</w:t>
      </w:r>
      <w:r w:rsidRPr="00C921DE">
        <w:rPr>
          <w:rFonts w:ascii="GHEA Grapalat" w:hAnsi="GHEA Grapalat" w:cs="GHEA Grapalat"/>
          <w:sz w:val="22"/>
          <w:szCs w:val="22"/>
        </w:rPr>
        <w:t xml:space="preserve"> կազմել </w:t>
      </w:r>
      <w:r w:rsidR="00E56284" w:rsidRPr="00C921DE">
        <w:rPr>
          <w:rFonts w:ascii="GHEA Grapalat" w:hAnsi="GHEA Grapalat" w:cs="GHEA Grapalat"/>
          <w:sz w:val="22"/>
          <w:szCs w:val="22"/>
          <w:lang w:val="en-US"/>
        </w:rPr>
        <w:t>են</w:t>
      </w:r>
      <w:r w:rsidRPr="00C921DE">
        <w:rPr>
          <w:rFonts w:ascii="GHEA Grapalat" w:hAnsi="GHEA Grapalat" w:cs="GHEA Grapalat"/>
          <w:sz w:val="22"/>
          <w:szCs w:val="22"/>
        </w:rPr>
        <w:t xml:space="preserve"> շուրջ 3.2 մլրդ դրամ՝ 41%-ով գերազանցելով կանխատեսված ցուցանիշը և 41.6%-ով՝ նախորդ տարվա փաստացի մուտքերը: Մուտքերի գերազանցումը հիմնականում պայմանավորված է ԱՏԳ ԱԱ դասակարգչի</w:t>
      </w:r>
      <w:r w:rsidRPr="00C921DE">
        <w:rPr>
          <w:rFonts w:ascii="GHEA Grapalat" w:hAnsi="GHEA Grapalat" w:cs="Calibri"/>
          <w:sz w:val="22"/>
          <w:szCs w:val="22"/>
        </w:rPr>
        <w:t xml:space="preserve"> 220820 ծածկագրին դասվող խաղողի գինու կամ խաղողի մզման թորումից ստացվող սպիրտային թրմօղիների արտադրության իրականացման և մինչև 100 հազար լիտր (100-տոկոսանոց սպիրտի հաշվարկով) արտադրանքի իրացման ծավալներ</w:t>
      </w:r>
      <w:r w:rsidR="00C45916" w:rsidRPr="00C921DE">
        <w:rPr>
          <w:rFonts w:ascii="GHEA Grapalat" w:hAnsi="GHEA Grapalat" w:cs="Calibri"/>
          <w:sz w:val="22"/>
          <w:szCs w:val="22"/>
          <w:lang w:val="en-US"/>
        </w:rPr>
        <w:t>ի աճ</w:t>
      </w:r>
      <w:r w:rsidRPr="00C921DE">
        <w:rPr>
          <w:rFonts w:ascii="GHEA Grapalat" w:hAnsi="GHEA Grapalat" w:cs="Calibri"/>
          <w:sz w:val="22"/>
          <w:szCs w:val="22"/>
        </w:rPr>
        <w:t xml:space="preserve">ով։ </w:t>
      </w:r>
    </w:p>
    <w:p w14:paraId="3BADE033" w14:textId="5F260C01" w:rsidR="00FF44DF" w:rsidRPr="00C921DE" w:rsidRDefault="00FF44DF" w:rsidP="00FF44DF">
      <w:pPr>
        <w:tabs>
          <w:tab w:val="left" w:pos="851"/>
        </w:tabs>
        <w:spacing w:line="360" w:lineRule="auto"/>
        <w:ind w:firstLine="567"/>
        <w:jc w:val="both"/>
        <w:rPr>
          <w:rFonts w:ascii="GHEA Grapalat" w:hAnsi="GHEA Grapalat" w:cs="GHEA Grapalat"/>
          <w:sz w:val="22"/>
          <w:szCs w:val="22"/>
        </w:rPr>
      </w:pPr>
      <w:r w:rsidRPr="00C921DE">
        <w:rPr>
          <w:rFonts w:ascii="GHEA Grapalat" w:hAnsi="GHEA Grapalat" w:cs="Calibri"/>
          <w:sz w:val="22"/>
          <w:szCs w:val="22"/>
        </w:rPr>
        <w:t>Օրենքով սահմանված այլ ծառայությունների և գործողությունների համար գանձված պետական տուրքի գումարներից</w:t>
      </w:r>
      <w:r w:rsidRPr="00C921DE">
        <w:rPr>
          <w:rFonts w:ascii="GHEA Grapalat" w:hAnsi="GHEA Grapalat" w:cs="GHEA Grapalat"/>
          <w:sz w:val="22"/>
          <w:szCs w:val="22"/>
        </w:rPr>
        <w:t xml:space="preserve"> 1.2 մլրդ դրամը ստացվել է վարորդական վկայական և կորցրած վկայականի կրկնօրինակը տալու համար՝ 14.4%-ով (204.9 մլն դրամով) զիջելով կանխատեսված ցուցանիշը և 22.9%</w:t>
      </w:r>
      <w:r w:rsidRPr="00C921DE">
        <w:rPr>
          <w:rFonts w:ascii="GHEA Grapalat" w:hAnsi="GHEA Grapalat" w:cs="GHEA Grapalat"/>
          <w:sz w:val="22"/>
          <w:szCs w:val="22"/>
        </w:rPr>
        <w:noBreakHyphen/>
        <w:t xml:space="preserve">ով (362.6 մլն դրամով)՝ նախորդ տարվա փաստացի ցուցանիշը: Մուտքերի </w:t>
      </w:r>
      <w:r w:rsidR="00C45916" w:rsidRPr="00C921DE">
        <w:rPr>
          <w:rFonts w:ascii="GHEA Grapalat" w:hAnsi="GHEA Grapalat" w:cs="GHEA Grapalat"/>
          <w:sz w:val="22"/>
          <w:szCs w:val="22"/>
          <w:lang w:val="en-US"/>
        </w:rPr>
        <w:t xml:space="preserve">ցածր մակարդակը </w:t>
      </w:r>
      <w:r w:rsidRPr="00C921DE">
        <w:rPr>
          <w:rFonts w:ascii="GHEA Grapalat" w:hAnsi="GHEA Grapalat" w:cs="GHEA Grapalat"/>
          <w:sz w:val="22"/>
          <w:szCs w:val="22"/>
        </w:rPr>
        <w:t>հիմնականում պայմանավորված է ժամկետանց, ժամկետին մոտեցող, ինչպես նաև վնասված վարորդական վկայականների թվաքանակի նվազմամբ: Նշենք, որ 2011 թվականին լրացել է հին (խորհրդային) նմուշի վարորդական վավերականության ժամկետը, որոնք փոխանակվել են նոր նմուշի վարորդական վկայականներով, իսկ քանի որ վարորդական վկայականն ուժի մեջ է տրամադրման օրվանից տասը տարի, հետևաբար 2022 թվականին իրականացվել է մեծ թվով ժամկետանց, ժամկետին մոտեցող, ինչպես նաև վնասված վարորդական վկայականների փոխանակման գործընթաց:</w:t>
      </w:r>
    </w:p>
    <w:p w14:paraId="187EC9FD" w14:textId="752A96D8" w:rsidR="00FF44DF" w:rsidRPr="00C921DE" w:rsidRDefault="00FF44DF" w:rsidP="00FF44DF">
      <w:pPr>
        <w:tabs>
          <w:tab w:val="left" w:pos="851"/>
        </w:tabs>
        <w:spacing w:line="360" w:lineRule="auto"/>
        <w:ind w:firstLine="567"/>
        <w:jc w:val="both"/>
        <w:rPr>
          <w:rFonts w:ascii="GHEA Grapalat" w:hAnsi="GHEA Grapalat" w:cs="Calibri"/>
          <w:sz w:val="22"/>
          <w:szCs w:val="22"/>
        </w:rPr>
      </w:pPr>
      <w:r w:rsidRPr="00C921DE">
        <w:rPr>
          <w:rFonts w:ascii="GHEA Grapalat" w:hAnsi="GHEA Grapalat" w:cs="GHEA Grapalat"/>
          <w:sz w:val="22"/>
          <w:szCs w:val="22"/>
        </w:rPr>
        <w:t>Պետական տուրքերի</w:t>
      </w:r>
      <w:r w:rsidRPr="00C921DE">
        <w:rPr>
          <w:rFonts w:ascii="GHEA Grapalat" w:hAnsi="GHEA Grapalat" w:cs="Calibri"/>
          <w:sz w:val="22"/>
          <w:szCs w:val="22"/>
        </w:rPr>
        <w:t xml:space="preserve"> 9.7%-ը կազմել են </w:t>
      </w:r>
      <w:r w:rsidRPr="00C921DE">
        <w:rPr>
          <w:rFonts w:ascii="GHEA Grapalat" w:hAnsi="GHEA Grapalat" w:cs="Calibri"/>
          <w:i/>
          <w:sz w:val="22"/>
          <w:szCs w:val="22"/>
        </w:rPr>
        <w:t>պետական գրանցումների</w:t>
      </w:r>
      <w:r w:rsidRPr="00C921DE">
        <w:rPr>
          <w:rFonts w:ascii="GHEA Grapalat" w:hAnsi="GHEA Grapalat" w:cs="Calibri"/>
          <w:sz w:val="22"/>
          <w:szCs w:val="22"/>
        </w:rPr>
        <w:t xml:space="preserve"> </w:t>
      </w:r>
      <w:r w:rsidRPr="00C921DE">
        <w:rPr>
          <w:rFonts w:ascii="GHEA Grapalat" w:hAnsi="GHEA Grapalat" w:cs="GHEA Grapalat"/>
          <w:sz w:val="22"/>
          <w:szCs w:val="22"/>
        </w:rPr>
        <w:t>համար գանձված տուրքերը, որոնք</w:t>
      </w:r>
      <w:r w:rsidR="00BD5A3E" w:rsidRPr="00C921DE">
        <w:rPr>
          <w:rFonts w:ascii="GHEA Grapalat" w:hAnsi="GHEA Grapalat" w:cs="GHEA Grapalat"/>
          <w:sz w:val="22"/>
          <w:szCs w:val="22"/>
          <w:lang w:val="en-US"/>
        </w:rPr>
        <w:t xml:space="preserve"> կազմել են 6.5 մլրդ դրամ՝</w:t>
      </w:r>
      <w:r w:rsidRPr="00C921DE">
        <w:rPr>
          <w:rFonts w:ascii="GHEA Grapalat" w:hAnsi="GHEA Grapalat" w:cs="GHEA Grapalat"/>
          <w:sz w:val="22"/>
          <w:szCs w:val="22"/>
        </w:rPr>
        <w:t xml:space="preserve"> </w:t>
      </w:r>
      <w:r w:rsidRPr="00C921DE">
        <w:rPr>
          <w:rFonts w:ascii="GHEA Grapalat" w:hAnsi="GHEA Grapalat" w:cs="Calibri"/>
          <w:sz w:val="22"/>
          <w:szCs w:val="22"/>
        </w:rPr>
        <w:t>22.7%-ո</w:t>
      </w:r>
      <w:r w:rsidR="00BD5A3E" w:rsidRPr="00C921DE">
        <w:rPr>
          <w:rFonts w:ascii="GHEA Grapalat" w:hAnsi="GHEA Grapalat" w:cs="Calibri"/>
          <w:sz w:val="22"/>
          <w:szCs w:val="22"/>
        </w:rPr>
        <w:t>վ (1.2 մլրդ դրամով) գերազանցելով</w:t>
      </w:r>
      <w:r w:rsidRPr="00C921DE">
        <w:rPr>
          <w:rFonts w:ascii="GHEA Grapalat" w:hAnsi="GHEA Grapalat" w:cs="Calibri"/>
          <w:sz w:val="22"/>
          <w:szCs w:val="22"/>
        </w:rPr>
        <w:t xml:space="preserve"> կանխատեսված ցուցանիշը և 34.2%-ով (1.7 մլրդ դրամով)</w:t>
      </w:r>
      <w:r w:rsidR="00BD5A3E" w:rsidRPr="00C921DE">
        <w:rPr>
          <w:rFonts w:ascii="GHEA Grapalat" w:hAnsi="GHEA Grapalat" w:cs="Calibri"/>
          <w:sz w:val="22"/>
          <w:szCs w:val="22"/>
          <w:lang w:val="en-US"/>
        </w:rPr>
        <w:t>՝</w:t>
      </w:r>
      <w:r w:rsidRPr="00C921DE">
        <w:rPr>
          <w:rFonts w:ascii="GHEA Grapalat" w:hAnsi="GHEA Grapalat" w:cs="Calibri"/>
          <w:sz w:val="22"/>
          <w:szCs w:val="22"/>
        </w:rPr>
        <w:t xml:space="preserve"> նախորդ տարվա փաստացի մուտքերը: Կանխատեսված և նախորդ տարվա փաստացի ցուցանիշների գերազանցումը հիմնականում պայմանավորված է գույքի նկատմամբ իրավունքների պետական գրանցում կատարելու, ավտոմոբիլի հաշվառման համարանիշ (բացառությամբ տարանցիկ</w:t>
      </w:r>
      <w:r w:rsidR="002D35E7" w:rsidRPr="00C921DE">
        <w:rPr>
          <w:rFonts w:ascii="GHEA Grapalat" w:hAnsi="GHEA Grapalat" w:cs="Calibri"/>
          <w:sz w:val="22"/>
          <w:szCs w:val="22"/>
        </w:rPr>
        <w:t xml:space="preserve"> և ժամանակավոր համարանիշ) տալու</w:t>
      </w:r>
      <w:r w:rsidRPr="00C921DE">
        <w:rPr>
          <w:rFonts w:ascii="GHEA Grapalat" w:hAnsi="GHEA Grapalat" w:cs="Calibri"/>
          <w:sz w:val="22"/>
          <w:szCs w:val="22"/>
        </w:rPr>
        <w:t xml:space="preserve"> համար բյուջե մուտքագրված տուրքերի կատարողականով: </w:t>
      </w:r>
    </w:p>
    <w:p w14:paraId="5317B0FF" w14:textId="620DB6CD" w:rsidR="00FF44DF" w:rsidRPr="00C921DE" w:rsidRDefault="00FF44DF" w:rsidP="00FF44DF">
      <w:pPr>
        <w:tabs>
          <w:tab w:val="left" w:pos="851"/>
        </w:tabs>
        <w:spacing w:line="360" w:lineRule="auto"/>
        <w:ind w:firstLine="567"/>
        <w:jc w:val="both"/>
        <w:rPr>
          <w:rFonts w:ascii="GHEA Grapalat" w:hAnsi="GHEA Grapalat" w:cs="Calibri"/>
          <w:sz w:val="22"/>
          <w:szCs w:val="22"/>
        </w:rPr>
      </w:pPr>
      <w:r w:rsidRPr="00C921DE">
        <w:rPr>
          <w:rFonts w:ascii="GHEA Grapalat" w:hAnsi="GHEA Grapalat" w:cs="Calibri"/>
          <w:sz w:val="22"/>
          <w:szCs w:val="22"/>
        </w:rPr>
        <w:t>Հաշվետու տարում պետական գրանցումների մուտքերից շուրջ 2.5 մլրդ դրամը կազմել են գույքի նկատմամբ իրավունքների պետական գրանցում կատարելու դիմաց ստացված պետական տուրքերը, որոնք 64.8%-ով կամ 982.2 մլն դրամով գերազանցել են ծրագրային ցուցանիշը և 87.8%</w:t>
      </w:r>
      <w:r w:rsidRPr="00C921DE">
        <w:rPr>
          <w:rFonts w:ascii="GHEA Grapalat" w:hAnsi="GHEA Grapalat" w:cs="Calibri"/>
          <w:sz w:val="22"/>
          <w:szCs w:val="22"/>
        </w:rPr>
        <w:noBreakHyphen/>
        <w:t xml:space="preserve">ով կամ </w:t>
      </w:r>
      <w:r w:rsidR="002D35E7" w:rsidRPr="00C921DE">
        <w:rPr>
          <w:rFonts w:ascii="GHEA Grapalat" w:hAnsi="GHEA Grapalat" w:cs="Calibri"/>
          <w:sz w:val="22"/>
          <w:szCs w:val="22"/>
        </w:rPr>
        <w:t>1.2</w:t>
      </w:r>
      <w:r w:rsidR="002D35E7" w:rsidRPr="00C921DE">
        <w:rPr>
          <w:rFonts w:ascii="Calibri" w:hAnsi="Calibri" w:cs="Calibri"/>
          <w:sz w:val="22"/>
          <w:szCs w:val="22"/>
          <w:lang w:val="en-US"/>
        </w:rPr>
        <w:t> </w:t>
      </w:r>
      <w:r w:rsidRPr="00C921DE">
        <w:rPr>
          <w:rFonts w:ascii="GHEA Grapalat" w:hAnsi="GHEA Grapalat" w:cs="Calibri"/>
          <w:sz w:val="22"/>
          <w:szCs w:val="22"/>
        </w:rPr>
        <w:t xml:space="preserve">մլրդ դրամով` նախորդ տարվա փաստացի ցուցանիշները: </w:t>
      </w:r>
      <w:r w:rsidRPr="00C921DE">
        <w:rPr>
          <w:rFonts w:ascii="GHEA Grapalat" w:hAnsi="GHEA Grapalat" w:cs="GHEA Grapalat"/>
          <w:sz w:val="22"/>
          <w:szCs w:val="22"/>
        </w:rPr>
        <w:t xml:space="preserve">Մուտքերի գերազանցումը </w:t>
      </w:r>
      <w:r w:rsidRPr="00C921DE">
        <w:rPr>
          <w:rFonts w:ascii="GHEA Grapalat" w:hAnsi="GHEA Grapalat" w:cs="GHEA Grapalat"/>
          <w:sz w:val="22"/>
          <w:szCs w:val="22"/>
        </w:rPr>
        <w:lastRenderedPageBreak/>
        <w:t>հիմնականում պայմանավորված է նրանով, որ «Պետական տուրքի մասին» ՀՀ օրենքում կատարվել են լրացումներ (ուժի մեջ է մտել 2023 թվականի հունվարի 1-ից), որի համաձայն տրանսպորտային միջոցի նկատմամբ սեփականության իրավունքի դադարման գրանցման համար սահմանվել է պետական տուրք՝ ֆիզիկական անձանց կողմից սեփականու</w:t>
      </w:r>
      <w:r w:rsidRPr="00C921DE">
        <w:rPr>
          <w:rFonts w:ascii="GHEA Grapalat" w:hAnsi="GHEA Grapalat" w:cs="GHEA Grapalat"/>
          <w:sz w:val="22"/>
          <w:szCs w:val="22"/>
        </w:rPr>
        <w:softHyphen/>
        <w:t>թյան իրավունքով իրենց պատկանող ավտոմեքենան այլ ֆիզիկական անձանց օտարելու դեպքում, եթե ավտոմեքենան օտարվում է այն ձեռք բերելուց (սեփականության իրավունքի պետական գրանցումից) հետո` 365 օրվա ընթացքում</w:t>
      </w:r>
      <w:r w:rsidR="002D35E7" w:rsidRPr="00C921DE">
        <w:rPr>
          <w:rFonts w:ascii="GHEA Grapalat" w:hAnsi="GHEA Grapalat" w:cs="GHEA Grapalat"/>
          <w:sz w:val="22"/>
          <w:szCs w:val="22"/>
          <w:lang w:val="en-US"/>
        </w:rPr>
        <w:t>: Օրենսդրական փոփոխությունը</w:t>
      </w:r>
      <w:r w:rsidRPr="00C921DE">
        <w:rPr>
          <w:rFonts w:ascii="GHEA Grapalat" w:hAnsi="GHEA Grapalat" w:cs="GHEA Grapalat"/>
          <w:sz w:val="22"/>
          <w:szCs w:val="22"/>
        </w:rPr>
        <w:t xml:space="preserve"> ներկայացված է առանձին տեղեկանքով</w:t>
      </w:r>
      <w:r w:rsidR="006725FD" w:rsidRPr="00C921DE">
        <w:rPr>
          <w:rStyle w:val="FootnoteReference"/>
          <w:rFonts w:ascii="GHEA Grapalat" w:hAnsi="GHEA Grapalat"/>
          <w:sz w:val="22"/>
          <w:szCs w:val="22"/>
        </w:rPr>
        <w:footnoteReference w:id="34"/>
      </w:r>
      <w:r w:rsidRPr="00C921DE">
        <w:rPr>
          <w:rFonts w:ascii="GHEA Grapalat" w:hAnsi="GHEA Grapalat" w:cs="GHEA Grapalat"/>
          <w:sz w:val="22"/>
          <w:szCs w:val="22"/>
        </w:rPr>
        <w:t>:</w:t>
      </w:r>
    </w:p>
    <w:p w14:paraId="4EEE086B" w14:textId="77777777" w:rsidR="00FF44DF" w:rsidRPr="00C921DE" w:rsidRDefault="00FF44DF" w:rsidP="00FF44DF">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Ավտոմոբիլի հաշվառման համարանիշ (բացառությամբ տարանցիկ և ժամանակավոր համարանիշի) հատկացնելու համար, գյուղատնտեսական ինքնագնաց մեքենայի գրանցման, պետական համարանիշ տալու, ինչպես նաև կորցրած պետական համարանիշը վերականգնելու դիմաց ստացվել է շուրջ 2.4 մլրդ դրամ՝ 3.8%-ով կամ 85.1 մլն դրամով գերազանցելով ծրագրային և 13.7%-ով կամ 283</w:t>
      </w:r>
      <w:r w:rsidRPr="00C921DE">
        <w:rPr>
          <w:rFonts w:ascii="Calibri" w:hAnsi="Calibri" w:cs="Calibri"/>
          <w:sz w:val="22"/>
          <w:szCs w:val="22"/>
        </w:rPr>
        <w:t> </w:t>
      </w:r>
      <w:r w:rsidRPr="00C921DE">
        <w:rPr>
          <w:rFonts w:ascii="GHEA Grapalat" w:hAnsi="GHEA Grapalat" w:cs="Calibri"/>
          <w:sz w:val="22"/>
          <w:szCs w:val="22"/>
        </w:rPr>
        <w:t xml:space="preserve">մլն դրամով՝ նախորդ տարվա փաստացի ցուցանիշները: </w:t>
      </w:r>
    </w:p>
    <w:p w14:paraId="1CC5CC49" w14:textId="77777777" w:rsidR="00FF44DF" w:rsidRPr="00C921DE" w:rsidRDefault="00FF44DF" w:rsidP="00FF44DF">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1.2 մլրդ դրամ պետական տուրք է ստացվել ավտոմոբիլի, մոտոտրանսպորտային միջոցի, տրիցիկլի, քվադրիցիկլի, կցորդի (կիսակցորդի) հաշվառման վկայագիր տալու համար, որը 4.7%-ով (54.4 մլն դրամով) գերազանցել է կանխատեսված ցուցանիշը և 13.9%-ով (148.8 մլն դրամով) նախորդ տարվա փաստացի մուտքերը: </w:t>
      </w:r>
    </w:p>
    <w:p w14:paraId="65DB5ACE" w14:textId="75FC2AC1" w:rsidR="00D71081" w:rsidRPr="00C921DE" w:rsidRDefault="00FF44DF" w:rsidP="00D71081">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Վերջին 2 աղբյուրներից ստացված մուտքերի գեր</w:t>
      </w:r>
      <w:r w:rsidR="00D71081" w:rsidRPr="00C921DE">
        <w:rPr>
          <w:rFonts w:ascii="GHEA Grapalat" w:hAnsi="GHEA Grapalat" w:cs="Calibri"/>
          <w:sz w:val="22"/>
          <w:szCs w:val="22"/>
        </w:rPr>
        <w:t>ա</w:t>
      </w:r>
      <w:r w:rsidRPr="00C921DE">
        <w:rPr>
          <w:rFonts w:ascii="GHEA Grapalat" w:hAnsi="GHEA Grapalat" w:cs="Calibri"/>
          <w:sz w:val="22"/>
          <w:szCs w:val="22"/>
        </w:rPr>
        <w:t>զանցումը հիմնականում պայմանավորված է նրանով, որ 2023 թվականի օգոստոսի 1-ից Ռուսաստանի Դաշնությունում</w:t>
      </w:r>
      <w:r w:rsidR="00D71081" w:rsidRPr="00C921DE">
        <w:rPr>
          <w:rFonts w:ascii="GHEA Grapalat" w:hAnsi="GHEA Grapalat" w:cs="Calibri"/>
          <w:sz w:val="22"/>
          <w:szCs w:val="22"/>
        </w:rPr>
        <w:t xml:space="preserve"> սկսել է</w:t>
      </w:r>
      <w:r w:rsidRPr="00C921DE">
        <w:rPr>
          <w:rFonts w:ascii="GHEA Grapalat" w:hAnsi="GHEA Grapalat" w:cs="Calibri"/>
          <w:sz w:val="22"/>
          <w:szCs w:val="22"/>
        </w:rPr>
        <w:t xml:space="preserve"> գործել ուտիլիզացիոն արժեքի մասով նոր օրենք, </w:t>
      </w:r>
      <w:r w:rsidR="00D71081" w:rsidRPr="00C921DE">
        <w:rPr>
          <w:rFonts w:ascii="GHEA Grapalat" w:hAnsi="GHEA Grapalat" w:cs="Calibri"/>
          <w:sz w:val="22"/>
          <w:szCs w:val="22"/>
        </w:rPr>
        <w:t>որով գանձման գործակիցները կտրուկ</w:t>
      </w:r>
      <w:r w:rsidR="00A52919" w:rsidRPr="00C921DE">
        <w:rPr>
          <w:rFonts w:ascii="GHEA Grapalat" w:hAnsi="GHEA Grapalat" w:cs="Calibri"/>
          <w:sz w:val="22"/>
          <w:szCs w:val="22"/>
        </w:rPr>
        <w:t xml:space="preserve"> </w:t>
      </w:r>
      <w:r w:rsidR="00D71081" w:rsidRPr="00C921DE">
        <w:rPr>
          <w:rFonts w:ascii="GHEA Grapalat" w:hAnsi="GHEA Grapalat" w:cs="Calibri"/>
          <w:sz w:val="22"/>
          <w:szCs w:val="22"/>
        </w:rPr>
        <w:t>բարձրացան, և արդյունքում ՀՀ-ից դեպի ՌԴ տարանցիկ համարանիշերով ավտոմեքենաներ արտահանելը դարձավ անարդյունավետ, ինչի պատճառով էլ երրորդ երկրներից ՀՀ ներմուծված ավտոմեքենաները ստիպված սկսեցին ՀՀ-ում գրանցել որպես տրանսպորտային միջոց, և ավելացավ համարանիշերի ու տեխնիկական անձնագրերի սպառումը։</w:t>
      </w:r>
    </w:p>
    <w:p w14:paraId="6D459A1B" w14:textId="5FB67C39" w:rsidR="00A52919" w:rsidRPr="00C921DE" w:rsidRDefault="00FF44DF" w:rsidP="00A52919">
      <w:pPr>
        <w:spacing w:line="360" w:lineRule="auto"/>
        <w:ind w:right="9" w:firstLine="567"/>
        <w:jc w:val="both"/>
        <w:rPr>
          <w:rFonts w:ascii="GHEA Grapalat" w:hAnsi="GHEA Grapalat" w:cs="Calibri"/>
          <w:sz w:val="22"/>
          <w:szCs w:val="22"/>
        </w:rPr>
      </w:pPr>
      <w:r w:rsidRPr="00C921DE">
        <w:rPr>
          <w:rFonts w:ascii="GHEA Grapalat" w:hAnsi="GHEA Grapalat" w:cs="Calibri"/>
          <w:i/>
          <w:sz w:val="22"/>
          <w:szCs w:val="22"/>
        </w:rPr>
        <w:t>Ֆիզիկական անձանց տրվող իրավաբանական նշանակության փաստաթղթերի, որոշակի ծառայությունների կամ գործողությունների</w:t>
      </w:r>
      <w:r w:rsidRPr="00C921DE">
        <w:rPr>
          <w:rFonts w:ascii="GHEA Grapalat" w:hAnsi="GHEA Grapalat" w:cs="Calibri"/>
          <w:sz w:val="22"/>
          <w:szCs w:val="22"/>
        </w:rPr>
        <w:t xml:space="preserve"> համար գանձված տուրքերը 4.7%-ով զիջել են կանխատեսված ցուցանիշը և 3.9%-ով՝ նախորդ տարվա փաստացի մուտքերը՝ հիմնականում պայմանավորված ՀՀ քաղաքացու անձնագիր </w:t>
      </w:r>
      <w:r w:rsidR="002109FF" w:rsidRPr="00C921DE">
        <w:rPr>
          <w:rFonts w:ascii="GHEA Grapalat" w:hAnsi="GHEA Grapalat" w:cs="Calibri"/>
          <w:sz w:val="22"/>
          <w:szCs w:val="22"/>
          <w:lang w:val="en-US"/>
        </w:rPr>
        <w:t xml:space="preserve">և նույնականացման քարտ </w:t>
      </w:r>
      <w:r w:rsidRPr="00C921DE">
        <w:rPr>
          <w:rFonts w:ascii="GHEA Grapalat" w:hAnsi="GHEA Grapalat" w:cs="Calibri"/>
          <w:sz w:val="22"/>
          <w:szCs w:val="22"/>
        </w:rPr>
        <w:t>ստանալու համա</w:t>
      </w:r>
      <w:r w:rsidR="002109FF" w:rsidRPr="00C921DE">
        <w:rPr>
          <w:rFonts w:ascii="GHEA Grapalat" w:hAnsi="GHEA Grapalat" w:cs="Calibri"/>
          <w:sz w:val="22"/>
          <w:szCs w:val="22"/>
        </w:rPr>
        <w:t>ր դիմած</w:t>
      </w:r>
      <w:r w:rsidR="00805357" w:rsidRPr="00C921DE">
        <w:rPr>
          <w:rFonts w:ascii="GHEA Grapalat" w:hAnsi="GHEA Grapalat" w:cs="Calibri"/>
          <w:sz w:val="22"/>
          <w:szCs w:val="22"/>
        </w:rPr>
        <w:t xml:space="preserve"> քաղաքացիների թվի նվազմա</w:t>
      </w:r>
      <w:r w:rsidRPr="00C921DE">
        <w:rPr>
          <w:rFonts w:ascii="GHEA Grapalat" w:hAnsi="GHEA Grapalat" w:cs="Calibri"/>
          <w:sz w:val="22"/>
          <w:szCs w:val="22"/>
        </w:rPr>
        <w:t>մբ</w:t>
      </w:r>
      <w:r w:rsidR="00D14474" w:rsidRPr="00C921DE">
        <w:rPr>
          <w:rFonts w:ascii="GHEA Grapalat" w:hAnsi="GHEA Grapalat" w:cs="Calibri"/>
          <w:sz w:val="22"/>
          <w:szCs w:val="22"/>
          <w:lang w:val="en-US"/>
        </w:rPr>
        <w:t xml:space="preserve">, ինչպես նաև </w:t>
      </w:r>
      <w:r w:rsidR="00D14474" w:rsidRPr="00C921DE">
        <w:rPr>
          <w:rFonts w:ascii="GHEA Grapalat" w:hAnsi="GHEA Grapalat" w:cs="Calibri"/>
          <w:sz w:val="22"/>
          <w:szCs w:val="22"/>
        </w:rPr>
        <w:t>«Հայաստանի Հանրապետության քաղաքացու անձնագրի մասին» ՀՀ օրենքի 9-րդ հոդվածի 3-րդ կետի 1-ին մասի համաձայն 2023թ. հունվարի 1</w:t>
      </w:r>
      <w:r w:rsidR="00D14474" w:rsidRPr="00C921DE">
        <w:rPr>
          <w:rFonts w:ascii="GHEA Grapalat" w:hAnsi="GHEA Grapalat" w:cs="Calibri"/>
          <w:sz w:val="22"/>
          <w:szCs w:val="22"/>
        </w:rPr>
        <w:noBreakHyphen/>
        <w:t>ից մինչև 2024թ. հունվարի 1-ը կենսաչափական տվյալներ պարունակող անձնագրերի տրամադրման դադարեցմամբ</w:t>
      </w:r>
      <w:r w:rsidRPr="00C921DE">
        <w:rPr>
          <w:rFonts w:ascii="GHEA Grapalat" w:hAnsi="GHEA Grapalat" w:cs="Calibri"/>
          <w:sz w:val="22"/>
          <w:szCs w:val="22"/>
        </w:rPr>
        <w:t>:</w:t>
      </w:r>
      <w:r w:rsidR="00E21ED8" w:rsidRPr="00C921DE">
        <w:rPr>
          <w:rFonts w:ascii="GHEA Grapalat" w:hAnsi="GHEA Grapalat" w:cs="Calibri"/>
          <w:sz w:val="22"/>
          <w:szCs w:val="22"/>
        </w:rPr>
        <w:t xml:space="preserve"> Միևնույն ժամանակ, </w:t>
      </w:r>
      <w:r w:rsidR="00A52919" w:rsidRPr="00C921DE">
        <w:rPr>
          <w:rFonts w:ascii="GHEA Grapalat" w:hAnsi="GHEA Grapalat" w:cs="Calibri"/>
          <w:sz w:val="22"/>
          <w:szCs w:val="22"/>
        </w:rPr>
        <w:t xml:space="preserve">օտարերկրացի աշխատողների ներգրավման միասնական </w:t>
      </w:r>
      <w:r w:rsidR="00A52919" w:rsidRPr="00C921DE">
        <w:rPr>
          <w:rFonts w:ascii="GHEA Grapalat" w:hAnsi="GHEA Grapalat" w:cs="Calibri"/>
          <w:sz w:val="22"/>
          <w:szCs w:val="22"/>
        </w:rPr>
        <w:lastRenderedPageBreak/>
        <w:t>էլեկտրոնային հարթակի միջոցով ՀՀ-ում աշխատանքի հիմքով ժամանակավոր կացության կարգավիճակի տրամադրման համար գանձվող հաշվետու տարվա փաստացի մուտքերի գծով գրանցվել է զգալի աճ՝ պայմանավորված ՀՀ գործատուի կողմից աշխատանքային գործունեության հիմքով ժամանակավոր կացության կարգավիճակի տրամադրման համար դիմողների թվի աննախադեպ աճով:</w:t>
      </w:r>
    </w:p>
    <w:p w14:paraId="7F5571C5" w14:textId="1143535B" w:rsidR="00FF44DF" w:rsidRPr="00C921DE" w:rsidRDefault="00FF44DF" w:rsidP="00FF44DF">
      <w:pPr>
        <w:spacing w:line="360" w:lineRule="auto"/>
        <w:ind w:right="9" w:firstLine="567"/>
        <w:jc w:val="both"/>
        <w:rPr>
          <w:rFonts w:ascii="GHEA Grapalat" w:hAnsi="GHEA Grapalat" w:cs="Calibri"/>
          <w:sz w:val="22"/>
          <w:szCs w:val="22"/>
        </w:rPr>
      </w:pPr>
      <w:r w:rsidRPr="00C921DE">
        <w:rPr>
          <w:rFonts w:ascii="GHEA Grapalat" w:hAnsi="GHEA Grapalat" w:cs="Calibri"/>
          <w:i/>
          <w:sz w:val="22"/>
          <w:szCs w:val="22"/>
        </w:rPr>
        <w:t>Հյուպատոսական ծառայությունների կամ գործողությունների դիմաց</w:t>
      </w:r>
      <w:r w:rsidRPr="00C921DE">
        <w:rPr>
          <w:rFonts w:ascii="GHEA Grapalat" w:hAnsi="GHEA Grapalat" w:cs="Calibri"/>
          <w:sz w:val="22"/>
          <w:szCs w:val="22"/>
        </w:rPr>
        <w:t xml:space="preserve"> պետական բյուջե </w:t>
      </w:r>
      <w:r w:rsidR="00EF6BC4" w:rsidRPr="00C921DE">
        <w:rPr>
          <w:rFonts w:ascii="GHEA Grapalat" w:hAnsi="GHEA Grapalat" w:cs="Calibri"/>
          <w:sz w:val="22"/>
          <w:szCs w:val="22"/>
          <w:lang w:val="en-US"/>
        </w:rPr>
        <w:t>է մուտքագրվել 2.8 մլրդ դրամ, որը</w:t>
      </w:r>
      <w:r w:rsidRPr="00C921DE">
        <w:rPr>
          <w:rFonts w:ascii="GHEA Grapalat" w:hAnsi="GHEA Grapalat" w:cs="Calibri"/>
          <w:sz w:val="22"/>
          <w:szCs w:val="22"/>
        </w:rPr>
        <w:t xml:space="preserve"> 10.8%-ով գերազանցել </w:t>
      </w:r>
      <w:r w:rsidR="00EF6BC4" w:rsidRPr="00C921DE">
        <w:rPr>
          <w:rFonts w:ascii="GHEA Grapalat" w:hAnsi="GHEA Grapalat" w:cs="Calibri"/>
          <w:sz w:val="22"/>
          <w:szCs w:val="22"/>
          <w:lang w:val="en-US"/>
        </w:rPr>
        <w:t>է</w:t>
      </w:r>
      <w:r w:rsidRPr="00C921DE">
        <w:rPr>
          <w:rFonts w:ascii="GHEA Grapalat" w:hAnsi="GHEA Grapalat" w:cs="Calibri"/>
          <w:sz w:val="22"/>
          <w:szCs w:val="22"/>
        </w:rPr>
        <w:t xml:space="preserve"> կանխատեսված ցուցանիշը և 8.2%-ով՝ նախորդ տարվա փաստացի մուտքերը՝ հիմնականում պայմանավորված հյուպատոսական ծառայության գործերի թվի աճով: </w:t>
      </w:r>
    </w:p>
    <w:p w14:paraId="0BFA9851" w14:textId="77777777" w:rsidR="00FF44DF" w:rsidRPr="00C921DE" w:rsidRDefault="00FF44DF" w:rsidP="00FF44DF">
      <w:pPr>
        <w:spacing w:line="360" w:lineRule="auto"/>
        <w:ind w:right="9" w:firstLine="567"/>
        <w:jc w:val="both"/>
        <w:rPr>
          <w:rFonts w:ascii="GHEA Grapalat" w:hAnsi="GHEA Grapalat" w:cs="GHEA Grapalat"/>
          <w:sz w:val="22"/>
          <w:szCs w:val="22"/>
        </w:rPr>
      </w:pPr>
      <w:r w:rsidRPr="00C921DE">
        <w:rPr>
          <w:rFonts w:ascii="GHEA Grapalat" w:hAnsi="GHEA Grapalat" w:cs="Calibri"/>
          <w:sz w:val="22"/>
          <w:szCs w:val="22"/>
        </w:rPr>
        <w:t xml:space="preserve">Հաշվետու տարում </w:t>
      </w:r>
      <w:r w:rsidRPr="00C921DE">
        <w:rPr>
          <w:rFonts w:ascii="GHEA Grapalat" w:hAnsi="GHEA Grapalat" w:cs="Calibri"/>
          <w:i/>
          <w:sz w:val="22"/>
          <w:szCs w:val="22"/>
        </w:rPr>
        <w:t>դատարան տրվող հայցադիմումների, դիմումների ու գանգատների, դատարանների վճիռների և որոշումների դեմ տրվող վճռաբեկ բողոքների, ինչպես նաև դատարանի կողմից տրվող փաստաթղթերի պատճեններ (կրկնօրինակներ) տալու համար</w:t>
      </w:r>
      <w:r w:rsidRPr="00C921DE">
        <w:rPr>
          <w:rFonts w:ascii="GHEA Grapalat" w:hAnsi="GHEA Grapalat" w:cs="Calibri"/>
          <w:sz w:val="22"/>
          <w:szCs w:val="22"/>
        </w:rPr>
        <w:t xml:space="preserve"> պետական բյուջե վճարված տուրքերը կազմել են ավելի քան 2.7 մլրդ դրամ՝ 7.1%-ով՝ զիջելով կանխատեսված և 10.6%</w:t>
      </w:r>
      <w:r w:rsidRPr="00C921DE">
        <w:rPr>
          <w:rFonts w:ascii="GHEA Grapalat" w:hAnsi="GHEA Grapalat" w:cs="Calibri"/>
          <w:sz w:val="22"/>
          <w:szCs w:val="22"/>
        </w:rPr>
        <w:noBreakHyphen/>
        <w:t xml:space="preserve">ով՝ նախորդ տարվա փաստացի ցուցանիշները՝ հիմնականում պայմանավորված դատական գործերի քանակի նվազմամբ: </w:t>
      </w:r>
    </w:p>
    <w:p w14:paraId="14FD7A10" w14:textId="77777777" w:rsidR="001C411D" w:rsidRPr="00C921DE" w:rsidRDefault="001C411D" w:rsidP="006E100B">
      <w:pPr>
        <w:ind w:right="9" w:firstLine="567"/>
        <w:jc w:val="both"/>
        <w:rPr>
          <w:rFonts w:ascii="GHEA Grapalat" w:hAnsi="GHEA Grapalat" w:cs="Calibri"/>
          <w:bCs/>
          <w:sz w:val="22"/>
          <w:szCs w:val="22"/>
        </w:rPr>
      </w:pPr>
    </w:p>
    <w:p w14:paraId="5B408763" w14:textId="77777777" w:rsidR="001C411D" w:rsidRPr="00C921DE" w:rsidRDefault="001C411D" w:rsidP="0094312A">
      <w:pPr>
        <w:pStyle w:val="Heading2"/>
      </w:pPr>
      <w:bookmarkStart w:id="137" w:name="_Toc290409646"/>
      <w:bookmarkStart w:id="138" w:name="_Toc291747232"/>
      <w:bookmarkStart w:id="139" w:name="_Toc291747561"/>
      <w:bookmarkStart w:id="140" w:name="_Toc291747931"/>
      <w:bookmarkStart w:id="141" w:name="_Toc322445714"/>
      <w:bookmarkStart w:id="142" w:name="_Toc322445792"/>
      <w:bookmarkStart w:id="143" w:name="_Toc353882541"/>
      <w:bookmarkStart w:id="144" w:name="_Toc354657498"/>
      <w:bookmarkStart w:id="145" w:name="_Toc354658852"/>
      <w:bookmarkStart w:id="146" w:name="_Toc385937083"/>
      <w:bookmarkStart w:id="147" w:name="_Toc417292095"/>
      <w:bookmarkStart w:id="148" w:name="_Toc448908374"/>
      <w:bookmarkStart w:id="149" w:name="_Toc448912551"/>
      <w:bookmarkStart w:id="150" w:name="_Toc448913280"/>
      <w:bookmarkStart w:id="151" w:name="_Toc511744968"/>
      <w:bookmarkStart w:id="152" w:name="_Toc6389327"/>
      <w:bookmarkStart w:id="153" w:name="_Toc69232231"/>
      <w:bookmarkStart w:id="154" w:name="_Toc163745454"/>
      <w:r w:rsidRPr="00C921DE">
        <w:t>Պաշտոնական դրամաշնորհներ</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sidRPr="00C921DE">
        <w:rPr>
          <w:rStyle w:val="FootnoteReference"/>
        </w:rPr>
        <w:footnoteReference w:id="35"/>
      </w:r>
      <w:bookmarkEnd w:id="154"/>
    </w:p>
    <w:p w14:paraId="62BAD26B" w14:textId="2017919D" w:rsidR="00CF5463" w:rsidRPr="00C921DE" w:rsidRDefault="00CF5463" w:rsidP="00CF5463">
      <w:pPr>
        <w:spacing w:line="360" w:lineRule="auto"/>
        <w:ind w:right="9" w:firstLine="567"/>
        <w:jc w:val="both"/>
        <w:rPr>
          <w:rFonts w:ascii="GHEA Grapalat" w:hAnsi="GHEA Grapalat" w:cs="Calibri"/>
          <w:sz w:val="22"/>
          <w:szCs w:val="22"/>
        </w:rPr>
      </w:pPr>
      <w:bookmarkStart w:id="155" w:name="_Toc8218753"/>
      <w:bookmarkStart w:id="156" w:name="_Toc39073422"/>
      <w:bookmarkStart w:id="157" w:name="_Toc290409647"/>
      <w:bookmarkStart w:id="158" w:name="_Toc291747233"/>
      <w:bookmarkStart w:id="159" w:name="_Toc291747562"/>
      <w:bookmarkStart w:id="160" w:name="_Toc291747932"/>
      <w:bookmarkStart w:id="161" w:name="_Toc322445715"/>
      <w:bookmarkStart w:id="162" w:name="_Toc322445793"/>
      <w:bookmarkStart w:id="163" w:name="_Toc353882542"/>
      <w:bookmarkStart w:id="164" w:name="_Toc354657499"/>
      <w:bookmarkStart w:id="165" w:name="_Toc354658853"/>
      <w:bookmarkStart w:id="166" w:name="_Toc385937084"/>
      <w:bookmarkStart w:id="167" w:name="_Toc417292096"/>
      <w:bookmarkStart w:id="168" w:name="_Toc448908375"/>
      <w:bookmarkStart w:id="169" w:name="_Toc448912552"/>
      <w:bookmarkStart w:id="170" w:name="_Toc448913281"/>
      <w:bookmarkStart w:id="171" w:name="_Toc511744969"/>
      <w:bookmarkStart w:id="172" w:name="_Toc6389328"/>
      <w:r w:rsidRPr="00C921DE">
        <w:rPr>
          <w:rFonts w:ascii="GHEA Grapalat" w:hAnsi="GHEA Grapalat" w:cs="Calibri"/>
          <w:sz w:val="22"/>
          <w:szCs w:val="22"/>
        </w:rPr>
        <w:t>2023 թվականին արտաքին աղբյուրներից տրամադրվել են 13.1 մլրդ դրամ պաշտոնական դրամաշնորհներ` 6.3%-ով գերազանցելով ծրագրված ցուցանիշը</w:t>
      </w:r>
      <w:r w:rsidR="00EB242D" w:rsidRPr="00C921DE">
        <w:rPr>
          <w:rFonts w:ascii="GHEA Grapalat" w:hAnsi="GHEA Grapalat" w:cs="Calibri"/>
          <w:sz w:val="22"/>
          <w:szCs w:val="22"/>
          <w:lang w:val="en-US"/>
        </w:rPr>
        <w:t>, որը</w:t>
      </w:r>
      <w:r w:rsidRPr="00C921DE">
        <w:rPr>
          <w:rFonts w:ascii="GHEA Grapalat" w:hAnsi="GHEA Grapalat" w:cs="Calibri"/>
          <w:sz w:val="22"/>
          <w:szCs w:val="22"/>
        </w:rPr>
        <w:t xml:space="preserve"> պայմանավորված է ոչ նպատակային դրամաշնորհների տարեկան ծրագրային</w:t>
      </w:r>
      <w:r w:rsidR="00EB242D" w:rsidRPr="00C921DE">
        <w:rPr>
          <w:rFonts w:ascii="GHEA Grapalat" w:hAnsi="GHEA Grapalat" w:cs="Calibri"/>
          <w:sz w:val="22"/>
          <w:szCs w:val="22"/>
        </w:rPr>
        <w:t xml:space="preserve"> ցուցանիշ</w:t>
      </w:r>
      <w:r w:rsidRPr="00C921DE">
        <w:rPr>
          <w:rFonts w:ascii="GHEA Grapalat" w:hAnsi="GHEA Grapalat" w:cs="Calibri"/>
          <w:sz w:val="22"/>
          <w:szCs w:val="22"/>
        </w:rPr>
        <w:t>ի գերազանցմամբ:</w:t>
      </w:r>
    </w:p>
    <w:p w14:paraId="3427413E" w14:textId="77777777" w:rsidR="00CF5463" w:rsidRPr="00C921DE" w:rsidRDefault="00CF5463" w:rsidP="00036608">
      <w:pPr>
        <w:spacing w:line="360" w:lineRule="auto"/>
        <w:ind w:right="9" w:firstLine="567"/>
        <w:jc w:val="both"/>
        <w:rPr>
          <w:rFonts w:ascii="GHEA Grapalat" w:hAnsi="GHEA Grapalat" w:cs="Calibri"/>
          <w:sz w:val="22"/>
          <w:szCs w:val="22"/>
        </w:rPr>
      </w:pPr>
    </w:p>
    <w:p w14:paraId="60FEB05A" w14:textId="77777777" w:rsidR="00CF5463" w:rsidRPr="00C921DE" w:rsidRDefault="00CF5463" w:rsidP="00CF5463">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en-US"/>
        </w:rPr>
        <w:t>Պ</w:t>
      </w:r>
      <w:r w:rsidRPr="00C921DE">
        <w:rPr>
          <w:rFonts w:ascii="GHEA Grapalat" w:hAnsi="GHEA Grapalat"/>
          <w:i/>
          <w:sz w:val="18"/>
          <w:szCs w:val="18"/>
          <w:lang w:val="hy-AM"/>
        </w:rPr>
        <w:t xml:space="preserve">աշտոնական դրամաշնորհներ (մլրդ դրամ) </w:t>
      </w:r>
    </w:p>
    <w:tbl>
      <w:tblPr>
        <w:tblW w:w="10206" w:type="dxa"/>
        <w:tblInd w:w="108" w:type="dxa"/>
        <w:tblLayout w:type="fixed"/>
        <w:tblLook w:val="00A0" w:firstRow="1" w:lastRow="0" w:firstColumn="1" w:lastColumn="0" w:noHBand="0" w:noVBand="0"/>
      </w:tblPr>
      <w:tblGrid>
        <w:gridCol w:w="3828"/>
        <w:gridCol w:w="1134"/>
        <w:gridCol w:w="1134"/>
        <w:gridCol w:w="992"/>
        <w:gridCol w:w="1843"/>
        <w:gridCol w:w="1275"/>
      </w:tblGrid>
      <w:tr w:rsidR="00CF5463" w:rsidRPr="00C921DE" w14:paraId="45174FF4" w14:textId="77777777" w:rsidTr="007714BE">
        <w:trPr>
          <w:trHeight w:val="945"/>
        </w:trPr>
        <w:tc>
          <w:tcPr>
            <w:tcW w:w="3828" w:type="dxa"/>
            <w:tcBorders>
              <w:top w:val="single" w:sz="4" w:space="0" w:color="auto"/>
              <w:left w:val="single" w:sz="4" w:space="0" w:color="auto"/>
              <w:bottom w:val="single" w:sz="4" w:space="0" w:color="auto"/>
              <w:right w:val="single" w:sz="4" w:space="0" w:color="auto"/>
            </w:tcBorders>
            <w:noWrap/>
            <w:vAlign w:val="bottom"/>
          </w:tcPr>
          <w:p w14:paraId="25C05BD1" w14:textId="77777777" w:rsidR="00CF5463" w:rsidRPr="00C921DE" w:rsidRDefault="00CF5463" w:rsidP="007714BE">
            <w:pPr>
              <w:ind w:left="-15" w:firstLine="15"/>
              <w:rPr>
                <w:rFonts w:ascii="GHEA Grapalat" w:hAnsi="GHEA Grapalat" w:cs="Calibri"/>
                <w:sz w:val="18"/>
                <w:szCs w:val="18"/>
              </w:rPr>
            </w:pPr>
            <w:r w:rsidRPr="00C921DE">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tcPr>
          <w:p w14:paraId="5F8F22B6" w14:textId="77777777"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 xml:space="preserve">թ. </w:t>
            </w:r>
            <w:r w:rsidRPr="00C921DE">
              <w:rPr>
                <w:rFonts w:ascii="GHEA Grapalat" w:hAnsi="GHEA Grapalat" w:cs="Calibri"/>
                <w:b/>
                <w:bCs/>
                <w:sz w:val="18"/>
                <w:szCs w:val="18"/>
              </w:rPr>
              <w:br/>
              <w:t>փաստ</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338C64" w14:textId="6B763521" w:rsidR="00CF5463" w:rsidRPr="00C921DE" w:rsidRDefault="00CF5463" w:rsidP="00EB242D">
            <w:pPr>
              <w:jc w:val="center"/>
              <w:rPr>
                <w:rFonts w:ascii="GHEA Grapalat" w:hAnsi="GHEA Grapalat" w:cs="Calibri"/>
                <w:b/>
                <w:bCs/>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տարեկան ճշտված </w:t>
            </w:r>
            <w:r w:rsidR="00EB242D" w:rsidRPr="00C921DE">
              <w:rPr>
                <w:rFonts w:ascii="GHEA Grapalat" w:hAnsi="GHEA Grapalat" w:cs="Calibri"/>
                <w:b/>
                <w:bCs/>
                <w:sz w:val="18"/>
                <w:szCs w:val="18"/>
                <w:lang w:val="en-US"/>
              </w:rPr>
              <w:t>ծրագիր</w:t>
            </w:r>
          </w:p>
        </w:tc>
        <w:tc>
          <w:tcPr>
            <w:tcW w:w="992" w:type="dxa"/>
            <w:tcBorders>
              <w:top w:val="single" w:sz="4" w:space="0" w:color="auto"/>
              <w:left w:val="nil"/>
              <w:bottom w:val="single" w:sz="4" w:space="0" w:color="auto"/>
              <w:right w:val="single" w:sz="4" w:space="0" w:color="auto"/>
            </w:tcBorders>
            <w:shd w:val="clear" w:color="auto" w:fill="FFFFFF"/>
          </w:tcPr>
          <w:p w14:paraId="019D9DDE" w14:textId="77777777"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w:t>
            </w:r>
            <w:r w:rsidRPr="00C921DE">
              <w:rPr>
                <w:rFonts w:ascii="GHEA Grapalat" w:hAnsi="GHEA Grapalat" w:cs="Calibri"/>
                <w:b/>
                <w:bCs/>
                <w:sz w:val="18"/>
                <w:szCs w:val="18"/>
                <w:lang w:val="en-US"/>
              </w:rPr>
              <w:t>փ</w:t>
            </w:r>
            <w:r w:rsidRPr="00C921DE">
              <w:rPr>
                <w:rFonts w:ascii="GHEA Grapalat" w:hAnsi="GHEA Grapalat" w:cs="Calibri"/>
                <w:b/>
                <w:bCs/>
                <w:sz w:val="18"/>
                <w:szCs w:val="18"/>
              </w:rPr>
              <w:t>աստ</w:t>
            </w:r>
          </w:p>
        </w:tc>
        <w:tc>
          <w:tcPr>
            <w:tcW w:w="1843" w:type="dxa"/>
            <w:tcBorders>
              <w:top w:val="single" w:sz="4" w:space="0" w:color="auto"/>
              <w:left w:val="nil"/>
              <w:bottom w:val="single" w:sz="4" w:space="0" w:color="auto"/>
              <w:right w:val="single" w:sz="4" w:space="0" w:color="auto"/>
            </w:tcBorders>
            <w:shd w:val="clear" w:color="auto" w:fill="FFFFFF"/>
          </w:tcPr>
          <w:p w14:paraId="16BDF058" w14:textId="3100A646"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00EB242D" w:rsidRPr="00C921DE">
              <w:rPr>
                <w:rFonts w:ascii="GHEA Grapalat" w:hAnsi="GHEA Grapalat" w:cs="Calibri"/>
                <w:b/>
                <w:bCs/>
                <w:sz w:val="18"/>
                <w:szCs w:val="18"/>
                <w:lang w:val="en-US"/>
              </w:rPr>
              <w:t>ծրագրի</w:t>
            </w:r>
            <w:r w:rsidRPr="00C921DE">
              <w:rPr>
                <w:rFonts w:ascii="GHEA Grapalat" w:hAnsi="GHEA Grapalat" w:cs="Calibri"/>
                <w:b/>
                <w:bCs/>
                <w:sz w:val="18"/>
                <w:szCs w:val="18"/>
              </w:rPr>
              <w:t xml:space="preserve"> նկատմամբ</w:t>
            </w:r>
          </w:p>
          <w:p w14:paraId="0FBA1745" w14:textId="77777777"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w:t>
            </w:r>
          </w:p>
        </w:tc>
        <w:tc>
          <w:tcPr>
            <w:tcW w:w="1275" w:type="dxa"/>
            <w:tcBorders>
              <w:top w:val="single" w:sz="4" w:space="0" w:color="auto"/>
              <w:left w:val="nil"/>
              <w:bottom w:val="single" w:sz="4" w:space="0" w:color="auto"/>
              <w:right w:val="single" w:sz="4" w:space="0" w:color="auto"/>
            </w:tcBorders>
            <w:shd w:val="clear" w:color="auto" w:fill="FFFFFF"/>
          </w:tcPr>
          <w:p w14:paraId="711B72FD" w14:textId="6DCFA576"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CF5463" w:rsidRPr="00C921DE" w14:paraId="22F369A2" w14:textId="77777777" w:rsidTr="00B90318">
        <w:trPr>
          <w:trHeight w:val="312"/>
        </w:trPr>
        <w:tc>
          <w:tcPr>
            <w:tcW w:w="3828" w:type="dxa"/>
            <w:tcBorders>
              <w:top w:val="nil"/>
              <w:left w:val="single" w:sz="4" w:space="0" w:color="auto"/>
              <w:bottom w:val="single" w:sz="4" w:space="0" w:color="auto"/>
              <w:right w:val="single" w:sz="4" w:space="0" w:color="auto"/>
            </w:tcBorders>
            <w:vAlign w:val="bottom"/>
          </w:tcPr>
          <w:p w14:paraId="2A63256C" w14:textId="77777777" w:rsidR="00CF5463" w:rsidRPr="00C921DE" w:rsidRDefault="00CF5463" w:rsidP="007714BE">
            <w:pPr>
              <w:rPr>
                <w:rFonts w:ascii="GHEA Grapalat" w:hAnsi="GHEA Grapalat" w:cs="Calibri"/>
                <w:b/>
                <w:bCs/>
                <w:sz w:val="18"/>
                <w:szCs w:val="18"/>
              </w:rPr>
            </w:pPr>
            <w:r w:rsidRPr="00C921DE">
              <w:rPr>
                <w:rFonts w:ascii="GHEA Grapalat" w:hAnsi="GHEA Grapalat" w:cs="Calibri"/>
                <w:b/>
                <w:i/>
                <w:sz w:val="18"/>
                <w:szCs w:val="18"/>
              </w:rPr>
              <w:t>Պաշտոնական դրամաշնորհներ</w:t>
            </w:r>
          </w:p>
        </w:tc>
        <w:tc>
          <w:tcPr>
            <w:tcW w:w="1134" w:type="dxa"/>
            <w:tcBorders>
              <w:top w:val="single" w:sz="4" w:space="0" w:color="auto"/>
              <w:left w:val="single" w:sz="4" w:space="0" w:color="auto"/>
              <w:bottom w:val="single" w:sz="4" w:space="0" w:color="auto"/>
              <w:right w:val="single" w:sz="4" w:space="0" w:color="auto"/>
            </w:tcBorders>
            <w:vAlign w:val="bottom"/>
          </w:tcPr>
          <w:p w14:paraId="389F7BA6" w14:textId="77777777" w:rsidR="00CF5463" w:rsidRPr="00C921DE" w:rsidRDefault="00CF5463" w:rsidP="00B90318">
            <w:pPr>
              <w:jc w:val="right"/>
              <w:rPr>
                <w:rFonts w:ascii="GHEA Grapalat" w:hAnsi="GHEA Grapalat" w:cs="Calibri"/>
                <w:b/>
                <w:bCs/>
                <w:sz w:val="18"/>
                <w:szCs w:val="18"/>
                <w:lang w:val="en-US"/>
              </w:rPr>
            </w:pPr>
            <w:r w:rsidRPr="00C921DE">
              <w:rPr>
                <w:rFonts w:ascii="GHEA Grapalat" w:hAnsi="GHEA Grapalat" w:cs="Calibri"/>
                <w:b/>
                <w:bCs/>
                <w:sz w:val="18"/>
                <w:szCs w:val="18"/>
              </w:rPr>
              <w:t>1</w:t>
            </w:r>
            <w:r w:rsidRPr="00C921DE">
              <w:rPr>
                <w:rFonts w:ascii="GHEA Grapalat" w:hAnsi="GHEA Grapalat" w:cs="Calibri"/>
                <w:b/>
                <w:bCs/>
                <w:sz w:val="18"/>
                <w:szCs w:val="18"/>
                <w:lang w:val="en-US"/>
              </w:rPr>
              <w:t>5.0</w:t>
            </w:r>
          </w:p>
        </w:tc>
        <w:tc>
          <w:tcPr>
            <w:tcW w:w="1134" w:type="dxa"/>
            <w:tcBorders>
              <w:top w:val="nil"/>
              <w:left w:val="single" w:sz="4" w:space="0" w:color="auto"/>
              <w:bottom w:val="single" w:sz="4" w:space="0" w:color="auto"/>
              <w:right w:val="single" w:sz="4" w:space="0" w:color="auto"/>
            </w:tcBorders>
            <w:noWrap/>
            <w:vAlign w:val="bottom"/>
          </w:tcPr>
          <w:p w14:paraId="595759DB" w14:textId="77777777" w:rsidR="00CF5463" w:rsidRPr="00C921DE" w:rsidRDefault="00CF5463" w:rsidP="00B90318">
            <w:pPr>
              <w:jc w:val="right"/>
              <w:rPr>
                <w:rFonts w:ascii="GHEA Grapalat" w:hAnsi="GHEA Grapalat" w:cs="Calibri"/>
                <w:b/>
                <w:bCs/>
                <w:sz w:val="18"/>
                <w:szCs w:val="18"/>
                <w:lang w:val="en-US"/>
              </w:rPr>
            </w:pPr>
            <w:r w:rsidRPr="00C921DE">
              <w:rPr>
                <w:rFonts w:ascii="GHEA Grapalat" w:hAnsi="GHEA Grapalat" w:cs="Calibri"/>
                <w:b/>
                <w:bCs/>
                <w:sz w:val="18"/>
                <w:szCs w:val="18"/>
                <w:lang w:val="en-US"/>
              </w:rPr>
              <w:t>12</w:t>
            </w:r>
            <w:r w:rsidRPr="00C921DE">
              <w:rPr>
                <w:rFonts w:ascii="GHEA Grapalat" w:hAnsi="GHEA Grapalat" w:cs="Calibri"/>
                <w:b/>
                <w:bCs/>
                <w:sz w:val="18"/>
                <w:szCs w:val="18"/>
              </w:rPr>
              <w:t>.</w:t>
            </w:r>
            <w:r w:rsidRPr="00C921DE">
              <w:rPr>
                <w:rFonts w:ascii="GHEA Grapalat" w:hAnsi="GHEA Grapalat" w:cs="Calibri"/>
                <w:b/>
                <w:bCs/>
                <w:sz w:val="18"/>
                <w:szCs w:val="18"/>
                <w:lang w:val="en-US"/>
              </w:rPr>
              <w:t>3</w:t>
            </w:r>
          </w:p>
        </w:tc>
        <w:tc>
          <w:tcPr>
            <w:tcW w:w="992" w:type="dxa"/>
            <w:tcBorders>
              <w:top w:val="nil"/>
              <w:left w:val="nil"/>
              <w:bottom w:val="single" w:sz="4" w:space="0" w:color="auto"/>
              <w:right w:val="single" w:sz="4" w:space="0" w:color="auto"/>
            </w:tcBorders>
            <w:noWrap/>
            <w:vAlign w:val="bottom"/>
          </w:tcPr>
          <w:p w14:paraId="071F1C80" w14:textId="77777777" w:rsidR="00CF5463" w:rsidRPr="00C921DE" w:rsidRDefault="00CF5463" w:rsidP="00B90318">
            <w:pPr>
              <w:jc w:val="right"/>
              <w:rPr>
                <w:rFonts w:ascii="GHEA Grapalat" w:hAnsi="GHEA Grapalat" w:cs="Calibri"/>
                <w:b/>
                <w:bCs/>
                <w:sz w:val="18"/>
                <w:szCs w:val="18"/>
                <w:lang w:val="en-US"/>
              </w:rPr>
            </w:pPr>
            <w:r w:rsidRPr="00C921DE">
              <w:rPr>
                <w:rFonts w:ascii="GHEA Grapalat" w:hAnsi="GHEA Grapalat" w:cs="Calibri"/>
                <w:b/>
                <w:bCs/>
                <w:sz w:val="18"/>
                <w:szCs w:val="18"/>
              </w:rPr>
              <w:t>1</w:t>
            </w:r>
            <w:r w:rsidRPr="00C921DE">
              <w:rPr>
                <w:rFonts w:ascii="GHEA Grapalat" w:hAnsi="GHEA Grapalat" w:cs="Calibri"/>
                <w:b/>
                <w:bCs/>
                <w:sz w:val="18"/>
                <w:szCs w:val="18"/>
                <w:lang w:val="en-US"/>
              </w:rPr>
              <w:t>3.1</w:t>
            </w:r>
          </w:p>
        </w:tc>
        <w:tc>
          <w:tcPr>
            <w:tcW w:w="1843" w:type="dxa"/>
            <w:tcBorders>
              <w:top w:val="nil"/>
              <w:left w:val="nil"/>
              <w:bottom w:val="single" w:sz="4" w:space="0" w:color="auto"/>
              <w:right w:val="single" w:sz="4" w:space="0" w:color="auto"/>
            </w:tcBorders>
            <w:noWrap/>
            <w:vAlign w:val="bottom"/>
          </w:tcPr>
          <w:p w14:paraId="4F950A3B" w14:textId="77777777" w:rsidR="00CF5463" w:rsidRPr="00C921DE" w:rsidRDefault="00CF5463" w:rsidP="00B90318">
            <w:pPr>
              <w:jc w:val="right"/>
              <w:rPr>
                <w:rFonts w:ascii="GHEA Grapalat" w:hAnsi="GHEA Grapalat"/>
                <w:b/>
                <w:bCs/>
                <w:sz w:val="18"/>
                <w:szCs w:val="18"/>
                <w:lang w:val="en-US"/>
              </w:rPr>
            </w:pPr>
            <w:r w:rsidRPr="00C921DE">
              <w:rPr>
                <w:rFonts w:ascii="GHEA Grapalat" w:hAnsi="GHEA Grapalat"/>
                <w:b/>
                <w:bCs/>
                <w:sz w:val="18"/>
                <w:szCs w:val="18"/>
                <w:lang w:val="en-US"/>
              </w:rPr>
              <w:t>106.3</w:t>
            </w:r>
          </w:p>
        </w:tc>
        <w:tc>
          <w:tcPr>
            <w:tcW w:w="1275" w:type="dxa"/>
            <w:tcBorders>
              <w:top w:val="nil"/>
              <w:left w:val="nil"/>
              <w:bottom w:val="single" w:sz="4" w:space="0" w:color="auto"/>
              <w:right w:val="single" w:sz="4" w:space="0" w:color="auto"/>
            </w:tcBorders>
            <w:vAlign w:val="bottom"/>
          </w:tcPr>
          <w:p w14:paraId="23B647F6" w14:textId="77777777" w:rsidR="00CF5463" w:rsidRPr="00C921DE" w:rsidRDefault="00CF5463" w:rsidP="00B90318">
            <w:pPr>
              <w:jc w:val="right"/>
              <w:rPr>
                <w:rFonts w:ascii="GHEA Grapalat" w:hAnsi="GHEA Grapalat"/>
                <w:b/>
                <w:bCs/>
                <w:sz w:val="18"/>
                <w:szCs w:val="18"/>
                <w:lang w:val="en-US"/>
              </w:rPr>
            </w:pPr>
            <w:r w:rsidRPr="00C921DE">
              <w:rPr>
                <w:rFonts w:ascii="GHEA Grapalat" w:hAnsi="GHEA Grapalat"/>
                <w:b/>
                <w:bCs/>
                <w:sz w:val="18"/>
                <w:szCs w:val="18"/>
                <w:lang w:val="en-US"/>
              </w:rPr>
              <w:t>87.5</w:t>
            </w:r>
          </w:p>
        </w:tc>
      </w:tr>
      <w:tr w:rsidR="00CF5463" w:rsidRPr="00C921DE" w14:paraId="526FCF8C" w14:textId="77777777" w:rsidTr="00B90318">
        <w:trPr>
          <w:trHeight w:val="312"/>
        </w:trPr>
        <w:tc>
          <w:tcPr>
            <w:tcW w:w="3828" w:type="dxa"/>
            <w:tcBorders>
              <w:top w:val="nil"/>
              <w:left w:val="single" w:sz="4" w:space="0" w:color="auto"/>
              <w:bottom w:val="single" w:sz="4" w:space="0" w:color="auto"/>
              <w:right w:val="single" w:sz="4" w:space="0" w:color="auto"/>
            </w:tcBorders>
            <w:noWrap/>
            <w:vAlign w:val="bottom"/>
          </w:tcPr>
          <w:p w14:paraId="6F282758" w14:textId="77777777" w:rsidR="00CF5463" w:rsidRPr="00C921DE" w:rsidRDefault="00CF5463" w:rsidP="007714BE">
            <w:pPr>
              <w:ind w:firstLineChars="100" w:firstLine="180"/>
              <w:rPr>
                <w:rFonts w:ascii="GHEA Grapalat" w:hAnsi="GHEA Grapalat" w:cs="Calibri"/>
                <w:sz w:val="18"/>
                <w:szCs w:val="18"/>
              </w:rPr>
            </w:pPr>
            <w:r w:rsidRPr="00C921DE">
              <w:rPr>
                <w:rFonts w:ascii="GHEA Grapalat" w:hAnsi="GHEA Grapalat" w:cs="Calibri"/>
                <w:sz w:val="18"/>
                <w:szCs w:val="18"/>
              </w:rPr>
              <w:t>Նպատակային դրամաշնորհներ</w:t>
            </w:r>
          </w:p>
        </w:tc>
        <w:tc>
          <w:tcPr>
            <w:tcW w:w="1134" w:type="dxa"/>
            <w:tcBorders>
              <w:top w:val="nil"/>
              <w:left w:val="single" w:sz="4" w:space="0" w:color="auto"/>
              <w:bottom w:val="single" w:sz="4" w:space="0" w:color="auto"/>
              <w:right w:val="single" w:sz="4" w:space="0" w:color="auto"/>
            </w:tcBorders>
            <w:vAlign w:val="bottom"/>
          </w:tcPr>
          <w:p w14:paraId="727A3D59" w14:textId="77777777" w:rsidR="00CF5463" w:rsidRPr="00C921DE" w:rsidRDefault="00CF5463" w:rsidP="00B90318">
            <w:pPr>
              <w:jc w:val="right"/>
              <w:rPr>
                <w:rFonts w:ascii="GHEA Grapalat" w:hAnsi="GHEA Grapalat" w:cs="Calibri"/>
                <w:sz w:val="18"/>
                <w:szCs w:val="18"/>
                <w:lang w:val="en-US"/>
              </w:rPr>
            </w:pPr>
            <w:r w:rsidRPr="00C921DE">
              <w:rPr>
                <w:rFonts w:ascii="GHEA Grapalat" w:hAnsi="GHEA Grapalat" w:cs="Calibri"/>
                <w:sz w:val="18"/>
                <w:szCs w:val="18"/>
                <w:lang w:val="en-US"/>
              </w:rPr>
              <w:t>8</w:t>
            </w:r>
            <w:r w:rsidRPr="00C921DE">
              <w:rPr>
                <w:rFonts w:ascii="GHEA Grapalat" w:hAnsi="GHEA Grapalat" w:cs="Calibri"/>
                <w:sz w:val="18"/>
                <w:szCs w:val="18"/>
              </w:rPr>
              <w:t>.</w:t>
            </w:r>
            <w:r w:rsidRPr="00C921DE">
              <w:rPr>
                <w:rFonts w:ascii="GHEA Grapalat" w:hAnsi="GHEA Grapalat" w:cs="Calibri"/>
                <w:sz w:val="18"/>
                <w:szCs w:val="18"/>
                <w:lang w:val="en-US"/>
              </w:rPr>
              <w:t>7</w:t>
            </w:r>
          </w:p>
        </w:tc>
        <w:tc>
          <w:tcPr>
            <w:tcW w:w="1134" w:type="dxa"/>
            <w:tcBorders>
              <w:top w:val="nil"/>
              <w:left w:val="single" w:sz="4" w:space="0" w:color="auto"/>
              <w:bottom w:val="single" w:sz="4" w:space="0" w:color="auto"/>
              <w:right w:val="single" w:sz="4" w:space="0" w:color="auto"/>
            </w:tcBorders>
            <w:noWrap/>
            <w:vAlign w:val="bottom"/>
          </w:tcPr>
          <w:p w14:paraId="56906C34" w14:textId="77777777" w:rsidR="00CF5463" w:rsidRPr="00C921DE" w:rsidRDefault="00CF5463" w:rsidP="00B90318">
            <w:pPr>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1</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992" w:type="dxa"/>
            <w:tcBorders>
              <w:top w:val="nil"/>
              <w:left w:val="nil"/>
              <w:bottom w:val="single" w:sz="4" w:space="0" w:color="auto"/>
              <w:right w:val="single" w:sz="4" w:space="0" w:color="auto"/>
            </w:tcBorders>
            <w:noWrap/>
            <w:vAlign w:val="bottom"/>
          </w:tcPr>
          <w:p w14:paraId="7D93DDE1" w14:textId="77777777" w:rsidR="00CF5463" w:rsidRPr="00C921DE" w:rsidRDefault="00CF5463" w:rsidP="00B90318">
            <w:pPr>
              <w:jc w:val="right"/>
              <w:rPr>
                <w:rFonts w:ascii="GHEA Grapalat" w:hAnsi="GHEA Grapalat" w:cs="Calibri"/>
                <w:sz w:val="18"/>
                <w:szCs w:val="18"/>
                <w:lang w:val="en-US"/>
              </w:rPr>
            </w:pPr>
            <w:r w:rsidRPr="00C921DE">
              <w:rPr>
                <w:rFonts w:ascii="GHEA Grapalat" w:hAnsi="GHEA Grapalat" w:cs="Calibri"/>
                <w:sz w:val="18"/>
                <w:szCs w:val="18"/>
                <w:lang w:val="en-US"/>
              </w:rPr>
              <w:t>9</w:t>
            </w:r>
            <w:r w:rsidRPr="00C921DE">
              <w:rPr>
                <w:rFonts w:ascii="GHEA Grapalat" w:hAnsi="GHEA Grapalat" w:cs="Calibri"/>
                <w:sz w:val="18"/>
                <w:szCs w:val="18"/>
              </w:rPr>
              <w:t>.</w:t>
            </w:r>
            <w:r w:rsidRPr="00C921DE">
              <w:rPr>
                <w:rFonts w:ascii="GHEA Grapalat" w:hAnsi="GHEA Grapalat" w:cs="Calibri"/>
                <w:sz w:val="18"/>
                <w:szCs w:val="18"/>
                <w:lang w:val="en-US"/>
              </w:rPr>
              <w:t>3</w:t>
            </w:r>
          </w:p>
        </w:tc>
        <w:tc>
          <w:tcPr>
            <w:tcW w:w="1843" w:type="dxa"/>
            <w:tcBorders>
              <w:top w:val="nil"/>
              <w:left w:val="nil"/>
              <w:bottom w:val="single" w:sz="4" w:space="0" w:color="auto"/>
              <w:right w:val="single" w:sz="4" w:space="0" w:color="auto"/>
            </w:tcBorders>
            <w:noWrap/>
            <w:vAlign w:val="bottom"/>
          </w:tcPr>
          <w:p w14:paraId="2CB3FC85" w14:textId="77777777" w:rsidR="00CF5463" w:rsidRPr="00C921DE" w:rsidRDefault="00CF5463" w:rsidP="00B90318">
            <w:pPr>
              <w:jc w:val="right"/>
              <w:rPr>
                <w:rFonts w:ascii="GHEA Grapalat" w:hAnsi="GHEA Grapalat" w:cs="Calibri"/>
                <w:sz w:val="18"/>
                <w:szCs w:val="18"/>
              </w:rPr>
            </w:pPr>
            <w:r w:rsidRPr="00C921DE">
              <w:rPr>
                <w:rFonts w:ascii="GHEA Grapalat" w:hAnsi="GHEA Grapalat"/>
                <w:bCs/>
                <w:sz w:val="18"/>
                <w:szCs w:val="18"/>
                <w:lang w:val="en-US"/>
              </w:rPr>
              <w:t>82.8</w:t>
            </w:r>
          </w:p>
        </w:tc>
        <w:tc>
          <w:tcPr>
            <w:tcW w:w="1275" w:type="dxa"/>
            <w:tcBorders>
              <w:top w:val="nil"/>
              <w:left w:val="nil"/>
              <w:bottom w:val="single" w:sz="4" w:space="0" w:color="auto"/>
              <w:right w:val="single" w:sz="4" w:space="0" w:color="auto"/>
            </w:tcBorders>
            <w:vAlign w:val="bottom"/>
          </w:tcPr>
          <w:p w14:paraId="0FEB56DB" w14:textId="77777777" w:rsidR="00CF5463" w:rsidRPr="00C921DE" w:rsidRDefault="00CF5463" w:rsidP="00B90318">
            <w:pPr>
              <w:jc w:val="right"/>
              <w:rPr>
                <w:rFonts w:ascii="GHEA Grapalat" w:hAnsi="GHEA Grapalat"/>
                <w:bCs/>
                <w:sz w:val="18"/>
                <w:szCs w:val="18"/>
                <w:lang w:val="en-US"/>
              </w:rPr>
            </w:pPr>
            <w:r w:rsidRPr="00C921DE">
              <w:rPr>
                <w:rFonts w:ascii="GHEA Grapalat" w:hAnsi="GHEA Grapalat"/>
                <w:bCs/>
                <w:sz w:val="18"/>
                <w:szCs w:val="18"/>
                <w:lang w:val="en-US"/>
              </w:rPr>
              <w:t>106.7</w:t>
            </w:r>
          </w:p>
        </w:tc>
      </w:tr>
      <w:tr w:rsidR="00CF5463" w:rsidRPr="00C921DE" w14:paraId="0707A22D" w14:textId="77777777" w:rsidTr="00B90318">
        <w:trPr>
          <w:trHeight w:val="312"/>
        </w:trPr>
        <w:tc>
          <w:tcPr>
            <w:tcW w:w="3828" w:type="dxa"/>
            <w:tcBorders>
              <w:top w:val="nil"/>
              <w:left w:val="single" w:sz="4" w:space="0" w:color="auto"/>
              <w:bottom w:val="single" w:sz="4" w:space="0" w:color="auto"/>
              <w:right w:val="single" w:sz="4" w:space="0" w:color="auto"/>
            </w:tcBorders>
            <w:noWrap/>
            <w:vAlign w:val="bottom"/>
          </w:tcPr>
          <w:p w14:paraId="6A29DCA8" w14:textId="77777777" w:rsidR="00B90318" w:rsidRPr="00C921DE" w:rsidRDefault="00CF5463" w:rsidP="007714BE">
            <w:pPr>
              <w:ind w:firstLineChars="100" w:firstLine="180"/>
              <w:rPr>
                <w:rFonts w:ascii="GHEA Grapalat" w:hAnsi="GHEA Grapalat" w:cs="Calibri"/>
                <w:sz w:val="18"/>
                <w:szCs w:val="18"/>
                <w:lang w:val="en-US"/>
              </w:rPr>
            </w:pPr>
            <w:r w:rsidRPr="00C921DE">
              <w:rPr>
                <w:rFonts w:ascii="GHEA Grapalat" w:hAnsi="GHEA Grapalat" w:cs="Calibri"/>
                <w:sz w:val="18"/>
                <w:szCs w:val="18"/>
              </w:rPr>
              <w:t>Ոչ նպատակային դրամաշնորհներ</w:t>
            </w:r>
            <w:r w:rsidR="00B90318" w:rsidRPr="00C921DE">
              <w:rPr>
                <w:rFonts w:ascii="GHEA Grapalat" w:hAnsi="GHEA Grapalat" w:cs="Calibri"/>
                <w:sz w:val="18"/>
                <w:szCs w:val="18"/>
                <w:lang w:val="en-US"/>
              </w:rPr>
              <w:t>,</w:t>
            </w:r>
          </w:p>
          <w:p w14:paraId="267A0C59" w14:textId="3AFF2B38" w:rsidR="00CF5463" w:rsidRPr="00C921DE" w:rsidRDefault="00B90318" w:rsidP="007714BE">
            <w:pPr>
              <w:ind w:firstLineChars="100" w:firstLine="180"/>
              <w:rPr>
                <w:rFonts w:ascii="GHEA Grapalat" w:hAnsi="GHEA Grapalat" w:cs="Calibri"/>
                <w:sz w:val="18"/>
                <w:szCs w:val="18"/>
                <w:lang w:val="en-US"/>
              </w:rPr>
            </w:pPr>
            <w:r w:rsidRPr="00C921DE">
              <w:rPr>
                <w:rFonts w:ascii="GHEA Grapalat" w:hAnsi="GHEA Grapalat" w:cs="Calibri"/>
                <w:sz w:val="18"/>
                <w:szCs w:val="18"/>
                <w:lang w:val="en-US"/>
              </w:rPr>
              <w:t>այդ թվում՝</w:t>
            </w:r>
          </w:p>
        </w:tc>
        <w:tc>
          <w:tcPr>
            <w:tcW w:w="1134" w:type="dxa"/>
            <w:tcBorders>
              <w:top w:val="nil"/>
              <w:left w:val="single" w:sz="4" w:space="0" w:color="auto"/>
              <w:bottom w:val="single" w:sz="4" w:space="0" w:color="auto"/>
              <w:right w:val="single" w:sz="4" w:space="0" w:color="auto"/>
            </w:tcBorders>
            <w:vAlign w:val="bottom"/>
          </w:tcPr>
          <w:p w14:paraId="333867AF" w14:textId="77777777" w:rsidR="00CF5463" w:rsidRPr="00C921DE" w:rsidRDefault="00CF5463" w:rsidP="00B90318">
            <w:pPr>
              <w:jc w:val="right"/>
              <w:rPr>
                <w:rFonts w:ascii="GHEA Grapalat" w:hAnsi="GHEA Grapalat" w:cs="Calibri"/>
                <w:sz w:val="18"/>
                <w:szCs w:val="18"/>
                <w:lang w:val="en-US"/>
              </w:rPr>
            </w:pPr>
            <w:r w:rsidRPr="00C921DE">
              <w:rPr>
                <w:rFonts w:ascii="GHEA Grapalat" w:hAnsi="GHEA Grapalat" w:cs="Calibri"/>
                <w:sz w:val="18"/>
                <w:szCs w:val="18"/>
                <w:lang w:val="en-US"/>
              </w:rPr>
              <w:t>6</w:t>
            </w:r>
            <w:r w:rsidRPr="00C921DE">
              <w:rPr>
                <w:rFonts w:ascii="GHEA Grapalat" w:hAnsi="GHEA Grapalat" w:cs="Calibri"/>
                <w:sz w:val="18"/>
                <w:szCs w:val="18"/>
              </w:rPr>
              <w:t>.</w:t>
            </w:r>
            <w:r w:rsidRPr="00C921DE">
              <w:rPr>
                <w:rFonts w:ascii="GHEA Grapalat" w:hAnsi="GHEA Grapalat" w:cs="Calibri"/>
                <w:sz w:val="18"/>
                <w:szCs w:val="18"/>
                <w:lang w:val="en-US"/>
              </w:rPr>
              <w:t>2</w:t>
            </w:r>
          </w:p>
        </w:tc>
        <w:tc>
          <w:tcPr>
            <w:tcW w:w="1134" w:type="dxa"/>
            <w:tcBorders>
              <w:top w:val="nil"/>
              <w:left w:val="single" w:sz="4" w:space="0" w:color="auto"/>
              <w:bottom w:val="single" w:sz="4" w:space="0" w:color="auto"/>
              <w:right w:val="single" w:sz="4" w:space="0" w:color="auto"/>
            </w:tcBorders>
            <w:noWrap/>
            <w:vAlign w:val="bottom"/>
          </w:tcPr>
          <w:p w14:paraId="15EE64A4" w14:textId="77777777" w:rsidR="00CF5463" w:rsidRPr="00C921DE" w:rsidRDefault="00CF5463" w:rsidP="00B90318">
            <w:pPr>
              <w:jc w:val="right"/>
              <w:rPr>
                <w:rFonts w:ascii="GHEA Grapalat" w:hAnsi="GHEA Grapalat" w:cs="Calibri"/>
                <w:sz w:val="18"/>
                <w:szCs w:val="18"/>
                <w:lang w:val="en-US"/>
              </w:rPr>
            </w:pPr>
            <w:r w:rsidRPr="00C921DE">
              <w:rPr>
                <w:rFonts w:ascii="GHEA Grapalat" w:hAnsi="GHEA Grapalat" w:cs="Arial"/>
                <w:sz w:val="20"/>
                <w:szCs w:val="20"/>
              </w:rPr>
              <w:t>1.1</w:t>
            </w:r>
          </w:p>
        </w:tc>
        <w:tc>
          <w:tcPr>
            <w:tcW w:w="992" w:type="dxa"/>
            <w:tcBorders>
              <w:top w:val="nil"/>
              <w:left w:val="nil"/>
              <w:bottom w:val="single" w:sz="4" w:space="0" w:color="auto"/>
              <w:right w:val="single" w:sz="4" w:space="0" w:color="auto"/>
            </w:tcBorders>
            <w:noWrap/>
            <w:vAlign w:val="bottom"/>
          </w:tcPr>
          <w:p w14:paraId="7597A6AA" w14:textId="77777777" w:rsidR="00CF5463" w:rsidRPr="00C921DE" w:rsidRDefault="00CF5463" w:rsidP="00B90318">
            <w:pPr>
              <w:jc w:val="right"/>
              <w:rPr>
                <w:rFonts w:ascii="GHEA Grapalat" w:hAnsi="GHEA Grapalat" w:cs="Calibri"/>
                <w:sz w:val="18"/>
                <w:szCs w:val="18"/>
                <w:lang w:val="en-US"/>
              </w:rPr>
            </w:pPr>
            <w:r w:rsidRPr="00C921DE">
              <w:rPr>
                <w:rFonts w:ascii="GHEA Grapalat" w:hAnsi="GHEA Grapalat" w:cs="Calibri"/>
                <w:sz w:val="18"/>
                <w:szCs w:val="18"/>
                <w:lang w:val="en-US"/>
              </w:rPr>
              <w:t>3</w:t>
            </w:r>
            <w:r w:rsidRPr="00C921DE">
              <w:rPr>
                <w:rFonts w:ascii="GHEA Grapalat" w:hAnsi="GHEA Grapalat" w:cs="Calibri"/>
                <w:sz w:val="18"/>
                <w:szCs w:val="18"/>
              </w:rPr>
              <w:t>.</w:t>
            </w:r>
            <w:r w:rsidRPr="00C921DE">
              <w:rPr>
                <w:rFonts w:ascii="GHEA Grapalat" w:hAnsi="GHEA Grapalat" w:cs="Calibri"/>
                <w:sz w:val="18"/>
                <w:szCs w:val="18"/>
                <w:lang w:val="en-US"/>
              </w:rPr>
              <w:t>8</w:t>
            </w:r>
          </w:p>
        </w:tc>
        <w:tc>
          <w:tcPr>
            <w:tcW w:w="1843" w:type="dxa"/>
            <w:tcBorders>
              <w:top w:val="nil"/>
              <w:left w:val="nil"/>
              <w:bottom w:val="single" w:sz="4" w:space="0" w:color="auto"/>
              <w:right w:val="single" w:sz="4" w:space="0" w:color="auto"/>
            </w:tcBorders>
            <w:noWrap/>
            <w:vAlign w:val="bottom"/>
          </w:tcPr>
          <w:p w14:paraId="55E1C5B6" w14:textId="77777777" w:rsidR="00CF5463" w:rsidRPr="00C921DE" w:rsidRDefault="00CF5463" w:rsidP="00B90318">
            <w:pPr>
              <w:jc w:val="right"/>
              <w:rPr>
                <w:rFonts w:ascii="GHEA Grapalat" w:hAnsi="GHEA Grapalat"/>
                <w:bCs/>
                <w:sz w:val="18"/>
                <w:szCs w:val="18"/>
                <w:lang w:val="en-US"/>
              </w:rPr>
            </w:pPr>
            <w:r w:rsidRPr="00C921DE">
              <w:rPr>
                <w:rFonts w:ascii="GHEA Grapalat" w:hAnsi="GHEA Grapalat"/>
                <w:bCs/>
                <w:sz w:val="18"/>
                <w:szCs w:val="18"/>
                <w:lang w:val="en-US"/>
              </w:rPr>
              <w:t>349.3</w:t>
            </w:r>
          </w:p>
        </w:tc>
        <w:tc>
          <w:tcPr>
            <w:tcW w:w="1275" w:type="dxa"/>
            <w:tcBorders>
              <w:top w:val="nil"/>
              <w:left w:val="nil"/>
              <w:bottom w:val="single" w:sz="4" w:space="0" w:color="auto"/>
              <w:right w:val="single" w:sz="4" w:space="0" w:color="auto"/>
            </w:tcBorders>
            <w:vAlign w:val="bottom"/>
          </w:tcPr>
          <w:p w14:paraId="516ABDFE" w14:textId="77777777" w:rsidR="00CF5463" w:rsidRPr="00C921DE" w:rsidRDefault="00CF5463" w:rsidP="00B90318">
            <w:pPr>
              <w:jc w:val="right"/>
              <w:rPr>
                <w:rFonts w:ascii="GHEA Grapalat" w:hAnsi="GHEA Grapalat"/>
                <w:bCs/>
                <w:sz w:val="18"/>
                <w:szCs w:val="18"/>
                <w:lang w:val="en-US"/>
              </w:rPr>
            </w:pPr>
            <w:r w:rsidRPr="00C921DE">
              <w:rPr>
                <w:rFonts w:ascii="GHEA Grapalat" w:hAnsi="GHEA Grapalat"/>
                <w:bCs/>
                <w:sz w:val="18"/>
                <w:szCs w:val="18"/>
                <w:lang w:val="en-US"/>
              </w:rPr>
              <w:t>60.7</w:t>
            </w:r>
          </w:p>
        </w:tc>
      </w:tr>
      <w:tr w:rsidR="00B90318" w:rsidRPr="00C921DE" w14:paraId="53D1B781" w14:textId="77777777" w:rsidTr="00B90318">
        <w:trPr>
          <w:trHeight w:val="312"/>
        </w:trPr>
        <w:tc>
          <w:tcPr>
            <w:tcW w:w="3828" w:type="dxa"/>
            <w:tcBorders>
              <w:top w:val="single" w:sz="4" w:space="0" w:color="auto"/>
              <w:left w:val="single" w:sz="4" w:space="0" w:color="auto"/>
              <w:bottom w:val="single" w:sz="4" w:space="0" w:color="auto"/>
              <w:right w:val="single" w:sz="4" w:space="0" w:color="auto"/>
            </w:tcBorders>
            <w:noWrap/>
            <w:vAlign w:val="bottom"/>
          </w:tcPr>
          <w:p w14:paraId="5112636E" w14:textId="1E0AF60F" w:rsidR="00B90318" w:rsidRPr="00C921DE" w:rsidRDefault="00B90318" w:rsidP="00B90318">
            <w:pPr>
              <w:ind w:left="340"/>
              <w:rPr>
                <w:rFonts w:ascii="GHEA Grapalat" w:hAnsi="GHEA Grapalat" w:cs="Calibri"/>
                <w:sz w:val="18"/>
                <w:szCs w:val="18"/>
              </w:rPr>
            </w:pPr>
            <w:r w:rsidRPr="00C921DE">
              <w:rPr>
                <w:rFonts w:ascii="GHEA Grapalat" w:hAnsi="GHEA Grapalat" w:cs="Calibri"/>
                <w:sz w:val="18"/>
                <w:szCs w:val="18"/>
                <w:lang w:val="en-US"/>
              </w:rPr>
              <w:t>ԵՄ</w:t>
            </w:r>
          </w:p>
        </w:tc>
        <w:tc>
          <w:tcPr>
            <w:tcW w:w="1134" w:type="dxa"/>
            <w:tcBorders>
              <w:top w:val="single" w:sz="4" w:space="0" w:color="auto"/>
              <w:left w:val="single" w:sz="4" w:space="0" w:color="auto"/>
              <w:bottom w:val="single" w:sz="4" w:space="0" w:color="auto"/>
              <w:right w:val="single" w:sz="4" w:space="0" w:color="auto"/>
            </w:tcBorders>
            <w:vAlign w:val="bottom"/>
          </w:tcPr>
          <w:p w14:paraId="497D5771" w14:textId="258E5725" w:rsidR="00B90318" w:rsidRPr="00C921DE" w:rsidRDefault="00B90318" w:rsidP="00B90318">
            <w:pPr>
              <w:jc w:val="right"/>
              <w:rPr>
                <w:rFonts w:ascii="GHEA Grapalat" w:hAnsi="GHEA Grapalat" w:cs="Calibri"/>
                <w:sz w:val="18"/>
                <w:szCs w:val="18"/>
                <w:lang w:val="en-US"/>
              </w:rPr>
            </w:pPr>
            <w:r w:rsidRPr="00C921DE">
              <w:rPr>
                <w:rFonts w:ascii="GHEA Grapalat" w:hAnsi="GHEA Grapalat" w:cs="Calibri"/>
                <w:sz w:val="18"/>
                <w:szCs w:val="18"/>
                <w:lang w:val="en-US"/>
              </w:rPr>
              <w:t>5.9</w:t>
            </w:r>
          </w:p>
        </w:tc>
        <w:tc>
          <w:tcPr>
            <w:tcW w:w="1134" w:type="dxa"/>
            <w:tcBorders>
              <w:top w:val="single" w:sz="4" w:space="0" w:color="auto"/>
              <w:left w:val="single" w:sz="4" w:space="0" w:color="auto"/>
              <w:bottom w:val="single" w:sz="4" w:space="0" w:color="auto"/>
              <w:right w:val="single" w:sz="4" w:space="0" w:color="auto"/>
            </w:tcBorders>
            <w:noWrap/>
            <w:vAlign w:val="bottom"/>
          </w:tcPr>
          <w:p w14:paraId="689053C7" w14:textId="60B1FB09" w:rsidR="00B90318" w:rsidRPr="00C921DE" w:rsidRDefault="00B90318" w:rsidP="00B90318">
            <w:pPr>
              <w:jc w:val="right"/>
              <w:rPr>
                <w:rFonts w:ascii="GHEA Grapalat" w:hAnsi="GHEA Grapalat" w:cs="Arial"/>
                <w:sz w:val="20"/>
                <w:szCs w:val="20"/>
              </w:rPr>
            </w:pPr>
            <w:r w:rsidRPr="00C921DE">
              <w:rPr>
                <w:rFonts w:ascii="GHEA Grapalat" w:hAnsi="GHEA Grapalat" w:cs="Calibri"/>
                <w:sz w:val="18"/>
                <w:szCs w:val="18"/>
                <w:lang w:val="en-US"/>
              </w:rPr>
              <w:t>1.1</w:t>
            </w:r>
          </w:p>
        </w:tc>
        <w:tc>
          <w:tcPr>
            <w:tcW w:w="992" w:type="dxa"/>
            <w:tcBorders>
              <w:top w:val="single" w:sz="4" w:space="0" w:color="auto"/>
              <w:left w:val="nil"/>
              <w:bottom w:val="single" w:sz="4" w:space="0" w:color="auto"/>
              <w:right w:val="single" w:sz="4" w:space="0" w:color="auto"/>
            </w:tcBorders>
            <w:noWrap/>
            <w:vAlign w:val="bottom"/>
          </w:tcPr>
          <w:p w14:paraId="03EAEF4F" w14:textId="26F864E2" w:rsidR="00B90318" w:rsidRPr="00C921DE" w:rsidRDefault="00B90318" w:rsidP="00B90318">
            <w:pPr>
              <w:jc w:val="right"/>
              <w:rPr>
                <w:rFonts w:ascii="GHEA Grapalat" w:hAnsi="GHEA Grapalat" w:cs="Calibri"/>
                <w:sz w:val="18"/>
                <w:szCs w:val="18"/>
                <w:lang w:val="en-US"/>
              </w:rPr>
            </w:pPr>
            <w:r w:rsidRPr="00C921DE">
              <w:rPr>
                <w:rFonts w:ascii="GHEA Grapalat" w:hAnsi="GHEA Grapalat" w:cs="Calibri"/>
                <w:sz w:val="18"/>
                <w:szCs w:val="18"/>
                <w:lang w:val="en-US"/>
              </w:rPr>
              <w:t>3.8</w:t>
            </w:r>
          </w:p>
        </w:tc>
        <w:tc>
          <w:tcPr>
            <w:tcW w:w="1843" w:type="dxa"/>
            <w:tcBorders>
              <w:top w:val="single" w:sz="4" w:space="0" w:color="auto"/>
              <w:left w:val="nil"/>
              <w:bottom w:val="single" w:sz="4" w:space="0" w:color="auto"/>
              <w:right w:val="single" w:sz="4" w:space="0" w:color="auto"/>
            </w:tcBorders>
            <w:noWrap/>
            <w:vAlign w:val="bottom"/>
          </w:tcPr>
          <w:p w14:paraId="66EB6065" w14:textId="2242F910" w:rsidR="00B90318" w:rsidRPr="00C921DE" w:rsidRDefault="00B90318" w:rsidP="00B90318">
            <w:pPr>
              <w:jc w:val="right"/>
              <w:rPr>
                <w:rFonts w:ascii="GHEA Grapalat" w:hAnsi="GHEA Grapalat"/>
                <w:bCs/>
                <w:sz w:val="18"/>
                <w:szCs w:val="18"/>
                <w:lang w:val="en-US"/>
              </w:rPr>
            </w:pPr>
            <w:r w:rsidRPr="00C921DE">
              <w:rPr>
                <w:rFonts w:ascii="GHEA Grapalat" w:hAnsi="GHEA Grapalat" w:cs="Calibri"/>
                <w:sz w:val="18"/>
                <w:szCs w:val="18"/>
                <w:lang w:val="en-US"/>
              </w:rPr>
              <w:t>355.3</w:t>
            </w:r>
          </w:p>
        </w:tc>
        <w:tc>
          <w:tcPr>
            <w:tcW w:w="1275" w:type="dxa"/>
            <w:tcBorders>
              <w:top w:val="single" w:sz="4" w:space="0" w:color="auto"/>
              <w:left w:val="nil"/>
              <w:bottom w:val="single" w:sz="4" w:space="0" w:color="auto"/>
              <w:right w:val="single" w:sz="4" w:space="0" w:color="auto"/>
            </w:tcBorders>
            <w:vAlign w:val="bottom"/>
          </w:tcPr>
          <w:p w14:paraId="6EDDF375" w14:textId="7E598ECF" w:rsidR="00B90318" w:rsidRPr="00C921DE" w:rsidRDefault="00B90318" w:rsidP="00B90318">
            <w:pPr>
              <w:jc w:val="right"/>
              <w:rPr>
                <w:rFonts w:ascii="GHEA Grapalat" w:hAnsi="GHEA Grapalat"/>
                <w:bCs/>
                <w:sz w:val="18"/>
                <w:szCs w:val="18"/>
                <w:lang w:val="en-US"/>
              </w:rPr>
            </w:pPr>
            <w:r w:rsidRPr="00C921DE">
              <w:rPr>
                <w:rFonts w:ascii="GHEA Grapalat" w:hAnsi="GHEA Grapalat" w:cs="Calibri"/>
                <w:sz w:val="18"/>
                <w:szCs w:val="18"/>
                <w:lang w:val="en-US"/>
              </w:rPr>
              <w:t>63.9</w:t>
            </w:r>
          </w:p>
        </w:tc>
      </w:tr>
      <w:tr w:rsidR="00B90318" w:rsidRPr="00C921DE" w14:paraId="1BF7E418" w14:textId="77777777" w:rsidTr="00B90318">
        <w:trPr>
          <w:trHeight w:val="312"/>
        </w:trPr>
        <w:tc>
          <w:tcPr>
            <w:tcW w:w="3828" w:type="dxa"/>
            <w:tcBorders>
              <w:top w:val="single" w:sz="4" w:space="0" w:color="auto"/>
              <w:left w:val="single" w:sz="4" w:space="0" w:color="auto"/>
              <w:bottom w:val="single" w:sz="4" w:space="0" w:color="auto"/>
              <w:right w:val="single" w:sz="4" w:space="0" w:color="auto"/>
            </w:tcBorders>
            <w:noWrap/>
            <w:vAlign w:val="bottom"/>
          </w:tcPr>
          <w:p w14:paraId="2F79AE33" w14:textId="4CC89DA6" w:rsidR="00B90318" w:rsidRPr="00C921DE" w:rsidRDefault="00B90318" w:rsidP="00B90318">
            <w:pPr>
              <w:ind w:left="340"/>
              <w:rPr>
                <w:rFonts w:ascii="GHEA Grapalat" w:hAnsi="GHEA Grapalat" w:cs="Calibri"/>
                <w:sz w:val="18"/>
                <w:szCs w:val="18"/>
              </w:rPr>
            </w:pPr>
            <w:r w:rsidRPr="00C921DE">
              <w:rPr>
                <w:rFonts w:ascii="GHEA Grapalat" w:hAnsi="GHEA Grapalat" w:cs="Calibri"/>
                <w:sz w:val="18"/>
                <w:szCs w:val="18"/>
                <w:lang w:val="en-US"/>
              </w:rPr>
              <w:t>ՄԱԿ</w:t>
            </w:r>
          </w:p>
        </w:tc>
        <w:tc>
          <w:tcPr>
            <w:tcW w:w="1134" w:type="dxa"/>
            <w:tcBorders>
              <w:top w:val="single" w:sz="4" w:space="0" w:color="auto"/>
              <w:left w:val="single" w:sz="4" w:space="0" w:color="auto"/>
              <w:bottom w:val="single" w:sz="4" w:space="0" w:color="auto"/>
              <w:right w:val="single" w:sz="4" w:space="0" w:color="auto"/>
            </w:tcBorders>
            <w:vAlign w:val="bottom"/>
          </w:tcPr>
          <w:p w14:paraId="6A1CA84D" w14:textId="4754CC49" w:rsidR="00B90318" w:rsidRPr="00C921DE" w:rsidRDefault="00B90318" w:rsidP="00B90318">
            <w:pPr>
              <w:jc w:val="right"/>
              <w:rPr>
                <w:rFonts w:ascii="GHEA Grapalat" w:hAnsi="GHEA Grapalat" w:cs="Calibri"/>
                <w:sz w:val="18"/>
                <w:szCs w:val="18"/>
                <w:lang w:val="en-US"/>
              </w:rPr>
            </w:pPr>
            <w:r w:rsidRPr="00C921DE">
              <w:rPr>
                <w:rFonts w:ascii="GHEA Grapalat" w:hAnsi="GHEA Grapalat" w:cs="Calibri"/>
                <w:sz w:val="18"/>
                <w:szCs w:val="18"/>
                <w:lang w:val="en-US"/>
              </w:rPr>
              <w:t>0.2</w:t>
            </w:r>
          </w:p>
        </w:tc>
        <w:tc>
          <w:tcPr>
            <w:tcW w:w="1134" w:type="dxa"/>
            <w:tcBorders>
              <w:top w:val="single" w:sz="4" w:space="0" w:color="auto"/>
              <w:left w:val="single" w:sz="4" w:space="0" w:color="auto"/>
              <w:bottom w:val="single" w:sz="4" w:space="0" w:color="auto"/>
              <w:right w:val="single" w:sz="4" w:space="0" w:color="auto"/>
            </w:tcBorders>
            <w:noWrap/>
            <w:vAlign w:val="bottom"/>
          </w:tcPr>
          <w:p w14:paraId="687180A4" w14:textId="1B2DE457" w:rsidR="00B90318" w:rsidRPr="00C921DE" w:rsidRDefault="00B90318" w:rsidP="00B90318">
            <w:pPr>
              <w:jc w:val="right"/>
              <w:rPr>
                <w:rFonts w:ascii="GHEA Grapalat" w:hAnsi="GHEA Grapalat" w:cs="Arial"/>
                <w:sz w:val="20"/>
                <w:szCs w:val="20"/>
              </w:rPr>
            </w:pPr>
            <w:r w:rsidRPr="00C921DE">
              <w:rPr>
                <w:rFonts w:ascii="GHEA Grapalat" w:hAnsi="GHEA Grapalat" w:cs="Calibri"/>
                <w:sz w:val="18"/>
                <w:szCs w:val="18"/>
                <w:lang w:val="en-US"/>
              </w:rPr>
              <w:t>0.0</w:t>
            </w:r>
          </w:p>
        </w:tc>
        <w:tc>
          <w:tcPr>
            <w:tcW w:w="992" w:type="dxa"/>
            <w:tcBorders>
              <w:top w:val="single" w:sz="4" w:space="0" w:color="auto"/>
              <w:left w:val="nil"/>
              <w:bottom w:val="single" w:sz="4" w:space="0" w:color="auto"/>
              <w:right w:val="single" w:sz="4" w:space="0" w:color="auto"/>
            </w:tcBorders>
            <w:noWrap/>
            <w:vAlign w:val="bottom"/>
          </w:tcPr>
          <w:p w14:paraId="6560F848" w14:textId="4A9D8C96" w:rsidR="00B90318" w:rsidRPr="00C921DE" w:rsidRDefault="00B90318" w:rsidP="00B90318">
            <w:pPr>
              <w:jc w:val="right"/>
              <w:rPr>
                <w:rFonts w:ascii="GHEA Grapalat" w:hAnsi="GHEA Grapalat" w:cs="Calibri"/>
                <w:sz w:val="18"/>
                <w:szCs w:val="18"/>
                <w:lang w:val="en-US"/>
              </w:rPr>
            </w:pPr>
            <w:r w:rsidRPr="00C921DE">
              <w:rPr>
                <w:rFonts w:ascii="GHEA Grapalat" w:hAnsi="GHEA Grapalat" w:cs="Calibri"/>
                <w:sz w:val="18"/>
                <w:szCs w:val="18"/>
                <w:lang w:val="en-US"/>
              </w:rPr>
              <w:t>0.03</w:t>
            </w:r>
          </w:p>
        </w:tc>
        <w:tc>
          <w:tcPr>
            <w:tcW w:w="1843" w:type="dxa"/>
            <w:tcBorders>
              <w:top w:val="single" w:sz="4" w:space="0" w:color="auto"/>
              <w:left w:val="nil"/>
              <w:bottom w:val="single" w:sz="4" w:space="0" w:color="auto"/>
              <w:right w:val="single" w:sz="4" w:space="0" w:color="auto"/>
            </w:tcBorders>
            <w:noWrap/>
            <w:vAlign w:val="bottom"/>
          </w:tcPr>
          <w:p w14:paraId="5421C0CA" w14:textId="19272C10" w:rsidR="00B90318" w:rsidRPr="00C921DE" w:rsidRDefault="00B90318" w:rsidP="00B90318">
            <w:pPr>
              <w:jc w:val="right"/>
              <w:rPr>
                <w:rFonts w:ascii="GHEA Grapalat" w:hAnsi="GHEA Grapalat"/>
                <w:bCs/>
                <w:sz w:val="18"/>
                <w:szCs w:val="18"/>
                <w:lang w:val="en-US"/>
              </w:rPr>
            </w:pPr>
            <w:r w:rsidRPr="00C921DE">
              <w:rPr>
                <w:rFonts w:ascii="GHEA Grapalat" w:hAnsi="GHEA Grapalat" w:cs="Calibri"/>
                <w:sz w:val="18"/>
                <w:szCs w:val="18"/>
                <w:lang w:val="en-US"/>
              </w:rPr>
              <w:t>100.0</w:t>
            </w:r>
          </w:p>
        </w:tc>
        <w:tc>
          <w:tcPr>
            <w:tcW w:w="1275" w:type="dxa"/>
            <w:tcBorders>
              <w:top w:val="single" w:sz="4" w:space="0" w:color="auto"/>
              <w:left w:val="nil"/>
              <w:bottom w:val="single" w:sz="4" w:space="0" w:color="auto"/>
              <w:right w:val="single" w:sz="4" w:space="0" w:color="auto"/>
            </w:tcBorders>
            <w:vAlign w:val="bottom"/>
          </w:tcPr>
          <w:p w14:paraId="2DEDEF08" w14:textId="0ED225ED" w:rsidR="00B90318" w:rsidRPr="00C921DE" w:rsidRDefault="00B90318" w:rsidP="00B90318">
            <w:pPr>
              <w:jc w:val="right"/>
              <w:rPr>
                <w:rFonts w:ascii="GHEA Grapalat" w:hAnsi="GHEA Grapalat"/>
                <w:bCs/>
                <w:sz w:val="18"/>
                <w:szCs w:val="18"/>
                <w:lang w:val="en-US"/>
              </w:rPr>
            </w:pPr>
            <w:r w:rsidRPr="00C921DE">
              <w:rPr>
                <w:rFonts w:ascii="GHEA Grapalat" w:hAnsi="GHEA Grapalat" w:cs="Calibri"/>
                <w:sz w:val="18"/>
                <w:szCs w:val="18"/>
                <w:lang w:val="en-US"/>
              </w:rPr>
              <w:t>13.9</w:t>
            </w:r>
          </w:p>
        </w:tc>
      </w:tr>
      <w:tr w:rsidR="00B90318" w:rsidRPr="00C921DE" w14:paraId="57EA42D2" w14:textId="77777777" w:rsidTr="00B90318">
        <w:trPr>
          <w:trHeight w:val="312"/>
        </w:trPr>
        <w:tc>
          <w:tcPr>
            <w:tcW w:w="3828" w:type="dxa"/>
            <w:tcBorders>
              <w:top w:val="single" w:sz="4" w:space="0" w:color="auto"/>
              <w:left w:val="single" w:sz="4" w:space="0" w:color="auto"/>
              <w:bottom w:val="single" w:sz="4" w:space="0" w:color="auto"/>
              <w:right w:val="single" w:sz="4" w:space="0" w:color="auto"/>
            </w:tcBorders>
            <w:noWrap/>
            <w:vAlign w:val="bottom"/>
          </w:tcPr>
          <w:p w14:paraId="75D8CA1D" w14:textId="6690D9C3" w:rsidR="00B90318" w:rsidRPr="00C921DE" w:rsidRDefault="00B90318" w:rsidP="00B90318">
            <w:pPr>
              <w:ind w:left="340"/>
              <w:rPr>
                <w:rFonts w:ascii="GHEA Grapalat" w:hAnsi="GHEA Grapalat" w:cs="Calibri"/>
                <w:sz w:val="18"/>
                <w:szCs w:val="18"/>
              </w:rPr>
            </w:pPr>
            <w:r w:rsidRPr="00C921DE">
              <w:rPr>
                <w:rFonts w:ascii="GHEA Grapalat" w:hAnsi="GHEA Grapalat" w:cs="Calibri"/>
                <w:sz w:val="18"/>
                <w:szCs w:val="18"/>
                <w:lang w:val="en-US"/>
              </w:rPr>
              <w:t>ՀԲ</w:t>
            </w:r>
          </w:p>
        </w:tc>
        <w:tc>
          <w:tcPr>
            <w:tcW w:w="1134" w:type="dxa"/>
            <w:tcBorders>
              <w:top w:val="single" w:sz="4" w:space="0" w:color="auto"/>
              <w:left w:val="single" w:sz="4" w:space="0" w:color="auto"/>
              <w:bottom w:val="single" w:sz="4" w:space="0" w:color="auto"/>
              <w:right w:val="single" w:sz="4" w:space="0" w:color="auto"/>
            </w:tcBorders>
            <w:vAlign w:val="bottom"/>
          </w:tcPr>
          <w:p w14:paraId="18CEA2D7" w14:textId="07C4B9B5" w:rsidR="00B90318" w:rsidRPr="00C921DE" w:rsidRDefault="00B90318" w:rsidP="00B90318">
            <w:pPr>
              <w:jc w:val="right"/>
              <w:rPr>
                <w:rFonts w:ascii="GHEA Grapalat" w:hAnsi="GHEA Grapalat" w:cs="Calibri"/>
                <w:sz w:val="18"/>
                <w:szCs w:val="18"/>
                <w:lang w:val="en-US"/>
              </w:rPr>
            </w:pPr>
            <w:r w:rsidRPr="00C921DE">
              <w:rPr>
                <w:rFonts w:ascii="GHEA Grapalat" w:hAnsi="GHEA Grapalat" w:cs="Calibri"/>
                <w:sz w:val="18"/>
                <w:szCs w:val="18"/>
                <w:lang w:val="en-US"/>
              </w:rPr>
              <w:t>0.2</w:t>
            </w:r>
          </w:p>
        </w:tc>
        <w:tc>
          <w:tcPr>
            <w:tcW w:w="1134" w:type="dxa"/>
            <w:tcBorders>
              <w:top w:val="single" w:sz="4" w:space="0" w:color="auto"/>
              <w:left w:val="single" w:sz="4" w:space="0" w:color="auto"/>
              <w:bottom w:val="single" w:sz="4" w:space="0" w:color="auto"/>
              <w:right w:val="single" w:sz="4" w:space="0" w:color="auto"/>
            </w:tcBorders>
            <w:noWrap/>
            <w:vAlign w:val="bottom"/>
          </w:tcPr>
          <w:p w14:paraId="4A49BF96" w14:textId="21150310" w:rsidR="00B90318" w:rsidRPr="00C921DE" w:rsidRDefault="00B90318" w:rsidP="00B90318">
            <w:pPr>
              <w:jc w:val="right"/>
              <w:rPr>
                <w:rFonts w:ascii="GHEA Grapalat" w:hAnsi="GHEA Grapalat" w:cs="Arial"/>
                <w:sz w:val="20"/>
                <w:szCs w:val="20"/>
              </w:rPr>
            </w:pPr>
            <w:r w:rsidRPr="00C921DE">
              <w:rPr>
                <w:rFonts w:ascii="GHEA Grapalat" w:hAnsi="GHEA Grapalat" w:cs="Calibri"/>
                <w:sz w:val="18"/>
                <w:szCs w:val="18"/>
                <w:lang w:val="en-US"/>
              </w:rPr>
              <w:t>0.0</w:t>
            </w:r>
          </w:p>
        </w:tc>
        <w:tc>
          <w:tcPr>
            <w:tcW w:w="992" w:type="dxa"/>
            <w:tcBorders>
              <w:top w:val="single" w:sz="4" w:space="0" w:color="auto"/>
              <w:left w:val="nil"/>
              <w:bottom w:val="single" w:sz="4" w:space="0" w:color="auto"/>
              <w:right w:val="single" w:sz="4" w:space="0" w:color="auto"/>
            </w:tcBorders>
            <w:noWrap/>
            <w:vAlign w:val="bottom"/>
          </w:tcPr>
          <w:p w14:paraId="0A47C127" w14:textId="3E718D65" w:rsidR="00B90318" w:rsidRPr="00C921DE" w:rsidRDefault="00B90318" w:rsidP="00B90318">
            <w:pPr>
              <w:jc w:val="right"/>
              <w:rPr>
                <w:rFonts w:ascii="GHEA Grapalat" w:hAnsi="GHEA Grapalat" w:cs="Calibri"/>
                <w:sz w:val="18"/>
                <w:szCs w:val="18"/>
                <w:lang w:val="en-US"/>
              </w:rPr>
            </w:pPr>
            <w:r w:rsidRPr="00C921DE">
              <w:rPr>
                <w:rFonts w:ascii="GHEA Grapalat" w:hAnsi="GHEA Grapalat" w:cs="Calibri"/>
                <w:sz w:val="18"/>
                <w:szCs w:val="18"/>
                <w:lang w:val="en-US"/>
              </w:rPr>
              <w:t>0.0</w:t>
            </w:r>
          </w:p>
        </w:tc>
        <w:tc>
          <w:tcPr>
            <w:tcW w:w="1843" w:type="dxa"/>
            <w:tcBorders>
              <w:top w:val="single" w:sz="4" w:space="0" w:color="auto"/>
              <w:left w:val="nil"/>
              <w:bottom w:val="single" w:sz="4" w:space="0" w:color="auto"/>
              <w:right w:val="single" w:sz="4" w:space="0" w:color="auto"/>
            </w:tcBorders>
            <w:noWrap/>
            <w:vAlign w:val="bottom"/>
          </w:tcPr>
          <w:p w14:paraId="7DC9989B" w14:textId="687607BD" w:rsidR="00B90318" w:rsidRPr="00C921DE" w:rsidRDefault="00B90318" w:rsidP="00B90318">
            <w:pPr>
              <w:jc w:val="right"/>
              <w:rPr>
                <w:rFonts w:ascii="GHEA Grapalat" w:hAnsi="GHEA Grapalat"/>
                <w:bCs/>
                <w:sz w:val="18"/>
                <w:szCs w:val="18"/>
                <w:lang w:val="en-US"/>
              </w:rPr>
            </w:pPr>
            <w:r w:rsidRPr="00C921DE">
              <w:rPr>
                <w:rFonts w:ascii="GHEA Grapalat" w:hAnsi="GHEA Grapalat" w:cs="Calibri"/>
                <w:sz w:val="18"/>
                <w:szCs w:val="18"/>
                <w:lang w:val="en-US"/>
              </w:rPr>
              <w:t>-</w:t>
            </w:r>
          </w:p>
        </w:tc>
        <w:tc>
          <w:tcPr>
            <w:tcW w:w="1275" w:type="dxa"/>
            <w:tcBorders>
              <w:top w:val="single" w:sz="4" w:space="0" w:color="auto"/>
              <w:left w:val="nil"/>
              <w:bottom w:val="single" w:sz="4" w:space="0" w:color="auto"/>
              <w:right w:val="single" w:sz="4" w:space="0" w:color="auto"/>
            </w:tcBorders>
            <w:vAlign w:val="bottom"/>
          </w:tcPr>
          <w:p w14:paraId="39F06F4A" w14:textId="1313DEC4" w:rsidR="00B90318" w:rsidRPr="00C921DE" w:rsidRDefault="00B90318" w:rsidP="00B90318">
            <w:pPr>
              <w:jc w:val="right"/>
              <w:rPr>
                <w:rFonts w:ascii="GHEA Grapalat" w:hAnsi="GHEA Grapalat"/>
                <w:bCs/>
                <w:sz w:val="18"/>
                <w:szCs w:val="18"/>
                <w:lang w:val="en-US"/>
              </w:rPr>
            </w:pPr>
            <w:r w:rsidRPr="00C921DE">
              <w:rPr>
                <w:rFonts w:ascii="GHEA Grapalat" w:hAnsi="GHEA Grapalat" w:cs="Calibri"/>
                <w:sz w:val="18"/>
                <w:szCs w:val="18"/>
                <w:lang w:val="en-US"/>
              </w:rPr>
              <w:t>0.0</w:t>
            </w:r>
          </w:p>
        </w:tc>
      </w:tr>
    </w:tbl>
    <w:p w14:paraId="4AE55736" w14:textId="77777777" w:rsidR="00CF5463" w:rsidRPr="00C921DE" w:rsidRDefault="00CF5463" w:rsidP="00036608">
      <w:pPr>
        <w:spacing w:line="360" w:lineRule="auto"/>
        <w:ind w:right="9" w:firstLine="567"/>
        <w:jc w:val="both"/>
        <w:rPr>
          <w:rFonts w:ascii="GHEA Grapalat" w:hAnsi="GHEA Grapalat" w:cs="Calibri"/>
          <w:sz w:val="22"/>
          <w:szCs w:val="22"/>
        </w:rPr>
      </w:pPr>
    </w:p>
    <w:p w14:paraId="5B4F9BAA" w14:textId="79878561" w:rsidR="00CF5463" w:rsidRPr="00C921DE" w:rsidRDefault="00120AAA"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lang w:val="en-US"/>
        </w:rPr>
        <w:t xml:space="preserve">Նպատակային դրամաշնորհների համեմատաբար ցածր ցուցանիշը պայմանավորված է նշված միջոցների հաշվին իրականացվող ծրագրերի կատարողականով: </w:t>
      </w:r>
      <w:r w:rsidR="00CF5463" w:rsidRPr="00C921DE">
        <w:rPr>
          <w:rFonts w:ascii="GHEA Grapalat" w:hAnsi="GHEA Grapalat" w:cs="Calibri"/>
          <w:sz w:val="22"/>
          <w:szCs w:val="22"/>
        </w:rPr>
        <w:t>Նպատակային ծրագրերից 3-ի շրջանակներում նախատեսված 141.3 մլն դրամ դրամաշնորհները չեն ստացվել, իսկ 10 ծրագրերի շրջանակներում նախատեսված միջոցները ստացվել են մասնակիորեն՝ ապահովելով 60.2% կատարողական, որոնք կազմել են 3.8 մլրդ դրամ: Միևնույն ժամանակ 7 ծրագրերի շրջանակներում ստացվել են նախատեսվածից ավել դրամաշնորհներ՝ ընդհանուր առմամբ կազմելով 5.5 մլրդ դրամ և 15.5%-ով (739.1 մլն դրամով) գերազանցելով տարեկան ծրագրված մուտքերը:</w:t>
      </w:r>
    </w:p>
    <w:p w14:paraId="6E782DB5" w14:textId="77777777" w:rsidR="00036608" w:rsidRPr="00C921DE" w:rsidRDefault="00036608" w:rsidP="00CF5463">
      <w:pPr>
        <w:spacing w:line="360" w:lineRule="auto"/>
        <w:ind w:right="9" w:firstLine="567"/>
        <w:jc w:val="both"/>
        <w:rPr>
          <w:rFonts w:ascii="GHEA Grapalat" w:hAnsi="GHEA Grapalat" w:cs="Calibri"/>
          <w:sz w:val="22"/>
          <w:szCs w:val="22"/>
        </w:rPr>
      </w:pPr>
    </w:p>
    <w:p w14:paraId="1813BBED" w14:textId="77777777" w:rsidR="00CF5463" w:rsidRPr="00C921DE" w:rsidRDefault="00CF5463" w:rsidP="004C12B8">
      <w:pPr>
        <w:pStyle w:val="a"/>
      </w:pPr>
      <w:r w:rsidRPr="00C921DE">
        <w:t>Նպատակային դրամաշնորհներն ըստ դոնորների (մլն դրամ)</w:t>
      </w:r>
    </w:p>
    <w:p w14:paraId="481D2D8B" w14:textId="77777777" w:rsidR="00CF5463" w:rsidRPr="00C921DE" w:rsidRDefault="00CF5463" w:rsidP="004C12B8">
      <w:pPr>
        <w:pStyle w:val="a"/>
        <w:numPr>
          <w:ilvl w:val="0"/>
          <w:numId w:val="0"/>
        </w:numPr>
      </w:pPr>
      <w:r w:rsidRPr="00C921DE">
        <w:rPr>
          <w:noProof/>
        </w:rPr>
        <w:drawing>
          <wp:inline distT="0" distB="0" distL="0" distR="0" wp14:anchorId="4E6D54D5" wp14:editId="218E04D7">
            <wp:extent cx="6391275" cy="4943475"/>
            <wp:effectExtent l="0" t="0" r="9525" b="9525"/>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268FB0D" w14:textId="77777777" w:rsidR="00CF5463" w:rsidRPr="00C921DE" w:rsidRDefault="00CF5463" w:rsidP="00036608">
      <w:pPr>
        <w:spacing w:line="360" w:lineRule="auto"/>
        <w:ind w:right="9" w:firstLine="567"/>
        <w:jc w:val="both"/>
        <w:rPr>
          <w:rFonts w:ascii="GHEA Grapalat" w:hAnsi="GHEA Grapalat" w:cs="Calibri"/>
          <w:sz w:val="22"/>
          <w:szCs w:val="22"/>
        </w:rPr>
      </w:pPr>
    </w:p>
    <w:p w14:paraId="3073D520" w14:textId="1E0EA9D6"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ԵՄ բյուջետային աջակցո</w:t>
      </w:r>
      <w:bookmarkStart w:id="173" w:name="_GoBack"/>
      <w:bookmarkEnd w:id="173"/>
      <w:r w:rsidRPr="00C921DE">
        <w:rPr>
          <w:rFonts w:ascii="GHEA Grapalat" w:hAnsi="GHEA Grapalat" w:cs="Calibri"/>
          <w:sz w:val="22"/>
          <w:szCs w:val="22"/>
        </w:rPr>
        <w:t xml:space="preserve">ւթյան շրջանակներում </w:t>
      </w:r>
      <w:r w:rsidR="00EF2AD5" w:rsidRPr="00C921DE">
        <w:rPr>
          <w:rFonts w:ascii="GHEA Grapalat" w:hAnsi="GHEA Grapalat" w:cs="Calibri"/>
          <w:sz w:val="22"/>
          <w:szCs w:val="22"/>
          <w:lang w:val="en-US"/>
        </w:rPr>
        <w:t>ստաց</w:t>
      </w:r>
      <w:r w:rsidR="00EF2AD5" w:rsidRPr="00C921DE">
        <w:rPr>
          <w:rFonts w:ascii="GHEA Grapalat" w:hAnsi="GHEA Grapalat" w:cs="Calibri"/>
          <w:sz w:val="22"/>
          <w:szCs w:val="22"/>
        </w:rPr>
        <w:t>ված դրամաշնորհներ</w:t>
      </w:r>
      <w:r w:rsidRPr="00C921DE">
        <w:rPr>
          <w:rFonts w:ascii="GHEA Grapalat" w:hAnsi="GHEA Grapalat" w:cs="Calibri"/>
          <w:sz w:val="22"/>
          <w:szCs w:val="22"/>
        </w:rPr>
        <w:t>ը գե</w:t>
      </w:r>
      <w:r w:rsidR="001515AB" w:rsidRPr="00C921DE">
        <w:rPr>
          <w:rFonts w:ascii="GHEA Grapalat" w:hAnsi="GHEA Grapalat" w:cs="Calibri"/>
          <w:sz w:val="22"/>
          <w:szCs w:val="22"/>
        </w:rPr>
        <w:t xml:space="preserve">րազանցել </w:t>
      </w:r>
      <w:r w:rsidR="00EF2AD5" w:rsidRPr="00C921DE">
        <w:rPr>
          <w:rFonts w:ascii="GHEA Grapalat" w:hAnsi="GHEA Grapalat" w:cs="Calibri"/>
          <w:sz w:val="22"/>
          <w:szCs w:val="22"/>
          <w:lang w:val="en-US"/>
        </w:rPr>
        <w:t>են</w:t>
      </w:r>
      <w:r w:rsidR="001515AB" w:rsidRPr="00C921DE">
        <w:rPr>
          <w:rFonts w:ascii="GHEA Grapalat" w:hAnsi="GHEA Grapalat" w:cs="Calibri"/>
          <w:sz w:val="22"/>
          <w:szCs w:val="22"/>
        </w:rPr>
        <w:t xml:space="preserve"> ծրագր</w:t>
      </w:r>
      <w:r w:rsidRPr="00C921DE">
        <w:rPr>
          <w:rFonts w:ascii="GHEA Grapalat" w:hAnsi="GHEA Grapalat" w:cs="Calibri"/>
          <w:sz w:val="22"/>
          <w:szCs w:val="22"/>
        </w:rPr>
        <w:t>ված ցուցանիշը 3.5</w:t>
      </w:r>
      <w:r w:rsidR="001515AB" w:rsidRPr="00C921DE">
        <w:rPr>
          <w:rFonts w:ascii="GHEA Grapalat" w:hAnsi="GHEA Grapalat" w:cs="Calibri"/>
          <w:sz w:val="22"/>
          <w:szCs w:val="22"/>
        </w:rPr>
        <w:t xml:space="preserve"> անգամ</w:t>
      </w:r>
      <w:r w:rsidR="001515AB" w:rsidRPr="00C921DE">
        <w:rPr>
          <w:rFonts w:ascii="GHEA Grapalat" w:hAnsi="GHEA Grapalat" w:cs="Calibri"/>
          <w:sz w:val="22"/>
          <w:szCs w:val="22"/>
          <w:lang w:val="en-US"/>
        </w:rPr>
        <w:t>՝</w:t>
      </w:r>
      <w:r w:rsidR="001515AB" w:rsidRPr="00C921DE">
        <w:rPr>
          <w:rFonts w:ascii="GHEA Grapalat" w:hAnsi="GHEA Grapalat" w:cs="Calibri"/>
          <w:sz w:val="22"/>
          <w:szCs w:val="22"/>
        </w:rPr>
        <w:t xml:space="preserve"> կազմելով</w:t>
      </w:r>
      <w:r w:rsidRPr="00C921DE">
        <w:rPr>
          <w:rFonts w:ascii="GHEA Grapalat" w:hAnsi="GHEA Grapalat" w:cs="Calibri"/>
          <w:sz w:val="22"/>
          <w:szCs w:val="22"/>
        </w:rPr>
        <w:t xml:space="preserve"> շուրջ 3.8 մլրդ դրամ: Հայկական կողմը 2022-2023 թվականներին եվրոպական կողմին է ներկայացրել 2 ծրագրերի ֆինանսավորման համաձայնագրերի </w:t>
      </w:r>
      <w:r w:rsidRPr="00C921DE">
        <w:rPr>
          <w:rFonts w:ascii="GHEA Grapalat" w:hAnsi="GHEA Grapalat" w:cs="Calibri"/>
          <w:sz w:val="22"/>
          <w:szCs w:val="22"/>
        </w:rPr>
        <w:lastRenderedPageBreak/>
        <w:t>նախապայմանների իրականացման վերաբերյալ ինքնագնահատման զեկույցները և հիմնավորումները</w:t>
      </w:r>
      <w:r w:rsidR="001515AB" w:rsidRPr="00C921DE">
        <w:rPr>
          <w:rFonts w:ascii="GHEA Grapalat" w:hAnsi="GHEA Grapalat" w:cs="Calibri"/>
          <w:sz w:val="22"/>
          <w:szCs w:val="22"/>
        </w:rPr>
        <w:t>:</w:t>
      </w:r>
    </w:p>
    <w:p w14:paraId="66C3F754" w14:textId="4A13E444"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Մասնավորապես՝ բյուջետային աջակցության նպատակով հաշվետու ժամանակահատվածում Եվրամիության կողմից շուրջ 1.6 մլրդ դրամ (3.6 մլն եվրո)՝ տրամադրվել է «Աջակցություն Հայաստանում դատական ոլորտի բարեփոխումների իրականացմանը. Փուլ I» ծրագրի ֆինանսավորման համաձայնագրի շրջանակներում՝ </w:t>
      </w:r>
      <w:r w:rsidR="001515AB" w:rsidRPr="00C921DE">
        <w:rPr>
          <w:rFonts w:ascii="GHEA Grapalat" w:hAnsi="GHEA Grapalat" w:cs="Calibri"/>
          <w:sz w:val="22"/>
          <w:szCs w:val="22"/>
          <w:lang w:val="en-US"/>
        </w:rPr>
        <w:t>46.9%-ով գերազանցելով</w:t>
      </w:r>
      <w:r w:rsidRPr="00C921DE">
        <w:rPr>
          <w:rFonts w:ascii="GHEA Grapalat" w:hAnsi="GHEA Grapalat" w:cs="Calibri"/>
          <w:sz w:val="22"/>
          <w:szCs w:val="22"/>
        </w:rPr>
        <w:t xml:space="preserve"> տարեկան ծրագր</w:t>
      </w:r>
      <w:r w:rsidR="001515AB" w:rsidRPr="00C921DE">
        <w:rPr>
          <w:rFonts w:ascii="GHEA Grapalat" w:hAnsi="GHEA Grapalat" w:cs="Calibri"/>
          <w:sz w:val="22"/>
          <w:szCs w:val="22"/>
          <w:lang w:val="en-US"/>
        </w:rPr>
        <w:t>ային ցուցանիշը</w:t>
      </w:r>
      <w:r w:rsidRPr="00C921DE">
        <w:rPr>
          <w:rFonts w:ascii="GHEA Grapalat" w:hAnsi="GHEA Grapalat" w:cs="Calibri"/>
          <w:sz w:val="22"/>
          <w:szCs w:val="22"/>
        </w:rPr>
        <w:t xml:space="preserve"> (2.7</w:t>
      </w:r>
      <w:r w:rsidR="007714BE" w:rsidRPr="00C921DE">
        <w:rPr>
          <w:rFonts w:ascii="GHEA Grapalat" w:hAnsi="GHEA Grapalat" w:cs="Calibri"/>
          <w:sz w:val="22"/>
          <w:szCs w:val="22"/>
        </w:rPr>
        <w:t xml:space="preserve"> մլն եվրո)</w:t>
      </w:r>
      <w:r w:rsidRPr="00C921DE">
        <w:rPr>
          <w:rFonts w:ascii="GHEA Grapalat" w:hAnsi="GHEA Grapalat" w:cs="Calibri"/>
          <w:sz w:val="22"/>
          <w:szCs w:val="22"/>
        </w:rPr>
        <w:t xml:space="preserve">: Համաձայնագրի շրջանակում կատարվել են հետևյալ ընդհանուր նախապայմանները. </w:t>
      </w:r>
    </w:p>
    <w:p w14:paraId="06F42F08" w14:textId="77777777" w:rsidR="00CF5463" w:rsidRPr="00C921DE" w:rsidRDefault="00CF5463" w:rsidP="00D9331C">
      <w:pPr>
        <w:pStyle w:val="ListParagraph"/>
        <w:numPr>
          <w:ilvl w:val="0"/>
          <w:numId w:val="32"/>
        </w:numPr>
        <w:tabs>
          <w:tab w:val="left" w:pos="851"/>
        </w:tabs>
        <w:spacing w:line="360" w:lineRule="auto"/>
        <w:ind w:left="851" w:right="9" w:hanging="284"/>
        <w:jc w:val="both"/>
        <w:rPr>
          <w:rFonts w:ascii="GHEA Grapalat" w:hAnsi="GHEA Grapalat"/>
          <w:noProof/>
        </w:rPr>
      </w:pPr>
      <w:r w:rsidRPr="00C921DE">
        <w:rPr>
          <w:rFonts w:ascii="GHEA Grapalat" w:hAnsi="GHEA Grapalat"/>
          <w:noProof/>
        </w:rPr>
        <w:t>բավարար առաջընթաց՝ դատական և իրավական բարեփոխումների</w:t>
      </w:r>
      <w:r w:rsidRPr="00C921DE">
        <w:rPr>
          <w:rFonts w:ascii="GHEA Grapalat" w:hAnsi="GHEA Grapalat"/>
          <w:noProof/>
        </w:rPr>
        <w:br/>
        <w:t>2019-2023 թվականների ռազմավարության, 2019-2022 թվականների հակակոռուպցիոն ռազմավարության իրականացման գործում,</w:t>
      </w:r>
    </w:p>
    <w:p w14:paraId="60BCED64" w14:textId="6376CC51" w:rsidR="00CF5463" w:rsidRPr="00C921DE" w:rsidRDefault="00CF5463" w:rsidP="00D9331C">
      <w:pPr>
        <w:pStyle w:val="ListParagraph"/>
        <w:numPr>
          <w:ilvl w:val="0"/>
          <w:numId w:val="32"/>
        </w:numPr>
        <w:tabs>
          <w:tab w:val="left" w:pos="851"/>
        </w:tabs>
        <w:spacing w:line="360" w:lineRule="auto"/>
        <w:ind w:left="851" w:right="9" w:hanging="284"/>
        <w:jc w:val="both"/>
        <w:rPr>
          <w:rFonts w:ascii="GHEA Grapalat" w:hAnsi="GHEA Grapalat"/>
          <w:noProof/>
        </w:rPr>
      </w:pPr>
      <w:r w:rsidRPr="00C921DE">
        <w:rPr>
          <w:rFonts w:ascii="GHEA Grapalat" w:hAnsi="GHEA Grapalat"/>
          <w:noProof/>
        </w:rPr>
        <w:t>առաջընթացի պահպանում՝ հուսալի և համապատասխան կայունության վրա հիմնված մակրոտնտեսական քաղաքականության կամ հիմնական հաշվեկշիռների վ</w:t>
      </w:r>
      <w:r w:rsidR="007714BE" w:rsidRPr="00C921DE">
        <w:rPr>
          <w:rFonts w:ascii="GHEA Grapalat" w:hAnsi="GHEA Grapalat"/>
          <w:noProof/>
        </w:rPr>
        <w:t>երականգման ուղղությամբ</w:t>
      </w:r>
      <w:r w:rsidRPr="00C921DE">
        <w:rPr>
          <w:rFonts w:ascii="GHEA Grapalat" w:hAnsi="GHEA Grapalat"/>
          <w:noProof/>
        </w:rPr>
        <w:t>,</w:t>
      </w:r>
    </w:p>
    <w:p w14:paraId="4AEC0AF7" w14:textId="7794FDC5" w:rsidR="00CF5463" w:rsidRPr="00C921DE" w:rsidRDefault="007714BE" w:rsidP="00D9331C">
      <w:pPr>
        <w:pStyle w:val="ListParagraph"/>
        <w:numPr>
          <w:ilvl w:val="0"/>
          <w:numId w:val="32"/>
        </w:numPr>
        <w:tabs>
          <w:tab w:val="left" w:pos="851"/>
        </w:tabs>
        <w:spacing w:line="360" w:lineRule="auto"/>
        <w:ind w:left="851" w:right="9" w:hanging="284"/>
        <w:jc w:val="both"/>
        <w:rPr>
          <w:rFonts w:ascii="GHEA Grapalat" w:hAnsi="GHEA Grapalat"/>
          <w:noProof/>
        </w:rPr>
      </w:pPr>
      <w:r w:rsidRPr="00C921DE">
        <w:rPr>
          <w:rFonts w:ascii="GHEA Grapalat" w:hAnsi="GHEA Grapalat"/>
          <w:noProof/>
        </w:rPr>
        <w:t>պետական ֆինանսների կառավարում</w:t>
      </w:r>
      <w:r w:rsidR="00CF5463" w:rsidRPr="00C921DE">
        <w:rPr>
          <w:rFonts w:ascii="GHEA Grapalat" w:hAnsi="GHEA Grapalat"/>
          <w:noProof/>
        </w:rPr>
        <w:t xml:space="preserve">, այդ թվում՝ ներքին եկամուտների մոբիլիզացում բարելավելու համար բարեփոխումների իրականացման բավարար առաջընթացը և բարեփոխման ծրագրի շարունակական հիմնավորվածությունն ու արժանահավատությունը, </w:t>
      </w:r>
    </w:p>
    <w:p w14:paraId="5C6D8650" w14:textId="77777777" w:rsidR="00CF5463" w:rsidRPr="00C921DE" w:rsidRDefault="00CF5463" w:rsidP="00D9331C">
      <w:pPr>
        <w:pStyle w:val="ListParagraph"/>
        <w:numPr>
          <w:ilvl w:val="0"/>
          <w:numId w:val="32"/>
        </w:numPr>
        <w:tabs>
          <w:tab w:val="left" w:pos="851"/>
        </w:tabs>
        <w:spacing w:line="360" w:lineRule="auto"/>
        <w:ind w:left="851" w:right="9" w:hanging="284"/>
        <w:jc w:val="both"/>
        <w:rPr>
          <w:rFonts w:ascii="GHEA Grapalat" w:hAnsi="GHEA Grapalat"/>
          <w:noProof/>
        </w:rPr>
      </w:pPr>
      <w:r w:rsidRPr="00C921DE">
        <w:rPr>
          <w:rFonts w:ascii="GHEA Grapalat" w:hAnsi="GHEA Grapalat"/>
          <w:noProof/>
        </w:rPr>
        <w:t>բավարար առաջընթաց՝ մատչելի, ժամանակին, համապարփակ և հուսալի բյուջետային տեղեկությունների հանրային հասանելիության առնչությամբ։</w:t>
      </w:r>
    </w:p>
    <w:p w14:paraId="70C68A12" w14:textId="0DE282DB" w:rsidR="00CF5463" w:rsidRPr="00C921DE" w:rsidRDefault="003F3090" w:rsidP="00EE797E">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2023 թվականին </w:t>
      </w:r>
      <w:r w:rsidR="00CF5463" w:rsidRPr="00C921DE">
        <w:rPr>
          <w:rFonts w:ascii="GHEA Grapalat" w:hAnsi="GHEA Grapalat" w:cs="Calibri"/>
          <w:sz w:val="22"/>
          <w:szCs w:val="22"/>
        </w:rPr>
        <w:t>2.2 մլրդ դրամ (5 մլն եվրո) է ստացվել «Հայաստանում ԵՄ աջակցություն կրթությանը» ծրագրի շրջանակներում, որը</w:t>
      </w:r>
      <w:r w:rsidR="005E2665" w:rsidRPr="00C921DE">
        <w:rPr>
          <w:rFonts w:ascii="GHEA Grapalat" w:hAnsi="GHEA Grapalat" w:cs="Calibri"/>
          <w:sz w:val="22"/>
          <w:szCs w:val="22"/>
          <w:lang w:val="en-US"/>
        </w:rPr>
        <w:t xml:space="preserve"> բյուջեով</w:t>
      </w:r>
      <w:r w:rsidR="00CF5463" w:rsidRPr="00C921DE">
        <w:rPr>
          <w:rFonts w:ascii="GHEA Grapalat" w:hAnsi="GHEA Grapalat" w:cs="Calibri"/>
          <w:sz w:val="22"/>
          <w:szCs w:val="22"/>
        </w:rPr>
        <w:t xml:space="preserve"> չէր նախատեսվել</w:t>
      </w:r>
      <w:r w:rsidRPr="00C921DE">
        <w:rPr>
          <w:rFonts w:ascii="GHEA Grapalat" w:hAnsi="GHEA Grapalat" w:cs="Calibri"/>
          <w:sz w:val="22"/>
          <w:szCs w:val="22"/>
        </w:rPr>
        <w:t>, քանի որ ֆինանսավորման համաձայնագիրը կնքվել է 2023 թվականի սեպտեմբերի 12-ին: Ծրագրի նպատակն է</w:t>
      </w:r>
      <w:r w:rsidR="005E2665" w:rsidRPr="00C921DE">
        <w:rPr>
          <w:rFonts w:ascii="GHEA Grapalat" w:hAnsi="GHEA Grapalat" w:cs="Calibri"/>
          <w:sz w:val="22"/>
          <w:szCs w:val="22"/>
        </w:rPr>
        <w:t>՝</w:t>
      </w:r>
      <w:r w:rsidR="00B90318" w:rsidRPr="00C921DE">
        <w:rPr>
          <w:rFonts w:ascii="GHEA Grapalat" w:hAnsi="GHEA Grapalat" w:cs="Calibri"/>
          <w:sz w:val="22"/>
          <w:szCs w:val="22"/>
        </w:rPr>
        <w:t xml:space="preserve"> կիրառելով ԳՏՃՄ (գիտություն, տեխնոլոգիա, ճարտարագիտություն, մաթեմատիկա, STEM</w:t>
      </w:r>
      <w:r w:rsidR="00B90318" w:rsidRPr="00C921DE">
        <w:rPr>
          <w:rFonts w:ascii="GHEA Grapalat" w:hAnsi="GHEA Grapalat" w:cs="Calibri"/>
          <w:sz w:val="22"/>
          <w:szCs w:val="22"/>
          <w:lang w:val="en-US"/>
        </w:rPr>
        <w:t>)</w:t>
      </w:r>
      <w:r w:rsidRPr="00C921DE">
        <w:rPr>
          <w:rFonts w:ascii="GHEA Grapalat" w:hAnsi="GHEA Grapalat" w:cs="Calibri"/>
          <w:sz w:val="22"/>
          <w:szCs w:val="22"/>
        </w:rPr>
        <w:t xml:space="preserve"> դասավանդման փորձը բարձրացնել Հայաստանի կրթական համակարգի մրցունակությունը</w:t>
      </w:r>
      <w:r w:rsidR="00CF5463" w:rsidRPr="00C921DE">
        <w:rPr>
          <w:rFonts w:ascii="GHEA Grapalat" w:hAnsi="GHEA Grapalat" w:cs="Calibri"/>
          <w:sz w:val="22"/>
          <w:szCs w:val="22"/>
        </w:rPr>
        <w:t>։ 2023</w:t>
      </w:r>
      <w:r w:rsidR="00BF443D" w:rsidRPr="00C921DE">
        <w:rPr>
          <w:rFonts w:ascii="GHEA Grapalat" w:hAnsi="GHEA Grapalat" w:cs="Calibri"/>
          <w:sz w:val="22"/>
          <w:szCs w:val="22"/>
        </w:rPr>
        <w:t xml:space="preserve"> </w:t>
      </w:r>
      <w:r w:rsidR="00CF5463" w:rsidRPr="00C921DE">
        <w:rPr>
          <w:rFonts w:ascii="GHEA Grapalat" w:hAnsi="GHEA Grapalat" w:cs="Calibri"/>
          <w:sz w:val="22"/>
          <w:szCs w:val="22"/>
        </w:rPr>
        <w:t>թ</w:t>
      </w:r>
      <w:r w:rsidR="00BF443D" w:rsidRPr="00C921DE">
        <w:rPr>
          <w:rFonts w:ascii="GHEA Grapalat" w:hAnsi="GHEA Grapalat" w:cs="Calibri"/>
          <w:sz w:val="22"/>
          <w:szCs w:val="22"/>
        </w:rPr>
        <w:t>վականի</w:t>
      </w:r>
      <w:r w:rsidR="00CF5463" w:rsidRPr="00C921DE">
        <w:rPr>
          <w:rFonts w:ascii="GHEA Grapalat" w:hAnsi="GHEA Grapalat" w:cs="Calibri"/>
          <w:sz w:val="22"/>
          <w:szCs w:val="22"/>
        </w:rPr>
        <w:t xml:space="preserve"> նոյեմբերին Հայաստանը, ներկայացնելով ինքնագնահատման զեկույց և լրացուցիչ հիմնավորումներ</w:t>
      </w:r>
      <w:r w:rsidR="007714BE" w:rsidRPr="00C921DE">
        <w:rPr>
          <w:rFonts w:ascii="GHEA Grapalat" w:hAnsi="GHEA Grapalat" w:cs="Calibri"/>
          <w:sz w:val="22"/>
          <w:szCs w:val="22"/>
        </w:rPr>
        <w:t>,</w:t>
      </w:r>
      <w:r w:rsidR="00CF5463" w:rsidRPr="00C921DE">
        <w:rPr>
          <w:rFonts w:ascii="GHEA Grapalat" w:hAnsi="GHEA Grapalat" w:cs="Calibri"/>
          <w:sz w:val="22"/>
          <w:szCs w:val="22"/>
        </w:rPr>
        <w:t xml:space="preserve"> պաշտոնապես դիմել է եվրոպական կողմին վերոնշյալ ֆինանսավորման համաձայնագրի ընդհանուր և հատուկ նախապայմանների կա</w:t>
      </w:r>
      <w:r w:rsidR="005E2665" w:rsidRPr="00C921DE">
        <w:rPr>
          <w:rFonts w:ascii="GHEA Grapalat" w:hAnsi="GHEA Grapalat" w:cs="Calibri"/>
          <w:sz w:val="22"/>
          <w:szCs w:val="22"/>
        </w:rPr>
        <w:t>տարման դիմաց 8</w:t>
      </w:r>
      <w:r w:rsidR="005E2665" w:rsidRPr="00C921DE">
        <w:rPr>
          <w:rFonts w:ascii="Calibri" w:hAnsi="Calibri" w:cs="Calibri"/>
          <w:sz w:val="22"/>
          <w:szCs w:val="22"/>
          <w:lang w:val="en-US"/>
        </w:rPr>
        <w:t> </w:t>
      </w:r>
      <w:r w:rsidR="00CF5463" w:rsidRPr="00C921DE">
        <w:rPr>
          <w:rFonts w:ascii="GHEA Grapalat" w:hAnsi="GHEA Grapalat" w:cs="Calibri"/>
          <w:sz w:val="22"/>
          <w:szCs w:val="22"/>
        </w:rPr>
        <w:t>մլն</w:t>
      </w:r>
      <w:r w:rsidR="005E2665" w:rsidRPr="00C921DE">
        <w:rPr>
          <w:rFonts w:ascii="GHEA Grapalat" w:hAnsi="GHEA Grapalat" w:cs="Calibri"/>
          <w:sz w:val="22"/>
          <w:szCs w:val="22"/>
          <w:lang w:val="en-US"/>
        </w:rPr>
        <w:t xml:space="preserve"> եվրո</w:t>
      </w:r>
      <w:r w:rsidR="00CF5463" w:rsidRPr="00C921DE">
        <w:rPr>
          <w:rFonts w:ascii="GHEA Grapalat" w:hAnsi="GHEA Grapalat" w:cs="Calibri"/>
          <w:sz w:val="22"/>
          <w:szCs w:val="22"/>
        </w:rPr>
        <w:t xml:space="preserve"> (ֆիքսված</w:t>
      </w:r>
      <w:r w:rsidR="005E2665" w:rsidRPr="00C921DE">
        <w:rPr>
          <w:rFonts w:ascii="GHEA Grapalat" w:hAnsi="GHEA Grapalat" w:cs="Calibri"/>
          <w:sz w:val="22"/>
          <w:szCs w:val="22"/>
          <w:lang w:val="en-US"/>
        </w:rPr>
        <w:t>՝</w:t>
      </w:r>
      <w:r w:rsidR="00CF5463" w:rsidRPr="00C921DE">
        <w:rPr>
          <w:rFonts w:ascii="GHEA Grapalat" w:hAnsi="GHEA Grapalat" w:cs="Calibri"/>
          <w:sz w:val="22"/>
          <w:szCs w:val="22"/>
        </w:rPr>
        <w:t xml:space="preserve"> 5 մլն եվրո և փոփոխական</w:t>
      </w:r>
      <w:r w:rsidR="005E2665" w:rsidRPr="00C921DE">
        <w:rPr>
          <w:rFonts w:ascii="GHEA Grapalat" w:hAnsi="GHEA Grapalat" w:cs="Calibri"/>
          <w:sz w:val="22"/>
          <w:szCs w:val="22"/>
          <w:lang w:val="en-US"/>
        </w:rPr>
        <w:t>՝</w:t>
      </w:r>
      <w:r w:rsidR="00CF5463" w:rsidRPr="00C921DE">
        <w:rPr>
          <w:rFonts w:ascii="GHEA Grapalat" w:hAnsi="GHEA Grapalat" w:cs="Calibri"/>
          <w:sz w:val="22"/>
          <w:szCs w:val="22"/>
        </w:rPr>
        <w:t xml:space="preserve"> 3 մլն եվրո) մասհանման համար՝ ֆինանսավորման համաձայնագրով նախատեսված 10 մլն</w:t>
      </w:r>
      <w:r w:rsidR="005E2665" w:rsidRPr="00C921DE">
        <w:rPr>
          <w:rFonts w:ascii="GHEA Grapalat" w:hAnsi="GHEA Grapalat" w:cs="Calibri"/>
          <w:sz w:val="22"/>
          <w:szCs w:val="22"/>
          <w:lang w:val="en-US"/>
        </w:rPr>
        <w:t xml:space="preserve"> եվրո</w:t>
      </w:r>
      <w:r w:rsidR="00CF5463" w:rsidRPr="00C921DE">
        <w:rPr>
          <w:rFonts w:ascii="GHEA Grapalat" w:hAnsi="GHEA Grapalat" w:cs="Calibri"/>
          <w:sz w:val="22"/>
          <w:szCs w:val="22"/>
        </w:rPr>
        <w:t xml:space="preserve"> (ֆիքսված</w:t>
      </w:r>
      <w:r w:rsidR="005E2665" w:rsidRPr="00C921DE">
        <w:rPr>
          <w:rFonts w:ascii="GHEA Grapalat" w:hAnsi="GHEA Grapalat" w:cs="Calibri"/>
          <w:sz w:val="22"/>
          <w:szCs w:val="22"/>
          <w:lang w:val="en-US"/>
        </w:rPr>
        <w:t>՝</w:t>
      </w:r>
      <w:r w:rsidR="00CF5463" w:rsidRPr="00C921DE">
        <w:rPr>
          <w:rFonts w:ascii="GHEA Grapalat" w:hAnsi="GHEA Grapalat" w:cs="Calibri"/>
          <w:sz w:val="22"/>
          <w:szCs w:val="22"/>
        </w:rPr>
        <w:t xml:space="preserve"> 5 մլն եվրո և փոփոխական</w:t>
      </w:r>
      <w:r w:rsidR="005E2665" w:rsidRPr="00C921DE">
        <w:rPr>
          <w:rFonts w:ascii="GHEA Grapalat" w:hAnsi="GHEA Grapalat" w:cs="Calibri"/>
          <w:sz w:val="22"/>
          <w:szCs w:val="22"/>
          <w:lang w:val="en-US"/>
        </w:rPr>
        <w:t>՝</w:t>
      </w:r>
      <w:r w:rsidR="00CF5463" w:rsidRPr="00C921DE">
        <w:rPr>
          <w:rFonts w:ascii="GHEA Grapalat" w:hAnsi="GHEA Grapalat" w:cs="Calibri"/>
          <w:sz w:val="22"/>
          <w:szCs w:val="22"/>
        </w:rPr>
        <w:t xml:space="preserve"> 5 մլն եվրո) մասհանման փոխարեն: Հատկացման հայտը նախատեսվածից 2 մլն եվրոյով պակաս էր գնահատվել՝ հաշվի առնելով Ցուցանիշ 1-ի՝ «Հանրակրթական դպրոցների ցանցի օպտիմալացում»</w:t>
      </w:r>
      <w:r w:rsidR="00AC2061" w:rsidRPr="00C921DE">
        <w:rPr>
          <w:rFonts w:ascii="GHEA Grapalat" w:hAnsi="GHEA Grapalat" w:cs="Calibri"/>
          <w:sz w:val="22"/>
          <w:szCs w:val="22"/>
          <w:lang w:val="en-US"/>
        </w:rPr>
        <w:t>,</w:t>
      </w:r>
      <w:r w:rsidR="00AC2061" w:rsidRPr="00C921DE">
        <w:rPr>
          <w:rFonts w:ascii="GHEA Grapalat" w:hAnsi="GHEA Grapalat" w:cs="Calibri"/>
          <w:sz w:val="22"/>
          <w:szCs w:val="22"/>
        </w:rPr>
        <w:t xml:space="preserve"> և Ցուցանիշ 4</w:t>
      </w:r>
      <w:r w:rsidR="00AC2061" w:rsidRPr="00C921DE">
        <w:rPr>
          <w:rFonts w:ascii="GHEA Grapalat" w:hAnsi="GHEA Grapalat" w:cs="Calibri"/>
          <w:sz w:val="22"/>
          <w:szCs w:val="22"/>
        </w:rPr>
        <w:noBreakHyphen/>
      </w:r>
      <w:r w:rsidR="00CF5463" w:rsidRPr="00C921DE">
        <w:rPr>
          <w:rFonts w:ascii="GHEA Grapalat" w:hAnsi="GHEA Grapalat" w:cs="Calibri"/>
          <w:sz w:val="22"/>
          <w:szCs w:val="22"/>
        </w:rPr>
        <w:t>ի՝ «ԳՏՃՄ լաբորատորիաներ»</w:t>
      </w:r>
      <w:r w:rsidR="00767154" w:rsidRPr="00C921DE">
        <w:rPr>
          <w:rFonts w:ascii="GHEA Grapalat" w:hAnsi="GHEA Grapalat" w:cs="Calibri"/>
          <w:sz w:val="22"/>
          <w:szCs w:val="22"/>
          <w:lang w:val="en-US"/>
        </w:rPr>
        <w:t>,</w:t>
      </w:r>
      <w:r w:rsidR="00CF5463" w:rsidRPr="00C921DE">
        <w:rPr>
          <w:rFonts w:ascii="GHEA Grapalat" w:hAnsi="GHEA Grapalat" w:cs="Calibri"/>
          <w:sz w:val="22"/>
          <w:szCs w:val="22"/>
        </w:rPr>
        <w:t xml:space="preserve"> չկատարումը 2023 թվականի ընթացքում՝ պայմանավորված ֆինանսավորման համաձայնագրի </w:t>
      </w:r>
      <w:r w:rsidR="00CF5463" w:rsidRPr="00C921DE">
        <w:rPr>
          <w:rFonts w:ascii="GHEA Grapalat" w:hAnsi="GHEA Grapalat" w:cs="Calibri"/>
          <w:sz w:val="22"/>
          <w:szCs w:val="22"/>
        </w:rPr>
        <w:lastRenderedPageBreak/>
        <w:t>ստորագրման ձգձգումներով, ինչպես նաև 2023</w:t>
      </w:r>
      <w:r w:rsidR="00767154" w:rsidRPr="00C921DE">
        <w:rPr>
          <w:rFonts w:ascii="GHEA Grapalat" w:hAnsi="GHEA Grapalat" w:cs="Calibri"/>
          <w:sz w:val="22"/>
          <w:szCs w:val="22"/>
          <w:lang w:val="en-US"/>
        </w:rPr>
        <w:t xml:space="preserve"> </w:t>
      </w:r>
      <w:r w:rsidR="00CF5463" w:rsidRPr="00C921DE">
        <w:rPr>
          <w:rFonts w:ascii="GHEA Grapalat" w:hAnsi="GHEA Grapalat" w:cs="Calibri"/>
          <w:sz w:val="22"/>
          <w:szCs w:val="22"/>
        </w:rPr>
        <w:t>թ</w:t>
      </w:r>
      <w:r w:rsidR="00767154" w:rsidRPr="00C921DE">
        <w:rPr>
          <w:rFonts w:ascii="GHEA Grapalat" w:hAnsi="GHEA Grapalat" w:cs="Calibri"/>
          <w:sz w:val="22"/>
          <w:szCs w:val="22"/>
          <w:lang w:val="en-US"/>
        </w:rPr>
        <w:t>վական</w:t>
      </w:r>
      <w:r w:rsidR="00CF5463" w:rsidRPr="00C921DE">
        <w:rPr>
          <w:rFonts w:ascii="GHEA Grapalat" w:hAnsi="GHEA Grapalat" w:cs="Calibri"/>
          <w:sz w:val="22"/>
          <w:szCs w:val="22"/>
        </w:rPr>
        <w:t>ին Լեռնային Ղարաբաղի հայերի բռնի տեղահանմա</w:t>
      </w:r>
      <w:r w:rsidR="00767154" w:rsidRPr="00C921DE">
        <w:rPr>
          <w:rFonts w:ascii="GHEA Grapalat" w:hAnsi="GHEA Grapalat" w:cs="Calibri"/>
          <w:sz w:val="22"/>
          <w:szCs w:val="22"/>
          <w:lang w:val="en-US"/>
        </w:rPr>
        <w:t>ն արդյունքում ստ</w:t>
      </w:r>
      <w:r w:rsidR="00CF5463" w:rsidRPr="00C921DE">
        <w:rPr>
          <w:rFonts w:ascii="GHEA Grapalat" w:hAnsi="GHEA Grapalat" w:cs="Calibri"/>
          <w:sz w:val="22"/>
          <w:szCs w:val="22"/>
        </w:rPr>
        <w:t>եղծված իրա</w:t>
      </w:r>
      <w:r w:rsidR="00767154" w:rsidRPr="00C921DE">
        <w:rPr>
          <w:rFonts w:ascii="GHEA Grapalat" w:hAnsi="GHEA Grapalat" w:cs="Calibri"/>
          <w:sz w:val="22"/>
          <w:szCs w:val="22"/>
          <w:lang w:val="en-US"/>
        </w:rPr>
        <w:t>վիճակով</w:t>
      </w:r>
      <w:r w:rsidR="00CF5463" w:rsidRPr="00C921DE">
        <w:rPr>
          <w:rFonts w:ascii="GHEA Grapalat" w:hAnsi="GHEA Grapalat" w:cs="Calibri"/>
          <w:sz w:val="22"/>
          <w:szCs w:val="22"/>
        </w:rPr>
        <w:t xml:space="preserve">: </w:t>
      </w:r>
      <w:r w:rsidR="00767154" w:rsidRPr="00C921DE">
        <w:rPr>
          <w:rFonts w:ascii="GHEA Grapalat" w:hAnsi="GHEA Grapalat" w:cs="Calibri"/>
          <w:sz w:val="22"/>
          <w:szCs w:val="22"/>
          <w:lang w:val="en-US"/>
        </w:rPr>
        <w:t>Հ</w:t>
      </w:r>
      <w:r w:rsidR="00CF5463" w:rsidRPr="00C921DE">
        <w:rPr>
          <w:rFonts w:ascii="GHEA Grapalat" w:hAnsi="GHEA Grapalat" w:cs="Calibri"/>
          <w:sz w:val="22"/>
          <w:szCs w:val="22"/>
        </w:rPr>
        <w:t>ամաձայն ձեռք բերված պայմանավորվածության</w:t>
      </w:r>
      <w:r w:rsidR="00767154" w:rsidRPr="00C921DE">
        <w:rPr>
          <w:rFonts w:ascii="GHEA Grapalat" w:hAnsi="GHEA Grapalat" w:cs="Calibri"/>
          <w:sz w:val="22"/>
          <w:szCs w:val="22"/>
          <w:lang w:val="en-US"/>
        </w:rPr>
        <w:t>՝</w:t>
      </w:r>
      <w:r w:rsidR="00CF5463" w:rsidRPr="00C921DE">
        <w:rPr>
          <w:rFonts w:ascii="GHEA Grapalat" w:hAnsi="GHEA Grapalat" w:cs="Calibri"/>
          <w:sz w:val="22"/>
          <w:szCs w:val="22"/>
        </w:rPr>
        <w:t xml:space="preserve"> հայկական կողմը դիմել է եվրոպական կողմին փոփոխական մասհանման գում</w:t>
      </w:r>
      <w:r w:rsidR="00767154" w:rsidRPr="00C921DE">
        <w:rPr>
          <w:rFonts w:ascii="GHEA Grapalat" w:hAnsi="GHEA Grapalat" w:cs="Calibri"/>
          <w:sz w:val="22"/>
          <w:szCs w:val="22"/>
        </w:rPr>
        <w:t>արը վերաբաշխելու և 2024-2026թթ.</w:t>
      </w:r>
      <w:r w:rsidR="00CF5463" w:rsidRPr="00C921DE">
        <w:rPr>
          <w:rFonts w:ascii="GHEA Grapalat" w:hAnsi="GHEA Grapalat" w:cs="Calibri"/>
          <w:sz w:val="22"/>
          <w:szCs w:val="22"/>
        </w:rPr>
        <w:t xml:space="preserve"> տարբեր եռամսյակներում հատկացնելու համար: Միևնույն ժամանակ ակնկալվ</w:t>
      </w:r>
      <w:r w:rsidR="00BF443D" w:rsidRPr="00C921DE">
        <w:rPr>
          <w:rFonts w:ascii="GHEA Grapalat" w:hAnsi="GHEA Grapalat" w:cs="Calibri"/>
          <w:sz w:val="22"/>
          <w:szCs w:val="22"/>
        </w:rPr>
        <w:t>ում է, որ գումարի որոշակի մաս</w:t>
      </w:r>
      <w:r w:rsidR="00CF5463" w:rsidRPr="00C921DE">
        <w:rPr>
          <w:rFonts w:ascii="GHEA Grapalat" w:hAnsi="GHEA Grapalat" w:cs="Calibri"/>
          <w:sz w:val="22"/>
          <w:szCs w:val="22"/>
        </w:rPr>
        <w:t>, որպես ֆիքսված մասհանում, կտրամադրվի 2024 թվականին:</w:t>
      </w:r>
    </w:p>
    <w:p w14:paraId="119CFB9C" w14:textId="7A9856F9"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2023 թվականի ընթացքում պետական բյուջե մուտքագրված պաշտոնական դրամաշնորհները 12.5%-ով կամ 1.9 մլրդ դրամով զիջել են նախորդ տարվա ցուցանիշը, որը պայմանավորված է բյուջետային աջակցության ծրագրերի շրջանակներում </w:t>
      </w:r>
      <w:r w:rsidR="00632B3C" w:rsidRPr="00C921DE">
        <w:rPr>
          <w:rFonts w:ascii="GHEA Grapalat" w:hAnsi="GHEA Grapalat" w:cs="Calibri"/>
          <w:sz w:val="22"/>
          <w:szCs w:val="22"/>
          <w:lang w:val="en-US"/>
        </w:rPr>
        <w:t>ստացված դրամաշնորհների նվազմամբ</w:t>
      </w:r>
      <w:r w:rsidRPr="00C921DE">
        <w:rPr>
          <w:rFonts w:ascii="GHEA Grapalat" w:hAnsi="GHEA Grapalat" w:cs="Calibri"/>
          <w:sz w:val="22"/>
          <w:szCs w:val="22"/>
        </w:rPr>
        <w:t>:</w:t>
      </w:r>
    </w:p>
    <w:p w14:paraId="5596B70E" w14:textId="77777777" w:rsidR="001C411D" w:rsidRPr="00C921DE" w:rsidRDefault="001C411D" w:rsidP="00EE797E">
      <w:pPr>
        <w:spacing w:line="360" w:lineRule="auto"/>
        <w:ind w:right="9" w:firstLine="567"/>
        <w:jc w:val="both"/>
        <w:rPr>
          <w:rFonts w:ascii="GHEA Grapalat" w:hAnsi="GHEA Grapalat" w:cs="Calibri"/>
          <w:sz w:val="22"/>
          <w:szCs w:val="22"/>
        </w:rPr>
      </w:pPr>
    </w:p>
    <w:p w14:paraId="11F988FA" w14:textId="77777777" w:rsidR="001C411D" w:rsidRPr="00C921DE" w:rsidRDefault="001C411D" w:rsidP="00537EC7">
      <w:pPr>
        <w:pStyle w:val="Heading2"/>
        <w:rPr>
          <w:bCs/>
        </w:rPr>
      </w:pPr>
      <w:bookmarkStart w:id="174" w:name="_Toc69232232"/>
      <w:bookmarkStart w:id="175" w:name="_Toc163745455"/>
      <w:bookmarkEnd w:id="155"/>
      <w:bookmarkEnd w:id="156"/>
      <w:r w:rsidRPr="00C921DE">
        <w:rPr>
          <w:bCs/>
        </w:rPr>
        <w:t>Այլ եկամուտներ</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4"/>
      <w:bookmarkEnd w:id="175"/>
    </w:p>
    <w:p w14:paraId="0A9463F1" w14:textId="376D143C"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2023 թվականին ՀՀ պետական բյուջեի </w:t>
      </w:r>
      <w:r w:rsidRPr="00C921DE">
        <w:rPr>
          <w:rFonts w:ascii="GHEA Grapalat" w:hAnsi="GHEA Grapalat" w:cs="Calibri"/>
          <w:i/>
          <w:sz w:val="22"/>
          <w:szCs w:val="22"/>
        </w:rPr>
        <w:t>այլ եկամուտները</w:t>
      </w:r>
      <w:r w:rsidRPr="00C921DE">
        <w:rPr>
          <w:rFonts w:ascii="GHEA Grapalat" w:hAnsi="GHEA Grapalat" w:cs="Calibri"/>
          <w:sz w:val="22"/>
          <w:szCs w:val="22"/>
        </w:rPr>
        <w:t xml:space="preserve"> կազմել են 123.7 մլրդ դրամ՝ 3.3%-ով գերազանցելով տարեկան ծրագրված ցուցանիշը: Վերջինս հիմնականում պայմանավորված է բանկերում և այլ ֆինանսավարկային հաստատություններում բյուջեի ժամանակավոր ազատ միջոցների տեղաբաշխումից ու դեպոզիտներից ստացված տոկոսավճարների և oրենքով և իրավական այլ ակտերով սահմանված՝ պետական բյուջե մուտքագրվող այլ եկամուտների ծրագրային ցուցանիշների գերազանցմամբ: Նախորդ տարվա </w:t>
      </w:r>
      <w:r w:rsidR="00843081" w:rsidRPr="00C921DE">
        <w:rPr>
          <w:rFonts w:ascii="GHEA Grapalat" w:hAnsi="GHEA Grapalat" w:cs="Calibri"/>
          <w:sz w:val="22"/>
          <w:szCs w:val="22"/>
        </w:rPr>
        <w:t>համեմատ այլ եկամուտներն</w:t>
      </w:r>
      <w:r w:rsidRPr="00C921DE">
        <w:rPr>
          <w:rFonts w:ascii="GHEA Grapalat" w:hAnsi="GHEA Grapalat" w:cs="Calibri"/>
          <w:sz w:val="22"/>
          <w:szCs w:val="22"/>
        </w:rPr>
        <w:t xml:space="preserve"> աճել են 1.3%</w:t>
      </w:r>
      <w:r w:rsidRPr="00C921DE">
        <w:rPr>
          <w:rFonts w:ascii="GHEA Grapalat" w:hAnsi="GHEA Grapalat" w:cs="Calibri"/>
          <w:sz w:val="22"/>
          <w:szCs w:val="22"/>
        </w:rPr>
        <w:noBreakHyphen/>
        <w:t>ով կամ 1.6 մլրդ դրամով, որը հիմնականում պայմանավորված է բանկերում և այլ ֆինանսավարկային հաստատություններում բյուջեի ժամանակավոր ազատ միջոցների տեղաբաշխումից և դեպոզիտներից ստացվող տոկոսավճարների</w:t>
      </w:r>
      <w:r w:rsidR="00843081" w:rsidRPr="00C921DE">
        <w:rPr>
          <w:rFonts w:ascii="GHEA Grapalat" w:hAnsi="GHEA Grapalat" w:cs="Calibri"/>
          <w:sz w:val="22"/>
          <w:szCs w:val="22"/>
          <w:lang w:val="en-US"/>
        </w:rPr>
        <w:t xml:space="preserve"> և</w:t>
      </w:r>
      <w:r w:rsidRPr="00C921DE">
        <w:rPr>
          <w:rFonts w:ascii="GHEA Grapalat" w:hAnsi="GHEA Grapalat" w:cs="Calibri"/>
          <w:sz w:val="22"/>
          <w:szCs w:val="22"/>
        </w:rPr>
        <w:t xml:space="preserve"> իրավախախտումների համար գործադիր, դատական մարմինների կողմից կիրառվող պատժամիջոցներից մուտքերի գերազանցմամբ: Միևնույն ժամանակ հարկ է նշել, որ զգալի անկում է արձանագրվել օրենքով և այլ իրավական ակտերով սահմանված այլ եկամուտների գծով:</w:t>
      </w:r>
    </w:p>
    <w:p w14:paraId="79CAC58D" w14:textId="77777777"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Այլ եկամուտների առանձին բաղադրիչների վերաբերյալ տեղեկատվությունը ներկայացված է Աղյուսակ 15</w:t>
      </w:r>
      <w:r w:rsidRPr="00C921DE">
        <w:rPr>
          <w:rFonts w:ascii="GHEA Grapalat" w:hAnsi="GHEA Grapalat" w:cs="Calibri"/>
          <w:sz w:val="22"/>
          <w:szCs w:val="22"/>
        </w:rPr>
        <w:noBreakHyphen/>
        <w:t>ում:</w:t>
      </w:r>
    </w:p>
    <w:p w14:paraId="7309AA7B" w14:textId="77777777" w:rsidR="00CF5463" w:rsidRPr="00C921DE" w:rsidRDefault="00CF5463" w:rsidP="00CF5463">
      <w:pPr>
        <w:spacing w:line="360" w:lineRule="auto"/>
        <w:ind w:right="9" w:firstLine="567"/>
        <w:jc w:val="both"/>
        <w:rPr>
          <w:rFonts w:ascii="GHEA Grapalat" w:hAnsi="GHEA Grapalat" w:cs="Calibri"/>
          <w:sz w:val="22"/>
          <w:szCs w:val="22"/>
        </w:rPr>
      </w:pPr>
    </w:p>
    <w:p w14:paraId="54DE1F0D" w14:textId="77777777" w:rsidR="00CF5463" w:rsidRPr="00C921DE" w:rsidRDefault="00CF5463" w:rsidP="00823250">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Այլ եկամուտների գծով ՀՀ պետական բյուջեի մուտքերը (մլրդ դրամ)</w:t>
      </w:r>
    </w:p>
    <w:tbl>
      <w:tblPr>
        <w:tblW w:w="1045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794"/>
        <w:gridCol w:w="1276"/>
        <w:gridCol w:w="1275"/>
        <w:gridCol w:w="1276"/>
        <w:gridCol w:w="1418"/>
        <w:gridCol w:w="1417"/>
      </w:tblGrid>
      <w:tr w:rsidR="00CF5463" w:rsidRPr="00C921DE" w14:paraId="1FF5185F" w14:textId="77777777" w:rsidTr="007714BE">
        <w:trPr>
          <w:trHeight w:val="823"/>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685A24FD" w14:textId="77777777" w:rsidR="00CF5463" w:rsidRPr="00C921DE" w:rsidRDefault="00CF5463" w:rsidP="007714BE">
            <w:pPr>
              <w:rPr>
                <w:rFonts w:ascii="GHEA Grapalat" w:hAnsi="GHEA Grapalat" w:cs="Calibri"/>
                <w:sz w:val="18"/>
                <w:szCs w:val="18"/>
              </w:rPr>
            </w:pPr>
            <w:r w:rsidRPr="00C921DE">
              <w:rPr>
                <w:rFonts w:ascii="Courier New" w:hAnsi="Courier New" w:cs="Courier New"/>
                <w:sz w:val="18"/>
                <w:szCs w:val="18"/>
              </w:rPr>
              <w:t> </w:t>
            </w:r>
          </w:p>
        </w:tc>
        <w:tc>
          <w:tcPr>
            <w:tcW w:w="1276" w:type="dxa"/>
            <w:tcBorders>
              <w:top w:val="single" w:sz="4" w:space="0" w:color="auto"/>
              <w:left w:val="single" w:sz="4" w:space="0" w:color="auto"/>
              <w:bottom w:val="single" w:sz="4" w:space="0" w:color="auto"/>
              <w:right w:val="single" w:sz="4" w:space="0" w:color="auto"/>
            </w:tcBorders>
          </w:tcPr>
          <w:p w14:paraId="6549F3FF" w14:textId="77777777"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 xml:space="preserve">2022թ. </w:t>
            </w:r>
            <w:r w:rsidRPr="00C921DE">
              <w:rPr>
                <w:rFonts w:ascii="GHEA Grapalat" w:hAnsi="GHEA Grapalat" w:cs="Calibri"/>
                <w:b/>
                <w:bCs/>
                <w:sz w:val="18"/>
                <w:szCs w:val="18"/>
              </w:rPr>
              <w:br/>
              <w:t>փաստ</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14:paraId="612261AA" w14:textId="5788B11B" w:rsidR="00CF5463" w:rsidRPr="00C921DE" w:rsidRDefault="00CF5463" w:rsidP="00FE4EE5">
            <w:pPr>
              <w:jc w:val="center"/>
              <w:rPr>
                <w:rFonts w:ascii="GHEA Grapalat" w:hAnsi="GHEA Grapalat" w:cs="Calibri"/>
                <w:b/>
                <w:bCs/>
                <w:sz w:val="18"/>
                <w:szCs w:val="18"/>
                <w:lang w:val="en-US"/>
              </w:rPr>
            </w:pPr>
            <w:r w:rsidRPr="00C921DE">
              <w:rPr>
                <w:rFonts w:ascii="GHEA Grapalat" w:hAnsi="GHEA Grapalat" w:cs="Calibri"/>
                <w:b/>
                <w:bCs/>
                <w:sz w:val="18"/>
                <w:szCs w:val="18"/>
              </w:rPr>
              <w:t xml:space="preserve">2023թ. ճշտված </w:t>
            </w:r>
            <w:r w:rsidR="00FE4EE5" w:rsidRPr="00C921DE">
              <w:rPr>
                <w:rFonts w:ascii="GHEA Grapalat" w:hAnsi="GHEA Grapalat" w:cs="Calibri"/>
                <w:b/>
                <w:bCs/>
                <w:sz w:val="18"/>
                <w:szCs w:val="18"/>
                <w:lang w:val="en-US"/>
              </w:rPr>
              <w:t>ծրագիր</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7F09A366" w14:textId="77777777"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 xml:space="preserve">2023թ. </w:t>
            </w:r>
            <w:r w:rsidRPr="00C921DE">
              <w:rPr>
                <w:rFonts w:ascii="GHEA Grapalat" w:hAnsi="GHEA Grapalat" w:cs="Calibri"/>
                <w:b/>
                <w:bCs/>
                <w:sz w:val="18"/>
                <w:szCs w:val="18"/>
              </w:rPr>
              <w:br/>
              <w:t>փաստ</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2FCE8ECB" w14:textId="0D241CF8" w:rsidR="00CF5463" w:rsidRPr="00C921DE" w:rsidRDefault="00FE4EE5" w:rsidP="007714BE">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Pr="00C921DE">
              <w:rPr>
                <w:rFonts w:ascii="GHEA Grapalat" w:hAnsi="GHEA Grapalat" w:cs="Calibri"/>
                <w:b/>
                <w:bCs/>
                <w:sz w:val="18"/>
                <w:szCs w:val="18"/>
                <w:lang w:val="en-US"/>
              </w:rPr>
              <w:t>ծրագր</w:t>
            </w:r>
            <w:r w:rsidR="00CF5463" w:rsidRPr="00C921DE">
              <w:rPr>
                <w:rFonts w:ascii="GHEA Grapalat" w:hAnsi="GHEA Grapalat" w:cs="Calibri"/>
                <w:b/>
                <w:bCs/>
                <w:sz w:val="18"/>
                <w:szCs w:val="18"/>
              </w:rPr>
              <w:t>ի նկատմամբ</w:t>
            </w:r>
          </w:p>
          <w:p w14:paraId="2248DCA3" w14:textId="77777777"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6045195A" w14:textId="37879A79" w:rsidR="00CF5463" w:rsidRPr="00C921DE" w:rsidRDefault="00CF5463" w:rsidP="007714BE">
            <w:pPr>
              <w:jc w:val="center"/>
              <w:rPr>
                <w:rFonts w:ascii="GHEA Grapalat" w:hAnsi="GHEA Grapalat" w:cs="Calibri"/>
                <w:b/>
                <w:bCs/>
                <w:sz w:val="18"/>
                <w:szCs w:val="18"/>
              </w:rPr>
            </w:pPr>
            <w:r w:rsidRPr="00C921DE">
              <w:rPr>
                <w:rFonts w:ascii="GHEA Grapalat" w:hAnsi="GHEA Grapalat" w:cs="Calibri"/>
                <w:b/>
                <w:bCs/>
                <w:sz w:val="18"/>
                <w:szCs w:val="18"/>
              </w:rPr>
              <w:t>2023թ. 2022թ.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w:t>
            </w:r>
          </w:p>
          <w:p w14:paraId="55EA7E1E" w14:textId="77777777" w:rsidR="00CF5463" w:rsidRPr="00C921DE" w:rsidRDefault="00CF5463" w:rsidP="007714BE">
            <w:pPr>
              <w:ind w:right="271"/>
              <w:jc w:val="center"/>
              <w:rPr>
                <w:rFonts w:ascii="GHEA Grapalat" w:hAnsi="GHEA Grapalat" w:cs="Calibri"/>
                <w:b/>
                <w:bCs/>
                <w:sz w:val="18"/>
                <w:szCs w:val="18"/>
              </w:rPr>
            </w:pPr>
            <w:r w:rsidRPr="00C921DE">
              <w:rPr>
                <w:rFonts w:ascii="GHEA Grapalat" w:hAnsi="GHEA Grapalat" w:cs="Calibri"/>
                <w:b/>
                <w:bCs/>
                <w:sz w:val="18"/>
                <w:szCs w:val="18"/>
              </w:rPr>
              <w:t>(%)</w:t>
            </w:r>
          </w:p>
        </w:tc>
      </w:tr>
      <w:tr w:rsidR="00CF5463" w:rsidRPr="00C921DE" w14:paraId="54D39B72" w14:textId="77777777" w:rsidTr="00823250">
        <w:trPr>
          <w:trHeight w:val="323"/>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18B4B554" w14:textId="77777777" w:rsidR="00CF5463" w:rsidRPr="00C921DE" w:rsidRDefault="00CF5463" w:rsidP="007714BE">
            <w:pPr>
              <w:rPr>
                <w:rFonts w:ascii="GHEA Grapalat" w:hAnsi="GHEA Grapalat" w:cs="Calibri"/>
                <w:b/>
                <w:bCs/>
                <w:sz w:val="18"/>
                <w:szCs w:val="18"/>
              </w:rPr>
            </w:pPr>
            <w:r w:rsidRPr="00C921DE">
              <w:rPr>
                <w:rFonts w:ascii="GHEA Grapalat" w:hAnsi="GHEA Grapalat" w:cs="Calibri"/>
                <w:b/>
                <w:bCs/>
                <w:sz w:val="18"/>
                <w:szCs w:val="18"/>
              </w:rPr>
              <w:t xml:space="preserve"> Այլ եկամուտներ</w:t>
            </w:r>
          </w:p>
        </w:tc>
        <w:tc>
          <w:tcPr>
            <w:tcW w:w="1276" w:type="dxa"/>
            <w:tcBorders>
              <w:top w:val="single" w:sz="4" w:space="0" w:color="auto"/>
              <w:left w:val="single" w:sz="4" w:space="0" w:color="auto"/>
              <w:bottom w:val="single" w:sz="4" w:space="0" w:color="auto"/>
              <w:right w:val="single" w:sz="4" w:space="0" w:color="auto"/>
            </w:tcBorders>
            <w:vAlign w:val="bottom"/>
          </w:tcPr>
          <w:p w14:paraId="679D0F8F" w14:textId="77777777" w:rsidR="00CF5463" w:rsidRPr="00C921DE" w:rsidRDefault="00CF5463" w:rsidP="007714BE">
            <w:pPr>
              <w:jc w:val="right"/>
              <w:rPr>
                <w:rFonts w:ascii="GHEA Grapalat" w:hAnsi="GHEA Grapalat" w:cs="Arial"/>
                <w:b/>
                <w:bCs/>
                <w:sz w:val="18"/>
                <w:szCs w:val="18"/>
              </w:rPr>
            </w:pPr>
            <w:r w:rsidRPr="00C921DE">
              <w:rPr>
                <w:rFonts w:ascii="GHEA Grapalat" w:hAnsi="GHEA Grapalat" w:cs="Arial"/>
                <w:b/>
                <w:bCs/>
                <w:sz w:val="18"/>
                <w:szCs w:val="18"/>
              </w:rPr>
              <w:t>122.1</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0F6ADC0F" w14:textId="558A2D1B" w:rsidR="00CF5463" w:rsidRPr="00C921DE" w:rsidRDefault="000C31CA" w:rsidP="007714BE">
            <w:pPr>
              <w:jc w:val="right"/>
              <w:rPr>
                <w:rFonts w:ascii="GHEA Grapalat" w:hAnsi="GHEA Grapalat" w:cs="Arial"/>
                <w:b/>
                <w:sz w:val="18"/>
                <w:szCs w:val="18"/>
              </w:rPr>
            </w:pPr>
            <w:r w:rsidRPr="00C921DE">
              <w:rPr>
                <w:rFonts w:ascii="GHEA Grapalat" w:hAnsi="GHEA Grapalat" w:cs="Arial"/>
                <w:b/>
                <w:sz w:val="18"/>
                <w:szCs w:val="18"/>
              </w:rPr>
              <w:t>119.8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188EFA3" w14:textId="77608A0C" w:rsidR="00CF5463" w:rsidRPr="00C921DE" w:rsidRDefault="000C31CA" w:rsidP="007714BE">
            <w:pPr>
              <w:jc w:val="right"/>
              <w:rPr>
                <w:rFonts w:ascii="GHEA Grapalat" w:hAnsi="GHEA Grapalat" w:cs="Arial"/>
                <w:b/>
                <w:sz w:val="18"/>
                <w:szCs w:val="18"/>
              </w:rPr>
            </w:pPr>
            <w:r w:rsidRPr="00C921DE">
              <w:rPr>
                <w:rFonts w:ascii="GHEA Grapalat" w:hAnsi="GHEA Grapalat" w:cs="Arial"/>
                <w:b/>
                <w:sz w:val="18"/>
                <w:szCs w:val="18"/>
              </w:rPr>
              <w:t>123.7</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D5DFEEE" w14:textId="77777777" w:rsidR="00CF5463" w:rsidRPr="00C921DE" w:rsidRDefault="00CF5463" w:rsidP="007714BE">
            <w:pPr>
              <w:jc w:val="right"/>
              <w:rPr>
                <w:rFonts w:ascii="GHEA Grapalat" w:hAnsi="GHEA Grapalat" w:cs="Arial"/>
                <w:b/>
                <w:sz w:val="18"/>
                <w:szCs w:val="18"/>
              </w:rPr>
            </w:pPr>
            <w:r w:rsidRPr="00C921DE">
              <w:rPr>
                <w:rFonts w:ascii="GHEA Grapalat" w:hAnsi="GHEA Grapalat" w:cs="Arial"/>
                <w:b/>
                <w:sz w:val="18"/>
                <w:szCs w:val="18"/>
              </w:rPr>
              <w:t>103.3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A09CB93" w14:textId="77777777" w:rsidR="00CF5463" w:rsidRPr="00C921DE" w:rsidRDefault="00CF5463" w:rsidP="007714BE">
            <w:pPr>
              <w:jc w:val="right"/>
              <w:rPr>
                <w:rFonts w:ascii="GHEA Grapalat" w:hAnsi="GHEA Grapalat" w:cs="Arial"/>
                <w:b/>
                <w:sz w:val="18"/>
                <w:szCs w:val="18"/>
              </w:rPr>
            </w:pPr>
            <w:r w:rsidRPr="00C921DE">
              <w:rPr>
                <w:rFonts w:ascii="GHEA Grapalat" w:hAnsi="GHEA Grapalat" w:cs="Arial"/>
                <w:b/>
                <w:sz w:val="18"/>
                <w:szCs w:val="18"/>
              </w:rPr>
              <w:t>101.3</w:t>
            </w:r>
          </w:p>
        </w:tc>
      </w:tr>
      <w:tr w:rsidR="00CF5463" w:rsidRPr="00C921DE" w14:paraId="551AA34E"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54FF4479" w14:textId="77777777" w:rsidR="00CF5463" w:rsidRPr="00C921DE" w:rsidRDefault="00CF5463" w:rsidP="007714BE">
            <w:pPr>
              <w:rPr>
                <w:rFonts w:ascii="GHEA Grapalat" w:hAnsi="GHEA Grapalat" w:cs="Calibri"/>
                <w:sz w:val="18"/>
                <w:szCs w:val="18"/>
              </w:rPr>
            </w:pPr>
            <w:r w:rsidRPr="00C921DE">
              <w:rPr>
                <w:rFonts w:ascii="GHEA Grapalat" w:hAnsi="GHEA Grapalat" w:cs="Calibri"/>
                <w:sz w:val="18"/>
                <w:szCs w:val="18"/>
              </w:rPr>
              <w:lastRenderedPageBreak/>
              <w:t>Պետական սեփականություն հանդիսացող գույքի վարձակալությունից եկամուտներ</w:t>
            </w:r>
          </w:p>
        </w:tc>
        <w:tc>
          <w:tcPr>
            <w:tcW w:w="1276" w:type="dxa"/>
            <w:tcBorders>
              <w:top w:val="single" w:sz="4" w:space="0" w:color="auto"/>
              <w:left w:val="single" w:sz="4" w:space="0" w:color="auto"/>
              <w:bottom w:val="single" w:sz="4" w:space="0" w:color="auto"/>
              <w:right w:val="single" w:sz="4" w:space="0" w:color="auto"/>
            </w:tcBorders>
            <w:vAlign w:val="bottom"/>
          </w:tcPr>
          <w:p w14:paraId="5FF2AA8D"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3.8</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7B85BFD5" w14:textId="18518095"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551D3BB3" w14:textId="75983EA7"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3.6</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D881C77"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79.3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49B8E449"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93.9</w:t>
            </w:r>
          </w:p>
        </w:tc>
      </w:tr>
      <w:tr w:rsidR="00CF5463" w:rsidRPr="00C921DE" w14:paraId="3335CF07"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79F7B88E" w14:textId="77777777" w:rsidR="00CF5463" w:rsidRPr="00C921DE" w:rsidRDefault="00CF5463" w:rsidP="007714BE">
            <w:pPr>
              <w:rPr>
                <w:rFonts w:ascii="GHEA Grapalat" w:hAnsi="GHEA Grapalat" w:cs="Calibri"/>
                <w:sz w:val="18"/>
                <w:szCs w:val="18"/>
              </w:rPr>
            </w:pPr>
            <w:r w:rsidRPr="00C921DE">
              <w:rPr>
                <w:rFonts w:ascii="GHEA Grapalat" w:hAnsi="GHEA Grapalat" w:cs="Calibri"/>
                <w:sz w:val="18"/>
                <w:szCs w:val="18"/>
              </w:rPr>
              <w:t>Տոկոսավճարներ և շահաբաժիններ, այդ թվում՝</w:t>
            </w:r>
          </w:p>
        </w:tc>
        <w:tc>
          <w:tcPr>
            <w:tcW w:w="1276" w:type="dxa"/>
            <w:tcBorders>
              <w:top w:val="single" w:sz="4" w:space="0" w:color="auto"/>
              <w:left w:val="single" w:sz="4" w:space="0" w:color="auto"/>
              <w:bottom w:val="single" w:sz="4" w:space="0" w:color="auto"/>
              <w:right w:val="single" w:sz="4" w:space="0" w:color="auto"/>
            </w:tcBorders>
            <w:vAlign w:val="bottom"/>
          </w:tcPr>
          <w:p w14:paraId="2F701BE5"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39.6</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7AEAE0DA" w14:textId="08B5259F"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51.1</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1FC10209" w14:textId="315ED618"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52.3</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A77CA0B"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102.5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08ED95E"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132.3</w:t>
            </w:r>
          </w:p>
        </w:tc>
      </w:tr>
      <w:tr w:rsidR="00CF5463" w:rsidRPr="00C921DE" w14:paraId="6DECAD02" w14:textId="77777777" w:rsidTr="00823250">
        <w:trPr>
          <w:trHeight w:val="1235"/>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32541E54" w14:textId="77777777" w:rsidR="00CF5463" w:rsidRPr="00C921DE" w:rsidRDefault="00CF5463" w:rsidP="00CF5463">
            <w:pPr>
              <w:pStyle w:val="ListParagraph"/>
              <w:numPr>
                <w:ilvl w:val="0"/>
                <w:numId w:val="31"/>
              </w:numPr>
              <w:tabs>
                <w:tab w:val="left" w:pos="459"/>
              </w:tabs>
              <w:spacing w:after="0" w:line="240" w:lineRule="auto"/>
              <w:ind w:left="34" w:firstLine="236"/>
              <w:rPr>
                <w:rFonts w:ascii="GHEA Grapalat" w:hAnsi="GHEA Grapalat"/>
                <w:sz w:val="18"/>
                <w:szCs w:val="18"/>
                <w:lang w:val="hy-AM"/>
              </w:rPr>
            </w:pPr>
            <w:r w:rsidRPr="00C921DE">
              <w:rPr>
                <w:rFonts w:ascii="GHEA Grapalat" w:hAnsi="GHEA Grapalat"/>
                <w:sz w:val="18"/>
                <w:szCs w:val="18"/>
                <w:lang w:val="hy-AM"/>
              </w:rPr>
              <w:t>բանկերում և այլ ֆինանսավարկային հաստատություններում բյուջեի ժամանակավոր ազատ միջոցների տեղաբաշխումից և դեպոզիտներից ստացվող տոկոսավճարներ</w:t>
            </w:r>
          </w:p>
        </w:tc>
        <w:tc>
          <w:tcPr>
            <w:tcW w:w="1276" w:type="dxa"/>
            <w:tcBorders>
              <w:top w:val="single" w:sz="4" w:space="0" w:color="auto"/>
              <w:left w:val="single" w:sz="4" w:space="0" w:color="auto"/>
              <w:bottom w:val="single" w:sz="4" w:space="0" w:color="auto"/>
              <w:right w:val="single" w:sz="4" w:space="0" w:color="auto"/>
            </w:tcBorders>
            <w:vAlign w:val="bottom"/>
          </w:tcPr>
          <w:p w14:paraId="601C4DBC"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38.3</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38DF219B" w14:textId="64859C56"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48.8</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318F7E5" w14:textId="38182342"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50.1</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FEAFC0F"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102.5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4D4AC8F"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130.9</w:t>
            </w:r>
          </w:p>
        </w:tc>
      </w:tr>
      <w:tr w:rsidR="00CF5463" w:rsidRPr="00C921DE" w14:paraId="1BF6C03E" w14:textId="77777777" w:rsidTr="00823250">
        <w:trPr>
          <w:trHeight w:val="160"/>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2BB6155F" w14:textId="77777777" w:rsidR="00CF5463" w:rsidRPr="00C921DE" w:rsidRDefault="00CF5463" w:rsidP="00CF5463">
            <w:pPr>
              <w:pStyle w:val="ListParagraph"/>
              <w:numPr>
                <w:ilvl w:val="0"/>
                <w:numId w:val="31"/>
              </w:numPr>
              <w:tabs>
                <w:tab w:val="left" w:pos="459"/>
              </w:tabs>
              <w:spacing w:after="0" w:line="240" w:lineRule="auto"/>
              <w:ind w:left="34" w:firstLine="236"/>
              <w:rPr>
                <w:rFonts w:ascii="GHEA Grapalat" w:hAnsi="GHEA Grapalat"/>
                <w:sz w:val="18"/>
                <w:szCs w:val="18"/>
                <w:lang w:val="hy-AM"/>
              </w:rPr>
            </w:pPr>
            <w:r w:rsidRPr="00C921DE">
              <w:rPr>
                <w:rFonts w:ascii="GHEA Grapalat" w:hAnsi="GHEA Grapalat"/>
                <w:sz w:val="18"/>
                <w:szCs w:val="18"/>
                <w:lang w:val="hy-AM"/>
              </w:rPr>
              <w:t>իրավաբանական անձանց կապիտալում կատարված ներդրումներից ստացվող շահաբաժիններ</w:t>
            </w:r>
          </w:p>
        </w:tc>
        <w:tc>
          <w:tcPr>
            <w:tcW w:w="1276" w:type="dxa"/>
            <w:tcBorders>
              <w:top w:val="single" w:sz="4" w:space="0" w:color="auto"/>
              <w:left w:val="single" w:sz="4" w:space="0" w:color="auto"/>
              <w:bottom w:val="single" w:sz="4" w:space="0" w:color="auto"/>
              <w:right w:val="single" w:sz="4" w:space="0" w:color="auto"/>
            </w:tcBorders>
            <w:vAlign w:val="bottom"/>
          </w:tcPr>
          <w:p w14:paraId="035EA9DE"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1.3</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61A760A5" w14:textId="4C5361D8"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2.2</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D338037" w14:textId="0E55DD45"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2.3</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BCABBDC"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101.3</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B95C6C1"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174.2</w:t>
            </w:r>
          </w:p>
        </w:tc>
      </w:tr>
      <w:tr w:rsidR="00CF5463" w:rsidRPr="00C921DE" w14:paraId="59066DB3"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vAlign w:val="bottom"/>
            <w:hideMark/>
          </w:tcPr>
          <w:p w14:paraId="6439D41A" w14:textId="77777777" w:rsidR="00CF5463" w:rsidRPr="00C921DE" w:rsidRDefault="00CF5463" w:rsidP="007714BE">
            <w:pPr>
              <w:rPr>
                <w:rFonts w:ascii="GHEA Grapalat" w:hAnsi="GHEA Grapalat" w:cs="Calibri"/>
                <w:bCs/>
                <w:sz w:val="18"/>
                <w:szCs w:val="18"/>
              </w:rPr>
            </w:pPr>
            <w:r w:rsidRPr="00C921DE">
              <w:rPr>
                <w:rFonts w:ascii="GHEA Grapalat" w:hAnsi="GHEA Grapalat" w:cs="Calibri"/>
                <w:bCs/>
                <w:sz w:val="18"/>
                <w:szCs w:val="18"/>
              </w:rPr>
              <w:t>Պետության կողմից տրված վարկերի օգտագործման դիմաց վճարներ (տոկոսներ), այդ թվում՝</w:t>
            </w:r>
          </w:p>
        </w:tc>
        <w:tc>
          <w:tcPr>
            <w:tcW w:w="1276" w:type="dxa"/>
            <w:tcBorders>
              <w:top w:val="single" w:sz="4" w:space="0" w:color="auto"/>
              <w:left w:val="single" w:sz="4" w:space="0" w:color="auto"/>
              <w:bottom w:val="single" w:sz="4" w:space="0" w:color="auto"/>
              <w:right w:val="single" w:sz="4" w:space="0" w:color="auto"/>
            </w:tcBorders>
            <w:vAlign w:val="bottom"/>
          </w:tcPr>
          <w:p w14:paraId="198AD186"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11.7</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7D94C09E" w14:textId="40E100E2"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 xml:space="preserve"> 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EAE5D6A" w14:textId="25898120"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12.4</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2429AA1"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2032D447"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106.1</w:t>
            </w:r>
          </w:p>
        </w:tc>
      </w:tr>
      <w:tr w:rsidR="00CF5463" w:rsidRPr="00C921DE" w14:paraId="6E302026"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66AB57EC" w14:textId="77777777" w:rsidR="00CF5463" w:rsidRPr="00C921DE" w:rsidRDefault="00CF5463" w:rsidP="00CF5463">
            <w:pPr>
              <w:pStyle w:val="ListParagraph"/>
              <w:numPr>
                <w:ilvl w:val="0"/>
                <w:numId w:val="31"/>
              </w:numPr>
              <w:tabs>
                <w:tab w:val="left" w:pos="459"/>
              </w:tabs>
              <w:spacing w:after="0" w:line="240" w:lineRule="auto"/>
              <w:ind w:left="34" w:firstLine="236"/>
              <w:rPr>
                <w:rFonts w:ascii="GHEA Grapalat" w:hAnsi="GHEA Grapalat"/>
                <w:sz w:val="18"/>
                <w:szCs w:val="18"/>
                <w:lang w:val="hy-AM"/>
              </w:rPr>
            </w:pPr>
            <w:r w:rsidRPr="00C921DE">
              <w:rPr>
                <w:rFonts w:ascii="GHEA Grapalat" w:hAnsi="GHEA Grapalat"/>
                <w:sz w:val="18"/>
                <w:szCs w:val="18"/>
                <w:lang w:val="hy-AM"/>
              </w:rPr>
              <w:t>ռեզիդենտներին տրամադրված վարկերի օգտագործման տոկոսավճարներ</w:t>
            </w:r>
          </w:p>
        </w:tc>
        <w:tc>
          <w:tcPr>
            <w:tcW w:w="1276" w:type="dxa"/>
            <w:tcBorders>
              <w:top w:val="single" w:sz="4" w:space="0" w:color="auto"/>
              <w:left w:val="single" w:sz="4" w:space="0" w:color="auto"/>
              <w:bottom w:val="single" w:sz="4" w:space="0" w:color="auto"/>
              <w:right w:val="single" w:sz="4" w:space="0" w:color="auto"/>
            </w:tcBorders>
            <w:vAlign w:val="bottom"/>
          </w:tcPr>
          <w:p w14:paraId="5658E827"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11.7</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2BCEFDD4" w14:textId="57035737"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 xml:space="preserve"> 12.4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EEC89CE" w14:textId="39D545E7"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12.4</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36F6ADF"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100.1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463A7FB"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106.2</w:t>
            </w:r>
          </w:p>
        </w:tc>
      </w:tr>
      <w:tr w:rsidR="00CF5463" w:rsidRPr="00C921DE" w14:paraId="2B4131BA"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474E3516" w14:textId="77777777" w:rsidR="00CF5463" w:rsidRPr="00C921DE" w:rsidRDefault="00CF5463" w:rsidP="00CF5463">
            <w:pPr>
              <w:pStyle w:val="ListParagraph"/>
              <w:numPr>
                <w:ilvl w:val="0"/>
                <w:numId w:val="31"/>
              </w:numPr>
              <w:tabs>
                <w:tab w:val="left" w:pos="459"/>
              </w:tabs>
              <w:spacing w:after="0" w:line="240" w:lineRule="auto"/>
              <w:ind w:left="34" w:firstLine="236"/>
              <w:rPr>
                <w:rFonts w:ascii="GHEA Grapalat" w:hAnsi="GHEA Grapalat"/>
                <w:sz w:val="18"/>
                <w:szCs w:val="18"/>
                <w:lang w:val="hy-AM"/>
              </w:rPr>
            </w:pPr>
            <w:r w:rsidRPr="00C921DE">
              <w:rPr>
                <w:rFonts w:ascii="GHEA Grapalat" w:hAnsi="GHEA Grapalat"/>
                <w:sz w:val="18"/>
                <w:szCs w:val="18"/>
                <w:lang w:val="hy-AM"/>
              </w:rPr>
              <w:t>ոչ ռեզիդենտներին տրամադրված վարկերի օգտագործման տոկոսավճարներ</w:t>
            </w:r>
          </w:p>
        </w:tc>
        <w:tc>
          <w:tcPr>
            <w:tcW w:w="1276" w:type="dxa"/>
            <w:tcBorders>
              <w:top w:val="single" w:sz="4" w:space="0" w:color="auto"/>
              <w:left w:val="single" w:sz="4" w:space="0" w:color="auto"/>
              <w:bottom w:val="single" w:sz="4" w:space="0" w:color="auto"/>
              <w:right w:val="single" w:sz="4" w:space="0" w:color="auto"/>
            </w:tcBorders>
            <w:vAlign w:val="bottom"/>
          </w:tcPr>
          <w:p w14:paraId="1E575A65"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0.05</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1833A086" w14:textId="2ECBCF84"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 xml:space="preserve"> 0.03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0FA1E144" w14:textId="5EF04D88"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0.03</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04BA41A"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97.6</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0E34E58"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65.8</w:t>
            </w:r>
          </w:p>
        </w:tc>
      </w:tr>
      <w:tr w:rsidR="00CF5463" w:rsidRPr="00C921DE" w14:paraId="3EC980CC"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7F1D8967" w14:textId="77777777" w:rsidR="00CF5463" w:rsidRPr="00C921DE" w:rsidRDefault="00CF5463" w:rsidP="007714BE">
            <w:pPr>
              <w:rPr>
                <w:rFonts w:ascii="GHEA Grapalat" w:hAnsi="GHEA Grapalat" w:cs="Calibri"/>
                <w:sz w:val="18"/>
                <w:szCs w:val="18"/>
              </w:rPr>
            </w:pPr>
            <w:r w:rsidRPr="00C921DE">
              <w:rPr>
                <w:rFonts w:ascii="GHEA Grapalat" w:hAnsi="GHEA Grapalat" w:cs="Calibri"/>
                <w:sz w:val="18"/>
                <w:szCs w:val="18"/>
              </w:rPr>
              <w:t>Այլ կատեգորիաներում չդասակարգված տրանսֆերտներ</w:t>
            </w:r>
          </w:p>
        </w:tc>
        <w:tc>
          <w:tcPr>
            <w:tcW w:w="1276" w:type="dxa"/>
            <w:tcBorders>
              <w:top w:val="single" w:sz="4" w:space="0" w:color="auto"/>
              <w:left w:val="single" w:sz="4" w:space="0" w:color="auto"/>
              <w:bottom w:val="single" w:sz="4" w:space="0" w:color="auto"/>
              <w:right w:val="single" w:sz="4" w:space="0" w:color="auto"/>
            </w:tcBorders>
            <w:vAlign w:val="bottom"/>
          </w:tcPr>
          <w:p w14:paraId="2B2D4225"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0.4</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024F6222" w14:textId="449F254B"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0.4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3A7459EA" w14:textId="4ABD6B9C"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0.7</w:t>
            </w:r>
          </w:p>
        </w:tc>
        <w:tc>
          <w:tcPr>
            <w:tcW w:w="1418" w:type="dxa"/>
            <w:tcBorders>
              <w:top w:val="single" w:sz="4" w:space="0" w:color="auto"/>
              <w:left w:val="single" w:sz="4" w:space="0" w:color="auto"/>
              <w:bottom w:val="single" w:sz="4" w:space="0" w:color="auto"/>
              <w:right w:val="single" w:sz="4" w:space="0" w:color="auto"/>
            </w:tcBorders>
            <w:noWrap/>
            <w:vAlign w:val="bottom"/>
          </w:tcPr>
          <w:p w14:paraId="1CAA3C41"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195.8</w:t>
            </w:r>
          </w:p>
        </w:tc>
        <w:tc>
          <w:tcPr>
            <w:tcW w:w="1417" w:type="dxa"/>
            <w:tcBorders>
              <w:top w:val="single" w:sz="4" w:space="0" w:color="auto"/>
              <w:left w:val="single" w:sz="4" w:space="0" w:color="auto"/>
              <w:bottom w:val="single" w:sz="4" w:space="0" w:color="auto"/>
              <w:right w:val="single" w:sz="4" w:space="0" w:color="auto"/>
            </w:tcBorders>
            <w:vAlign w:val="bottom"/>
          </w:tcPr>
          <w:p w14:paraId="49D656B7"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186.3</w:t>
            </w:r>
          </w:p>
        </w:tc>
      </w:tr>
      <w:tr w:rsidR="00CF5463" w:rsidRPr="00C921DE" w14:paraId="36B8E706"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535EF58A" w14:textId="77777777" w:rsidR="00CF5463" w:rsidRPr="00C921DE" w:rsidRDefault="00CF5463" w:rsidP="007714BE">
            <w:pPr>
              <w:rPr>
                <w:rFonts w:ascii="GHEA Grapalat" w:hAnsi="GHEA Grapalat" w:cs="Calibri"/>
                <w:sz w:val="18"/>
                <w:szCs w:val="18"/>
              </w:rPr>
            </w:pPr>
            <w:r w:rsidRPr="00C921DE">
              <w:rPr>
                <w:rFonts w:ascii="GHEA Grapalat" w:hAnsi="GHEA Grapalat" w:cs="Calibri"/>
                <w:sz w:val="18"/>
                <w:szCs w:val="18"/>
              </w:rPr>
              <w:t>Իրավախախտումների համար գործադիր, դատական մարմինների կողմից կիրառվող պատժամիջոցներից մուտքեր</w:t>
            </w:r>
          </w:p>
        </w:tc>
        <w:tc>
          <w:tcPr>
            <w:tcW w:w="1276" w:type="dxa"/>
            <w:tcBorders>
              <w:top w:val="single" w:sz="4" w:space="0" w:color="auto"/>
              <w:left w:val="single" w:sz="4" w:space="0" w:color="auto"/>
              <w:bottom w:val="single" w:sz="4" w:space="0" w:color="auto"/>
              <w:right w:val="single" w:sz="4" w:space="0" w:color="auto"/>
            </w:tcBorders>
            <w:vAlign w:val="bottom"/>
          </w:tcPr>
          <w:p w14:paraId="7CFE8A64"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19.5</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4C1027AC" w14:textId="63960D4B"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24.4</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2CEC961" w14:textId="7AC0A72A"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25.1</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210442F"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103.1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7514B6E2"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128.6</w:t>
            </w:r>
          </w:p>
        </w:tc>
      </w:tr>
      <w:tr w:rsidR="00CF5463" w:rsidRPr="00C921DE" w14:paraId="54EB8A89"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6E83B2CF" w14:textId="77777777" w:rsidR="00CF5463" w:rsidRPr="00C921DE" w:rsidRDefault="00CF5463" w:rsidP="007714BE">
            <w:pPr>
              <w:rPr>
                <w:rFonts w:ascii="GHEA Grapalat" w:hAnsi="GHEA Grapalat" w:cs="Calibri"/>
                <w:sz w:val="18"/>
                <w:szCs w:val="18"/>
              </w:rPr>
            </w:pPr>
            <w:r w:rsidRPr="00C921DE">
              <w:rPr>
                <w:rFonts w:ascii="GHEA Grapalat" w:hAnsi="GHEA Grapalat" w:cs="Calibri"/>
                <w:sz w:val="18"/>
                <w:szCs w:val="18"/>
              </w:rPr>
              <w:t>Ապրանքների մատակարարումից և ծառայությունների մատուցումից եկամուտներ</w:t>
            </w:r>
          </w:p>
        </w:tc>
        <w:tc>
          <w:tcPr>
            <w:tcW w:w="1276" w:type="dxa"/>
            <w:tcBorders>
              <w:top w:val="single" w:sz="4" w:space="0" w:color="auto"/>
              <w:left w:val="single" w:sz="4" w:space="0" w:color="auto"/>
              <w:bottom w:val="single" w:sz="4" w:space="0" w:color="auto"/>
              <w:right w:val="single" w:sz="4" w:space="0" w:color="auto"/>
            </w:tcBorders>
            <w:vAlign w:val="bottom"/>
          </w:tcPr>
          <w:p w14:paraId="4D6FA30A"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24.1</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4ECE8994" w14:textId="0FED39D3" w:rsidR="00CF5463" w:rsidRPr="00C921DE" w:rsidRDefault="000C31CA" w:rsidP="007714BE">
            <w:pPr>
              <w:jc w:val="right"/>
              <w:rPr>
                <w:rFonts w:ascii="GHEA Grapalat" w:hAnsi="GHEA Grapalat" w:cs="Arial"/>
                <w:sz w:val="18"/>
                <w:szCs w:val="18"/>
              </w:rPr>
            </w:pPr>
            <w:r w:rsidRPr="00C921DE">
              <w:rPr>
                <w:rFonts w:ascii="GHEA Grapalat" w:hAnsi="GHEA Grapalat" w:cs="Arial"/>
                <w:sz w:val="18"/>
                <w:szCs w:val="18"/>
              </w:rPr>
              <w:t>24.5</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480CF86" w14:textId="3A7A0B87" w:rsidR="00CF5463" w:rsidRPr="00C921DE" w:rsidRDefault="00B44083" w:rsidP="007714BE">
            <w:pPr>
              <w:jc w:val="right"/>
              <w:rPr>
                <w:rFonts w:ascii="GHEA Grapalat" w:hAnsi="GHEA Grapalat" w:cs="Arial"/>
                <w:sz w:val="18"/>
                <w:szCs w:val="18"/>
              </w:rPr>
            </w:pPr>
            <w:r w:rsidRPr="00C921DE">
              <w:rPr>
                <w:rFonts w:ascii="GHEA Grapalat" w:hAnsi="GHEA Grapalat" w:cs="Arial"/>
                <w:sz w:val="18"/>
                <w:szCs w:val="18"/>
              </w:rPr>
              <w:t>24.3</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CA642F0"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99.5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5162C34F"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100.9</w:t>
            </w:r>
          </w:p>
        </w:tc>
      </w:tr>
      <w:tr w:rsidR="00CF5463" w:rsidRPr="00C921DE" w14:paraId="23760E39" w14:textId="77777777" w:rsidTr="00823250">
        <w:trPr>
          <w:trHeight w:val="288"/>
        </w:trPr>
        <w:tc>
          <w:tcPr>
            <w:tcW w:w="3794" w:type="dxa"/>
            <w:tcBorders>
              <w:top w:val="single" w:sz="4" w:space="0" w:color="auto"/>
              <w:left w:val="single" w:sz="4" w:space="0" w:color="auto"/>
              <w:bottom w:val="single" w:sz="4" w:space="0" w:color="auto"/>
              <w:right w:val="single" w:sz="4" w:space="0" w:color="auto"/>
            </w:tcBorders>
            <w:noWrap/>
            <w:vAlign w:val="bottom"/>
            <w:hideMark/>
          </w:tcPr>
          <w:p w14:paraId="6B2E85A1" w14:textId="77777777" w:rsidR="00CF5463" w:rsidRPr="00C921DE" w:rsidRDefault="00CF5463" w:rsidP="007714BE">
            <w:pPr>
              <w:rPr>
                <w:rFonts w:ascii="GHEA Grapalat" w:hAnsi="GHEA Grapalat" w:cs="Calibri"/>
                <w:sz w:val="18"/>
                <w:szCs w:val="18"/>
              </w:rPr>
            </w:pPr>
            <w:r w:rsidRPr="00C921DE">
              <w:rPr>
                <w:rFonts w:ascii="GHEA Grapalat" w:hAnsi="GHEA Grapalat" w:cs="Calibri"/>
                <w:sz w:val="18"/>
                <w:szCs w:val="18"/>
              </w:rPr>
              <w:t>Օրենքով և իրավական այլ ակտերով սահմանված՝ պետական բյուջե մուտքագրվող այլ եկամուտներ</w:t>
            </w:r>
          </w:p>
        </w:tc>
        <w:tc>
          <w:tcPr>
            <w:tcW w:w="1276" w:type="dxa"/>
            <w:tcBorders>
              <w:top w:val="single" w:sz="4" w:space="0" w:color="auto"/>
              <w:left w:val="single" w:sz="4" w:space="0" w:color="auto"/>
              <w:bottom w:val="single" w:sz="4" w:space="0" w:color="auto"/>
              <w:right w:val="single" w:sz="4" w:space="0" w:color="auto"/>
            </w:tcBorders>
            <w:vAlign w:val="bottom"/>
          </w:tcPr>
          <w:p w14:paraId="72C965D9"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23.0</w:t>
            </w:r>
          </w:p>
        </w:tc>
        <w:tc>
          <w:tcPr>
            <w:tcW w:w="1275" w:type="dxa"/>
            <w:tcBorders>
              <w:top w:val="single" w:sz="4" w:space="0" w:color="auto"/>
              <w:left w:val="single" w:sz="4" w:space="0" w:color="auto"/>
              <w:bottom w:val="single" w:sz="4" w:space="0" w:color="auto"/>
              <w:right w:val="single" w:sz="4" w:space="0" w:color="auto"/>
            </w:tcBorders>
            <w:noWrap/>
            <w:vAlign w:val="bottom"/>
            <w:hideMark/>
          </w:tcPr>
          <w:p w14:paraId="3355397B" w14:textId="2C33D2C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 xml:space="preserve">2.6 </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78B0311" w14:textId="19A87DD1" w:rsidR="00CF5463" w:rsidRPr="00C921DE" w:rsidRDefault="00B44083" w:rsidP="007714BE">
            <w:pPr>
              <w:jc w:val="right"/>
              <w:rPr>
                <w:rFonts w:ascii="GHEA Grapalat" w:hAnsi="GHEA Grapalat" w:cs="Arial"/>
                <w:sz w:val="18"/>
                <w:szCs w:val="18"/>
              </w:rPr>
            </w:pPr>
            <w:r w:rsidRPr="00C921DE">
              <w:rPr>
                <w:rFonts w:ascii="GHEA Grapalat" w:hAnsi="GHEA Grapalat" w:cs="Arial"/>
                <w:sz w:val="18"/>
                <w:szCs w:val="18"/>
              </w:rPr>
              <w:t>5.2</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B0185C8"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201.5</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47624FE" w14:textId="77777777" w:rsidR="00CF5463" w:rsidRPr="00C921DE" w:rsidRDefault="00CF5463" w:rsidP="007714BE">
            <w:pPr>
              <w:jc w:val="right"/>
              <w:rPr>
                <w:rFonts w:ascii="GHEA Grapalat" w:hAnsi="GHEA Grapalat" w:cs="Arial"/>
                <w:sz w:val="18"/>
                <w:szCs w:val="18"/>
              </w:rPr>
            </w:pPr>
            <w:r w:rsidRPr="00C921DE">
              <w:rPr>
                <w:rFonts w:ascii="GHEA Grapalat" w:hAnsi="GHEA Grapalat" w:cs="Arial"/>
                <w:sz w:val="18"/>
                <w:szCs w:val="18"/>
              </w:rPr>
              <w:t>22.8</w:t>
            </w:r>
          </w:p>
        </w:tc>
      </w:tr>
    </w:tbl>
    <w:p w14:paraId="030C7468" w14:textId="77777777" w:rsidR="00CF5463" w:rsidRPr="00C921DE" w:rsidRDefault="00CF5463" w:rsidP="00EE797E">
      <w:pPr>
        <w:spacing w:line="360" w:lineRule="auto"/>
        <w:ind w:right="9" w:firstLine="567"/>
        <w:jc w:val="both"/>
        <w:rPr>
          <w:rFonts w:ascii="GHEA Grapalat" w:hAnsi="GHEA Grapalat" w:cs="Calibri"/>
          <w:sz w:val="22"/>
          <w:szCs w:val="22"/>
        </w:rPr>
      </w:pPr>
    </w:p>
    <w:p w14:paraId="0FDA6924" w14:textId="6D1CC053" w:rsidR="00CF5463" w:rsidRPr="00C921DE" w:rsidRDefault="00CF5463" w:rsidP="00EE797E">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Հաշվետու ժամանակահատվածում </w:t>
      </w:r>
      <w:r w:rsidRPr="00C921DE">
        <w:rPr>
          <w:rFonts w:ascii="GHEA Grapalat" w:hAnsi="GHEA Grapalat" w:cs="Calibri"/>
          <w:i/>
          <w:sz w:val="22"/>
          <w:szCs w:val="22"/>
        </w:rPr>
        <w:t>բանկերում և այլ ֆինանսավարկային հաստատություններում բյուջեի ժամանակավոր ազատ միջոցների տեղաբաշխումից և դեպոզիտներից</w:t>
      </w:r>
      <w:r w:rsidRPr="00C921DE">
        <w:rPr>
          <w:rFonts w:ascii="GHEA Grapalat" w:hAnsi="GHEA Grapalat" w:cs="Calibri"/>
          <w:sz w:val="22"/>
          <w:szCs w:val="22"/>
        </w:rPr>
        <w:t xml:space="preserve"> ստացվել են 50.1 մլրդ դրամ տոկոսավճարներ, որոնք 2.5%-ով (1.2</w:t>
      </w:r>
      <w:r w:rsidRPr="00C921DE">
        <w:rPr>
          <w:rFonts w:ascii="Calibri" w:hAnsi="Calibri" w:cs="Calibri"/>
          <w:sz w:val="22"/>
          <w:szCs w:val="22"/>
        </w:rPr>
        <w:t> </w:t>
      </w:r>
      <w:r w:rsidRPr="00C921DE">
        <w:rPr>
          <w:rFonts w:ascii="GHEA Grapalat" w:hAnsi="GHEA Grapalat" w:cs="Calibri"/>
          <w:sz w:val="22"/>
          <w:szCs w:val="22"/>
        </w:rPr>
        <w:t>մլրդ դրամով) գերազանցել են տարեկան ծրագրային ցուցանիշը և 30.9%-ով (11.8 մ</w:t>
      </w:r>
      <w:r w:rsidR="00FE79D2" w:rsidRPr="00C921DE">
        <w:rPr>
          <w:rFonts w:ascii="GHEA Grapalat" w:hAnsi="GHEA Grapalat" w:cs="Calibri"/>
          <w:sz w:val="22"/>
          <w:szCs w:val="22"/>
          <w:lang w:val="en-US"/>
        </w:rPr>
        <w:t>լ</w:t>
      </w:r>
      <w:r w:rsidRPr="00C921DE">
        <w:rPr>
          <w:rFonts w:ascii="GHEA Grapalat" w:hAnsi="GHEA Grapalat" w:cs="Calibri"/>
          <w:sz w:val="22"/>
          <w:szCs w:val="22"/>
        </w:rPr>
        <w:t>րդ դրամով)՝ նախորդ տարվա ցուցանիշը: Ծրագրված ցուցանիշի գերազանցումը պայմանավորված է ավանդի ներդրման տոկոսադրույքի աճով, ինչպես նաև 2023 թվականի ընթացքում պետական բյուջեի ելքերի ծրագրային ցուցանիշի համեմատաբար ցածր կատարողականով, որ</w:t>
      </w:r>
      <w:r w:rsidR="005253CB" w:rsidRPr="00C921DE">
        <w:rPr>
          <w:rFonts w:ascii="GHEA Grapalat" w:hAnsi="GHEA Grapalat" w:cs="Calibri"/>
          <w:sz w:val="22"/>
          <w:szCs w:val="22"/>
          <w:lang w:val="en-US"/>
        </w:rPr>
        <w:t>ի</w:t>
      </w:r>
      <w:r w:rsidRPr="00C921DE">
        <w:rPr>
          <w:rFonts w:ascii="GHEA Grapalat" w:hAnsi="GHEA Grapalat" w:cs="Calibri"/>
          <w:sz w:val="22"/>
          <w:szCs w:val="22"/>
        </w:rPr>
        <w:t xml:space="preserve"> պայմաններում առաջացել են լրացուցիչ ժամանակավոր ազատ դրամական միջոցներ, որոնք ներդրվել են՝ ապահովելով լրացուցիչ տոկոսային եկամուտներ: Նախորդ տարվա համեմատ ավանդների միջին կշռված տոկոսադրույքի 0.5 տոկոսային կետով աճը, ինչպես նաև 1 տրիլիոն դրամով ավել ավանդների ներդրումն ապահովել են նախորդ տարվա համեմատ զուտ տոկոսագումարների շուրջ 11.8 մլրդ դրամով ավել մուտքեր: 2023 թվականի ընթացքում ներդրված ավանդների միջին կշռված տոկոսադրույքը կազմել է 10.17%` 2023 թվականի բյուջեի հաշվարկների հիմքում դրված 6.69%-ի և 2022 թվականի 9.66%-ի դիմաց: 2023 </w:t>
      </w:r>
      <w:r w:rsidRPr="00C921DE">
        <w:rPr>
          <w:rFonts w:ascii="GHEA Grapalat" w:hAnsi="GHEA Grapalat" w:cs="Calibri"/>
          <w:sz w:val="22"/>
          <w:szCs w:val="22"/>
        </w:rPr>
        <w:lastRenderedPageBreak/>
        <w:t>թվականի ընթացքում ՀՀ ԿԲ և ՀՀ ՖՆ միջև կնքվել է 301 ավանդային պայմանագիր` 2,719 մլրդ դրամ ընդհանուր գումարով (նախորդ տարի կնքվել էր 203 ավանդային պայմանագիր` 1,697 մլրդ դրամ ընդհանուր գումարով): Հաշվետու տարում ներդրված ավանդների միջին մեծությունը կազմել է 9.03 մլրդ դրամ, որը նախորդ տարվա համեմատ աճել է շուրջ 0.7 մլրդ դրամով:</w:t>
      </w:r>
    </w:p>
    <w:p w14:paraId="2C26E7A8" w14:textId="6209408F" w:rsidR="003A3F6E"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2023 թվականի ընթացքում </w:t>
      </w:r>
      <w:r w:rsidRPr="00C921DE">
        <w:rPr>
          <w:rFonts w:ascii="GHEA Grapalat" w:hAnsi="GHEA Grapalat" w:cs="Calibri"/>
          <w:i/>
          <w:sz w:val="22"/>
          <w:szCs w:val="22"/>
        </w:rPr>
        <w:t>իրավախախտումների համար գործադիր, դատական մարմինների կողմից կիրառվող պատժամիջոցներից</w:t>
      </w:r>
      <w:r w:rsidRPr="00C921DE">
        <w:rPr>
          <w:rFonts w:ascii="GHEA Grapalat" w:hAnsi="GHEA Grapalat" w:cs="Calibri"/>
          <w:sz w:val="22"/>
          <w:szCs w:val="22"/>
        </w:rPr>
        <w:t xml:space="preserve"> ստացված մուտքերի ծրագրային ցուցանիշի 3.1%</w:t>
      </w:r>
      <w:r w:rsidRPr="00C921DE">
        <w:rPr>
          <w:rFonts w:ascii="GHEA Grapalat" w:hAnsi="GHEA Grapalat" w:cs="Calibri"/>
          <w:sz w:val="22"/>
          <w:szCs w:val="22"/>
        </w:rPr>
        <w:noBreakHyphen/>
        <w:t xml:space="preserve">ով (751 մլն դրամով) գերազանցումը և նախորդ տարվա համեմատ 28.6% (5.6 մլրդ դրամ) աճը </w:t>
      </w:r>
      <w:r w:rsidR="00C44273" w:rsidRPr="00C921DE">
        <w:rPr>
          <w:rFonts w:ascii="GHEA Grapalat" w:hAnsi="GHEA Grapalat" w:cs="Calibri"/>
          <w:sz w:val="22"/>
          <w:szCs w:val="22"/>
          <w:lang w:val="en-US"/>
        </w:rPr>
        <w:t xml:space="preserve">մասամբ </w:t>
      </w:r>
      <w:r w:rsidRPr="00C921DE">
        <w:rPr>
          <w:rFonts w:ascii="GHEA Grapalat" w:hAnsi="GHEA Grapalat" w:cs="Calibri"/>
          <w:sz w:val="22"/>
          <w:szCs w:val="22"/>
        </w:rPr>
        <w:t>պայմանավորված է երթևեկության բարձր ինտենսիվության պայմաններում ճանապարհատրանս</w:t>
      </w:r>
      <w:r w:rsidR="005253CB" w:rsidRPr="00C921DE">
        <w:rPr>
          <w:rFonts w:ascii="GHEA Grapalat" w:hAnsi="GHEA Grapalat" w:cs="Calibri"/>
          <w:sz w:val="22"/>
          <w:szCs w:val="22"/>
        </w:rPr>
        <w:t>-</w:t>
      </w:r>
      <w:r w:rsidRPr="00C921DE">
        <w:rPr>
          <w:rFonts w:ascii="GHEA Grapalat" w:hAnsi="GHEA Grapalat" w:cs="Calibri"/>
          <w:sz w:val="22"/>
          <w:szCs w:val="22"/>
        </w:rPr>
        <w:t>պորտային պատահարների կանխարգելման նպատակով ՀՀ ոստիկանության կողմի</w:t>
      </w:r>
      <w:r w:rsidR="005253CB" w:rsidRPr="00C921DE">
        <w:rPr>
          <w:rFonts w:ascii="GHEA Grapalat" w:hAnsi="GHEA Grapalat" w:cs="Calibri"/>
          <w:sz w:val="22"/>
          <w:szCs w:val="22"/>
        </w:rPr>
        <w:t>ց հաճախակի ուժեղացված ծառայության</w:t>
      </w:r>
      <w:r w:rsidRPr="00C921DE">
        <w:rPr>
          <w:rFonts w:ascii="GHEA Grapalat" w:hAnsi="GHEA Grapalat" w:cs="Calibri"/>
          <w:sz w:val="22"/>
          <w:szCs w:val="22"/>
        </w:rPr>
        <w:t xml:space="preserve"> իրականացմամբ և ՀՀ ոստիկանության տեսանկարահանող սարքերի միջոցով արձանագրված խախտումների համար ՀՀ ոստիկանության կողմից կիրառված պատժամիջոցներից գանձված գումարների աճով, որոնք կազմել են</w:t>
      </w:r>
      <w:r w:rsidR="003A3F6E" w:rsidRPr="00C921DE">
        <w:rPr>
          <w:rFonts w:ascii="GHEA Grapalat" w:hAnsi="GHEA Grapalat" w:cs="Calibri"/>
          <w:sz w:val="22"/>
          <w:szCs w:val="22"/>
        </w:rPr>
        <w:t xml:space="preserve"> 18.3 մլրդ դրամ՝ 0.6%-ով (108.9</w:t>
      </w:r>
      <w:r w:rsidR="003A3F6E" w:rsidRPr="00C921DE">
        <w:rPr>
          <w:rFonts w:ascii="Calibri" w:hAnsi="Calibri" w:cs="Calibri"/>
          <w:sz w:val="22"/>
          <w:szCs w:val="22"/>
        </w:rPr>
        <w:t> </w:t>
      </w:r>
      <w:r w:rsidRPr="00C921DE">
        <w:rPr>
          <w:rFonts w:ascii="GHEA Grapalat" w:hAnsi="GHEA Grapalat" w:cs="Calibri"/>
          <w:sz w:val="22"/>
          <w:szCs w:val="22"/>
        </w:rPr>
        <w:t>մլն դրամով)</w:t>
      </w:r>
      <w:r w:rsidR="003A3F6E" w:rsidRPr="00C921DE">
        <w:rPr>
          <w:rFonts w:ascii="GHEA Grapalat" w:hAnsi="GHEA Grapalat" w:cs="Calibri"/>
          <w:sz w:val="22"/>
          <w:szCs w:val="22"/>
        </w:rPr>
        <w:t xml:space="preserve"> գերազանցելով ծրագրված մուտքերը և </w:t>
      </w:r>
      <w:r w:rsidR="003A3F6E" w:rsidRPr="00C921DE">
        <w:rPr>
          <w:rFonts w:ascii="GHEA Grapalat" w:hAnsi="GHEA Grapalat" w:cs="Calibri"/>
          <w:sz w:val="22"/>
          <w:szCs w:val="22"/>
          <w:lang w:val="en-US"/>
        </w:rPr>
        <w:t>16.4%-ով (2.6 մլրդ դրամով)՝ նախորդ տարվա մուտքերը</w:t>
      </w:r>
      <w:r w:rsidRPr="00C921DE">
        <w:rPr>
          <w:rFonts w:ascii="GHEA Grapalat" w:hAnsi="GHEA Grapalat" w:cs="Calibri"/>
          <w:sz w:val="22"/>
          <w:szCs w:val="22"/>
        </w:rPr>
        <w:t xml:space="preserve">: </w:t>
      </w:r>
    </w:p>
    <w:p w14:paraId="1CDBE3CB" w14:textId="36925CC2" w:rsidR="00C44273" w:rsidRPr="00C921DE" w:rsidRDefault="00682560" w:rsidP="00CF5463">
      <w:pPr>
        <w:spacing w:line="360" w:lineRule="auto"/>
        <w:ind w:right="9" w:firstLine="567"/>
        <w:jc w:val="both"/>
        <w:rPr>
          <w:rFonts w:ascii="GHEA Grapalat" w:hAnsi="GHEA Grapalat" w:cs="Calibri"/>
          <w:sz w:val="22"/>
          <w:szCs w:val="22"/>
          <w:lang w:val="en-US"/>
        </w:rPr>
      </w:pPr>
      <w:r w:rsidRPr="00C921DE">
        <w:rPr>
          <w:rFonts w:ascii="GHEA Grapalat" w:hAnsi="GHEA Grapalat" w:cs="Calibri"/>
          <w:sz w:val="22"/>
          <w:szCs w:val="22"/>
          <w:lang w:val="en-US"/>
        </w:rPr>
        <w:t>Ծրագրի գերազանցումը պայմանավորված է նաև տեսչական մարմինների կողմից ապահովված մուտքերով, որոնք կազմել են 871.3 մլն դրամ՝ 41.5%-ով գերազանցելով ծրագրված ցուցանիշը:</w:t>
      </w:r>
      <w:r w:rsidR="00302843" w:rsidRPr="00C921DE">
        <w:rPr>
          <w:rFonts w:ascii="GHEA Grapalat" w:hAnsi="GHEA Grapalat" w:cs="Calibri"/>
          <w:sz w:val="22"/>
          <w:szCs w:val="22"/>
          <w:lang w:val="en-US"/>
        </w:rPr>
        <w:t xml:space="preserve"> Ծրագրային ցուցանիշների զգալի գերազանցում է արձանագրվել նաև ՀՀ կենտրոնական բանկի և Մրցակցության պաշտպանության հանձնաժողովի կողմից գանձված մուտքերի գծով, որոնք կազմել են համապատասխանաբար 282.1 մլն դրամ և 193.7 մլն դրամ՝ 88%-ով և 234%-ով գերազանցելով ծրագրված ցուցանիշները:</w:t>
      </w:r>
      <w:r w:rsidR="0030278E" w:rsidRPr="00C921DE">
        <w:rPr>
          <w:rFonts w:ascii="GHEA Grapalat" w:hAnsi="GHEA Grapalat" w:cs="Calibri"/>
          <w:sz w:val="22"/>
          <w:szCs w:val="22"/>
          <w:lang w:val="en-US"/>
        </w:rPr>
        <w:t xml:space="preserve"> </w:t>
      </w:r>
    </w:p>
    <w:p w14:paraId="27FD5698" w14:textId="755C7C07" w:rsidR="00A4456C" w:rsidRPr="00C921DE" w:rsidRDefault="00A4456C" w:rsidP="00CF5463">
      <w:pPr>
        <w:spacing w:line="360" w:lineRule="auto"/>
        <w:ind w:right="9" w:firstLine="567"/>
        <w:jc w:val="both"/>
        <w:rPr>
          <w:rFonts w:ascii="GHEA Grapalat" w:hAnsi="GHEA Grapalat" w:cs="Calibri"/>
          <w:sz w:val="22"/>
          <w:szCs w:val="22"/>
          <w:lang w:val="en-US"/>
        </w:rPr>
      </w:pPr>
      <w:r w:rsidRPr="00C921DE">
        <w:rPr>
          <w:rFonts w:ascii="GHEA Grapalat" w:hAnsi="GHEA Grapalat" w:cs="Calibri"/>
          <w:sz w:val="22"/>
          <w:szCs w:val="22"/>
          <w:lang w:val="en-US"/>
        </w:rPr>
        <w:t xml:space="preserve">Նախորդ տարվա համեմատ իրավախախտումների համար գանձված մուտքերի աճը զգալիորեն պայմանավորված է նաև </w:t>
      </w:r>
      <w:r w:rsidR="00B71DF5" w:rsidRPr="00C921DE">
        <w:rPr>
          <w:rFonts w:ascii="GHEA Grapalat" w:hAnsi="GHEA Grapalat" w:cs="Calibri"/>
          <w:sz w:val="22"/>
          <w:szCs w:val="22"/>
          <w:lang w:val="en-US"/>
        </w:rPr>
        <w:t>պ</w:t>
      </w:r>
      <w:r w:rsidRPr="00C921DE">
        <w:rPr>
          <w:rFonts w:ascii="GHEA Grapalat" w:hAnsi="GHEA Grapalat" w:cs="Calibri"/>
          <w:sz w:val="22"/>
          <w:szCs w:val="22"/>
          <w:lang w:val="en-US"/>
        </w:rPr>
        <w:t>ետական բյուջեի նկատմամբ ստանձնած պայմանագրային պարտավորությունների չկատարման դիմաց գանձվող տույժերից մուտքեր</w:t>
      </w:r>
      <w:r w:rsidR="00B71DF5" w:rsidRPr="00C921DE">
        <w:rPr>
          <w:rFonts w:ascii="GHEA Grapalat" w:hAnsi="GHEA Grapalat" w:cs="Calibri"/>
          <w:sz w:val="22"/>
          <w:szCs w:val="22"/>
          <w:lang w:val="en-US"/>
        </w:rPr>
        <w:t>ի աճով, որոնք կազմել են 2.4 մլրդ դրամ՝ 6.6 անգամ գերազանցելով 2022 թվականի մուտքերը:</w:t>
      </w:r>
    </w:p>
    <w:p w14:paraId="08439BE8" w14:textId="39026610" w:rsidR="00C44273" w:rsidRPr="00C921DE" w:rsidRDefault="003A3F6E" w:rsidP="00CF5463">
      <w:pPr>
        <w:spacing w:line="360" w:lineRule="auto"/>
        <w:ind w:right="9" w:firstLine="567"/>
        <w:jc w:val="both"/>
        <w:rPr>
          <w:rFonts w:ascii="GHEA Grapalat" w:hAnsi="GHEA Grapalat" w:cs="Calibri"/>
          <w:sz w:val="22"/>
          <w:szCs w:val="22"/>
          <w:lang w:val="en-US"/>
        </w:rPr>
      </w:pPr>
      <w:r w:rsidRPr="00C921DE">
        <w:rPr>
          <w:rFonts w:ascii="GHEA Grapalat" w:hAnsi="GHEA Grapalat" w:cs="Calibri"/>
          <w:sz w:val="22"/>
          <w:szCs w:val="22"/>
          <w:lang w:val="en-US"/>
        </w:rPr>
        <w:t xml:space="preserve">Իրավախախտումների համար ստացվող եկամուտների </w:t>
      </w:r>
      <w:r w:rsidR="00CF5463" w:rsidRPr="00C921DE">
        <w:rPr>
          <w:rFonts w:ascii="GHEA Grapalat" w:hAnsi="GHEA Grapalat" w:cs="Calibri"/>
          <w:sz w:val="22"/>
          <w:szCs w:val="22"/>
          <w:lang w:val="en-US"/>
        </w:rPr>
        <w:t xml:space="preserve">բարձր ցուցանիշն ապահովվել է նաև ՀՀ պետական սահմանը հատելիս հայտնաբերված վարչական իրավախախտումների </w:t>
      </w:r>
      <w:r w:rsidR="001C18A1" w:rsidRPr="00C921DE">
        <w:rPr>
          <w:rFonts w:ascii="GHEA Grapalat" w:hAnsi="GHEA Grapalat" w:cs="Calibri"/>
          <w:sz w:val="22"/>
          <w:szCs w:val="22"/>
          <w:lang w:val="en-US"/>
        </w:rPr>
        <w:t xml:space="preserve">համար գանձված մուտքերի հաշվին՝ պայմանավորված իրավախախտումների </w:t>
      </w:r>
      <w:r w:rsidR="00CF5463" w:rsidRPr="00C921DE">
        <w:rPr>
          <w:rFonts w:ascii="GHEA Grapalat" w:hAnsi="GHEA Grapalat" w:cs="Calibri"/>
          <w:sz w:val="22"/>
          <w:szCs w:val="22"/>
          <w:lang w:val="en-US"/>
        </w:rPr>
        <w:t xml:space="preserve">թվաքանակի ավելացմամբ: </w:t>
      </w:r>
    </w:p>
    <w:p w14:paraId="490035C3" w14:textId="79319F0F"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Մուտքերի բարձր մակարդակ է գրանցվել նաև ՀՀ արդարադատության նախար</w:t>
      </w:r>
      <w:r w:rsidR="00FE79D2" w:rsidRPr="00C921DE">
        <w:rPr>
          <w:rFonts w:ascii="GHEA Grapalat" w:hAnsi="GHEA Grapalat" w:cs="Calibri"/>
          <w:sz w:val="22"/>
          <w:szCs w:val="22"/>
          <w:lang w:val="en-US"/>
        </w:rPr>
        <w:t>ար</w:t>
      </w:r>
      <w:r w:rsidRPr="00C921DE">
        <w:rPr>
          <w:rFonts w:ascii="GHEA Grapalat" w:hAnsi="GHEA Grapalat" w:cs="Calibri"/>
          <w:sz w:val="22"/>
          <w:szCs w:val="22"/>
        </w:rPr>
        <w:t>ության կողմից կիրառված պատժամիջոցների դիմաց գանձված գումարների գծով, որոնք կազմել են 587.9</w:t>
      </w:r>
      <w:r w:rsidRPr="00C921DE">
        <w:rPr>
          <w:rFonts w:ascii="Calibri" w:hAnsi="Calibri" w:cs="Calibri"/>
          <w:sz w:val="22"/>
          <w:szCs w:val="22"/>
        </w:rPr>
        <w:t> </w:t>
      </w:r>
      <w:r w:rsidRPr="00C921DE">
        <w:rPr>
          <w:rFonts w:ascii="GHEA Grapalat" w:hAnsi="GHEA Grapalat" w:cs="Calibri"/>
          <w:sz w:val="22"/>
          <w:szCs w:val="22"/>
        </w:rPr>
        <w:t xml:space="preserve">մլն դրամ՝ </w:t>
      </w:r>
      <w:r w:rsidR="00175674" w:rsidRPr="00C921DE">
        <w:rPr>
          <w:rFonts w:ascii="GHEA Grapalat" w:hAnsi="GHEA Grapalat" w:cs="Calibri"/>
          <w:sz w:val="22"/>
          <w:szCs w:val="22"/>
          <w:lang w:val="en-US"/>
        </w:rPr>
        <w:t>8.9%-ով</w:t>
      </w:r>
      <w:r w:rsidRPr="00C921DE">
        <w:rPr>
          <w:rFonts w:ascii="GHEA Grapalat" w:hAnsi="GHEA Grapalat" w:cs="Calibri"/>
          <w:sz w:val="22"/>
          <w:szCs w:val="22"/>
        </w:rPr>
        <w:t xml:space="preserve"> գերազանցելով ծրագրված ցուցանիշը և 3.3 անգամ՝ նախորդ տարվա փաստացի ցուցանիշը՝ պայմանավորված պրոբացիայի ծառայության կողմից գանձված տուգանքների աճով:</w:t>
      </w:r>
    </w:p>
    <w:p w14:paraId="281B66B6" w14:textId="2675614F" w:rsidR="00CF5463" w:rsidRPr="00C921DE" w:rsidRDefault="00CF5463" w:rsidP="00CF5463">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lastRenderedPageBreak/>
        <w:t xml:space="preserve">Հաշվետու տարում </w:t>
      </w:r>
      <w:r w:rsidRPr="00C921DE">
        <w:rPr>
          <w:rFonts w:ascii="GHEA Grapalat" w:hAnsi="GHEA Grapalat" w:cs="Calibri"/>
          <w:i/>
          <w:sz w:val="22"/>
          <w:szCs w:val="22"/>
        </w:rPr>
        <w:t>ապրանքների մատակարարումից և ծառայությունների մատուցումից</w:t>
      </w:r>
      <w:r w:rsidRPr="00C921DE">
        <w:rPr>
          <w:rFonts w:ascii="GHEA Grapalat" w:hAnsi="GHEA Grapalat" w:cs="Calibri"/>
          <w:sz w:val="22"/>
          <w:szCs w:val="22"/>
        </w:rPr>
        <w:t xml:space="preserve"> ստացված մուտքերը կազմել են 24.3 մլրդ դրամ՝ 99.5%-ով ապահովելով ծրագրային ցուցանիշը: Նախորդ տարվա համեմատ </w:t>
      </w:r>
      <w:r w:rsidR="008322E9" w:rsidRPr="00C921DE">
        <w:rPr>
          <w:rFonts w:ascii="GHEA Grapalat" w:hAnsi="GHEA Grapalat" w:cs="Calibri"/>
          <w:sz w:val="22"/>
          <w:szCs w:val="22"/>
          <w:lang w:val="en-US"/>
        </w:rPr>
        <w:t>նշվ</w:t>
      </w:r>
      <w:r w:rsidRPr="00C921DE">
        <w:rPr>
          <w:rFonts w:ascii="GHEA Grapalat" w:hAnsi="GHEA Grapalat" w:cs="Calibri"/>
          <w:sz w:val="22"/>
          <w:szCs w:val="22"/>
        </w:rPr>
        <w:t>ած մուտքեր</w:t>
      </w:r>
      <w:r w:rsidR="008322E9" w:rsidRPr="00C921DE">
        <w:rPr>
          <w:rFonts w:ascii="GHEA Grapalat" w:hAnsi="GHEA Grapalat" w:cs="Calibri"/>
          <w:sz w:val="22"/>
          <w:szCs w:val="22"/>
          <w:lang w:val="en-US"/>
        </w:rPr>
        <w:t>ն</w:t>
      </w:r>
      <w:r w:rsidRPr="00C921DE">
        <w:rPr>
          <w:rFonts w:ascii="GHEA Grapalat" w:hAnsi="GHEA Grapalat" w:cs="Calibri"/>
          <w:sz w:val="22"/>
          <w:szCs w:val="22"/>
        </w:rPr>
        <w:t xml:space="preserve"> </w:t>
      </w:r>
      <w:r w:rsidR="008322E9" w:rsidRPr="00C921DE">
        <w:rPr>
          <w:rFonts w:ascii="GHEA Grapalat" w:hAnsi="GHEA Grapalat" w:cs="Calibri"/>
          <w:sz w:val="22"/>
          <w:szCs w:val="22"/>
          <w:lang w:val="en-US"/>
        </w:rPr>
        <w:t>աճ</w:t>
      </w:r>
      <w:r w:rsidR="008322E9" w:rsidRPr="00C921DE">
        <w:rPr>
          <w:rFonts w:ascii="GHEA Grapalat" w:hAnsi="GHEA Grapalat" w:cs="Calibri"/>
          <w:sz w:val="22"/>
          <w:szCs w:val="22"/>
        </w:rPr>
        <w:t>ել են</w:t>
      </w:r>
      <w:r w:rsidR="008322E9" w:rsidRPr="00C921DE">
        <w:rPr>
          <w:rFonts w:ascii="GHEA Grapalat" w:hAnsi="GHEA Grapalat" w:cs="Calibri"/>
          <w:sz w:val="22"/>
          <w:szCs w:val="22"/>
          <w:lang w:val="en-US"/>
        </w:rPr>
        <w:t xml:space="preserve"> </w:t>
      </w:r>
      <w:r w:rsidR="008322E9" w:rsidRPr="00C921DE">
        <w:rPr>
          <w:rFonts w:ascii="GHEA Grapalat" w:hAnsi="GHEA Grapalat" w:cs="Calibri"/>
          <w:sz w:val="22"/>
          <w:szCs w:val="22"/>
        </w:rPr>
        <w:t>0.9%</w:t>
      </w:r>
      <w:r w:rsidR="008322E9" w:rsidRPr="00C921DE">
        <w:rPr>
          <w:rFonts w:ascii="GHEA Grapalat" w:hAnsi="GHEA Grapalat" w:cs="Calibri"/>
          <w:sz w:val="22"/>
          <w:szCs w:val="22"/>
        </w:rPr>
        <w:noBreakHyphen/>
        <w:t>ով</w:t>
      </w:r>
      <w:r w:rsidR="008322E9" w:rsidRPr="00C921DE">
        <w:rPr>
          <w:rFonts w:ascii="GHEA Grapalat" w:hAnsi="GHEA Grapalat" w:cs="Calibri"/>
          <w:sz w:val="22"/>
          <w:szCs w:val="22"/>
          <w:lang w:val="en-US"/>
        </w:rPr>
        <w:t xml:space="preserve"> կամ</w:t>
      </w:r>
      <w:r w:rsidR="008322E9" w:rsidRPr="00C921DE">
        <w:rPr>
          <w:rFonts w:ascii="GHEA Grapalat" w:hAnsi="GHEA Grapalat" w:cs="Calibri"/>
          <w:sz w:val="22"/>
          <w:szCs w:val="22"/>
        </w:rPr>
        <w:t xml:space="preserve"> 211 մլն դրամով</w:t>
      </w:r>
      <w:r w:rsidRPr="00C921DE">
        <w:rPr>
          <w:rFonts w:ascii="GHEA Grapalat" w:hAnsi="GHEA Grapalat" w:cs="Calibri"/>
          <w:sz w:val="22"/>
          <w:szCs w:val="22"/>
        </w:rPr>
        <w:t xml:space="preserve">, որը հիմնականում պայմանավորված է </w:t>
      </w:r>
      <w:r w:rsidR="00FB4ACF" w:rsidRPr="00C921DE">
        <w:rPr>
          <w:rFonts w:ascii="GHEA Grapalat" w:hAnsi="GHEA Grapalat" w:cs="Calibri"/>
          <w:sz w:val="22"/>
          <w:szCs w:val="22"/>
        </w:rPr>
        <w:t>ՀՀ ոստիկանության</w:t>
      </w:r>
      <w:r w:rsidR="00FB4ACF" w:rsidRPr="00C921DE">
        <w:rPr>
          <w:rFonts w:ascii="GHEA Grapalat" w:hAnsi="GHEA Grapalat" w:cs="Calibri"/>
          <w:sz w:val="22"/>
          <w:szCs w:val="22"/>
          <w:lang w:val="en-US"/>
        </w:rPr>
        <w:t>,</w:t>
      </w:r>
      <w:r w:rsidR="00FB4ACF" w:rsidRPr="00C921DE">
        <w:rPr>
          <w:rFonts w:ascii="GHEA Grapalat" w:hAnsi="GHEA Grapalat" w:cs="Calibri"/>
          <w:sz w:val="22"/>
          <w:szCs w:val="22"/>
        </w:rPr>
        <w:t xml:space="preserve"> </w:t>
      </w:r>
      <w:r w:rsidRPr="00C921DE">
        <w:rPr>
          <w:rFonts w:ascii="GHEA Grapalat" w:hAnsi="GHEA Grapalat" w:cs="Calibri"/>
          <w:sz w:val="22"/>
          <w:szCs w:val="22"/>
        </w:rPr>
        <w:t xml:space="preserve">ՀՀ արդարադատության նախարարության և </w:t>
      </w:r>
      <w:r w:rsidR="00FB4ACF" w:rsidRPr="00C921DE">
        <w:rPr>
          <w:rFonts w:ascii="GHEA Grapalat" w:hAnsi="GHEA Grapalat" w:cs="Calibri"/>
          <w:sz w:val="22"/>
          <w:szCs w:val="22"/>
        </w:rPr>
        <w:t>ՀՀ կադաստրի կոմիտե</w:t>
      </w:r>
      <w:r w:rsidR="00FB4ACF" w:rsidRPr="00C921DE">
        <w:rPr>
          <w:rFonts w:ascii="GHEA Grapalat" w:hAnsi="GHEA Grapalat" w:cs="Calibri"/>
          <w:sz w:val="22"/>
          <w:szCs w:val="22"/>
          <w:lang w:val="en-US"/>
        </w:rPr>
        <w:t>ի</w:t>
      </w:r>
      <w:r w:rsidR="00FB4ACF" w:rsidRPr="00C921DE">
        <w:rPr>
          <w:rFonts w:ascii="GHEA Grapalat" w:hAnsi="GHEA Grapalat" w:cs="Calibri"/>
          <w:sz w:val="22"/>
          <w:szCs w:val="22"/>
        </w:rPr>
        <w:t xml:space="preserve"> </w:t>
      </w:r>
      <w:r w:rsidRPr="00C921DE">
        <w:rPr>
          <w:rFonts w:ascii="GHEA Grapalat" w:hAnsi="GHEA Grapalat" w:cs="Calibri"/>
          <w:sz w:val="22"/>
          <w:szCs w:val="22"/>
        </w:rPr>
        <w:t xml:space="preserve">կողմից ապահովված եկամուտների բարձր մակարդակով: </w:t>
      </w:r>
    </w:p>
    <w:p w14:paraId="3CA9D019" w14:textId="23B7B93E" w:rsidR="00FB4ACF" w:rsidRPr="00C921DE" w:rsidRDefault="00FB4ACF" w:rsidP="00FB4ACF">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ՀՀ ոստիկանության կողմից մատուցված ծառայություններից ստացված մուտքերը կազմել են 11.2 մլրդ դրամ՝ ապահովելով 100.9% </w:t>
      </w:r>
      <w:r w:rsidRPr="00C921DE">
        <w:rPr>
          <w:rFonts w:ascii="GHEA Grapalat" w:hAnsi="GHEA Grapalat" w:cs="Calibri"/>
          <w:sz w:val="22"/>
          <w:szCs w:val="22"/>
          <w:lang w:val="en-US"/>
        </w:rPr>
        <w:t xml:space="preserve">կատարողական </w:t>
      </w:r>
      <w:r w:rsidRPr="00C921DE">
        <w:rPr>
          <w:rFonts w:ascii="GHEA Grapalat" w:hAnsi="GHEA Grapalat" w:cs="Calibri"/>
          <w:sz w:val="22"/>
          <w:szCs w:val="22"/>
        </w:rPr>
        <w:t>և 8.4%-ով (870.8 մլն դրամով) գերազանցել</w:t>
      </w:r>
      <w:r w:rsidRPr="00C921DE">
        <w:rPr>
          <w:rFonts w:ascii="GHEA Grapalat" w:hAnsi="GHEA Grapalat" w:cs="Calibri"/>
          <w:sz w:val="22"/>
          <w:szCs w:val="22"/>
          <w:lang w:val="en-US"/>
        </w:rPr>
        <w:t>ով</w:t>
      </w:r>
      <w:r w:rsidRPr="00C921DE">
        <w:rPr>
          <w:rFonts w:ascii="GHEA Grapalat" w:hAnsi="GHEA Grapalat" w:cs="Calibri"/>
          <w:sz w:val="22"/>
          <w:szCs w:val="22"/>
        </w:rPr>
        <w:t xml:space="preserve"> նախորդ տարվա ցուցանիշը: </w:t>
      </w:r>
      <w:r w:rsidR="00AC3D86" w:rsidRPr="00C921DE">
        <w:rPr>
          <w:rFonts w:ascii="GHEA Grapalat" w:hAnsi="GHEA Grapalat" w:cs="Calibri"/>
          <w:sz w:val="22"/>
          <w:szCs w:val="22"/>
          <w:lang w:val="en-US"/>
        </w:rPr>
        <w:t>Ա</w:t>
      </w:r>
      <w:r w:rsidRPr="00C921DE">
        <w:rPr>
          <w:rFonts w:ascii="GHEA Grapalat" w:hAnsi="GHEA Grapalat" w:cs="Calibri"/>
          <w:sz w:val="22"/>
          <w:szCs w:val="22"/>
        </w:rPr>
        <w:t xml:space="preserve">ճը հիմնականում </w:t>
      </w:r>
      <w:r w:rsidR="001D60B1" w:rsidRPr="00C921DE">
        <w:rPr>
          <w:rFonts w:ascii="GHEA Grapalat" w:hAnsi="GHEA Grapalat" w:cs="Calibri"/>
          <w:sz w:val="22"/>
          <w:szCs w:val="22"/>
          <w:lang w:val="en-US"/>
        </w:rPr>
        <w:t>արձանագրվել է Ճանապարհային ոստիկանության կողմից մատուցվող ծառայությունների գծով</w:t>
      </w:r>
      <w:r w:rsidRPr="00C921DE">
        <w:rPr>
          <w:rFonts w:ascii="GHEA Grapalat" w:hAnsi="GHEA Grapalat" w:cs="Calibri"/>
          <w:sz w:val="22"/>
          <w:szCs w:val="22"/>
        </w:rPr>
        <w:t>:</w:t>
      </w:r>
    </w:p>
    <w:p w14:paraId="3E402B09" w14:textId="6A2C97BA" w:rsidR="00CF5463" w:rsidRPr="00C921DE" w:rsidRDefault="00CF5463" w:rsidP="00EE797E">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 xml:space="preserve">ՀՀ արդարադատության նախարարության կողմից ծառայությունների մատուցումից ստացված եկամուտները կազմել են 5.4 մլրդ դրամ՝ ապահովելով 100.2% </w:t>
      </w:r>
      <w:r w:rsidR="001D60B1" w:rsidRPr="00C921DE">
        <w:rPr>
          <w:rFonts w:ascii="GHEA Grapalat" w:hAnsi="GHEA Grapalat" w:cs="Calibri"/>
          <w:sz w:val="22"/>
          <w:szCs w:val="22"/>
          <w:lang w:val="en-US"/>
        </w:rPr>
        <w:t xml:space="preserve">կատարողական </w:t>
      </w:r>
      <w:r w:rsidRPr="00C921DE">
        <w:rPr>
          <w:rFonts w:ascii="GHEA Grapalat" w:hAnsi="GHEA Grapalat" w:cs="Calibri"/>
          <w:sz w:val="22"/>
          <w:szCs w:val="22"/>
        </w:rPr>
        <w:t xml:space="preserve">և 14.7%-ով </w:t>
      </w:r>
      <w:r w:rsidR="001D60B1" w:rsidRPr="00C921DE">
        <w:rPr>
          <w:rFonts w:ascii="GHEA Grapalat" w:hAnsi="GHEA Grapalat" w:cs="Calibri"/>
          <w:sz w:val="22"/>
          <w:szCs w:val="22"/>
        </w:rPr>
        <w:t>(688.8 մլն դրամով) գերազանցելով</w:t>
      </w:r>
      <w:r w:rsidRPr="00C921DE">
        <w:rPr>
          <w:rFonts w:ascii="GHEA Grapalat" w:hAnsi="GHEA Grapalat" w:cs="Calibri"/>
          <w:sz w:val="22"/>
          <w:szCs w:val="22"/>
        </w:rPr>
        <w:t xml:space="preserve"> նախորդ տարվա ցուցանիշը: </w:t>
      </w:r>
      <w:r w:rsidR="001D60B1" w:rsidRPr="00C921DE">
        <w:rPr>
          <w:rFonts w:ascii="GHEA Grapalat" w:hAnsi="GHEA Grapalat" w:cs="Calibri"/>
          <w:sz w:val="22"/>
          <w:szCs w:val="22"/>
          <w:lang w:val="en-US"/>
        </w:rPr>
        <w:t>Ա</w:t>
      </w:r>
      <w:r w:rsidRPr="00C921DE">
        <w:rPr>
          <w:rFonts w:ascii="GHEA Grapalat" w:hAnsi="GHEA Grapalat" w:cs="Calibri"/>
          <w:sz w:val="22"/>
          <w:szCs w:val="22"/>
        </w:rPr>
        <w:t>ճը հիմնականում</w:t>
      </w:r>
      <w:r w:rsidR="00037D18" w:rsidRPr="00C921DE">
        <w:rPr>
          <w:rFonts w:ascii="GHEA Grapalat" w:hAnsi="GHEA Grapalat" w:cs="Calibri"/>
          <w:sz w:val="22"/>
          <w:szCs w:val="22"/>
          <w:lang w:val="en-US"/>
        </w:rPr>
        <w:t xml:space="preserve"> ապահովվել է Դատական ակտերի կատարման հարկադիր ծառայության կողմից՝</w:t>
      </w:r>
      <w:r w:rsidRPr="00C921DE">
        <w:rPr>
          <w:rFonts w:ascii="GHEA Grapalat" w:hAnsi="GHEA Grapalat" w:cs="Calibri"/>
          <w:sz w:val="22"/>
          <w:szCs w:val="22"/>
        </w:rPr>
        <w:t xml:space="preserve"> պայմանավորված նրանով, որ 2022 թվականից ներդրվել են լրացուցիչ մեխանիզմներ հարկադիր կատարողների կողմից կատարված աշխատանքի ծավալների կամ որակական ցուցանիշների և վերջիններիս նյութական ապահովվածության միջև արդարացի հավասարակշռությունն ապահովելու, կատարողական գո</w:t>
      </w:r>
      <w:r w:rsidR="00037D18" w:rsidRPr="00C921DE">
        <w:rPr>
          <w:rFonts w:ascii="GHEA Grapalat" w:hAnsi="GHEA Grapalat" w:cs="Calibri"/>
          <w:sz w:val="22"/>
          <w:szCs w:val="22"/>
        </w:rPr>
        <w:t>րծողությունների արդյունավետությու</w:t>
      </w:r>
      <w:r w:rsidRPr="00C921DE">
        <w:rPr>
          <w:rFonts w:ascii="GHEA Grapalat" w:hAnsi="GHEA Grapalat" w:cs="Calibri"/>
          <w:sz w:val="22"/>
          <w:szCs w:val="22"/>
        </w:rPr>
        <w:t>ն</w:t>
      </w:r>
      <w:r w:rsidR="00037D18" w:rsidRPr="00C921DE">
        <w:rPr>
          <w:rFonts w:ascii="GHEA Grapalat" w:hAnsi="GHEA Grapalat" w:cs="Calibri"/>
          <w:sz w:val="22"/>
          <w:szCs w:val="22"/>
          <w:lang w:val="en-US"/>
        </w:rPr>
        <w:t>ը</w:t>
      </w:r>
      <w:r w:rsidRPr="00C921DE">
        <w:rPr>
          <w:rFonts w:ascii="GHEA Grapalat" w:hAnsi="GHEA Grapalat" w:cs="Calibri"/>
          <w:sz w:val="22"/>
          <w:szCs w:val="22"/>
        </w:rPr>
        <w:t xml:space="preserve"> բարձրաց</w:t>
      </w:r>
      <w:r w:rsidR="00037D18" w:rsidRPr="00C921DE">
        <w:rPr>
          <w:rFonts w:ascii="GHEA Grapalat" w:hAnsi="GHEA Grapalat" w:cs="Calibri"/>
          <w:sz w:val="22"/>
          <w:szCs w:val="22"/>
          <w:lang w:val="en-US"/>
        </w:rPr>
        <w:t>նելու</w:t>
      </w:r>
      <w:r w:rsidRPr="00C921DE">
        <w:rPr>
          <w:rFonts w:ascii="GHEA Grapalat" w:hAnsi="GHEA Grapalat" w:cs="Calibri"/>
          <w:sz w:val="22"/>
          <w:szCs w:val="22"/>
        </w:rPr>
        <w:t xml:space="preserve"> նպատակով:</w:t>
      </w:r>
    </w:p>
    <w:p w14:paraId="20B90C7E" w14:textId="0BFACC4E" w:rsidR="00DD2FB6" w:rsidRPr="00C921DE" w:rsidRDefault="00CF5463" w:rsidP="00DD2FB6">
      <w:pPr>
        <w:spacing w:line="360" w:lineRule="auto"/>
        <w:ind w:right="9" w:firstLine="567"/>
        <w:jc w:val="both"/>
        <w:rPr>
          <w:rFonts w:ascii="GHEA Grapalat" w:hAnsi="GHEA Grapalat" w:cs="Calibri"/>
          <w:sz w:val="22"/>
          <w:szCs w:val="22"/>
        </w:rPr>
      </w:pPr>
      <w:r w:rsidRPr="00C921DE">
        <w:rPr>
          <w:rFonts w:ascii="GHEA Grapalat" w:hAnsi="GHEA Grapalat" w:cs="Calibri"/>
          <w:sz w:val="22"/>
          <w:szCs w:val="22"/>
        </w:rPr>
        <w:t>ՀՀ կադաստրի կոմիտեի ս</w:t>
      </w:r>
      <w:r w:rsidR="00AC342F" w:rsidRPr="00C921DE">
        <w:rPr>
          <w:rFonts w:ascii="GHEA Grapalat" w:hAnsi="GHEA Grapalat" w:cs="Calibri"/>
          <w:sz w:val="22"/>
          <w:szCs w:val="22"/>
        </w:rPr>
        <w:t>տորաբաժանումների կողմից մատուցված</w:t>
      </w:r>
      <w:r w:rsidRPr="00C921DE">
        <w:rPr>
          <w:rFonts w:ascii="GHEA Grapalat" w:hAnsi="GHEA Grapalat" w:cs="Calibri"/>
          <w:sz w:val="22"/>
          <w:szCs w:val="22"/>
        </w:rPr>
        <w:t xml:space="preserve"> ծառայությունների</w:t>
      </w:r>
      <w:r w:rsidR="00AC342F" w:rsidRPr="00C921DE">
        <w:rPr>
          <w:rFonts w:ascii="GHEA Grapalat" w:hAnsi="GHEA Grapalat" w:cs="Calibri"/>
          <w:sz w:val="22"/>
          <w:szCs w:val="22"/>
          <w:lang w:val="en-US"/>
        </w:rPr>
        <w:t xml:space="preserve"> դիմաց ստացվել է</w:t>
      </w:r>
      <w:r w:rsidRPr="00C921DE">
        <w:rPr>
          <w:rFonts w:ascii="GHEA Grapalat" w:hAnsi="GHEA Grapalat" w:cs="Calibri"/>
          <w:sz w:val="22"/>
          <w:szCs w:val="22"/>
        </w:rPr>
        <w:t xml:space="preserve"> </w:t>
      </w:r>
      <w:r w:rsidR="005E5A74" w:rsidRPr="00C921DE">
        <w:rPr>
          <w:rFonts w:ascii="GHEA Grapalat" w:hAnsi="GHEA Grapalat" w:cs="Calibri"/>
          <w:sz w:val="22"/>
          <w:szCs w:val="22"/>
        </w:rPr>
        <w:t>202</w:t>
      </w:r>
      <w:r w:rsidR="00CE6DC0" w:rsidRPr="00C921DE">
        <w:rPr>
          <w:rFonts w:ascii="GHEA Grapalat" w:hAnsi="GHEA Grapalat" w:cs="Calibri"/>
          <w:sz w:val="22"/>
          <w:szCs w:val="22"/>
          <w:lang w:val="en-US"/>
        </w:rPr>
        <w:t>3</w:t>
      </w:r>
      <w:r w:rsidR="005E5A74" w:rsidRPr="00C921DE">
        <w:rPr>
          <w:rFonts w:ascii="GHEA Grapalat" w:hAnsi="GHEA Grapalat" w:cs="Calibri"/>
          <w:sz w:val="22"/>
          <w:szCs w:val="22"/>
        </w:rPr>
        <w:t xml:space="preserve"> թվականի</w:t>
      </w:r>
      <w:r w:rsidR="00CE6DC0" w:rsidRPr="00C921DE">
        <w:rPr>
          <w:rFonts w:ascii="GHEA Grapalat" w:hAnsi="GHEA Grapalat" w:cs="Calibri"/>
          <w:sz w:val="22"/>
          <w:szCs w:val="22"/>
          <w:lang w:val="en-US"/>
        </w:rPr>
        <w:t>ն ստացվել է 6.4 մլրդ դրամ՝ ապահովելով 100.1% կատարողական և 5.6%-ով գերազանվելով նախորդ տարվա ցուցանիշը</w:t>
      </w:r>
      <w:r w:rsidRPr="00C921DE">
        <w:rPr>
          <w:rFonts w:ascii="GHEA Grapalat" w:hAnsi="GHEA Grapalat" w:cs="Calibri"/>
          <w:sz w:val="22"/>
          <w:szCs w:val="22"/>
        </w:rPr>
        <w:t>, որը հիմնականում պայմանավորված</w:t>
      </w:r>
      <w:r w:rsidR="005E5A74" w:rsidRPr="00C921DE">
        <w:rPr>
          <w:rFonts w:ascii="GHEA Grapalat" w:hAnsi="GHEA Grapalat" w:cs="Calibri"/>
          <w:sz w:val="22"/>
          <w:szCs w:val="22"/>
          <w:lang w:val="en-US"/>
        </w:rPr>
        <w:t xml:space="preserve"> է</w:t>
      </w:r>
      <w:r w:rsidRPr="00C921DE">
        <w:rPr>
          <w:rFonts w:ascii="GHEA Grapalat" w:hAnsi="GHEA Grapalat" w:cs="Calibri"/>
          <w:sz w:val="22"/>
          <w:szCs w:val="22"/>
        </w:rPr>
        <w:t xml:space="preserve"> կատարված գործարքների թվի աճով:</w:t>
      </w:r>
    </w:p>
    <w:p w14:paraId="6D35D5A2" w14:textId="0E7A2710" w:rsidR="00625F16" w:rsidRPr="00C921DE" w:rsidRDefault="00625F16" w:rsidP="00FD6203">
      <w:pPr>
        <w:autoSpaceDE w:val="0"/>
        <w:autoSpaceDN w:val="0"/>
        <w:adjustRightInd w:val="0"/>
        <w:spacing w:line="360" w:lineRule="auto"/>
        <w:ind w:firstLine="567"/>
        <w:jc w:val="both"/>
        <w:rPr>
          <w:rFonts w:ascii="GHEA Grapalat" w:hAnsi="GHEA Grapalat" w:cs="GHEA Grapalat"/>
          <w:sz w:val="22"/>
          <w:szCs w:val="22"/>
        </w:rPr>
        <w:sectPr w:rsidR="00625F16" w:rsidRPr="00C921DE" w:rsidSect="009D5C15">
          <w:headerReference w:type="default" r:id="rId85"/>
          <w:pgSz w:w="11909" w:h="16834" w:code="9"/>
          <w:pgMar w:top="1134" w:right="567" w:bottom="567" w:left="1134" w:header="720" w:footer="397" w:gutter="0"/>
          <w:cols w:space="720"/>
          <w:docGrid w:linePitch="360"/>
        </w:sectPr>
      </w:pPr>
      <w:r w:rsidRPr="00C921DE">
        <w:rPr>
          <w:rFonts w:ascii="GHEA Grapalat" w:hAnsi="GHEA Grapalat" w:cs="GHEA Grapalat"/>
          <w:i/>
          <w:sz w:val="22"/>
          <w:szCs w:val="22"/>
        </w:rPr>
        <w:t xml:space="preserve">Օրենքով և իրավական այլ ակտերով սահմանված պետական բյուջե մուտքագրվող այլ եկամուտները </w:t>
      </w:r>
      <w:r w:rsidRPr="00C921DE">
        <w:rPr>
          <w:rFonts w:ascii="GHEA Grapalat" w:hAnsi="GHEA Grapalat" w:cs="GHEA Grapalat"/>
          <w:sz w:val="22"/>
          <w:szCs w:val="22"/>
        </w:rPr>
        <w:t xml:space="preserve">կազմել են 5.2 մլրդ դրամ՝ 2.1 անգամ (2.6 մլրդ դրամով) գերազանցելով տարեկան ծրագիրը: </w:t>
      </w:r>
      <w:r w:rsidRPr="00C921DE">
        <w:rPr>
          <w:rFonts w:ascii="GHEA Grapalat" w:hAnsi="GHEA Grapalat" w:cs="Times Armenian"/>
          <w:sz w:val="22"/>
          <w:szCs w:val="22"/>
        </w:rPr>
        <w:t>Նշված գումարից 2.3 մլրդ դրամը կազմել են ՀՀ աշխատանքի և սոցիալական հարցերի նախարարության՝ բանկերի կողմից կենսաթոշակառուներին տրամադրվող հետվճարից մուտքերը, որոնք 9.2 անգամ (2.3 մլրդ դրամով) գերազանցել են նախորդ տարվա փաստացի ցուցանիշը,</w:t>
      </w:r>
      <w:r w:rsidRPr="00C921DE">
        <w:rPr>
          <w:rFonts w:ascii="GHEA Grapalat" w:hAnsi="GHEA Grapalat"/>
          <w:sz w:val="22"/>
          <w:szCs w:val="22"/>
        </w:rPr>
        <w:t xml:space="preserve"> որը </w:t>
      </w:r>
      <w:r w:rsidRPr="00C921DE">
        <w:rPr>
          <w:rFonts w:ascii="GHEA Grapalat" w:hAnsi="GHEA Grapalat" w:cs="Cambria Math"/>
          <w:sz w:val="22"/>
          <w:szCs w:val="22"/>
        </w:rPr>
        <w:t>պայմանավորված</w:t>
      </w:r>
      <w:r w:rsidRPr="00C921DE">
        <w:rPr>
          <w:rFonts w:ascii="GHEA Grapalat" w:hAnsi="GHEA Grapalat" w:cs="Sylfaen"/>
          <w:sz w:val="22"/>
          <w:szCs w:val="22"/>
        </w:rPr>
        <w:t xml:space="preserve"> </w:t>
      </w:r>
      <w:r w:rsidRPr="00C921DE">
        <w:rPr>
          <w:rFonts w:ascii="GHEA Grapalat" w:hAnsi="GHEA Grapalat" w:cs="Cambria Math"/>
          <w:sz w:val="22"/>
          <w:szCs w:val="22"/>
        </w:rPr>
        <w:t>է</w:t>
      </w:r>
      <w:r w:rsidRPr="00C921DE">
        <w:rPr>
          <w:rFonts w:ascii="GHEA Grapalat" w:hAnsi="GHEA Grapalat" w:cs="Sylfaen"/>
          <w:sz w:val="22"/>
          <w:szCs w:val="22"/>
        </w:rPr>
        <w:t xml:space="preserve"> </w:t>
      </w:r>
      <w:r w:rsidRPr="00C921DE">
        <w:rPr>
          <w:rFonts w:ascii="GHEA Grapalat" w:hAnsi="GHEA Grapalat" w:cs="Cambria Math"/>
          <w:sz w:val="22"/>
          <w:szCs w:val="22"/>
          <w:lang w:val="en-US"/>
        </w:rPr>
        <w:t xml:space="preserve">այն հանգամանքով, որ </w:t>
      </w:r>
      <w:r w:rsidR="002E67EF" w:rsidRPr="00C921DE">
        <w:rPr>
          <w:rFonts w:ascii="GHEA Grapalat" w:hAnsi="GHEA Grapalat" w:cs="Cambria Math"/>
          <w:sz w:val="22"/>
          <w:szCs w:val="22"/>
          <w:lang w:val="en-US"/>
        </w:rPr>
        <w:t xml:space="preserve">կենսաթոշակառուներին </w:t>
      </w:r>
      <w:r w:rsidR="007E3476" w:rsidRPr="00C921DE">
        <w:rPr>
          <w:rFonts w:ascii="GHEA Grapalat" w:hAnsi="GHEA Grapalat" w:cs="Cambria Math"/>
          <w:sz w:val="22"/>
          <w:szCs w:val="22"/>
          <w:lang w:val="en-US"/>
        </w:rPr>
        <w:t>հետվճար</w:t>
      </w:r>
      <w:r w:rsidR="002E67EF" w:rsidRPr="00C921DE">
        <w:rPr>
          <w:rFonts w:ascii="GHEA Grapalat" w:hAnsi="GHEA Grapalat" w:cs="Cambria Math"/>
          <w:sz w:val="22"/>
          <w:szCs w:val="22"/>
          <w:lang w:val="en-US"/>
        </w:rPr>
        <w:t>ի տրամադրումը սկսվել է 2022 թվականի հուլիսի 1-ից</w:t>
      </w:r>
      <w:r w:rsidRPr="00C921DE">
        <w:rPr>
          <w:rFonts w:ascii="GHEA Grapalat" w:hAnsi="GHEA Grapalat" w:cs="Cambria Math"/>
          <w:sz w:val="22"/>
          <w:szCs w:val="22"/>
        </w:rPr>
        <w:t>:</w:t>
      </w:r>
      <w:r w:rsidR="002E67EF" w:rsidRPr="00C921DE">
        <w:rPr>
          <w:rFonts w:ascii="GHEA Grapalat" w:hAnsi="GHEA Grapalat" w:cs="Cambria Math"/>
          <w:sz w:val="22"/>
          <w:szCs w:val="22"/>
          <w:lang w:val="en-US"/>
        </w:rPr>
        <w:t xml:space="preserve"> Օ</w:t>
      </w:r>
      <w:r w:rsidRPr="00C921DE">
        <w:rPr>
          <w:rFonts w:ascii="GHEA Grapalat" w:hAnsi="GHEA Grapalat" w:cs="GHEA Grapalat"/>
          <w:sz w:val="22"/>
          <w:szCs w:val="22"/>
        </w:rPr>
        <w:t>րենքով և իրավական այլ ակտերով սահմանված պետական բյուջե մուտքագրվող այլ եկամուտները</w:t>
      </w:r>
      <w:r w:rsidRPr="00C921DE">
        <w:rPr>
          <w:rFonts w:ascii="GHEA Grapalat" w:hAnsi="GHEA Grapalat" w:cs="Times Armenian"/>
          <w:sz w:val="22"/>
          <w:szCs w:val="22"/>
        </w:rPr>
        <w:t xml:space="preserve"> 7</w:t>
      </w:r>
      <w:r w:rsidRPr="00C921DE">
        <w:rPr>
          <w:rFonts w:ascii="GHEA Grapalat" w:hAnsi="GHEA Grapalat" w:cs="GHEA Grapalat"/>
          <w:sz w:val="22"/>
          <w:szCs w:val="22"/>
        </w:rPr>
        <w:t xml:space="preserve">7.2%-ով (17.8 մլրդ դրամով) զիջել </w:t>
      </w:r>
      <w:r w:rsidR="00FD6203" w:rsidRPr="00C921DE">
        <w:rPr>
          <w:rFonts w:ascii="GHEA Grapalat" w:hAnsi="GHEA Grapalat" w:cs="GHEA Grapalat"/>
          <w:sz w:val="22"/>
          <w:szCs w:val="22"/>
          <w:lang w:val="en-US"/>
        </w:rPr>
        <w:t>են</w:t>
      </w:r>
      <w:r w:rsidRPr="00C921DE">
        <w:rPr>
          <w:rFonts w:ascii="GHEA Grapalat" w:hAnsi="GHEA Grapalat" w:cs="GHEA Grapalat"/>
          <w:sz w:val="22"/>
          <w:szCs w:val="22"/>
        </w:rPr>
        <w:t xml:space="preserve"> նախորդ տարվա փաստացի ցուցանիշը:</w:t>
      </w:r>
    </w:p>
    <w:p w14:paraId="3EF2277C" w14:textId="77777777" w:rsidR="001C411D" w:rsidRPr="00C921DE" w:rsidRDefault="001C411D" w:rsidP="00DD39CD">
      <w:pPr>
        <w:pStyle w:val="Heading1"/>
        <w:spacing w:line="480" w:lineRule="auto"/>
        <w:rPr>
          <w:rFonts w:ascii="GHEA Grapalat" w:hAnsi="GHEA Grapalat" w:cs="Sylfaen"/>
          <w:sz w:val="22"/>
          <w:szCs w:val="22"/>
        </w:rPr>
      </w:pPr>
      <w:bookmarkStart w:id="176" w:name="_Toc290409648"/>
      <w:bookmarkStart w:id="177" w:name="_Toc291747234"/>
      <w:bookmarkStart w:id="178" w:name="_Toc291747563"/>
      <w:bookmarkStart w:id="179" w:name="_Toc291747933"/>
      <w:bookmarkStart w:id="180" w:name="_Toc322445716"/>
      <w:bookmarkStart w:id="181" w:name="_Toc322445794"/>
      <w:bookmarkStart w:id="182" w:name="_Toc353882543"/>
      <w:bookmarkStart w:id="183" w:name="_Toc354657500"/>
      <w:bookmarkStart w:id="184" w:name="_Toc354658854"/>
      <w:bookmarkStart w:id="185" w:name="_Toc385937085"/>
      <w:bookmarkStart w:id="186" w:name="_Toc417292097"/>
      <w:bookmarkStart w:id="187" w:name="_Toc448908376"/>
      <w:bookmarkStart w:id="188" w:name="_Toc448912553"/>
      <w:bookmarkStart w:id="189" w:name="_Toc448913282"/>
      <w:bookmarkStart w:id="190" w:name="_Toc511744970"/>
      <w:bookmarkStart w:id="191" w:name="_Toc6389329"/>
      <w:bookmarkStart w:id="192" w:name="_Toc69232233"/>
      <w:bookmarkStart w:id="193" w:name="_Toc163745456"/>
      <w:bookmarkStart w:id="194" w:name="_Toc198638701"/>
      <w:bookmarkStart w:id="195" w:name="_Toc231873608"/>
      <w:bookmarkStart w:id="196" w:name="_Toc259309561"/>
      <w:bookmarkStart w:id="197" w:name="_Toc259310001"/>
      <w:bookmarkStart w:id="198" w:name="_Toc259310278"/>
      <w:bookmarkEnd w:id="122"/>
      <w:bookmarkEnd w:id="123"/>
      <w:bookmarkEnd w:id="124"/>
      <w:bookmarkEnd w:id="125"/>
      <w:bookmarkEnd w:id="126"/>
      <w:bookmarkEnd w:id="127"/>
      <w:bookmarkEnd w:id="128"/>
      <w:bookmarkEnd w:id="129"/>
      <w:bookmarkEnd w:id="130"/>
      <w:bookmarkEnd w:id="131"/>
      <w:bookmarkEnd w:id="132"/>
      <w:bookmarkEnd w:id="133"/>
      <w:r w:rsidRPr="00C921DE">
        <w:rPr>
          <w:rFonts w:ascii="GHEA Grapalat" w:hAnsi="GHEA Grapalat" w:cs="Sylfaen"/>
          <w:sz w:val="22"/>
          <w:szCs w:val="22"/>
        </w:rPr>
        <w:lastRenderedPageBreak/>
        <w:t>ՀԱՅԱՍՏԱՆԻ</w:t>
      </w:r>
      <w:r w:rsidRPr="00C921DE">
        <w:rPr>
          <w:rFonts w:ascii="GHEA Grapalat" w:hAnsi="GHEA Grapalat" w:cs="Sylfaen"/>
          <w:sz w:val="22"/>
          <w:szCs w:val="22"/>
          <w:lang w:val="de-AT"/>
        </w:rPr>
        <w:t xml:space="preserve"> </w:t>
      </w:r>
      <w:r w:rsidRPr="00C921DE">
        <w:rPr>
          <w:rFonts w:ascii="GHEA Grapalat" w:hAnsi="GHEA Grapalat" w:cs="Sylfaen"/>
          <w:sz w:val="22"/>
          <w:szCs w:val="22"/>
        </w:rPr>
        <w:t>ՀԱՆՐԱՊԵՏՈՒԹՅԱՆ 202</w:t>
      </w:r>
      <w:r w:rsidR="00E0077D" w:rsidRPr="00C921DE">
        <w:rPr>
          <w:rFonts w:ascii="GHEA Grapalat" w:hAnsi="GHEA Grapalat" w:cs="Sylfaen"/>
          <w:sz w:val="22"/>
          <w:szCs w:val="22"/>
          <w:lang w:val="en-US"/>
        </w:rPr>
        <w:t>3</w:t>
      </w:r>
      <w:r w:rsidRPr="00C921DE">
        <w:rPr>
          <w:rFonts w:ascii="GHEA Grapalat" w:hAnsi="GHEA Grapalat" w:cs="Sylfaen"/>
          <w:sz w:val="22"/>
          <w:szCs w:val="22"/>
          <w:lang w:val="en-US"/>
        </w:rPr>
        <w:t xml:space="preserve"> </w:t>
      </w:r>
      <w:r w:rsidRPr="00C921DE">
        <w:rPr>
          <w:rFonts w:ascii="GHEA Grapalat" w:hAnsi="GHEA Grapalat" w:cs="Sylfaen"/>
          <w:sz w:val="22"/>
          <w:szCs w:val="22"/>
        </w:rPr>
        <w:t>ԹՎԱԿԱՆԻ ՊԵՏԱԿԱՆ ԲՅՈՒՋԵԻ ԾԱԽՍԵՐԸ</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6D211C64" w14:textId="77777777" w:rsidR="001C411D" w:rsidRPr="00C921DE" w:rsidRDefault="001C411D" w:rsidP="00CE2BD5">
      <w:pPr>
        <w:pStyle w:val="Heading2"/>
        <w:spacing w:line="360" w:lineRule="auto"/>
        <w:rPr>
          <w:bCs/>
        </w:rPr>
      </w:pPr>
      <w:bookmarkStart w:id="199" w:name="_Toc448908377"/>
      <w:bookmarkStart w:id="200" w:name="_Toc448912554"/>
      <w:bookmarkStart w:id="201" w:name="_Toc448913283"/>
      <w:bookmarkStart w:id="202" w:name="_Toc511744971"/>
      <w:bookmarkStart w:id="203" w:name="_Toc6389330"/>
      <w:bookmarkStart w:id="204" w:name="_Toc69232234"/>
      <w:bookmarkStart w:id="205" w:name="_Toc163745457"/>
      <w:bookmarkStart w:id="206" w:name="_Toc385937087"/>
      <w:bookmarkStart w:id="207" w:name="_Toc291747238"/>
      <w:bookmarkStart w:id="208" w:name="_Toc291747567"/>
      <w:bookmarkStart w:id="209" w:name="_Toc291747937"/>
      <w:bookmarkStart w:id="210" w:name="_Toc322445720"/>
      <w:bookmarkStart w:id="211" w:name="_Toc322445798"/>
      <w:bookmarkStart w:id="212" w:name="_Toc353882548"/>
      <w:bookmarkStart w:id="213" w:name="_Toc354657505"/>
      <w:bookmarkStart w:id="214" w:name="_Toc354658859"/>
      <w:bookmarkStart w:id="215" w:name="_Toc385937089"/>
      <w:bookmarkStart w:id="216" w:name="_Toc417292101"/>
      <w:bookmarkStart w:id="217" w:name="_Toc448908380"/>
      <w:bookmarkStart w:id="218" w:name="_Toc448912557"/>
      <w:bookmarkStart w:id="219" w:name="_Toc448913286"/>
      <w:bookmarkStart w:id="220" w:name="_Toc511744974"/>
      <w:bookmarkStart w:id="221" w:name="_Toc6389333"/>
      <w:bookmarkEnd w:id="194"/>
      <w:bookmarkEnd w:id="195"/>
      <w:bookmarkEnd w:id="196"/>
      <w:bookmarkEnd w:id="197"/>
      <w:bookmarkEnd w:id="198"/>
      <w:r w:rsidRPr="00C921DE">
        <w:rPr>
          <w:bCs/>
        </w:rPr>
        <w:t>Տնտեսագիտական դասակարգում</w:t>
      </w:r>
      <w:bookmarkEnd w:id="199"/>
      <w:bookmarkEnd w:id="200"/>
      <w:bookmarkEnd w:id="201"/>
      <w:bookmarkEnd w:id="202"/>
      <w:bookmarkEnd w:id="203"/>
      <w:bookmarkEnd w:id="204"/>
      <w:r w:rsidRPr="00C921DE">
        <w:rPr>
          <w:rStyle w:val="FootnoteReference"/>
          <w:bCs/>
        </w:rPr>
        <w:footnoteReference w:id="36"/>
      </w:r>
      <w:bookmarkEnd w:id="205"/>
    </w:p>
    <w:p w14:paraId="1AA7FD5D" w14:textId="270762EF" w:rsidR="000E7659" w:rsidRPr="00C921DE" w:rsidRDefault="000E7659" w:rsidP="000E7659">
      <w:pPr>
        <w:spacing w:line="360" w:lineRule="auto"/>
        <w:ind w:firstLine="567"/>
        <w:jc w:val="both"/>
        <w:rPr>
          <w:rFonts w:ascii="GHEA Grapalat" w:hAnsi="GHEA Grapalat" w:cs="GHEA Grapalat"/>
          <w:sz w:val="22"/>
          <w:szCs w:val="22"/>
          <w:lang w:val="en-US"/>
        </w:rPr>
      </w:pPr>
      <w:bookmarkStart w:id="222" w:name="_Toc386537635"/>
      <w:bookmarkStart w:id="223" w:name="_Toc417292099"/>
      <w:bookmarkStart w:id="224" w:name="_Toc448908378"/>
      <w:bookmarkStart w:id="225" w:name="_Toc448912555"/>
      <w:bookmarkStart w:id="226" w:name="_Toc448913284"/>
      <w:bookmarkStart w:id="227" w:name="_Toc511744972"/>
      <w:bookmarkStart w:id="228" w:name="_Toc6389331"/>
      <w:r w:rsidRPr="00C921DE">
        <w:rPr>
          <w:rFonts w:ascii="GHEA Grapalat" w:hAnsi="GHEA Grapalat" w:cs="GHEA Grapalat"/>
          <w:sz w:val="22"/>
          <w:szCs w:val="22"/>
        </w:rPr>
        <w:t>202</w:t>
      </w:r>
      <w:r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թվականին ՀՀ պետական բյուջեի փաստացի ծախսերը կազմել են 2,</w:t>
      </w:r>
      <w:r w:rsidRPr="00C921DE">
        <w:rPr>
          <w:rFonts w:ascii="GHEA Grapalat" w:hAnsi="GHEA Grapalat" w:cs="GHEA Grapalat"/>
          <w:sz w:val="22"/>
          <w:szCs w:val="22"/>
          <w:lang w:val="en-US"/>
        </w:rPr>
        <w:t>547.6</w:t>
      </w:r>
      <w:r w:rsidRPr="00C921DE">
        <w:rPr>
          <w:rFonts w:ascii="GHEA Grapalat" w:hAnsi="GHEA Grapalat" w:cs="GHEA Grapalat"/>
          <w:sz w:val="22"/>
          <w:szCs w:val="22"/>
        </w:rPr>
        <w:t xml:space="preserve"> մլրդ դրամ: Պետական բյուջեի ծախսերի տարեկան ճշտված ծրագիրը կատարվել է 9</w:t>
      </w:r>
      <w:r w:rsidRPr="00C921DE">
        <w:rPr>
          <w:rFonts w:ascii="GHEA Grapalat" w:hAnsi="GHEA Grapalat" w:cs="GHEA Grapalat"/>
          <w:sz w:val="22"/>
          <w:szCs w:val="22"/>
          <w:lang w:val="en-US"/>
        </w:rPr>
        <w:t>7.1</w:t>
      </w:r>
      <w:r w:rsidRPr="00C921DE">
        <w:rPr>
          <w:rFonts w:ascii="GHEA Grapalat" w:hAnsi="GHEA Grapalat" w:cs="GHEA Grapalat"/>
          <w:sz w:val="22"/>
          <w:szCs w:val="22"/>
        </w:rPr>
        <w:t xml:space="preserve">%-ով, շեղումների ընդհանուր գումարի </w:t>
      </w:r>
      <w:r w:rsidR="006C696A" w:rsidRPr="00C921DE">
        <w:rPr>
          <w:rFonts w:ascii="GHEA Grapalat" w:hAnsi="GHEA Grapalat" w:cs="GHEA Grapalat"/>
          <w:sz w:val="22"/>
          <w:szCs w:val="22"/>
          <w:lang w:val="en-US"/>
        </w:rPr>
        <w:t>75</w:t>
      </w:r>
      <w:r w:rsidRPr="00C921DE">
        <w:rPr>
          <w:rFonts w:ascii="GHEA Grapalat" w:hAnsi="GHEA Grapalat" w:cs="GHEA Grapalat"/>
          <w:sz w:val="22"/>
          <w:szCs w:val="22"/>
        </w:rPr>
        <w:t xml:space="preserve">%-ը բաժին է ընկել ընթացիկ ծախսերին, </w:t>
      </w:r>
      <w:r w:rsidR="006C696A" w:rsidRPr="00C921DE">
        <w:rPr>
          <w:rFonts w:ascii="GHEA Grapalat" w:hAnsi="GHEA Grapalat" w:cs="GHEA Grapalat"/>
          <w:sz w:val="22"/>
          <w:szCs w:val="22"/>
          <w:lang w:val="en-US"/>
        </w:rPr>
        <w:t>25</w:t>
      </w:r>
      <w:r w:rsidRPr="00C921DE">
        <w:rPr>
          <w:rFonts w:ascii="GHEA Grapalat" w:hAnsi="GHEA Grapalat" w:cs="GHEA Grapalat"/>
          <w:sz w:val="22"/>
          <w:szCs w:val="22"/>
        </w:rPr>
        <w:t>%-ը` ոչ ֆինանսական ակտիվների հետ գործառնություններին:</w:t>
      </w:r>
    </w:p>
    <w:p w14:paraId="39AF9567" w14:textId="77777777"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Ըստ ֆինանսավորման աղբյուրների պետական բյուջեի ներքին աղբյուրների հաշվին կատարվել է ծախսերի 9</w:t>
      </w:r>
      <w:r w:rsidRPr="00C921DE">
        <w:rPr>
          <w:rFonts w:ascii="GHEA Grapalat" w:hAnsi="GHEA Grapalat" w:cs="GHEA Grapalat"/>
          <w:sz w:val="22"/>
          <w:szCs w:val="22"/>
          <w:lang w:val="en-US"/>
        </w:rPr>
        <w:t>7.4</w:t>
      </w:r>
      <w:r w:rsidRPr="00C921DE">
        <w:rPr>
          <w:rFonts w:ascii="GHEA Grapalat" w:hAnsi="GHEA Grapalat" w:cs="GHEA Grapalat"/>
          <w:sz w:val="22"/>
          <w:szCs w:val="22"/>
        </w:rPr>
        <w:t>%-ը կամ 2,</w:t>
      </w:r>
      <w:r w:rsidRPr="00C921DE">
        <w:rPr>
          <w:rFonts w:ascii="GHEA Grapalat" w:hAnsi="GHEA Grapalat" w:cs="GHEA Grapalat"/>
          <w:sz w:val="22"/>
          <w:szCs w:val="22"/>
          <w:lang w:val="en-US"/>
        </w:rPr>
        <w:t>482.</w:t>
      </w:r>
      <w:r w:rsidRPr="00C921DE">
        <w:rPr>
          <w:rFonts w:ascii="GHEA Grapalat" w:hAnsi="GHEA Grapalat" w:cs="GHEA Grapalat"/>
          <w:sz w:val="22"/>
          <w:szCs w:val="22"/>
        </w:rPr>
        <w:t>5</w:t>
      </w:r>
      <w:r w:rsidRPr="00C921DE">
        <w:rPr>
          <w:rFonts w:ascii="Courier New" w:hAnsi="Courier New" w:cs="Courier New"/>
          <w:sz w:val="22"/>
          <w:szCs w:val="22"/>
        </w:rPr>
        <w:t> </w:t>
      </w:r>
      <w:r w:rsidRPr="00C921DE">
        <w:rPr>
          <w:rFonts w:ascii="GHEA Grapalat" w:hAnsi="GHEA Grapalat" w:cs="GHEA Grapalat"/>
          <w:sz w:val="22"/>
          <w:szCs w:val="22"/>
        </w:rPr>
        <w:t>մլրդ դրամը, որոնց տարեկան ծրագիրը կատարվել է 9</w:t>
      </w:r>
      <w:r w:rsidRPr="00C921DE">
        <w:rPr>
          <w:rFonts w:ascii="GHEA Grapalat" w:hAnsi="GHEA Grapalat" w:cs="GHEA Grapalat"/>
          <w:sz w:val="22"/>
          <w:szCs w:val="22"/>
          <w:lang w:val="en-US"/>
        </w:rPr>
        <w:t>7.2</w:t>
      </w:r>
      <w:r w:rsidRPr="00C921DE">
        <w:rPr>
          <w:rFonts w:ascii="GHEA Grapalat" w:hAnsi="GHEA Grapalat" w:cs="GHEA Grapalat"/>
          <w:sz w:val="22"/>
          <w:szCs w:val="22"/>
        </w:rPr>
        <w:t xml:space="preserve">%-ով: Բյուջեի ծախսերի 2.6%-ը՝ </w:t>
      </w:r>
      <w:r w:rsidRPr="00C921DE">
        <w:rPr>
          <w:rFonts w:ascii="GHEA Grapalat" w:hAnsi="GHEA Grapalat" w:cs="GHEA Grapalat"/>
          <w:sz w:val="22"/>
          <w:szCs w:val="22"/>
          <w:lang w:val="en-US"/>
        </w:rPr>
        <w:t>65.1</w:t>
      </w:r>
      <w:r w:rsidRPr="00C921DE">
        <w:rPr>
          <w:rFonts w:ascii="Courier New" w:hAnsi="Courier New" w:cs="Courier New"/>
          <w:sz w:val="22"/>
          <w:szCs w:val="22"/>
        </w:rPr>
        <w:t> </w:t>
      </w:r>
      <w:r w:rsidRPr="00C921DE">
        <w:rPr>
          <w:rFonts w:ascii="GHEA Grapalat" w:hAnsi="GHEA Grapalat" w:cs="GHEA Grapalat"/>
          <w:sz w:val="22"/>
          <w:szCs w:val="22"/>
        </w:rPr>
        <w:t xml:space="preserve">մլրդ դրամը ֆինանսավորվել է արտաքին աղբյուրներից, որը կազմել է տարեկան ծրագրի </w:t>
      </w:r>
      <w:r w:rsidRPr="00C921DE">
        <w:rPr>
          <w:rFonts w:ascii="GHEA Grapalat" w:hAnsi="GHEA Grapalat" w:cs="GHEA Grapalat"/>
          <w:sz w:val="22"/>
          <w:szCs w:val="22"/>
          <w:lang w:val="en-US"/>
        </w:rPr>
        <w:t>90.5</w:t>
      </w:r>
      <w:r w:rsidRPr="00C921DE">
        <w:rPr>
          <w:rFonts w:ascii="GHEA Grapalat" w:hAnsi="GHEA Grapalat" w:cs="GHEA Grapalat"/>
          <w:sz w:val="22"/>
          <w:szCs w:val="22"/>
        </w:rPr>
        <w:t>%</w:t>
      </w:r>
      <w:r w:rsidRPr="00C921DE">
        <w:rPr>
          <w:rFonts w:ascii="GHEA Grapalat" w:hAnsi="GHEA Grapalat" w:cs="GHEA Grapalat"/>
          <w:sz w:val="22"/>
          <w:szCs w:val="22"/>
        </w:rPr>
        <w:noBreakHyphen/>
        <w:t>ը</w:t>
      </w:r>
      <w:r w:rsidRPr="00C921DE">
        <w:rPr>
          <w:rStyle w:val="FootnoteReference"/>
          <w:rFonts w:ascii="GHEA Grapalat" w:hAnsi="GHEA Grapalat"/>
          <w:sz w:val="22"/>
          <w:szCs w:val="22"/>
        </w:rPr>
        <w:footnoteReference w:id="37"/>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Հարկ է նշել, 2023 թվականին ապահովվել է պետական բյուջեի ծախսային ծրագրերի շրջանակներում պետական մարմինների կողմից սահմանված կարգով ստանձնված պարտավորությունների ամբողջական և ժամանակին կատարումը:</w:t>
      </w:r>
    </w:p>
    <w:p w14:paraId="2003683C" w14:textId="77777777" w:rsidR="000E7659" w:rsidRPr="00C921DE" w:rsidRDefault="000E7659" w:rsidP="000E7659">
      <w:pPr>
        <w:spacing w:line="360" w:lineRule="auto"/>
        <w:ind w:firstLine="567"/>
        <w:jc w:val="both"/>
        <w:rPr>
          <w:rFonts w:ascii="GHEA Grapalat" w:hAnsi="GHEA Grapalat" w:cs="GHEA Grapalat"/>
          <w:sz w:val="22"/>
          <w:szCs w:val="22"/>
          <w:lang w:val="en-US"/>
        </w:rPr>
      </w:pPr>
    </w:p>
    <w:p w14:paraId="3DC29B24" w14:textId="77777777" w:rsidR="000E7659" w:rsidRPr="00C921DE" w:rsidRDefault="000E7659" w:rsidP="000E7659">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 ծախսերը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395"/>
        <w:gridCol w:w="1841"/>
        <w:gridCol w:w="1986"/>
        <w:gridCol w:w="1984"/>
      </w:tblGrid>
      <w:tr w:rsidR="000E7659" w:rsidRPr="00C921DE" w14:paraId="41EDBFFD" w14:textId="77777777" w:rsidTr="00786AA6">
        <w:trPr>
          <w:trHeight w:val="617"/>
        </w:trPr>
        <w:tc>
          <w:tcPr>
            <w:tcW w:w="4395" w:type="dxa"/>
            <w:noWrap/>
            <w:vAlign w:val="center"/>
          </w:tcPr>
          <w:p w14:paraId="6DC689A5" w14:textId="77777777" w:rsidR="000E7659" w:rsidRPr="00C921DE" w:rsidRDefault="000E7659" w:rsidP="000E7659">
            <w:pPr>
              <w:rPr>
                <w:rFonts w:ascii="GHEA Grapalat" w:hAnsi="GHEA Grapalat" w:cs="Calibri"/>
                <w:sz w:val="18"/>
                <w:szCs w:val="18"/>
              </w:rPr>
            </w:pPr>
            <w:r w:rsidRPr="00C921DE">
              <w:rPr>
                <w:rFonts w:ascii="Courier New" w:hAnsi="Courier New" w:cs="Courier New"/>
                <w:sz w:val="18"/>
                <w:szCs w:val="18"/>
              </w:rPr>
              <w:t> </w:t>
            </w:r>
          </w:p>
        </w:tc>
        <w:tc>
          <w:tcPr>
            <w:tcW w:w="1841" w:type="dxa"/>
          </w:tcPr>
          <w:p w14:paraId="0927E5B2" w14:textId="4B6AB901" w:rsidR="000E7659" w:rsidRPr="00C921DE" w:rsidRDefault="000E7659" w:rsidP="00786AA6">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00786AA6" w:rsidRPr="00C921DE">
              <w:rPr>
                <w:rFonts w:ascii="GHEA Grapalat" w:hAnsi="GHEA Grapalat" w:cs="Calibri"/>
                <w:b/>
                <w:bCs/>
                <w:sz w:val="18"/>
                <w:szCs w:val="18"/>
              </w:rPr>
              <w:t>թ.</w:t>
            </w:r>
            <w:r w:rsidR="00786AA6" w:rsidRPr="00C921DE">
              <w:rPr>
                <w:rFonts w:ascii="GHEA Grapalat" w:hAnsi="GHEA Grapalat" w:cs="Calibri"/>
                <w:b/>
                <w:bCs/>
                <w:sz w:val="18"/>
                <w:szCs w:val="18"/>
                <w:lang w:val="en-US"/>
              </w:rPr>
              <w:t xml:space="preserve"> </w:t>
            </w:r>
            <w:r w:rsidRPr="00C921DE">
              <w:rPr>
                <w:rFonts w:ascii="GHEA Grapalat" w:hAnsi="GHEA Grapalat" w:cs="Calibri"/>
                <w:b/>
                <w:bCs/>
                <w:sz w:val="18"/>
                <w:szCs w:val="18"/>
              </w:rPr>
              <w:t>փաստ</w:t>
            </w:r>
          </w:p>
        </w:tc>
        <w:tc>
          <w:tcPr>
            <w:tcW w:w="1986" w:type="dxa"/>
            <w:shd w:val="clear" w:color="auto" w:fill="FFFFFF"/>
          </w:tcPr>
          <w:p w14:paraId="5AA39D94" w14:textId="20F5D06A"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00573BB1" w:rsidRPr="00C921DE">
              <w:rPr>
                <w:rFonts w:ascii="GHEA Grapalat" w:hAnsi="GHEA Grapalat" w:cs="Calibri"/>
                <w:b/>
                <w:bCs/>
                <w:sz w:val="18"/>
                <w:szCs w:val="18"/>
              </w:rPr>
              <w:t>թ. ճշտված ծրագիր</w:t>
            </w:r>
          </w:p>
        </w:tc>
        <w:tc>
          <w:tcPr>
            <w:tcW w:w="1984" w:type="dxa"/>
            <w:shd w:val="clear" w:color="auto" w:fill="FFFFFF"/>
          </w:tcPr>
          <w:p w14:paraId="51E10E48"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r>
      <w:tr w:rsidR="000E7659" w:rsidRPr="00C921DE" w14:paraId="454F5298" w14:textId="77777777" w:rsidTr="000E7659">
        <w:trPr>
          <w:trHeight w:val="288"/>
        </w:trPr>
        <w:tc>
          <w:tcPr>
            <w:tcW w:w="4395" w:type="dxa"/>
            <w:vAlign w:val="bottom"/>
          </w:tcPr>
          <w:p w14:paraId="58EB32F6" w14:textId="77777777" w:rsidR="000E7659" w:rsidRPr="00C921DE" w:rsidRDefault="000E7659" w:rsidP="000E7659">
            <w:pPr>
              <w:rPr>
                <w:rFonts w:ascii="GHEA Grapalat" w:hAnsi="GHEA Grapalat" w:cs="Calibri"/>
                <w:b/>
                <w:bCs/>
                <w:sz w:val="18"/>
                <w:szCs w:val="18"/>
              </w:rPr>
            </w:pPr>
            <w:r w:rsidRPr="00C921DE">
              <w:rPr>
                <w:rFonts w:ascii="GHEA Grapalat" w:hAnsi="GHEA Grapalat" w:cs="Calibri"/>
                <w:b/>
                <w:bCs/>
                <w:sz w:val="18"/>
                <w:szCs w:val="18"/>
              </w:rPr>
              <w:t>Ընդամենը ծախսեր</w:t>
            </w:r>
          </w:p>
        </w:tc>
        <w:tc>
          <w:tcPr>
            <w:tcW w:w="1841" w:type="dxa"/>
            <w:vAlign w:val="bottom"/>
          </w:tcPr>
          <w:p w14:paraId="520EF057" w14:textId="77777777" w:rsidR="000E7659" w:rsidRPr="00C921DE" w:rsidRDefault="000E7659" w:rsidP="000E7659">
            <w:pPr>
              <w:jc w:val="right"/>
              <w:rPr>
                <w:rFonts w:ascii="GHEA Grapalat" w:hAnsi="GHEA Grapalat" w:cs="Calibri"/>
                <w:b/>
                <w:bCs/>
                <w:sz w:val="18"/>
                <w:szCs w:val="18"/>
              </w:rPr>
            </w:pPr>
            <w:r w:rsidRPr="00C921DE">
              <w:rPr>
                <w:rFonts w:ascii="GHEA Grapalat" w:hAnsi="GHEA Grapalat" w:cs="Calibri"/>
                <w:b/>
                <w:bCs/>
                <w:sz w:val="18"/>
                <w:szCs w:val="18"/>
              </w:rPr>
              <w:t>2,242.6</w:t>
            </w:r>
          </w:p>
        </w:tc>
        <w:tc>
          <w:tcPr>
            <w:tcW w:w="1986" w:type="dxa"/>
            <w:vAlign w:val="bottom"/>
          </w:tcPr>
          <w:p w14:paraId="222725CE" w14:textId="77777777" w:rsidR="000E7659" w:rsidRPr="00C921DE" w:rsidRDefault="000E7659" w:rsidP="000E7659">
            <w:pPr>
              <w:jc w:val="right"/>
              <w:rPr>
                <w:rFonts w:ascii="GHEA Grapalat" w:hAnsi="GHEA Grapalat" w:cs="Calibri"/>
                <w:b/>
                <w:bCs/>
                <w:sz w:val="18"/>
                <w:szCs w:val="18"/>
              </w:rPr>
            </w:pPr>
            <w:r w:rsidRPr="00C921DE">
              <w:rPr>
                <w:rFonts w:ascii="GHEA Grapalat" w:hAnsi="GHEA Grapalat" w:cs="Calibri"/>
                <w:b/>
                <w:bCs/>
                <w:sz w:val="18"/>
                <w:szCs w:val="18"/>
              </w:rPr>
              <w:t>2,</w:t>
            </w:r>
            <w:r w:rsidRPr="00C921DE">
              <w:rPr>
                <w:rFonts w:ascii="GHEA Grapalat" w:hAnsi="GHEA Grapalat" w:cs="Calibri"/>
                <w:b/>
                <w:bCs/>
                <w:sz w:val="18"/>
                <w:szCs w:val="18"/>
                <w:lang w:val="en-US"/>
              </w:rPr>
              <w:t>624.7</w:t>
            </w:r>
          </w:p>
        </w:tc>
        <w:tc>
          <w:tcPr>
            <w:tcW w:w="1984" w:type="dxa"/>
            <w:vAlign w:val="bottom"/>
          </w:tcPr>
          <w:p w14:paraId="52E20E66" w14:textId="77777777" w:rsidR="000E7659" w:rsidRPr="00C921DE" w:rsidRDefault="000E7659" w:rsidP="000E7659">
            <w:pPr>
              <w:jc w:val="right"/>
              <w:rPr>
                <w:rFonts w:ascii="GHEA Grapalat" w:hAnsi="GHEA Grapalat" w:cs="Calibri"/>
                <w:b/>
                <w:bCs/>
                <w:sz w:val="18"/>
                <w:szCs w:val="18"/>
                <w:lang w:val="en-US"/>
              </w:rPr>
            </w:pPr>
            <w:r w:rsidRPr="00C921DE">
              <w:rPr>
                <w:rFonts w:ascii="GHEA Grapalat" w:hAnsi="GHEA Grapalat" w:cs="Calibri"/>
                <w:b/>
                <w:bCs/>
                <w:sz w:val="18"/>
                <w:szCs w:val="18"/>
                <w:lang w:val="en-US"/>
              </w:rPr>
              <w:t>2,547.6</w:t>
            </w:r>
          </w:p>
        </w:tc>
      </w:tr>
      <w:tr w:rsidR="000E7659" w:rsidRPr="00C921DE" w14:paraId="072571EC" w14:textId="77777777" w:rsidTr="000E7659">
        <w:trPr>
          <w:trHeight w:val="263"/>
        </w:trPr>
        <w:tc>
          <w:tcPr>
            <w:tcW w:w="4395" w:type="dxa"/>
            <w:noWrap/>
            <w:vAlign w:val="bottom"/>
          </w:tcPr>
          <w:p w14:paraId="0F206E82" w14:textId="77777777" w:rsidR="000E7659" w:rsidRPr="00C921DE" w:rsidRDefault="000E7659" w:rsidP="000E7659">
            <w:pPr>
              <w:ind w:firstLineChars="100" w:firstLine="180"/>
              <w:rPr>
                <w:rFonts w:ascii="GHEA Grapalat" w:hAnsi="GHEA Grapalat" w:cs="Calibri"/>
                <w:sz w:val="18"/>
                <w:szCs w:val="18"/>
              </w:rPr>
            </w:pPr>
            <w:r w:rsidRPr="00C921DE">
              <w:rPr>
                <w:rFonts w:ascii="GHEA Grapalat" w:hAnsi="GHEA Grapalat" w:cs="Calibri"/>
                <w:sz w:val="18"/>
                <w:szCs w:val="18"/>
              </w:rPr>
              <w:t>Ընթացիկ ծախսեր</w:t>
            </w:r>
          </w:p>
        </w:tc>
        <w:tc>
          <w:tcPr>
            <w:tcW w:w="1841" w:type="dxa"/>
            <w:vAlign w:val="bottom"/>
          </w:tcPr>
          <w:p w14:paraId="6A3C2A2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1,862.2</w:t>
            </w:r>
          </w:p>
        </w:tc>
        <w:tc>
          <w:tcPr>
            <w:tcW w:w="1986" w:type="dxa"/>
            <w:noWrap/>
            <w:vAlign w:val="bottom"/>
          </w:tcPr>
          <w:p w14:paraId="212AB5A0"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lang w:val="en-US"/>
              </w:rPr>
              <w:t>2</w:t>
            </w:r>
            <w:r w:rsidRPr="00C921DE">
              <w:rPr>
                <w:rFonts w:ascii="GHEA Grapalat" w:hAnsi="GHEA Grapalat" w:cs="Calibri"/>
                <w:sz w:val="18"/>
                <w:szCs w:val="18"/>
              </w:rPr>
              <w:t>,</w:t>
            </w:r>
            <w:r w:rsidRPr="00C921DE">
              <w:rPr>
                <w:rFonts w:ascii="GHEA Grapalat" w:hAnsi="GHEA Grapalat" w:cs="Calibri"/>
                <w:sz w:val="18"/>
                <w:szCs w:val="18"/>
                <w:lang w:val="en-US"/>
              </w:rPr>
              <w:t>132.9</w:t>
            </w:r>
          </w:p>
        </w:tc>
        <w:tc>
          <w:tcPr>
            <w:tcW w:w="1984" w:type="dxa"/>
            <w:noWrap/>
            <w:vAlign w:val="bottom"/>
          </w:tcPr>
          <w:p w14:paraId="7E867438"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2,075.0</w:t>
            </w:r>
          </w:p>
        </w:tc>
      </w:tr>
      <w:tr w:rsidR="000E7659" w:rsidRPr="00C921DE" w14:paraId="04881864" w14:textId="77777777" w:rsidTr="000E7659">
        <w:trPr>
          <w:trHeight w:val="332"/>
        </w:trPr>
        <w:tc>
          <w:tcPr>
            <w:tcW w:w="4395" w:type="dxa"/>
            <w:noWrap/>
            <w:vAlign w:val="bottom"/>
          </w:tcPr>
          <w:p w14:paraId="42901BAA" w14:textId="77777777" w:rsidR="000E7659" w:rsidRPr="00C921DE" w:rsidRDefault="000E7659" w:rsidP="000E7659">
            <w:pPr>
              <w:ind w:firstLineChars="100" w:firstLine="180"/>
              <w:rPr>
                <w:rFonts w:ascii="GHEA Grapalat" w:hAnsi="GHEA Grapalat" w:cs="Calibri"/>
                <w:sz w:val="18"/>
                <w:szCs w:val="18"/>
              </w:rPr>
            </w:pPr>
            <w:r w:rsidRPr="00C921DE">
              <w:rPr>
                <w:rFonts w:ascii="GHEA Grapalat" w:hAnsi="GHEA Grapalat" w:cs="Calibri"/>
                <w:sz w:val="18"/>
                <w:szCs w:val="18"/>
              </w:rPr>
              <w:t>Ոչ ֆինանսական ակտիվների հետ գործառնություններ</w:t>
            </w:r>
          </w:p>
        </w:tc>
        <w:tc>
          <w:tcPr>
            <w:tcW w:w="1841" w:type="dxa"/>
            <w:vAlign w:val="bottom"/>
          </w:tcPr>
          <w:p w14:paraId="2D8213B0"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380.4</w:t>
            </w:r>
          </w:p>
        </w:tc>
        <w:tc>
          <w:tcPr>
            <w:tcW w:w="1986" w:type="dxa"/>
            <w:noWrap/>
            <w:vAlign w:val="bottom"/>
          </w:tcPr>
          <w:p w14:paraId="723A12F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w:t>
            </w:r>
            <w:r w:rsidRPr="00C921DE">
              <w:rPr>
                <w:rFonts w:ascii="GHEA Grapalat" w:hAnsi="GHEA Grapalat" w:cs="Calibri"/>
                <w:sz w:val="18"/>
                <w:szCs w:val="18"/>
                <w:lang w:val="en-US"/>
              </w:rPr>
              <w:t>91.8</w:t>
            </w:r>
          </w:p>
        </w:tc>
        <w:tc>
          <w:tcPr>
            <w:tcW w:w="1984" w:type="dxa"/>
            <w:noWrap/>
            <w:vAlign w:val="bottom"/>
          </w:tcPr>
          <w:p w14:paraId="38F75BC3"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472.6</w:t>
            </w:r>
          </w:p>
        </w:tc>
      </w:tr>
      <w:tr w:rsidR="000E7659" w:rsidRPr="00C921DE" w14:paraId="77210395" w14:textId="77777777" w:rsidTr="000E7659">
        <w:trPr>
          <w:trHeight w:val="20"/>
        </w:trPr>
        <w:tc>
          <w:tcPr>
            <w:tcW w:w="4395" w:type="dxa"/>
            <w:noWrap/>
            <w:vAlign w:val="bottom"/>
          </w:tcPr>
          <w:p w14:paraId="741C71EB" w14:textId="77777777" w:rsidR="000E7659" w:rsidRPr="00C921DE" w:rsidRDefault="000E7659" w:rsidP="000E7659">
            <w:pPr>
              <w:ind w:firstLineChars="100" w:firstLine="180"/>
              <w:rPr>
                <w:rFonts w:ascii="GHEA Grapalat" w:hAnsi="GHEA Grapalat" w:cs="Calibri"/>
                <w:sz w:val="18"/>
                <w:szCs w:val="18"/>
              </w:rPr>
            </w:pPr>
            <w:r w:rsidRPr="00C921DE">
              <w:rPr>
                <w:rFonts w:ascii="Courier New" w:hAnsi="Courier New" w:cs="Courier New"/>
                <w:sz w:val="18"/>
                <w:szCs w:val="18"/>
              </w:rPr>
              <w:t> </w:t>
            </w:r>
          </w:p>
        </w:tc>
        <w:tc>
          <w:tcPr>
            <w:tcW w:w="1841" w:type="dxa"/>
            <w:vAlign w:val="bottom"/>
          </w:tcPr>
          <w:p w14:paraId="024B2A0E" w14:textId="77777777" w:rsidR="000E7659" w:rsidRPr="00C921DE" w:rsidRDefault="000E7659" w:rsidP="000E7659">
            <w:pPr>
              <w:jc w:val="right"/>
              <w:rPr>
                <w:rFonts w:ascii="GHEA Grapalat" w:hAnsi="GHEA Grapalat"/>
                <w:sz w:val="18"/>
                <w:szCs w:val="18"/>
              </w:rPr>
            </w:pPr>
          </w:p>
        </w:tc>
        <w:tc>
          <w:tcPr>
            <w:tcW w:w="1986" w:type="dxa"/>
            <w:noWrap/>
            <w:vAlign w:val="bottom"/>
          </w:tcPr>
          <w:p w14:paraId="1898FAEF" w14:textId="77777777" w:rsidR="000E7659" w:rsidRPr="00C921DE" w:rsidRDefault="000E7659" w:rsidP="000E7659">
            <w:pPr>
              <w:jc w:val="right"/>
              <w:rPr>
                <w:rFonts w:ascii="GHEA Grapalat" w:hAnsi="GHEA Grapalat"/>
                <w:sz w:val="18"/>
                <w:szCs w:val="18"/>
              </w:rPr>
            </w:pPr>
          </w:p>
        </w:tc>
        <w:tc>
          <w:tcPr>
            <w:tcW w:w="1984" w:type="dxa"/>
            <w:noWrap/>
            <w:vAlign w:val="bottom"/>
          </w:tcPr>
          <w:p w14:paraId="3FDF5DDF" w14:textId="77777777" w:rsidR="000E7659" w:rsidRPr="00C921DE" w:rsidRDefault="000E7659" w:rsidP="000E7659">
            <w:pPr>
              <w:jc w:val="right"/>
              <w:rPr>
                <w:rFonts w:ascii="GHEA Grapalat" w:hAnsi="GHEA Grapalat"/>
                <w:sz w:val="18"/>
                <w:szCs w:val="18"/>
              </w:rPr>
            </w:pPr>
          </w:p>
        </w:tc>
      </w:tr>
      <w:tr w:rsidR="000E7659" w:rsidRPr="00C921DE" w14:paraId="75E061D8" w14:textId="77777777" w:rsidTr="000E7659">
        <w:trPr>
          <w:trHeight w:val="264"/>
        </w:trPr>
        <w:tc>
          <w:tcPr>
            <w:tcW w:w="4395" w:type="dxa"/>
            <w:vAlign w:val="bottom"/>
          </w:tcPr>
          <w:p w14:paraId="48936796" w14:textId="77777777" w:rsidR="000E7659" w:rsidRPr="00C921DE" w:rsidRDefault="000E7659" w:rsidP="000E7659">
            <w:pPr>
              <w:rPr>
                <w:rFonts w:ascii="GHEA Grapalat" w:hAnsi="GHEA Grapalat" w:cs="Calibri"/>
                <w:b/>
                <w:bCs/>
                <w:sz w:val="18"/>
                <w:szCs w:val="18"/>
              </w:rPr>
            </w:pPr>
            <w:r w:rsidRPr="00C921DE">
              <w:rPr>
                <w:rFonts w:ascii="GHEA Grapalat" w:hAnsi="GHEA Grapalat" w:cs="Calibri"/>
                <w:b/>
                <w:bCs/>
                <w:sz w:val="18"/>
                <w:szCs w:val="18"/>
              </w:rPr>
              <w:t>Կշիռն ընդամենը ծախսերի մեջ</w:t>
            </w:r>
          </w:p>
        </w:tc>
        <w:tc>
          <w:tcPr>
            <w:tcW w:w="1841" w:type="dxa"/>
            <w:vAlign w:val="bottom"/>
          </w:tcPr>
          <w:p w14:paraId="59F9B417" w14:textId="77777777" w:rsidR="000E7659" w:rsidRPr="00C921DE" w:rsidRDefault="000E7659" w:rsidP="000E7659">
            <w:pPr>
              <w:jc w:val="right"/>
              <w:rPr>
                <w:rFonts w:ascii="GHEA Grapalat" w:hAnsi="GHEA Grapalat"/>
                <w:sz w:val="18"/>
                <w:szCs w:val="18"/>
              </w:rPr>
            </w:pPr>
          </w:p>
        </w:tc>
        <w:tc>
          <w:tcPr>
            <w:tcW w:w="1986" w:type="dxa"/>
            <w:noWrap/>
            <w:vAlign w:val="bottom"/>
          </w:tcPr>
          <w:p w14:paraId="5B7EC4F3" w14:textId="77777777" w:rsidR="000E7659" w:rsidRPr="00C921DE" w:rsidRDefault="000E7659" w:rsidP="000E7659">
            <w:pPr>
              <w:jc w:val="right"/>
              <w:rPr>
                <w:rFonts w:ascii="GHEA Grapalat" w:hAnsi="GHEA Grapalat"/>
                <w:sz w:val="18"/>
                <w:szCs w:val="18"/>
              </w:rPr>
            </w:pPr>
          </w:p>
        </w:tc>
        <w:tc>
          <w:tcPr>
            <w:tcW w:w="1984" w:type="dxa"/>
            <w:noWrap/>
            <w:vAlign w:val="bottom"/>
          </w:tcPr>
          <w:p w14:paraId="29567C04" w14:textId="77777777" w:rsidR="000E7659" w:rsidRPr="00C921DE" w:rsidRDefault="000E7659" w:rsidP="000E7659">
            <w:pPr>
              <w:jc w:val="right"/>
              <w:rPr>
                <w:rFonts w:ascii="GHEA Grapalat" w:hAnsi="GHEA Grapalat"/>
                <w:sz w:val="18"/>
                <w:szCs w:val="18"/>
              </w:rPr>
            </w:pPr>
          </w:p>
        </w:tc>
      </w:tr>
      <w:tr w:rsidR="000E7659" w:rsidRPr="00C921DE" w14:paraId="49F67B69" w14:textId="77777777" w:rsidTr="000E7659">
        <w:trPr>
          <w:trHeight w:val="281"/>
        </w:trPr>
        <w:tc>
          <w:tcPr>
            <w:tcW w:w="4395" w:type="dxa"/>
            <w:noWrap/>
            <w:vAlign w:val="bottom"/>
          </w:tcPr>
          <w:p w14:paraId="3C1684BE" w14:textId="77777777" w:rsidR="000E7659" w:rsidRPr="00C921DE" w:rsidRDefault="000E7659" w:rsidP="000E7659">
            <w:pPr>
              <w:ind w:firstLineChars="100" w:firstLine="180"/>
              <w:rPr>
                <w:rFonts w:ascii="GHEA Grapalat" w:hAnsi="GHEA Grapalat" w:cs="Calibri"/>
                <w:sz w:val="18"/>
                <w:szCs w:val="18"/>
              </w:rPr>
            </w:pPr>
            <w:r w:rsidRPr="00C921DE">
              <w:rPr>
                <w:rFonts w:ascii="GHEA Grapalat" w:hAnsi="GHEA Grapalat" w:cs="Calibri"/>
                <w:sz w:val="18"/>
                <w:szCs w:val="18"/>
              </w:rPr>
              <w:t>Ընթացիկ ծախսեր</w:t>
            </w:r>
          </w:p>
        </w:tc>
        <w:tc>
          <w:tcPr>
            <w:tcW w:w="1841" w:type="dxa"/>
            <w:vAlign w:val="bottom"/>
          </w:tcPr>
          <w:p w14:paraId="46EF4ECE"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83.0</w:t>
            </w:r>
          </w:p>
        </w:tc>
        <w:tc>
          <w:tcPr>
            <w:tcW w:w="1986" w:type="dxa"/>
            <w:vAlign w:val="bottom"/>
          </w:tcPr>
          <w:p w14:paraId="65AF103F"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81.3</w:t>
            </w:r>
          </w:p>
        </w:tc>
        <w:tc>
          <w:tcPr>
            <w:tcW w:w="1984" w:type="dxa"/>
            <w:vAlign w:val="bottom"/>
          </w:tcPr>
          <w:p w14:paraId="080F31CF"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81.4</w:t>
            </w:r>
          </w:p>
        </w:tc>
      </w:tr>
      <w:tr w:rsidR="000E7659" w:rsidRPr="00C921DE" w14:paraId="6A9D0AFC" w14:textId="77777777" w:rsidTr="000E7659">
        <w:trPr>
          <w:trHeight w:val="332"/>
        </w:trPr>
        <w:tc>
          <w:tcPr>
            <w:tcW w:w="4395" w:type="dxa"/>
            <w:noWrap/>
            <w:vAlign w:val="bottom"/>
          </w:tcPr>
          <w:p w14:paraId="0FE9413E" w14:textId="77777777" w:rsidR="000E7659" w:rsidRPr="00C921DE" w:rsidRDefault="000E7659" w:rsidP="000E7659">
            <w:pPr>
              <w:ind w:firstLineChars="100" w:firstLine="180"/>
              <w:rPr>
                <w:rFonts w:ascii="GHEA Grapalat" w:hAnsi="GHEA Grapalat" w:cs="Calibri"/>
                <w:sz w:val="18"/>
                <w:szCs w:val="18"/>
              </w:rPr>
            </w:pPr>
            <w:r w:rsidRPr="00C921DE">
              <w:rPr>
                <w:rFonts w:ascii="GHEA Grapalat" w:hAnsi="GHEA Grapalat" w:cs="Calibri"/>
                <w:sz w:val="18"/>
                <w:szCs w:val="18"/>
              </w:rPr>
              <w:t>Ոչ ֆինանսական ակտիվների հետ գործառնություններ</w:t>
            </w:r>
          </w:p>
        </w:tc>
        <w:tc>
          <w:tcPr>
            <w:tcW w:w="1841" w:type="dxa"/>
            <w:vAlign w:val="bottom"/>
          </w:tcPr>
          <w:p w14:paraId="02788FB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17.0</w:t>
            </w:r>
          </w:p>
        </w:tc>
        <w:tc>
          <w:tcPr>
            <w:tcW w:w="1986" w:type="dxa"/>
            <w:vAlign w:val="bottom"/>
          </w:tcPr>
          <w:p w14:paraId="662D1433"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18.7</w:t>
            </w:r>
          </w:p>
        </w:tc>
        <w:tc>
          <w:tcPr>
            <w:tcW w:w="1984" w:type="dxa"/>
            <w:vAlign w:val="bottom"/>
          </w:tcPr>
          <w:p w14:paraId="6A6CCA62"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18.6</w:t>
            </w:r>
          </w:p>
        </w:tc>
      </w:tr>
    </w:tbl>
    <w:p w14:paraId="25BB4947" w14:textId="77777777" w:rsidR="000E7659" w:rsidRPr="00C921DE" w:rsidRDefault="000E7659" w:rsidP="000E7659">
      <w:pPr>
        <w:spacing w:line="360" w:lineRule="auto"/>
        <w:ind w:firstLine="567"/>
        <w:jc w:val="both"/>
        <w:rPr>
          <w:rFonts w:ascii="GHEA Grapalat" w:hAnsi="GHEA Grapalat"/>
          <w:sz w:val="22"/>
        </w:rPr>
      </w:pPr>
    </w:p>
    <w:p w14:paraId="1CF6F991" w14:textId="2903CB65" w:rsidR="000E7659" w:rsidRPr="00C921DE" w:rsidRDefault="000E7659" w:rsidP="000E7659">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Նախորդ</w:t>
      </w:r>
      <w:r w:rsidRPr="00C921DE">
        <w:rPr>
          <w:rFonts w:ascii="GHEA Grapalat" w:hAnsi="GHEA Grapalat"/>
          <w:sz w:val="22"/>
        </w:rPr>
        <w:t xml:space="preserve"> տարվա համեմատ </w:t>
      </w:r>
      <w:r w:rsidRPr="00C921DE">
        <w:rPr>
          <w:rFonts w:ascii="GHEA Grapalat" w:hAnsi="GHEA Grapalat" w:cs="GHEA Grapalat"/>
          <w:sz w:val="22"/>
          <w:szCs w:val="22"/>
        </w:rPr>
        <w:t>պետական բյուջեի ծախսեր</w:t>
      </w:r>
      <w:r w:rsidRPr="00C921DE">
        <w:rPr>
          <w:rFonts w:ascii="GHEA Grapalat" w:hAnsi="GHEA Grapalat"/>
          <w:sz w:val="22"/>
        </w:rPr>
        <w:t>ն աճել են 1</w:t>
      </w:r>
      <w:r w:rsidRPr="00C921DE">
        <w:rPr>
          <w:rFonts w:ascii="GHEA Grapalat" w:hAnsi="GHEA Grapalat"/>
          <w:sz w:val="22"/>
          <w:lang w:val="en-US"/>
        </w:rPr>
        <w:t>3.6</w:t>
      </w:r>
      <w:r w:rsidRPr="00C921DE">
        <w:rPr>
          <w:rFonts w:ascii="GHEA Grapalat" w:hAnsi="GHEA Grapalat"/>
          <w:sz w:val="22"/>
        </w:rPr>
        <w:t xml:space="preserve">%-ով կամ </w:t>
      </w:r>
      <w:r w:rsidRPr="00C921DE">
        <w:rPr>
          <w:rFonts w:ascii="GHEA Grapalat" w:hAnsi="GHEA Grapalat"/>
          <w:sz w:val="22"/>
          <w:lang w:val="en-US"/>
        </w:rPr>
        <w:t>305</w:t>
      </w:r>
      <w:r w:rsidRPr="00C921DE">
        <w:rPr>
          <w:rFonts w:ascii="Courier New" w:hAnsi="Courier New"/>
          <w:sz w:val="22"/>
        </w:rPr>
        <w:t> </w:t>
      </w:r>
      <w:r w:rsidRPr="00C921DE">
        <w:rPr>
          <w:rFonts w:ascii="GHEA Grapalat" w:hAnsi="GHEA Grapalat"/>
          <w:sz w:val="22"/>
        </w:rPr>
        <w:t>մլրդ դրամով՝ հիմնականում պայմանավորված</w:t>
      </w:r>
      <w:r w:rsidR="002C4DAF" w:rsidRPr="00C921DE">
        <w:rPr>
          <w:rFonts w:ascii="GHEA Grapalat" w:hAnsi="GHEA Grapalat"/>
          <w:sz w:val="22"/>
          <w:lang w:val="en-US"/>
        </w:rPr>
        <w:t xml:space="preserve"> </w:t>
      </w:r>
      <w:r w:rsidR="002C4DAF" w:rsidRPr="00C921DE">
        <w:rPr>
          <w:rFonts w:ascii="GHEA Grapalat" w:hAnsi="GHEA Grapalat" w:cs="GHEA Grapalat"/>
          <w:sz w:val="22"/>
          <w:szCs w:val="22"/>
        </w:rPr>
        <w:t xml:space="preserve">կապիտալ ծախսերի, սոցիալական նպաստների և կենսաթոշակների, տոկոսավճարների </w:t>
      </w:r>
      <w:r w:rsidR="002C4DAF" w:rsidRPr="00C921DE">
        <w:rPr>
          <w:rFonts w:ascii="GHEA Grapalat" w:hAnsi="GHEA Grapalat" w:cs="GHEA Grapalat"/>
          <w:sz w:val="22"/>
          <w:szCs w:val="22"/>
          <w:lang w:val="en-US"/>
        </w:rPr>
        <w:t xml:space="preserve">և </w:t>
      </w:r>
      <w:r w:rsidR="002C4DAF" w:rsidRPr="00C921DE">
        <w:rPr>
          <w:rFonts w:ascii="GHEA Grapalat" w:hAnsi="GHEA Grapalat" w:cs="GHEA Grapalat"/>
          <w:sz w:val="22"/>
          <w:szCs w:val="22"/>
        </w:rPr>
        <w:t>դրամաշնորհների աճով</w:t>
      </w:r>
      <w:r w:rsidRPr="00C921DE">
        <w:rPr>
          <w:rFonts w:ascii="GHEA Grapalat" w:hAnsi="GHEA Grapalat"/>
          <w:sz w:val="22"/>
        </w:rPr>
        <w:t>:</w:t>
      </w:r>
      <w:r w:rsidRPr="00C921DE">
        <w:rPr>
          <w:rFonts w:ascii="GHEA Grapalat" w:hAnsi="GHEA Grapalat" w:cs="GHEA Grapalat"/>
          <w:sz w:val="22"/>
          <w:szCs w:val="22"/>
        </w:rPr>
        <w:t xml:space="preserve"> Կապիտալ ծախսերի առաջանցիկ աճով պայմանավորված՝ պետական բյուջեի ծախսերում </w:t>
      </w:r>
      <w:r w:rsidR="00E56CA4" w:rsidRPr="00C921DE">
        <w:rPr>
          <w:rFonts w:ascii="GHEA Grapalat" w:hAnsi="GHEA Grapalat" w:cs="GHEA Grapalat"/>
          <w:sz w:val="22"/>
          <w:szCs w:val="22"/>
          <w:lang w:val="en-US"/>
        </w:rPr>
        <w:t>1.6</w:t>
      </w:r>
      <w:r w:rsidRPr="00C921DE">
        <w:rPr>
          <w:rFonts w:ascii="GHEA Grapalat" w:hAnsi="GHEA Grapalat" w:cs="GHEA Grapalat"/>
          <w:sz w:val="22"/>
          <w:szCs w:val="22"/>
        </w:rPr>
        <w:t xml:space="preserve"> տոկոսային կետով նվազել է ընթացիկ </w:t>
      </w:r>
      <w:r w:rsidRPr="00C921DE">
        <w:rPr>
          <w:rFonts w:ascii="GHEA Grapalat" w:hAnsi="GHEA Grapalat" w:cs="GHEA Grapalat"/>
          <w:sz w:val="22"/>
          <w:szCs w:val="22"/>
        </w:rPr>
        <w:lastRenderedPageBreak/>
        <w:t>ծախսերի տեսակարար կշիռը և նույնքան ավելացել ոչ ֆինանսական ակտիվների հետ գործառնությունների տեսակարար կշիռը:</w:t>
      </w:r>
    </w:p>
    <w:p w14:paraId="73B7C7AD" w14:textId="77777777" w:rsidR="000E7659" w:rsidRPr="00C921DE" w:rsidRDefault="000E7659" w:rsidP="000E7659">
      <w:pPr>
        <w:spacing w:line="360" w:lineRule="auto"/>
        <w:ind w:firstLine="567"/>
        <w:jc w:val="both"/>
        <w:rPr>
          <w:rFonts w:ascii="GHEA Grapalat" w:hAnsi="GHEA Grapalat" w:cs="GHEA Grapalat"/>
          <w:sz w:val="22"/>
          <w:szCs w:val="22"/>
        </w:rPr>
      </w:pPr>
    </w:p>
    <w:p w14:paraId="1582F03B" w14:textId="1629CF9C" w:rsidR="000E7659" w:rsidRPr="00C921DE" w:rsidRDefault="000E7659" w:rsidP="004C12B8">
      <w:pPr>
        <w:pStyle w:val="a"/>
      </w:pPr>
      <w:r w:rsidRPr="00C921DE">
        <w:t>ՀՀ 2021-2023թթ. պետական բյուջեների ծախսերը</w:t>
      </w:r>
    </w:p>
    <w:p w14:paraId="5B46D761" w14:textId="77777777" w:rsidR="000E7659" w:rsidRPr="00C921DE" w:rsidRDefault="000E7659" w:rsidP="000E7659">
      <w:pPr>
        <w:spacing w:line="360" w:lineRule="auto"/>
        <w:jc w:val="both"/>
        <w:rPr>
          <w:rFonts w:ascii="GHEA Grapalat" w:hAnsi="GHEA Grapalat" w:cs="GHEA Grapalat"/>
          <w:sz w:val="22"/>
          <w:szCs w:val="22"/>
        </w:rPr>
      </w:pPr>
      <w:r w:rsidRPr="00C921DE">
        <w:rPr>
          <w:rFonts w:ascii="GHEA Grapalat" w:hAnsi="GHEA Grapalat" w:cs="GHEA Grapalat"/>
          <w:sz w:val="22"/>
          <w:szCs w:val="22"/>
          <w:lang w:val="en-US"/>
        </w:rPr>
        <w:drawing>
          <wp:inline distT="0" distB="0" distL="0" distR="0" wp14:anchorId="1AA65624" wp14:editId="76C4C155">
            <wp:extent cx="6048000" cy="3535955"/>
            <wp:effectExtent l="0" t="0" r="10160" b="7620"/>
            <wp:docPr id="61" name="Object 6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A4B1EA4" w14:textId="062F2A62" w:rsidR="001C411D" w:rsidRPr="00C921DE" w:rsidRDefault="001C411D" w:rsidP="0000157A">
      <w:pPr>
        <w:spacing w:line="360" w:lineRule="auto"/>
        <w:ind w:firstLine="567"/>
        <w:jc w:val="both"/>
        <w:rPr>
          <w:rFonts w:ascii="GHEA Grapalat" w:hAnsi="GHEA Grapalat" w:cs="GHEA Grapalat"/>
          <w:sz w:val="22"/>
          <w:szCs w:val="22"/>
          <w:lang w:val="en-US"/>
        </w:rPr>
      </w:pPr>
    </w:p>
    <w:p w14:paraId="1EE34C3A" w14:textId="77777777" w:rsidR="001C411D" w:rsidRPr="00C921DE" w:rsidRDefault="001C411D" w:rsidP="00D710D8">
      <w:pPr>
        <w:spacing w:line="480" w:lineRule="auto"/>
        <w:ind w:firstLine="567"/>
        <w:jc w:val="both"/>
        <w:rPr>
          <w:rFonts w:ascii="GHEA Grapalat" w:hAnsi="GHEA Grapalat" w:cs="GHEA Grapalat"/>
          <w:sz w:val="22"/>
          <w:szCs w:val="22"/>
          <w:u w:val="single"/>
        </w:rPr>
      </w:pPr>
      <w:r w:rsidRPr="00C921DE">
        <w:rPr>
          <w:rFonts w:ascii="GHEA Grapalat" w:hAnsi="GHEA Grapalat" w:cs="GHEA Grapalat"/>
          <w:sz w:val="22"/>
          <w:szCs w:val="22"/>
          <w:u w:val="single"/>
        </w:rPr>
        <w:t>Ընթացիկ ծախսեր</w:t>
      </w:r>
      <w:bookmarkEnd w:id="222"/>
      <w:bookmarkEnd w:id="223"/>
      <w:bookmarkEnd w:id="224"/>
      <w:bookmarkEnd w:id="225"/>
      <w:bookmarkEnd w:id="226"/>
      <w:bookmarkEnd w:id="227"/>
      <w:bookmarkEnd w:id="228"/>
    </w:p>
    <w:p w14:paraId="49E542D4" w14:textId="77777777"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Ընթացիկ ծախսերում շեղումների հիմնական մասը բաժին է ընկել սոցիալական նպաստներին և կենսաթոշակներին</w:t>
      </w:r>
      <w:r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այլ ծախսերին, դրամաշնորհներին ու ծառայությունների և ապրանքների ձեռքբերման ծախսերին:</w:t>
      </w:r>
    </w:p>
    <w:p w14:paraId="7B41A2BE" w14:textId="77777777" w:rsidR="000E7659" w:rsidRPr="00C921DE" w:rsidRDefault="000E7659" w:rsidP="000E7659">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Ընթացիկ ծախսերի բաղադրիչների վերաբերյալ տվյալները ներկայացված են Աղյուսակ 1</w:t>
      </w:r>
      <w:r w:rsidRPr="00C921DE">
        <w:rPr>
          <w:rFonts w:ascii="GHEA Grapalat" w:hAnsi="GHEA Grapalat" w:cs="GHEA Grapalat"/>
          <w:sz w:val="22"/>
          <w:szCs w:val="22"/>
          <w:lang w:val="en-US"/>
        </w:rPr>
        <w:t>7</w:t>
      </w:r>
      <w:r w:rsidRPr="00C921DE">
        <w:rPr>
          <w:rFonts w:ascii="GHEA Grapalat" w:hAnsi="GHEA Grapalat" w:cs="GHEA Grapalat"/>
          <w:sz w:val="22"/>
          <w:szCs w:val="22"/>
        </w:rPr>
        <w:t>-ում:</w:t>
      </w:r>
    </w:p>
    <w:p w14:paraId="200D4A29" w14:textId="77777777" w:rsidR="000E7659" w:rsidRPr="00C921DE" w:rsidRDefault="000E7659" w:rsidP="000E7659">
      <w:pPr>
        <w:ind w:firstLine="567"/>
        <w:jc w:val="both"/>
        <w:rPr>
          <w:rFonts w:ascii="GHEA Grapalat" w:hAnsi="GHEA Grapalat" w:cs="GHEA Grapalat"/>
          <w:sz w:val="22"/>
          <w:szCs w:val="22"/>
        </w:rPr>
      </w:pPr>
    </w:p>
    <w:p w14:paraId="38E2D98B" w14:textId="77777777" w:rsidR="000E7659" w:rsidRPr="00C921DE" w:rsidRDefault="000E7659" w:rsidP="000E7659">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 ընթացիկ ծախսերը (մլրդ դրամ)</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253"/>
        <w:gridCol w:w="1134"/>
        <w:gridCol w:w="1134"/>
        <w:gridCol w:w="992"/>
        <w:gridCol w:w="1380"/>
        <w:gridCol w:w="1313"/>
      </w:tblGrid>
      <w:tr w:rsidR="004264D1" w:rsidRPr="00C921DE" w14:paraId="67AD9BDD" w14:textId="77777777" w:rsidTr="000E7659">
        <w:tc>
          <w:tcPr>
            <w:tcW w:w="4253" w:type="dxa"/>
            <w:vAlign w:val="bottom"/>
          </w:tcPr>
          <w:p w14:paraId="71C06A62" w14:textId="77777777" w:rsidR="004264D1" w:rsidRPr="00C921DE" w:rsidRDefault="004264D1" w:rsidP="004264D1">
            <w:pPr>
              <w:rPr>
                <w:rFonts w:ascii="GHEA Grapalat" w:hAnsi="GHEA Grapalat" w:cs="Calibri"/>
                <w:sz w:val="18"/>
                <w:szCs w:val="18"/>
              </w:rPr>
            </w:pPr>
            <w:r w:rsidRPr="00C921DE">
              <w:rPr>
                <w:rFonts w:ascii="Courier New" w:hAnsi="Courier New" w:cs="Courier New"/>
                <w:sz w:val="18"/>
                <w:szCs w:val="18"/>
              </w:rPr>
              <w:t> </w:t>
            </w:r>
          </w:p>
        </w:tc>
        <w:tc>
          <w:tcPr>
            <w:tcW w:w="1134" w:type="dxa"/>
          </w:tcPr>
          <w:p w14:paraId="7DBE16FA" w14:textId="77777777"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134" w:type="dxa"/>
          </w:tcPr>
          <w:p w14:paraId="00846BE3" w14:textId="2C484C35"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ճշտված ծրագիր</w:t>
            </w:r>
          </w:p>
        </w:tc>
        <w:tc>
          <w:tcPr>
            <w:tcW w:w="992" w:type="dxa"/>
          </w:tcPr>
          <w:p w14:paraId="732B88B4" w14:textId="604C7924"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c>
          <w:tcPr>
            <w:tcW w:w="1380" w:type="dxa"/>
          </w:tcPr>
          <w:p w14:paraId="682845CB" w14:textId="7EFFC90E"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Կատարո-ղական</w:t>
            </w:r>
            <w:r w:rsidRPr="00C921DE">
              <w:rPr>
                <w:rFonts w:ascii="GHEA Grapalat" w:hAnsi="GHEA Grapalat" w:cs="Calibri"/>
                <w:b/>
                <w:bCs/>
                <w:sz w:val="18"/>
                <w:szCs w:val="18"/>
                <w:lang w:val="en-US"/>
              </w:rPr>
              <w:t>ը</w:t>
            </w:r>
            <w:r w:rsidRPr="00C921DE">
              <w:rPr>
                <w:rFonts w:ascii="GHEA Grapalat" w:hAnsi="GHEA Grapalat" w:cs="Calibri"/>
                <w:b/>
                <w:bCs/>
                <w:sz w:val="18"/>
                <w:szCs w:val="18"/>
              </w:rPr>
              <w:t xml:space="preserve"> ճշտված </w:t>
            </w:r>
            <w:r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313" w:type="dxa"/>
          </w:tcPr>
          <w:p w14:paraId="6C0A7168" w14:textId="6091093D"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w:t>
            </w:r>
            <w:r w:rsidRPr="00C921DE">
              <w:rPr>
                <w:rFonts w:ascii="GHEA Grapalat" w:hAnsi="GHEA Grapalat" w:cs="Calibri"/>
                <w:b/>
                <w:bCs/>
                <w:sz w:val="18"/>
                <w:szCs w:val="18"/>
                <w:lang w:val="en-US"/>
              </w:rPr>
              <w:t xml:space="preserve">. </w:t>
            </w: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0E7659" w:rsidRPr="00C921DE" w14:paraId="6FA92461" w14:textId="77777777" w:rsidTr="000E7659">
        <w:tc>
          <w:tcPr>
            <w:tcW w:w="4253" w:type="dxa"/>
            <w:vAlign w:val="bottom"/>
          </w:tcPr>
          <w:p w14:paraId="0A415B82" w14:textId="77777777" w:rsidR="000E7659" w:rsidRPr="00C921DE" w:rsidRDefault="000E7659" w:rsidP="000E7659">
            <w:pPr>
              <w:ind w:firstLineChars="100" w:firstLine="180"/>
              <w:rPr>
                <w:rFonts w:ascii="GHEA Grapalat" w:hAnsi="GHEA Grapalat" w:cs="Calibri"/>
                <w:b/>
                <w:bCs/>
                <w:sz w:val="18"/>
                <w:szCs w:val="18"/>
              </w:rPr>
            </w:pPr>
            <w:r w:rsidRPr="00C921DE">
              <w:rPr>
                <w:rFonts w:ascii="GHEA Grapalat" w:hAnsi="GHEA Grapalat" w:cs="Calibri"/>
                <w:b/>
                <w:bCs/>
                <w:sz w:val="18"/>
                <w:szCs w:val="18"/>
              </w:rPr>
              <w:t>Ընթացիկ ծախսեր</w:t>
            </w:r>
          </w:p>
        </w:tc>
        <w:tc>
          <w:tcPr>
            <w:tcW w:w="1134" w:type="dxa"/>
            <w:vAlign w:val="bottom"/>
          </w:tcPr>
          <w:p w14:paraId="08604520"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1,862.2</w:t>
            </w:r>
          </w:p>
        </w:tc>
        <w:tc>
          <w:tcPr>
            <w:tcW w:w="1134" w:type="dxa"/>
            <w:vAlign w:val="bottom"/>
          </w:tcPr>
          <w:p w14:paraId="70488742"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lang w:val="en-US"/>
              </w:rPr>
              <w:t>2</w:t>
            </w:r>
            <w:r w:rsidRPr="00C921DE">
              <w:rPr>
                <w:rFonts w:ascii="GHEA Grapalat" w:hAnsi="GHEA Grapalat" w:cs="Calibri"/>
                <w:b/>
                <w:sz w:val="18"/>
                <w:szCs w:val="18"/>
              </w:rPr>
              <w:t>,</w:t>
            </w:r>
            <w:r w:rsidRPr="00C921DE">
              <w:rPr>
                <w:rFonts w:ascii="GHEA Grapalat" w:hAnsi="GHEA Grapalat" w:cs="Calibri"/>
                <w:b/>
                <w:sz w:val="18"/>
                <w:szCs w:val="18"/>
                <w:lang w:val="en-US"/>
              </w:rPr>
              <w:t>132.9</w:t>
            </w:r>
          </w:p>
        </w:tc>
        <w:tc>
          <w:tcPr>
            <w:tcW w:w="992" w:type="dxa"/>
            <w:vAlign w:val="bottom"/>
          </w:tcPr>
          <w:p w14:paraId="2979D661"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2,075.0</w:t>
            </w:r>
          </w:p>
        </w:tc>
        <w:tc>
          <w:tcPr>
            <w:tcW w:w="1380" w:type="dxa"/>
            <w:vAlign w:val="bottom"/>
          </w:tcPr>
          <w:p w14:paraId="42221431"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97.3</w:t>
            </w:r>
          </w:p>
        </w:tc>
        <w:tc>
          <w:tcPr>
            <w:tcW w:w="1313" w:type="dxa"/>
            <w:vAlign w:val="bottom"/>
          </w:tcPr>
          <w:p w14:paraId="306D642F"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111.4</w:t>
            </w:r>
          </w:p>
        </w:tc>
      </w:tr>
      <w:tr w:rsidR="000E7659" w:rsidRPr="00C921DE" w14:paraId="5A339A13" w14:textId="77777777" w:rsidTr="000E7659">
        <w:tc>
          <w:tcPr>
            <w:tcW w:w="4253" w:type="dxa"/>
            <w:vAlign w:val="bottom"/>
          </w:tcPr>
          <w:p w14:paraId="46E59E1D"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Աշխատավարձ</w:t>
            </w:r>
          </w:p>
        </w:tc>
        <w:tc>
          <w:tcPr>
            <w:tcW w:w="1134" w:type="dxa"/>
            <w:vAlign w:val="bottom"/>
          </w:tcPr>
          <w:p w14:paraId="71EFA88E"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194.1</w:t>
            </w:r>
          </w:p>
        </w:tc>
        <w:tc>
          <w:tcPr>
            <w:tcW w:w="1134" w:type="dxa"/>
            <w:vAlign w:val="bottom"/>
          </w:tcPr>
          <w:p w14:paraId="1222509E"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220.5</w:t>
            </w:r>
          </w:p>
        </w:tc>
        <w:tc>
          <w:tcPr>
            <w:tcW w:w="992" w:type="dxa"/>
            <w:vAlign w:val="bottom"/>
          </w:tcPr>
          <w:p w14:paraId="497B68C8"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218.0</w:t>
            </w:r>
          </w:p>
        </w:tc>
        <w:tc>
          <w:tcPr>
            <w:tcW w:w="1380" w:type="dxa"/>
            <w:vAlign w:val="bottom"/>
          </w:tcPr>
          <w:p w14:paraId="1E6FA104"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98.9</w:t>
            </w:r>
          </w:p>
        </w:tc>
        <w:tc>
          <w:tcPr>
            <w:tcW w:w="1313" w:type="dxa"/>
            <w:vAlign w:val="bottom"/>
          </w:tcPr>
          <w:p w14:paraId="3B80E08F"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112.3</w:t>
            </w:r>
          </w:p>
        </w:tc>
      </w:tr>
      <w:tr w:rsidR="000E7659" w:rsidRPr="00C921DE" w14:paraId="47BFAA0C" w14:textId="77777777" w:rsidTr="000E7659">
        <w:tc>
          <w:tcPr>
            <w:tcW w:w="4253" w:type="dxa"/>
            <w:vAlign w:val="bottom"/>
          </w:tcPr>
          <w:p w14:paraId="08AAB9BA"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Ծառայությունների և ապրանքների ձեռքբերում</w:t>
            </w:r>
          </w:p>
        </w:tc>
        <w:tc>
          <w:tcPr>
            <w:tcW w:w="1134" w:type="dxa"/>
            <w:vAlign w:val="bottom"/>
          </w:tcPr>
          <w:p w14:paraId="18A3BA7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205.3</w:t>
            </w:r>
          </w:p>
        </w:tc>
        <w:tc>
          <w:tcPr>
            <w:tcW w:w="1134" w:type="dxa"/>
            <w:vAlign w:val="bottom"/>
          </w:tcPr>
          <w:p w14:paraId="5C35FD7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198.6</w:t>
            </w:r>
          </w:p>
        </w:tc>
        <w:tc>
          <w:tcPr>
            <w:tcW w:w="992" w:type="dxa"/>
            <w:vAlign w:val="bottom"/>
          </w:tcPr>
          <w:p w14:paraId="1E489C17"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191.1</w:t>
            </w:r>
          </w:p>
        </w:tc>
        <w:tc>
          <w:tcPr>
            <w:tcW w:w="1380" w:type="dxa"/>
            <w:vAlign w:val="bottom"/>
          </w:tcPr>
          <w:p w14:paraId="6298CF22"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96.2</w:t>
            </w:r>
          </w:p>
        </w:tc>
        <w:tc>
          <w:tcPr>
            <w:tcW w:w="1313" w:type="dxa"/>
            <w:vAlign w:val="bottom"/>
          </w:tcPr>
          <w:p w14:paraId="1B4F2EB6"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93.1</w:t>
            </w:r>
          </w:p>
        </w:tc>
      </w:tr>
      <w:tr w:rsidR="000E7659" w:rsidRPr="00C921DE" w14:paraId="55518090" w14:textId="77777777" w:rsidTr="000E7659">
        <w:tc>
          <w:tcPr>
            <w:tcW w:w="4253" w:type="dxa"/>
            <w:vAlign w:val="bottom"/>
          </w:tcPr>
          <w:p w14:paraId="1EEB7577"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Տոկոսավճարներ</w:t>
            </w:r>
          </w:p>
        </w:tc>
        <w:tc>
          <w:tcPr>
            <w:tcW w:w="1134" w:type="dxa"/>
            <w:vAlign w:val="bottom"/>
          </w:tcPr>
          <w:p w14:paraId="4A06074F"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198.3</w:t>
            </w:r>
          </w:p>
        </w:tc>
        <w:tc>
          <w:tcPr>
            <w:tcW w:w="1134" w:type="dxa"/>
            <w:vAlign w:val="bottom"/>
          </w:tcPr>
          <w:p w14:paraId="64533A9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256.4</w:t>
            </w:r>
          </w:p>
        </w:tc>
        <w:tc>
          <w:tcPr>
            <w:tcW w:w="992" w:type="dxa"/>
            <w:vAlign w:val="bottom"/>
          </w:tcPr>
          <w:p w14:paraId="67FA907C"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253.4</w:t>
            </w:r>
          </w:p>
        </w:tc>
        <w:tc>
          <w:tcPr>
            <w:tcW w:w="1380" w:type="dxa"/>
            <w:vAlign w:val="bottom"/>
          </w:tcPr>
          <w:p w14:paraId="1285CDA6"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98.8</w:t>
            </w:r>
          </w:p>
        </w:tc>
        <w:tc>
          <w:tcPr>
            <w:tcW w:w="1313" w:type="dxa"/>
            <w:vAlign w:val="bottom"/>
          </w:tcPr>
          <w:p w14:paraId="322F22A9"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127.8</w:t>
            </w:r>
          </w:p>
        </w:tc>
      </w:tr>
      <w:tr w:rsidR="000E7659" w:rsidRPr="00C921DE" w14:paraId="23EB8B0B" w14:textId="77777777" w:rsidTr="000E7659">
        <w:tc>
          <w:tcPr>
            <w:tcW w:w="4253" w:type="dxa"/>
            <w:vAlign w:val="bottom"/>
          </w:tcPr>
          <w:p w14:paraId="32BE05FB"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Սուբսիդիաներ</w:t>
            </w:r>
          </w:p>
        </w:tc>
        <w:tc>
          <w:tcPr>
            <w:tcW w:w="1134" w:type="dxa"/>
            <w:vAlign w:val="bottom"/>
          </w:tcPr>
          <w:p w14:paraId="3EF836B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150.5</w:t>
            </w:r>
          </w:p>
        </w:tc>
        <w:tc>
          <w:tcPr>
            <w:tcW w:w="1134" w:type="dxa"/>
            <w:vAlign w:val="bottom"/>
          </w:tcPr>
          <w:p w14:paraId="5357DDBA"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165.2</w:t>
            </w:r>
          </w:p>
        </w:tc>
        <w:tc>
          <w:tcPr>
            <w:tcW w:w="992" w:type="dxa"/>
            <w:vAlign w:val="bottom"/>
          </w:tcPr>
          <w:p w14:paraId="6CE1FAD7"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164.0</w:t>
            </w:r>
          </w:p>
        </w:tc>
        <w:tc>
          <w:tcPr>
            <w:tcW w:w="1380" w:type="dxa"/>
            <w:vAlign w:val="bottom"/>
          </w:tcPr>
          <w:p w14:paraId="3460F4E1"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99.3</w:t>
            </w:r>
          </w:p>
        </w:tc>
        <w:tc>
          <w:tcPr>
            <w:tcW w:w="1313" w:type="dxa"/>
            <w:vAlign w:val="bottom"/>
          </w:tcPr>
          <w:p w14:paraId="069F2F7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109.0</w:t>
            </w:r>
          </w:p>
        </w:tc>
      </w:tr>
      <w:tr w:rsidR="000E7659" w:rsidRPr="00C921DE" w14:paraId="2C12BB15" w14:textId="77777777" w:rsidTr="000E7659">
        <w:tc>
          <w:tcPr>
            <w:tcW w:w="4253" w:type="dxa"/>
            <w:vAlign w:val="bottom"/>
          </w:tcPr>
          <w:p w14:paraId="1E41F70C"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lastRenderedPageBreak/>
              <w:t>Դրամաշնորհներ</w:t>
            </w:r>
          </w:p>
        </w:tc>
        <w:tc>
          <w:tcPr>
            <w:tcW w:w="1134" w:type="dxa"/>
            <w:vAlign w:val="bottom"/>
          </w:tcPr>
          <w:p w14:paraId="63AF36D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238.6</w:t>
            </w:r>
          </w:p>
        </w:tc>
        <w:tc>
          <w:tcPr>
            <w:tcW w:w="1134" w:type="dxa"/>
            <w:vAlign w:val="bottom"/>
          </w:tcPr>
          <w:p w14:paraId="53D89C44"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291.8</w:t>
            </w:r>
          </w:p>
        </w:tc>
        <w:tc>
          <w:tcPr>
            <w:tcW w:w="992" w:type="dxa"/>
            <w:vAlign w:val="bottom"/>
          </w:tcPr>
          <w:p w14:paraId="37EFD0B1"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281.0</w:t>
            </w:r>
          </w:p>
        </w:tc>
        <w:tc>
          <w:tcPr>
            <w:tcW w:w="1380" w:type="dxa"/>
            <w:vAlign w:val="bottom"/>
          </w:tcPr>
          <w:p w14:paraId="0625F709"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96.3</w:t>
            </w:r>
          </w:p>
        </w:tc>
        <w:tc>
          <w:tcPr>
            <w:tcW w:w="1313" w:type="dxa"/>
            <w:vAlign w:val="bottom"/>
          </w:tcPr>
          <w:p w14:paraId="7982DAD9"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117.8</w:t>
            </w:r>
          </w:p>
        </w:tc>
      </w:tr>
      <w:tr w:rsidR="000E7659" w:rsidRPr="00C921DE" w14:paraId="03D83226" w14:textId="77777777" w:rsidTr="000E7659">
        <w:tc>
          <w:tcPr>
            <w:tcW w:w="4253" w:type="dxa"/>
            <w:vAlign w:val="bottom"/>
          </w:tcPr>
          <w:p w14:paraId="659FDF08"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Սոցիալական նպաստներ և կենսաթոշակներ</w:t>
            </w:r>
          </w:p>
        </w:tc>
        <w:tc>
          <w:tcPr>
            <w:tcW w:w="1134" w:type="dxa"/>
            <w:vAlign w:val="bottom"/>
          </w:tcPr>
          <w:p w14:paraId="413C1DE8"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613.1</w:t>
            </w:r>
          </w:p>
        </w:tc>
        <w:tc>
          <w:tcPr>
            <w:tcW w:w="1134" w:type="dxa"/>
            <w:vAlign w:val="bottom"/>
          </w:tcPr>
          <w:p w14:paraId="3A542B9E"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727.7</w:t>
            </w:r>
          </w:p>
        </w:tc>
        <w:tc>
          <w:tcPr>
            <w:tcW w:w="992" w:type="dxa"/>
            <w:vAlign w:val="bottom"/>
          </w:tcPr>
          <w:p w14:paraId="4A1A1A2C"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710.2</w:t>
            </w:r>
          </w:p>
        </w:tc>
        <w:tc>
          <w:tcPr>
            <w:tcW w:w="1380" w:type="dxa"/>
            <w:vAlign w:val="bottom"/>
          </w:tcPr>
          <w:p w14:paraId="666AF8A7"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97.6</w:t>
            </w:r>
          </w:p>
        </w:tc>
        <w:tc>
          <w:tcPr>
            <w:tcW w:w="1313" w:type="dxa"/>
            <w:vAlign w:val="bottom"/>
          </w:tcPr>
          <w:p w14:paraId="30D2035F"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115.8</w:t>
            </w:r>
          </w:p>
        </w:tc>
      </w:tr>
      <w:tr w:rsidR="000E7659" w:rsidRPr="00C921DE" w14:paraId="3B95E6F1" w14:textId="77777777" w:rsidTr="000E7659">
        <w:tc>
          <w:tcPr>
            <w:tcW w:w="4253" w:type="dxa"/>
            <w:vAlign w:val="bottom"/>
          </w:tcPr>
          <w:p w14:paraId="18089F18"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Այլ ծախսեր</w:t>
            </w:r>
          </w:p>
        </w:tc>
        <w:tc>
          <w:tcPr>
            <w:tcW w:w="1134" w:type="dxa"/>
            <w:vAlign w:val="bottom"/>
          </w:tcPr>
          <w:p w14:paraId="1DCC138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262.4</w:t>
            </w:r>
          </w:p>
        </w:tc>
        <w:tc>
          <w:tcPr>
            <w:tcW w:w="1134" w:type="dxa"/>
            <w:vAlign w:val="bottom"/>
          </w:tcPr>
          <w:p w14:paraId="39167B56"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272.6</w:t>
            </w:r>
          </w:p>
        </w:tc>
        <w:tc>
          <w:tcPr>
            <w:tcW w:w="992" w:type="dxa"/>
            <w:vAlign w:val="bottom"/>
          </w:tcPr>
          <w:p w14:paraId="2E8662CB"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257.2</w:t>
            </w:r>
          </w:p>
        </w:tc>
        <w:tc>
          <w:tcPr>
            <w:tcW w:w="1380" w:type="dxa"/>
            <w:vAlign w:val="bottom"/>
          </w:tcPr>
          <w:p w14:paraId="7488C356"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94.4</w:t>
            </w:r>
          </w:p>
        </w:tc>
        <w:tc>
          <w:tcPr>
            <w:tcW w:w="1313" w:type="dxa"/>
            <w:vAlign w:val="bottom"/>
          </w:tcPr>
          <w:p w14:paraId="3DBA9FEC"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98.0</w:t>
            </w:r>
          </w:p>
        </w:tc>
      </w:tr>
      <w:tr w:rsidR="000E7659" w:rsidRPr="00C921DE" w14:paraId="00A20DA4" w14:textId="77777777" w:rsidTr="000E7659">
        <w:tc>
          <w:tcPr>
            <w:tcW w:w="4253" w:type="dxa"/>
            <w:vAlign w:val="bottom"/>
          </w:tcPr>
          <w:p w14:paraId="00C98CF6" w14:textId="77777777" w:rsidR="000E7659" w:rsidRPr="00C921DE" w:rsidRDefault="000E7659" w:rsidP="000E7659">
            <w:pPr>
              <w:ind w:firstLineChars="100" w:firstLine="180"/>
              <w:rPr>
                <w:rFonts w:ascii="GHEA Grapalat" w:hAnsi="GHEA Grapalat" w:cs="Calibri"/>
                <w:b/>
                <w:bCs/>
                <w:sz w:val="18"/>
                <w:szCs w:val="18"/>
              </w:rPr>
            </w:pPr>
            <w:r w:rsidRPr="00C921DE">
              <w:rPr>
                <w:rFonts w:ascii="GHEA Grapalat" w:hAnsi="GHEA Grapalat" w:cs="Calibri"/>
                <w:b/>
                <w:bCs/>
                <w:sz w:val="18"/>
                <w:szCs w:val="18"/>
              </w:rPr>
              <w:t>Կշիռն ընթացիկ ծախսերում (%)</w:t>
            </w:r>
          </w:p>
        </w:tc>
        <w:tc>
          <w:tcPr>
            <w:tcW w:w="1134" w:type="dxa"/>
            <w:vAlign w:val="bottom"/>
          </w:tcPr>
          <w:p w14:paraId="4F3171F0" w14:textId="77777777" w:rsidR="000E7659" w:rsidRPr="00C921DE" w:rsidRDefault="000E7659" w:rsidP="000E7659">
            <w:pPr>
              <w:jc w:val="right"/>
              <w:rPr>
                <w:rFonts w:ascii="GHEA Grapalat" w:hAnsi="GHEA Grapalat"/>
                <w:sz w:val="18"/>
                <w:szCs w:val="18"/>
              </w:rPr>
            </w:pPr>
          </w:p>
        </w:tc>
        <w:tc>
          <w:tcPr>
            <w:tcW w:w="1134" w:type="dxa"/>
            <w:vAlign w:val="bottom"/>
          </w:tcPr>
          <w:p w14:paraId="36ECE359" w14:textId="77777777" w:rsidR="000E7659" w:rsidRPr="00C921DE" w:rsidRDefault="000E7659" w:rsidP="000E7659">
            <w:pPr>
              <w:jc w:val="right"/>
              <w:rPr>
                <w:rFonts w:ascii="GHEA Grapalat" w:hAnsi="GHEA Grapalat"/>
                <w:sz w:val="18"/>
                <w:szCs w:val="18"/>
              </w:rPr>
            </w:pPr>
          </w:p>
        </w:tc>
        <w:tc>
          <w:tcPr>
            <w:tcW w:w="992" w:type="dxa"/>
            <w:vAlign w:val="bottom"/>
          </w:tcPr>
          <w:p w14:paraId="38DAA67F" w14:textId="77777777" w:rsidR="000E7659" w:rsidRPr="00C921DE" w:rsidRDefault="000E7659" w:rsidP="000E7659">
            <w:pPr>
              <w:jc w:val="right"/>
              <w:rPr>
                <w:rFonts w:ascii="GHEA Grapalat" w:hAnsi="GHEA Grapalat"/>
                <w:sz w:val="18"/>
                <w:szCs w:val="18"/>
              </w:rPr>
            </w:pPr>
          </w:p>
        </w:tc>
        <w:tc>
          <w:tcPr>
            <w:tcW w:w="1380" w:type="dxa"/>
            <w:vAlign w:val="bottom"/>
          </w:tcPr>
          <w:p w14:paraId="373235D2"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1C479168" w14:textId="77777777" w:rsidR="000E7659" w:rsidRPr="00C921DE" w:rsidRDefault="000E7659" w:rsidP="000E7659">
            <w:pPr>
              <w:jc w:val="right"/>
              <w:rPr>
                <w:rFonts w:ascii="GHEA Grapalat" w:hAnsi="GHEA Grapalat"/>
                <w:sz w:val="18"/>
                <w:szCs w:val="18"/>
              </w:rPr>
            </w:pPr>
          </w:p>
        </w:tc>
      </w:tr>
      <w:tr w:rsidR="000E7659" w:rsidRPr="00C921DE" w14:paraId="06761629" w14:textId="77777777" w:rsidTr="000E7659">
        <w:tc>
          <w:tcPr>
            <w:tcW w:w="4253" w:type="dxa"/>
            <w:vAlign w:val="bottom"/>
          </w:tcPr>
          <w:p w14:paraId="63F1EB4C"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Աշխատավարձ</w:t>
            </w:r>
          </w:p>
        </w:tc>
        <w:tc>
          <w:tcPr>
            <w:tcW w:w="1134" w:type="dxa"/>
            <w:vAlign w:val="bottom"/>
          </w:tcPr>
          <w:p w14:paraId="52DCAE95"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10.4</w:t>
            </w:r>
          </w:p>
        </w:tc>
        <w:tc>
          <w:tcPr>
            <w:tcW w:w="1134" w:type="dxa"/>
            <w:vAlign w:val="bottom"/>
          </w:tcPr>
          <w:p w14:paraId="7722659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10.3</w:t>
            </w:r>
          </w:p>
        </w:tc>
        <w:tc>
          <w:tcPr>
            <w:tcW w:w="992" w:type="dxa"/>
            <w:vAlign w:val="bottom"/>
          </w:tcPr>
          <w:p w14:paraId="7DA12FE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10.5</w:t>
            </w:r>
          </w:p>
        </w:tc>
        <w:tc>
          <w:tcPr>
            <w:tcW w:w="1380" w:type="dxa"/>
            <w:vAlign w:val="bottom"/>
          </w:tcPr>
          <w:p w14:paraId="2BB83C30"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55E9D3FB" w14:textId="77777777" w:rsidR="000E7659" w:rsidRPr="00C921DE" w:rsidRDefault="000E7659" w:rsidP="000E7659">
            <w:pPr>
              <w:jc w:val="right"/>
              <w:rPr>
                <w:rFonts w:ascii="GHEA Grapalat" w:hAnsi="GHEA Grapalat" w:cs="Calibri"/>
                <w:sz w:val="18"/>
                <w:szCs w:val="18"/>
              </w:rPr>
            </w:pPr>
          </w:p>
        </w:tc>
      </w:tr>
      <w:tr w:rsidR="000E7659" w:rsidRPr="00C921DE" w14:paraId="047690FA" w14:textId="77777777" w:rsidTr="000E7659">
        <w:tc>
          <w:tcPr>
            <w:tcW w:w="4253" w:type="dxa"/>
            <w:vAlign w:val="bottom"/>
          </w:tcPr>
          <w:p w14:paraId="7B3CCB6D"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Ծառայությունների և ապրանքների ձեռք բերում</w:t>
            </w:r>
          </w:p>
        </w:tc>
        <w:tc>
          <w:tcPr>
            <w:tcW w:w="1134" w:type="dxa"/>
            <w:vAlign w:val="bottom"/>
          </w:tcPr>
          <w:p w14:paraId="66551F10"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11.0</w:t>
            </w:r>
          </w:p>
        </w:tc>
        <w:tc>
          <w:tcPr>
            <w:tcW w:w="1134" w:type="dxa"/>
            <w:vAlign w:val="bottom"/>
          </w:tcPr>
          <w:p w14:paraId="6A959C6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9.3</w:t>
            </w:r>
          </w:p>
        </w:tc>
        <w:tc>
          <w:tcPr>
            <w:tcW w:w="992" w:type="dxa"/>
            <w:vAlign w:val="bottom"/>
          </w:tcPr>
          <w:p w14:paraId="089EE5D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9.2</w:t>
            </w:r>
          </w:p>
        </w:tc>
        <w:tc>
          <w:tcPr>
            <w:tcW w:w="1380" w:type="dxa"/>
            <w:vAlign w:val="bottom"/>
          </w:tcPr>
          <w:p w14:paraId="52E4B762"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2B5C069D" w14:textId="77777777" w:rsidR="000E7659" w:rsidRPr="00C921DE" w:rsidRDefault="000E7659" w:rsidP="000E7659">
            <w:pPr>
              <w:jc w:val="right"/>
              <w:rPr>
                <w:rFonts w:ascii="GHEA Grapalat" w:hAnsi="GHEA Grapalat" w:cs="Calibri"/>
                <w:sz w:val="18"/>
                <w:szCs w:val="18"/>
              </w:rPr>
            </w:pPr>
          </w:p>
        </w:tc>
      </w:tr>
      <w:tr w:rsidR="000E7659" w:rsidRPr="00C921DE" w14:paraId="537DAF71" w14:textId="77777777" w:rsidTr="000E7659">
        <w:tc>
          <w:tcPr>
            <w:tcW w:w="4253" w:type="dxa"/>
            <w:vAlign w:val="bottom"/>
          </w:tcPr>
          <w:p w14:paraId="53A4756D"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Տոկոսավճարներ</w:t>
            </w:r>
          </w:p>
        </w:tc>
        <w:tc>
          <w:tcPr>
            <w:tcW w:w="1134" w:type="dxa"/>
            <w:vAlign w:val="bottom"/>
          </w:tcPr>
          <w:p w14:paraId="6739AFAF"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10.6</w:t>
            </w:r>
          </w:p>
        </w:tc>
        <w:tc>
          <w:tcPr>
            <w:tcW w:w="1134" w:type="dxa"/>
            <w:vAlign w:val="bottom"/>
          </w:tcPr>
          <w:p w14:paraId="2B15CBA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12.0</w:t>
            </w:r>
          </w:p>
        </w:tc>
        <w:tc>
          <w:tcPr>
            <w:tcW w:w="992" w:type="dxa"/>
            <w:vAlign w:val="bottom"/>
          </w:tcPr>
          <w:p w14:paraId="7E32A1E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12.2</w:t>
            </w:r>
          </w:p>
        </w:tc>
        <w:tc>
          <w:tcPr>
            <w:tcW w:w="1380" w:type="dxa"/>
            <w:vAlign w:val="bottom"/>
          </w:tcPr>
          <w:p w14:paraId="777A0BC2"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20220099" w14:textId="77777777" w:rsidR="000E7659" w:rsidRPr="00C921DE" w:rsidRDefault="000E7659" w:rsidP="000E7659">
            <w:pPr>
              <w:jc w:val="right"/>
              <w:rPr>
                <w:rFonts w:ascii="GHEA Grapalat" w:hAnsi="GHEA Grapalat" w:cs="Calibri"/>
                <w:sz w:val="18"/>
                <w:szCs w:val="18"/>
              </w:rPr>
            </w:pPr>
          </w:p>
        </w:tc>
      </w:tr>
      <w:tr w:rsidR="000E7659" w:rsidRPr="00C921DE" w14:paraId="3233B5F3" w14:textId="77777777" w:rsidTr="000E7659">
        <w:tc>
          <w:tcPr>
            <w:tcW w:w="4253" w:type="dxa"/>
            <w:vAlign w:val="bottom"/>
          </w:tcPr>
          <w:p w14:paraId="17C0754B"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Սուբսիդիաներ</w:t>
            </w:r>
          </w:p>
        </w:tc>
        <w:tc>
          <w:tcPr>
            <w:tcW w:w="1134" w:type="dxa"/>
            <w:vAlign w:val="bottom"/>
          </w:tcPr>
          <w:p w14:paraId="4D607FA8"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8.1</w:t>
            </w:r>
          </w:p>
        </w:tc>
        <w:tc>
          <w:tcPr>
            <w:tcW w:w="1134" w:type="dxa"/>
            <w:vAlign w:val="bottom"/>
          </w:tcPr>
          <w:p w14:paraId="0A0E3FD4"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7.7</w:t>
            </w:r>
          </w:p>
        </w:tc>
        <w:tc>
          <w:tcPr>
            <w:tcW w:w="992" w:type="dxa"/>
            <w:vAlign w:val="bottom"/>
          </w:tcPr>
          <w:p w14:paraId="5FB35BCA"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7.9</w:t>
            </w:r>
          </w:p>
        </w:tc>
        <w:tc>
          <w:tcPr>
            <w:tcW w:w="1380" w:type="dxa"/>
            <w:vAlign w:val="bottom"/>
          </w:tcPr>
          <w:p w14:paraId="7ED541ED"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564F105D" w14:textId="77777777" w:rsidR="000E7659" w:rsidRPr="00C921DE" w:rsidRDefault="000E7659" w:rsidP="000E7659">
            <w:pPr>
              <w:jc w:val="right"/>
              <w:rPr>
                <w:rFonts w:ascii="GHEA Grapalat" w:hAnsi="GHEA Grapalat" w:cs="Calibri"/>
                <w:sz w:val="18"/>
                <w:szCs w:val="18"/>
              </w:rPr>
            </w:pPr>
          </w:p>
        </w:tc>
      </w:tr>
      <w:tr w:rsidR="000E7659" w:rsidRPr="00C921DE" w14:paraId="30521CDF" w14:textId="77777777" w:rsidTr="000E7659">
        <w:tc>
          <w:tcPr>
            <w:tcW w:w="4253" w:type="dxa"/>
            <w:vAlign w:val="bottom"/>
          </w:tcPr>
          <w:p w14:paraId="04D7EFEA"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Դրամաշնորհներ</w:t>
            </w:r>
          </w:p>
        </w:tc>
        <w:tc>
          <w:tcPr>
            <w:tcW w:w="1134" w:type="dxa"/>
            <w:vAlign w:val="bottom"/>
          </w:tcPr>
          <w:p w14:paraId="6B1BA62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12.8</w:t>
            </w:r>
          </w:p>
        </w:tc>
        <w:tc>
          <w:tcPr>
            <w:tcW w:w="1134" w:type="dxa"/>
            <w:vAlign w:val="bottom"/>
          </w:tcPr>
          <w:p w14:paraId="1EC2A860"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13.7</w:t>
            </w:r>
          </w:p>
        </w:tc>
        <w:tc>
          <w:tcPr>
            <w:tcW w:w="992" w:type="dxa"/>
            <w:vAlign w:val="bottom"/>
          </w:tcPr>
          <w:p w14:paraId="2CC21BF4"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13.5</w:t>
            </w:r>
          </w:p>
        </w:tc>
        <w:tc>
          <w:tcPr>
            <w:tcW w:w="1380" w:type="dxa"/>
            <w:vAlign w:val="bottom"/>
          </w:tcPr>
          <w:p w14:paraId="2DB73882"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68FF9709" w14:textId="77777777" w:rsidR="000E7659" w:rsidRPr="00C921DE" w:rsidRDefault="000E7659" w:rsidP="000E7659">
            <w:pPr>
              <w:jc w:val="right"/>
              <w:rPr>
                <w:rFonts w:ascii="GHEA Grapalat" w:hAnsi="GHEA Grapalat" w:cs="Calibri"/>
                <w:sz w:val="18"/>
                <w:szCs w:val="18"/>
              </w:rPr>
            </w:pPr>
          </w:p>
        </w:tc>
      </w:tr>
      <w:tr w:rsidR="000E7659" w:rsidRPr="00C921DE" w14:paraId="70160B8D" w14:textId="77777777" w:rsidTr="000E7659">
        <w:tc>
          <w:tcPr>
            <w:tcW w:w="4253" w:type="dxa"/>
            <w:vAlign w:val="bottom"/>
          </w:tcPr>
          <w:p w14:paraId="592A605E"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Սոցիալական նպաստներ և կենսաթոշակներ</w:t>
            </w:r>
          </w:p>
        </w:tc>
        <w:tc>
          <w:tcPr>
            <w:tcW w:w="1134" w:type="dxa"/>
            <w:vAlign w:val="bottom"/>
          </w:tcPr>
          <w:p w14:paraId="49BFC952"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32.9</w:t>
            </w:r>
          </w:p>
        </w:tc>
        <w:tc>
          <w:tcPr>
            <w:tcW w:w="1134" w:type="dxa"/>
            <w:vAlign w:val="bottom"/>
          </w:tcPr>
          <w:p w14:paraId="5D9B1A1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34.1</w:t>
            </w:r>
          </w:p>
        </w:tc>
        <w:tc>
          <w:tcPr>
            <w:tcW w:w="992" w:type="dxa"/>
            <w:vAlign w:val="bottom"/>
          </w:tcPr>
          <w:p w14:paraId="2244D340"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34.2</w:t>
            </w:r>
          </w:p>
        </w:tc>
        <w:tc>
          <w:tcPr>
            <w:tcW w:w="1380" w:type="dxa"/>
            <w:vAlign w:val="bottom"/>
          </w:tcPr>
          <w:p w14:paraId="4569117F"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6AD10768" w14:textId="77777777" w:rsidR="000E7659" w:rsidRPr="00C921DE" w:rsidRDefault="000E7659" w:rsidP="000E7659">
            <w:pPr>
              <w:jc w:val="right"/>
              <w:rPr>
                <w:rFonts w:ascii="GHEA Grapalat" w:hAnsi="GHEA Grapalat" w:cs="Calibri"/>
                <w:sz w:val="18"/>
                <w:szCs w:val="18"/>
              </w:rPr>
            </w:pPr>
          </w:p>
        </w:tc>
      </w:tr>
      <w:tr w:rsidR="000E7659" w:rsidRPr="00C921DE" w14:paraId="60577590" w14:textId="77777777" w:rsidTr="000E7659">
        <w:tc>
          <w:tcPr>
            <w:tcW w:w="4253" w:type="dxa"/>
            <w:vAlign w:val="bottom"/>
          </w:tcPr>
          <w:p w14:paraId="18C61A49"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Այլ ծախսեր</w:t>
            </w:r>
          </w:p>
        </w:tc>
        <w:tc>
          <w:tcPr>
            <w:tcW w:w="1134" w:type="dxa"/>
            <w:vAlign w:val="bottom"/>
          </w:tcPr>
          <w:p w14:paraId="02EB11F4"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14.1</w:t>
            </w:r>
          </w:p>
        </w:tc>
        <w:tc>
          <w:tcPr>
            <w:tcW w:w="1134" w:type="dxa"/>
            <w:vAlign w:val="bottom"/>
          </w:tcPr>
          <w:p w14:paraId="0F1C704C"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12.8</w:t>
            </w:r>
          </w:p>
        </w:tc>
        <w:tc>
          <w:tcPr>
            <w:tcW w:w="992" w:type="dxa"/>
            <w:vAlign w:val="bottom"/>
          </w:tcPr>
          <w:p w14:paraId="510CBEFF"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12.4</w:t>
            </w:r>
          </w:p>
        </w:tc>
        <w:tc>
          <w:tcPr>
            <w:tcW w:w="1380" w:type="dxa"/>
            <w:vAlign w:val="bottom"/>
          </w:tcPr>
          <w:p w14:paraId="71080DA2" w14:textId="77777777" w:rsidR="000E7659" w:rsidRPr="00C921DE" w:rsidRDefault="000E7659" w:rsidP="000E7659">
            <w:pPr>
              <w:jc w:val="right"/>
              <w:rPr>
                <w:rFonts w:ascii="GHEA Grapalat" w:hAnsi="GHEA Grapalat" w:cs="Calibri"/>
                <w:sz w:val="18"/>
                <w:szCs w:val="18"/>
              </w:rPr>
            </w:pPr>
          </w:p>
        </w:tc>
        <w:tc>
          <w:tcPr>
            <w:tcW w:w="1313" w:type="dxa"/>
            <w:vAlign w:val="bottom"/>
          </w:tcPr>
          <w:p w14:paraId="5CFFE740" w14:textId="77777777" w:rsidR="000E7659" w:rsidRPr="00C921DE" w:rsidRDefault="000E7659" w:rsidP="000E7659">
            <w:pPr>
              <w:jc w:val="right"/>
              <w:rPr>
                <w:rFonts w:ascii="GHEA Grapalat" w:hAnsi="GHEA Grapalat" w:cs="Calibri"/>
                <w:sz w:val="18"/>
                <w:szCs w:val="18"/>
              </w:rPr>
            </w:pPr>
          </w:p>
        </w:tc>
      </w:tr>
    </w:tbl>
    <w:p w14:paraId="1646040F" w14:textId="77777777" w:rsidR="000E7659" w:rsidRPr="00C921DE" w:rsidRDefault="000E7659" w:rsidP="000E7659">
      <w:pPr>
        <w:spacing w:line="360" w:lineRule="auto"/>
        <w:ind w:firstLine="567"/>
        <w:jc w:val="both"/>
        <w:rPr>
          <w:rFonts w:ascii="GHEA Grapalat" w:hAnsi="GHEA Grapalat" w:cs="GHEA Grapalat"/>
          <w:sz w:val="22"/>
          <w:szCs w:val="22"/>
        </w:rPr>
      </w:pPr>
    </w:p>
    <w:p w14:paraId="171678C3" w14:textId="2A59BD0A" w:rsidR="000E7659" w:rsidRPr="00C921DE" w:rsidRDefault="000E7659" w:rsidP="000E7659">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 համեմատ աշխատանքի վարձատրության ծախսերի աճը հիմնականում պայմանավորված է </w:t>
      </w:r>
      <w:r w:rsidR="003E513E" w:rsidRPr="00C921DE">
        <w:rPr>
          <w:rFonts w:ascii="GHEA Grapalat" w:hAnsi="GHEA Grapalat" w:cs="GHEA Grapalat"/>
          <w:sz w:val="22"/>
          <w:szCs w:val="22"/>
        </w:rPr>
        <w:t xml:space="preserve">պետական պաշտոն և պետական ծառայության պաշտոն զբաղեցնող անձանց բազային աշխատավարձի </w:t>
      </w:r>
      <w:r w:rsidR="003E513E" w:rsidRPr="00C921DE">
        <w:rPr>
          <w:rFonts w:ascii="GHEA Grapalat" w:hAnsi="GHEA Grapalat" w:cs="GHEA Grapalat"/>
          <w:sz w:val="22"/>
          <w:szCs w:val="22"/>
          <w:lang w:val="en-US"/>
        </w:rPr>
        <w:t>բարձրաց</w:t>
      </w:r>
      <w:r w:rsidR="003E513E" w:rsidRPr="00C921DE">
        <w:rPr>
          <w:rFonts w:ascii="GHEA Grapalat" w:hAnsi="GHEA Grapalat" w:cs="GHEA Grapalat"/>
          <w:sz w:val="22"/>
          <w:szCs w:val="22"/>
        </w:rPr>
        <w:t>մամբ</w:t>
      </w:r>
      <w:r w:rsidRPr="00C921DE">
        <w:rPr>
          <w:rFonts w:ascii="GHEA Grapalat" w:hAnsi="GHEA Grapalat" w:cs="GHEA Grapalat"/>
          <w:sz w:val="22"/>
          <w:szCs w:val="22"/>
          <w:lang w:val="en-US"/>
        </w:rPr>
        <w:t>,</w:t>
      </w:r>
      <w:r w:rsidRPr="00C921DE">
        <w:rPr>
          <w:rFonts w:ascii="GHEA Grapalat" w:hAnsi="GHEA Grapalat" w:cs="GHEA Grapalat"/>
          <w:sz w:val="22"/>
          <w:szCs w:val="22"/>
        </w:rPr>
        <w:t xml:space="preserve"> </w:t>
      </w:r>
      <w:r w:rsidR="003E513E" w:rsidRPr="00C921DE">
        <w:rPr>
          <w:rFonts w:ascii="GHEA Grapalat" w:hAnsi="GHEA Grapalat" w:cs="GHEA Grapalat"/>
          <w:sz w:val="22"/>
          <w:szCs w:val="22"/>
          <w:lang w:val="en-US"/>
        </w:rPr>
        <w:t xml:space="preserve">աշխատավարձերի </w:t>
      </w:r>
      <w:r w:rsidRPr="00C921DE">
        <w:rPr>
          <w:rFonts w:ascii="GHEA Grapalat" w:hAnsi="GHEA Grapalat" w:cs="GHEA Grapalat"/>
          <w:sz w:val="22"/>
          <w:szCs w:val="22"/>
        </w:rPr>
        <w:t xml:space="preserve">բնականոն աճով, ինչպես նաև որոշ մարմիններում հաստիքների ավելացմամբ: </w:t>
      </w:r>
    </w:p>
    <w:p w14:paraId="2104803A" w14:textId="616CFBDF" w:rsidR="0067457A" w:rsidRPr="00C921DE" w:rsidRDefault="000E7659" w:rsidP="0067457A">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Կառավարության պարտքի սպասարկման ծախսերի գծով հաշվետու ժամանակահատվածում արձանագրվել է 3 մլրդ դրամի խնայողություն</w:t>
      </w:r>
      <w:r w:rsidR="00924C7A" w:rsidRPr="00C921DE">
        <w:rPr>
          <w:rFonts w:ascii="GHEA Grapalat" w:hAnsi="GHEA Grapalat" w:cs="GHEA Grapalat"/>
          <w:sz w:val="22"/>
          <w:szCs w:val="22"/>
        </w:rPr>
        <w:t>, որ</w:t>
      </w:r>
      <w:r w:rsidR="00664CC0" w:rsidRPr="00C921DE">
        <w:rPr>
          <w:rFonts w:ascii="GHEA Grapalat" w:hAnsi="GHEA Grapalat" w:cs="GHEA Grapalat"/>
          <w:sz w:val="22"/>
          <w:szCs w:val="22"/>
        </w:rPr>
        <w:t>ն առաջացել է հիմնականում</w:t>
      </w:r>
      <w:r w:rsidR="00924C7A" w:rsidRPr="00C921DE">
        <w:rPr>
          <w:rFonts w:ascii="GHEA Grapalat" w:hAnsi="GHEA Grapalat" w:cs="GHEA Grapalat"/>
          <w:sz w:val="22"/>
          <w:szCs w:val="22"/>
        </w:rPr>
        <w:t xml:space="preserve"> արտարժութային պետական պարտատոմսերի սպասարկման գծով: </w:t>
      </w:r>
      <w:r w:rsidR="00664CC0" w:rsidRPr="00C921DE">
        <w:rPr>
          <w:rFonts w:ascii="GHEA Grapalat" w:hAnsi="GHEA Grapalat" w:cs="GHEA Grapalat"/>
          <w:sz w:val="22"/>
          <w:szCs w:val="22"/>
          <w:lang w:val="en-US"/>
        </w:rPr>
        <w:t>Վերջինս</w:t>
      </w:r>
      <w:r w:rsidR="008D09D0" w:rsidRPr="00C921DE">
        <w:rPr>
          <w:rFonts w:ascii="GHEA Grapalat" w:hAnsi="GHEA Grapalat" w:cs="GHEA Grapalat"/>
          <w:sz w:val="22"/>
          <w:szCs w:val="22"/>
        </w:rPr>
        <w:t xml:space="preserve"> պայմանավորված</w:t>
      </w:r>
      <w:r w:rsidR="00664CC0" w:rsidRPr="00C921DE">
        <w:rPr>
          <w:rFonts w:ascii="GHEA Grapalat" w:hAnsi="GHEA Grapalat" w:cs="GHEA Grapalat"/>
          <w:sz w:val="22"/>
          <w:szCs w:val="22"/>
          <w:lang w:val="en-US"/>
        </w:rPr>
        <w:t xml:space="preserve"> է</w:t>
      </w:r>
      <w:r w:rsidR="008D09D0" w:rsidRPr="00C921DE">
        <w:rPr>
          <w:rFonts w:ascii="GHEA Grapalat" w:hAnsi="GHEA Grapalat" w:cs="GHEA Grapalat"/>
          <w:sz w:val="22"/>
          <w:szCs w:val="22"/>
        </w:rPr>
        <w:t xml:space="preserve"> ԱՄՆ դոլարի նկատմամբ ՀՀ դրամի կանխատեսումային և փաստացի ձևավորված փոխարժեքների տարբերությամբ:</w:t>
      </w:r>
      <w:r w:rsidR="0067457A" w:rsidRPr="00C921DE">
        <w:rPr>
          <w:rFonts w:ascii="GHEA Grapalat" w:hAnsi="GHEA Grapalat" w:cs="GHEA Grapalat"/>
          <w:sz w:val="22"/>
          <w:szCs w:val="22"/>
          <w:lang w:val="en-US"/>
        </w:rPr>
        <w:t xml:space="preserve"> </w:t>
      </w:r>
      <w:r w:rsidR="0067457A" w:rsidRPr="00C921DE">
        <w:rPr>
          <w:rFonts w:ascii="GHEA Grapalat" w:hAnsi="GHEA Grapalat" w:cs="GHEA Grapalat"/>
          <w:sz w:val="22"/>
          <w:szCs w:val="22"/>
        </w:rPr>
        <w:t>2023 թվականի ընթացքում կիրառված ԱՄՆ դոլար / ՀՀ դրամ միջին կշռված փաստացի փոխարժեքը կազմել է 390.55, մինչդեռ 2023 թվականին պետական բյուջեի ծրագրավորման ընթացքում արտարժութային մուտքերի և ելքերի փոխարկման համար կիրառվել է 395.19 փոխարժեքը (01.11.2022թ. դրությամբ ՀՀ կենտրոնական բանկի կողմից հրապարակված միջին փոխարժեք):</w:t>
      </w:r>
    </w:p>
    <w:p w14:paraId="61034B79" w14:textId="77777777" w:rsidR="008D09D0" w:rsidRPr="00C921DE" w:rsidRDefault="008D09D0" w:rsidP="008D09D0">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Հաշվի առնելով այն, որ արտարժութային պետական պարտատոմսերի սպասարկման գծով արժեկտրոնների վճարման պահին անհնար է տարանջատել արտարժութային պետական պարտատոմսերն ըստ ռեզիդենտության և ըստ այդմ դասակարգել արտարժութային պետական պարտատոմսերի գծով տոկոսավճարներն ըստ ներքին և արտաքին տոկոսավճարների՝ այդ տոկոսավճարներն ամբողջությամբ արտացոլվում են արտաքին տոկոսավճարներում:</w:t>
      </w:r>
    </w:p>
    <w:p w14:paraId="542384FD" w14:textId="3D36EB3B" w:rsidR="000E7659" w:rsidRPr="00C921DE" w:rsidRDefault="0064483B" w:rsidP="000E7659">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Արտաքին վարկերի</w:t>
      </w:r>
      <w:r w:rsidR="00C37595" w:rsidRPr="00C921DE">
        <w:rPr>
          <w:rFonts w:ascii="GHEA Grapalat" w:hAnsi="GHEA Grapalat" w:cs="GHEA Grapalat"/>
          <w:sz w:val="22"/>
          <w:szCs w:val="22"/>
          <w:lang w:val="en-US"/>
        </w:rPr>
        <w:t xml:space="preserve"> սպասարկման գծով </w:t>
      </w:r>
      <w:r w:rsidR="00664CC0" w:rsidRPr="00C921DE">
        <w:rPr>
          <w:rFonts w:ascii="GHEA Grapalat" w:hAnsi="GHEA Grapalat" w:cs="GHEA Grapalat"/>
          <w:sz w:val="22"/>
          <w:szCs w:val="22"/>
          <w:lang w:val="en-US"/>
        </w:rPr>
        <w:t>խնայողությունը</w:t>
      </w:r>
      <w:r w:rsidR="000E7659" w:rsidRPr="00C921DE">
        <w:rPr>
          <w:rFonts w:ascii="GHEA Grapalat" w:hAnsi="GHEA Grapalat" w:cs="GHEA Grapalat"/>
          <w:sz w:val="22"/>
          <w:szCs w:val="22"/>
        </w:rPr>
        <w:t xml:space="preserve"> պայմանավորված է եղել հետևյալ գործոններով.</w:t>
      </w:r>
    </w:p>
    <w:p w14:paraId="71B1C7EE" w14:textId="77777777" w:rsidR="000E7659" w:rsidRPr="00C921DE" w:rsidRDefault="000E7659" w:rsidP="00D9331C">
      <w:pPr>
        <w:pStyle w:val="ListParagraph"/>
        <w:numPr>
          <w:ilvl w:val="0"/>
          <w:numId w:val="33"/>
        </w:numPr>
        <w:tabs>
          <w:tab w:val="left" w:pos="851"/>
        </w:tabs>
        <w:spacing w:line="360" w:lineRule="auto"/>
        <w:ind w:left="567" w:firstLine="0"/>
        <w:jc w:val="both"/>
        <w:rPr>
          <w:rFonts w:ascii="GHEA Grapalat" w:hAnsi="GHEA Grapalat" w:cs="GHEA Grapalat"/>
        </w:rPr>
      </w:pPr>
      <w:r w:rsidRPr="00C921DE">
        <w:rPr>
          <w:rFonts w:ascii="GHEA Grapalat" w:hAnsi="GHEA Grapalat" w:cs="Sylfaen"/>
          <w:color w:val="000000"/>
        </w:rPr>
        <w:t>6</w:t>
      </w:r>
      <w:r w:rsidRPr="00C921DE">
        <w:rPr>
          <w:rFonts w:ascii="GHEA Grapalat" w:hAnsi="GHEA Grapalat" w:cs="GHEA Grapalat"/>
        </w:rPr>
        <w:t>-ամսյա EURIBOR, SOFR և SDR տոկոսադրույքի կանխատեսումային և 2023</w:t>
      </w:r>
      <w:r w:rsidRPr="00C921DE">
        <w:rPr>
          <w:rFonts w:ascii="GHEA Grapalat" w:hAnsi="GHEA Grapalat" w:cs="GHEA Grapalat"/>
          <w:lang w:val="hy-AM"/>
        </w:rPr>
        <w:t xml:space="preserve"> </w:t>
      </w:r>
      <w:r w:rsidRPr="00C921DE">
        <w:rPr>
          <w:rFonts w:ascii="GHEA Grapalat" w:hAnsi="GHEA Grapalat" w:cs="GHEA Grapalat"/>
        </w:rPr>
        <w:t>թ</w:t>
      </w:r>
      <w:r w:rsidRPr="00C921DE">
        <w:rPr>
          <w:rFonts w:ascii="GHEA Grapalat" w:hAnsi="GHEA Grapalat" w:cs="GHEA Grapalat"/>
          <w:lang w:val="hy-AM"/>
        </w:rPr>
        <w:t>վականի</w:t>
      </w:r>
      <w:r w:rsidRPr="00C921DE">
        <w:rPr>
          <w:rFonts w:ascii="GHEA Grapalat" w:hAnsi="GHEA Grapalat" w:cs="GHEA Grapalat"/>
        </w:rPr>
        <w:t xml:space="preserve"> վճարումների համար կիրառված փաստացի դրույքաչափերի տարբերությամբ,</w:t>
      </w:r>
    </w:p>
    <w:p w14:paraId="4C4FF67D" w14:textId="77777777" w:rsidR="000E7659" w:rsidRPr="00C921DE" w:rsidRDefault="000E7659" w:rsidP="00D9331C">
      <w:pPr>
        <w:pStyle w:val="ListParagraph"/>
        <w:numPr>
          <w:ilvl w:val="0"/>
          <w:numId w:val="33"/>
        </w:numPr>
        <w:tabs>
          <w:tab w:val="left" w:pos="851"/>
        </w:tabs>
        <w:spacing w:line="360" w:lineRule="auto"/>
        <w:ind w:left="567" w:firstLine="0"/>
        <w:jc w:val="both"/>
        <w:rPr>
          <w:rFonts w:ascii="GHEA Grapalat" w:hAnsi="GHEA Grapalat" w:cs="GHEA Grapalat"/>
        </w:rPr>
      </w:pPr>
      <w:r w:rsidRPr="00C921DE">
        <w:rPr>
          <w:rFonts w:ascii="GHEA Grapalat" w:hAnsi="GHEA Grapalat" w:cs="GHEA Grapalat"/>
        </w:rPr>
        <w:lastRenderedPageBreak/>
        <w:t>2023</w:t>
      </w:r>
      <w:r w:rsidRPr="00C921DE">
        <w:rPr>
          <w:rFonts w:ascii="GHEA Grapalat" w:hAnsi="GHEA Grapalat" w:cs="GHEA Grapalat"/>
          <w:lang w:val="hy-AM"/>
        </w:rPr>
        <w:t xml:space="preserve"> </w:t>
      </w:r>
      <w:r w:rsidRPr="00C921DE">
        <w:rPr>
          <w:rFonts w:ascii="GHEA Grapalat" w:hAnsi="GHEA Grapalat" w:cs="GHEA Grapalat"/>
        </w:rPr>
        <w:t>թ</w:t>
      </w:r>
      <w:r w:rsidRPr="00C921DE">
        <w:rPr>
          <w:rFonts w:ascii="GHEA Grapalat" w:hAnsi="GHEA Grapalat" w:cs="GHEA Grapalat"/>
          <w:lang w:val="hy-AM"/>
        </w:rPr>
        <w:t>վականի</w:t>
      </w:r>
      <w:r w:rsidRPr="00C921DE">
        <w:rPr>
          <w:rFonts w:ascii="GHEA Grapalat" w:hAnsi="GHEA Grapalat" w:cs="GHEA Grapalat"/>
        </w:rPr>
        <w:t xml:space="preserve"> ընթացքում մի շարք վարկերի գծով մասհանումների պլանային ցուցանիշի էական թերակատարմամբ,</w:t>
      </w:r>
    </w:p>
    <w:p w14:paraId="32AFEB28" w14:textId="3E0E5C87" w:rsidR="000E7659" w:rsidRPr="00C921DE" w:rsidRDefault="000E7659" w:rsidP="00D9331C">
      <w:pPr>
        <w:pStyle w:val="ListParagraph"/>
        <w:numPr>
          <w:ilvl w:val="0"/>
          <w:numId w:val="33"/>
        </w:numPr>
        <w:tabs>
          <w:tab w:val="left" w:pos="851"/>
        </w:tabs>
        <w:spacing w:line="360" w:lineRule="auto"/>
        <w:ind w:left="567" w:firstLine="0"/>
        <w:jc w:val="both"/>
        <w:rPr>
          <w:rFonts w:ascii="GHEA Grapalat" w:hAnsi="GHEA Grapalat" w:cs="GHEA Grapalat"/>
        </w:rPr>
      </w:pPr>
      <w:r w:rsidRPr="00C921DE">
        <w:rPr>
          <w:rFonts w:ascii="GHEA Grapalat" w:hAnsi="GHEA Grapalat" w:cs="GHEA Grapalat"/>
        </w:rPr>
        <w:t>SDR-ի</w:t>
      </w:r>
      <w:r w:rsidR="00E73373" w:rsidRPr="00C921DE">
        <w:rPr>
          <w:rFonts w:ascii="GHEA Grapalat" w:hAnsi="GHEA Grapalat" w:cs="GHEA Grapalat"/>
          <w:lang w:val="hy-AM"/>
        </w:rPr>
        <w:t>՝</w:t>
      </w:r>
      <w:r w:rsidRPr="00C921DE">
        <w:rPr>
          <w:rFonts w:ascii="GHEA Grapalat" w:hAnsi="GHEA Grapalat" w:cs="GHEA Grapalat"/>
        </w:rPr>
        <w:t xml:space="preserve"> ԱՄՆ դոլարի նկատմամբ կանխատեսումային և փաստացի փոխարժեքների տարբերությամբ,</w:t>
      </w:r>
    </w:p>
    <w:p w14:paraId="21DD3DE4" w14:textId="77777777" w:rsidR="000E7659" w:rsidRPr="00C921DE" w:rsidRDefault="000E7659" w:rsidP="00D9331C">
      <w:pPr>
        <w:pStyle w:val="ListParagraph"/>
        <w:numPr>
          <w:ilvl w:val="0"/>
          <w:numId w:val="33"/>
        </w:numPr>
        <w:tabs>
          <w:tab w:val="left" w:pos="851"/>
        </w:tabs>
        <w:spacing w:after="0" w:line="360" w:lineRule="auto"/>
        <w:ind w:left="567" w:firstLine="0"/>
        <w:jc w:val="both"/>
        <w:rPr>
          <w:rFonts w:ascii="GHEA Grapalat" w:hAnsi="GHEA Grapalat" w:cs="GHEA Grapalat"/>
        </w:rPr>
      </w:pPr>
      <w:r w:rsidRPr="00C921DE">
        <w:rPr>
          <w:rFonts w:ascii="GHEA Grapalat" w:hAnsi="GHEA Grapalat" w:cs="GHEA Grapalat"/>
        </w:rPr>
        <w:t xml:space="preserve">արտարժույթների նկատմամբ ՀՀ դրամի կանխատեսումային և փաստացի փոխարժեքների տարբերությամբ: </w:t>
      </w:r>
    </w:p>
    <w:p w14:paraId="3F9C1DEF" w14:textId="48899B15" w:rsidR="000E7659" w:rsidRPr="00C921DE" w:rsidRDefault="000E7659" w:rsidP="00E73373">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Պետական գանձապետական պարտատոմսերի սպասարկման գծով</w:t>
      </w:r>
      <w:r w:rsidR="00CD731B" w:rsidRPr="00C921DE">
        <w:rPr>
          <w:rFonts w:ascii="GHEA Grapalat" w:hAnsi="GHEA Grapalat" w:cs="GHEA Grapalat"/>
          <w:sz w:val="22"/>
          <w:szCs w:val="22"/>
          <w:lang w:val="en-US"/>
        </w:rPr>
        <w:t xml:space="preserve"> </w:t>
      </w:r>
      <w:r w:rsidR="00127EB4" w:rsidRPr="00C921DE">
        <w:rPr>
          <w:rFonts w:ascii="GHEA Grapalat" w:hAnsi="GHEA Grapalat" w:cs="GHEA Grapalat"/>
          <w:sz w:val="22"/>
          <w:szCs w:val="22"/>
          <w:lang w:val="en-US"/>
        </w:rPr>
        <w:t>խնայողությունը</w:t>
      </w:r>
      <w:r w:rsidRPr="00C921DE">
        <w:rPr>
          <w:rFonts w:ascii="GHEA Grapalat" w:hAnsi="GHEA Grapalat" w:cs="GHEA Grapalat"/>
          <w:sz w:val="22"/>
          <w:szCs w:val="22"/>
        </w:rPr>
        <w:t xml:space="preserve"> պայմանավորված է եղել նախատեսված հետգնումների չիրականացմամբ և հունվար ու հուլիս ամիսներին 10 տարի մարման ժամկետով երկարաժամկետ պարտատոմս</w:t>
      </w:r>
      <w:r w:rsidR="00CE639A" w:rsidRPr="00C921DE">
        <w:rPr>
          <w:rFonts w:ascii="GHEA Grapalat" w:hAnsi="GHEA Grapalat" w:cs="GHEA Grapalat"/>
          <w:sz w:val="22"/>
          <w:szCs w:val="22"/>
          <w:lang w:val="en-US"/>
        </w:rPr>
        <w:t>եր</w:t>
      </w:r>
      <w:r w:rsidRPr="00C921DE">
        <w:rPr>
          <w:rFonts w:ascii="GHEA Grapalat" w:hAnsi="GHEA Grapalat" w:cs="GHEA Grapalat"/>
          <w:sz w:val="22"/>
          <w:szCs w:val="22"/>
        </w:rPr>
        <w:t xml:space="preserve">ի թերտեղաբաշխմամբ: </w:t>
      </w:r>
    </w:p>
    <w:p w14:paraId="022F3F2D" w14:textId="79087849" w:rsidR="00FE44C1" w:rsidRPr="00C921DE" w:rsidRDefault="00FE44C1" w:rsidP="00E73373">
      <w:pPr>
        <w:spacing w:line="360" w:lineRule="auto"/>
        <w:ind w:firstLine="567"/>
        <w:jc w:val="both"/>
        <w:rPr>
          <w:rFonts w:ascii="GHEA Grapalat" w:hAnsi="GHEA Grapalat" w:cs="GHEA Grapalat"/>
          <w:sz w:val="22"/>
          <w:szCs w:val="22"/>
        </w:rPr>
      </w:pPr>
    </w:p>
    <w:p w14:paraId="07CCAC0B" w14:textId="77777777" w:rsidR="00FE44C1" w:rsidRPr="00C921DE" w:rsidRDefault="00FE44C1" w:rsidP="00FE44C1">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Կառավարության պարտքի սպասարկման ծախսերը (մլրդ դրամ)</w:t>
      </w:r>
    </w:p>
    <w:tbl>
      <w:tblPr>
        <w:tblW w:w="9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2977"/>
        <w:gridCol w:w="1276"/>
        <w:gridCol w:w="1417"/>
        <w:gridCol w:w="1276"/>
        <w:gridCol w:w="1401"/>
        <w:gridCol w:w="1350"/>
      </w:tblGrid>
      <w:tr w:rsidR="00FE44C1" w:rsidRPr="00C921DE" w14:paraId="3E9361E7" w14:textId="77777777" w:rsidTr="009B10DB">
        <w:trPr>
          <w:trHeight w:val="1425"/>
        </w:trPr>
        <w:tc>
          <w:tcPr>
            <w:tcW w:w="2977" w:type="dxa"/>
            <w:noWrap/>
            <w:vAlign w:val="bottom"/>
          </w:tcPr>
          <w:p w14:paraId="51F0D8D8" w14:textId="77777777" w:rsidR="00FE44C1" w:rsidRPr="00C921DE" w:rsidRDefault="00FE44C1" w:rsidP="009B10DB">
            <w:pPr>
              <w:rPr>
                <w:rFonts w:ascii="GHEA Grapalat" w:hAnsi="GHEA Grapalat" w:cs="Calibri"/>
                <w:sz w:val="18"/>
                <w:szCs w:val="18"/>
              </w:rPr>
            </w:pPr>
            <w:r w:rsidRPr="00C921DE">
              <w:rPr>
                <w:rFonts w:ascii="Courier New" w:hAnsi="Courier New" w:cs="Courier New"/>
                <w:sz w:val="18"/>
                <w:szCs w:val="18"/>
              </w:rPr>
              <w:t> </w:t>
            </w:r>
          </w:p>
        </w:tc>
        <w:tc>
          <w:tcPr>
            <w:tcW w:w="1276" w:type="dxa"/>
            <w:shd w:val="clear" w:color="auto" w:fill="FFFFFF"/>
          </w:tcPr>
          <w:p w14:paraId="1FBBAED0" w14:textId="77777777" w:rsidR="00FE44C1" w:rsidRPr="00C921DE" w:rsidRDefault="00FE44C1" w:rsidP="009B10DB">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417" w:type="dxa"/>
            <w:shd w:val="clear" w:color="auto" w:fill="FFFFFF"/>
          </w:tcPr>
          <w:p w14:paraId="7E2E1AF4" w14:textId="77777777" w:rsidR="00FE44C1" w:rsidRPr="00C921DE" w:rsidRDefault="00FE44C1" w:rsidP="009B10DB">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ճշտված ծրագիր</w:t>
            </w:r>
          </w:p>
        </w:tc>
        <w:tc>
          <w:tcPr>
            <w:tcW w:w="1276" w:type="dxa"/>
            <w:shd w:val="clear" w:color="auto" w:fill="FFFFFF"/>
          </w:tcPr>
          <w:p w14:paraId="49CD0816" w14:textId="77777777" w:rsidR="00FE44C1" w:rsidRPr="00C921DE" w:rsidRDefault="00FE44C1" w:rsidP="009B10DB">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c>
          <w:tcPr>
            <w:tcW w:w="1401" w:type="dxa"/>
            <w:shd w:val="clear" w:color="auto" w:fill="FFFFFF"/>
          </w:tcPr>
          <w:p w14:paraId="59BC2129" w14:textId="77777777" w:rsidR="00FE44C1" w:rsidRPr="00C921DE" w:rsidRDefault="00FE44C1" w:rsidP="009B10DB">
            <w:pPr>
              <w:jc w:val="center"/>
              <w:rPr>
                <w:rFonts w:ascii="GHEA Grapalat" w:hAnsi="GHEA Grapalat" w:cs="Calibri"/>
                <w:b/>
                <w:bCs/>
                <w:sz w:val="18"/>
                <w:szCs w:val="18"/>
              </w:rPr>
            </w:pPr>
            <w:r w:rsidRPr="00C921DE">
              <w:rPr>
                <w:rFonts w:ascii="GHEA Grapalat" w:hAnsi="GHEA Grapalat" w:cs="Calibri"/>
                <w:b/>
                <w:bCs/>
                <w:sz w:val="18"/>
                <w:szCs w:val="18"/>
              </w:rPr>
              <w:t>Կատարո-ղական</w:t>
            </w:r>
            <w:r w:rsidRPr="00C921DE">
              <w:rPr>
                <w:rFonts w:ascii="GHEA Grapalat" w:hAnsi="GHEA Grapalat" w:cs="Calibri"/>
                <w:b/>
                <w:bCs/>
                <w:sz w:val="18"/>
                <w:szCs w:val="18"/>
                <w:lang w:val="en-US"/>
              </w:rPr>
              <w:t>ը</w:t>
            </w:r>
            <w:r w:rsidRPr="00C921DE">
              <w:rPr>
                <w:rFonts w:ascii="GHEA Grapalat" w:hAnsi="GHEA Grapalat" w:cs="Calibri"/>
                <w:b/>
                <w:bCs/>
                <w:sz w:val="18"/>
                <w:szCs w:val="18"/>
              </w:rPr>
              <w:t xml:space="preserve"> ճշտված </w:t>
            </w:r>
            <w:r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350" w:type="dxa"/>
            <w:shd w:val="clear" w:color="auto" w:fill="FFFFFF"/>
          </w:tcPr>
          <w:p w14:paraId="215114B0" w14:textId="77777777" w:rsidR="00FE44C1" w:rsidRPr="00C921DE" w:rsidRDefault="00FE44C1" w:rsidP="009B10DB">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w:t>
            </w:r>
            <w:r w:rsidRPr="00C921DE">
              <w:rPr>
                <w:rFonts w:ascii="GHEA Grapalat" w:hAnsi="GHEA Grapalat" w:cs="Calibri"/>
                <w:b/>
                <w:bCs/>
                <w:sz w:val="18"/>
                <w:szCs w:val="18"/>
                <w:lang w:val="en-US"/>
              </w:rPr>
              <w:t xml:space="preserve">. </w:t>
            </w: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FE44C1" w:rsidRPr="00C921DE" w14:paraId="1DD90A61" w14:textId="77777777" w:rsidTr="009B10DB">
        <w:trPr>
          <w:trHeight w:val="140"/>
        </w:trPr>
        <w:tc>
          <w:tcPr>
            <w:tcW w:w="2977" w:type="dxa"/>
            <w:noWrap/>
            <w:vAlign w:val="bottom"/>
          </w:tcPr>
          <w:p w14:paraId="371FBD13" w14:textId="77777777" w:rsidR="00FE44C1" w:rsidRPr="00C921DE" w:rsidRDefault="00FE44C1" w:rsidP="009B10DB">
            <w:pPr>
              <w:rPr>
                <w:rFonts w:ascii="GHEA Grapalat" w:hAnsi="GHEA Grapalat" w:cs="Calibri"/>
                <w:b/>
                <w:bCs/>
                <w:sz w:val="18"/>
                <w:szCs w:val="18"/>
              </w:rPr>
            </w:pPr>
            <w:r w:rsidRPr="00C921DE">
              <w:rPr>
                <w:rFonts w:ascii="GHEA Grapalat" w:hAnsi="GHEA Grapalat"/>
                <w:b/>
                <w:sz w:val="18"/>
                <w:szCs w:val="18"/>
              </w:rPr>
              <w:t>Տոկոսավճարներ</w:t>
            </w:r>
          </w:p>
        </w:tc>
        <w:tc>
          <w:tcPr>
            <w:tcW w:w="1276" w:type="dxa"/>
            <w:noWrap/>
            <w:vAlign w:val="bottom"/>
          </w:tcPr>
          <w:p w14:paraId="57A559CB" w14:textId="77777777" w:rsidR="00FE44C1" w:rsidRPr="00C921DE" w:rsidRDefault="00FE44C1" w:rsidP="009B10DB">
            <w:pPr>
              <w:jc w:val="right"/>
              <w:rPr>
                <w:rFonts w:ascii="GHEA Grapalat" w:hAnsi="GHEA Grapalat" w:cs="Calibri"/>
                <w:b/>
                <w:sz w:val="18"/>
                <w:szCs w:val="18"/>
              </w:rPr>
            </w:pPr>
            <w:r w:rsidRPr="00C921DE">
              <w:rPr>
                <w:rFonts w:ascii="GHEA Grapalat" w:hAnsi="GHEA Grapalat" w:cs="Calibri"/>
                <w:b/>
                <w:sz w:val="18"/>
                <w:szCs w:val="18"/>
              </w:rPr>
              <w:t>198.3</w:t>
            </w:r>
          </w:p>
        </w:tc>
        <w:tc>
          <w:tcPr>
            <w:tcW w:w="1417" w:type="dxa"/>
            <w:noWrap/>
            <w:vAlign w:val="bottom"/>
          </w:tcPr>
          <w:p w14:paraId="7D729D0E" w14:textId="77777777" w:rsidR="00FE44C1" w:rsidRPr="00C921DE" w:rsidRDefault="00FE44C1" w:rsidP="009B10DB">
            <w:pPr>
              <w:jc w:val="right"/>
              <w:rPr>
                <w:rFonts w:ascii="GHEA Grapalat" w:hAnsi="GHEA Grapalat" w:cs="Calibri"/>
                <w:b/>
                <w:sz w:val="18"/>
                <w:szCs w:val="18"/>
                <w:lang w:val="en-US"/>
              </w:rPr>
            </w:pPr>
            <w:r w:rsidRPr="00C921DE">
              <w:rPr>
                <w:rFonts w:ascii="GHEA Grapalat" w:hAnsi="GHEA Grapalat" w:cs="Calibri"/>
                <w:b/>
                <w:sz w:val="18"/>
                <w:szCs w:val="18"/>
                <w:lang w:val="en-US"/>
              </w:rPr>
              <w:t>256.4</w:t>
            </w:r>
          </w:p>
        </w:tc>
        <w:tc>
          <w:tcPr>
            <w:tcW w:w="1276" w:type="dxa"/>
            <w:noWrap/>
            <w:vAlign w:val="bottom"/>
          </w:tcPr>
          <w:p w14:paraId="310019E6" w14:textId="77777777" w:rsidR="00FE44C1" w:rsidRPr="00C921DE" w:rsidRDefault="00FE44C1" w:rsidP="009B10DB">
            <w:pPr>
              <w:jc w:val="right"/>
              <w:rPr>
                <w:rFonts w:ascii="GHEA Grapalat" w:hAnsi="GHEA Grapalat" w:cs="Calibri"/>
                <w:b/>
                <w:sz w:val="18"/>
                <w:szCs w:val="18"/>
                <w:lang w:val="en-US"/>
              </w:rPr>
            </w:pPr>
            <w:r w:rsidRPr="00C921DE">
              <w:rPr>
                <w:rFonts w:ascii="GHEA Grapalat" w:hAnsi="GHEA Grapalat" w:cs="Calibri"/>
                <w:b/>
                <w:sz w:val="18"/>
                <w:szCs w:val="18"/>
                <w:lang w:val="en-US"/>
              </w:rPr>
              <w:t>253.4</w:t>
            </w:r>
          </w:p>
        </w:tc>
        <w:tc>
          <w:tcPr>
            <w:tcW w:w="1401" w:type="dxa"/>
            <w:vAlign w:val="bottom"/>
          </w:tcPr>
          <w:p w14:paraId="6BEE511D" w14:textId="77777777" w:rsidR="00FE44C1" w:rsidRPr="00C921DE" w:rsidRDefault="00FE44C1" w:rsidP="009B10DB">
            <w:pPr>
              <w:jc w:val="right"/>
              <w:rPr>
                <w:rFonts w:ascii="GHEA Grapalat" w:hAnsi="GHEA Grapalat" w:cs="Calibri"/>
                <w:b/>
                <w:sz w:val="18"/>
                <w:szCs w:val="18"/>
                <w:lang w:val="en-US"/>
              </w:rPr>
            </w:pPr>
            <w:r w:rsidRPr="00C921DE">
              <w:rPr>
                <w:rFonts w:ascii="GHEA Grapalat" w:hAnsi="GHEA Grapalat" w:cs="Calibri"/>
                <w:b/>
                <w:sz w:val="18"/>
                <w:szCs w:val="18"/>
                <w:lang w:val="en-US"/>
              </w:rPr>
              <w:t>98.8</w:t>
            </w:r>
          </w:p>
        </w:tc>
        <w:tc>
          <w:tcPr>
            <w:tcW w:w="1350" w:type="dxa"/>
            <w:noWrap/>
            <w:vAlign w:val="bottom"/>
          </w:tcPr>
          <w:p w14:paraId="30AAA718" w14:textId="77777777" w:rsidR="00FE44C1" w:rsidRPr="00C921DE" w:rsidRDefault="00FE44C1" w:rsidP="009B10DB">
            <w:pPr>
              <w:jc w:val="right"/>
              <w:rPr>
                <w:rFonts w:ascii="GHEA Grapalat" w:hAnsi="GHEA Grapalat" w:cs="Calibri"/>
                <w:b/>
                <w:sz w:val="18"/>
                <w:szCs w:val="18"/>
                <w:lang w:val="en-US"/>
              </w:rPr>
            </w:pPr>
            <w:r w:rsidRPr="00C921DE">
              <w:rPr>
                <w:rFonts w:ascii="GHEA Grapalat" w:hAnsi="GHEA Grapalat" w:cs="Calibri"/>
                <w:b/>
                <w:sz w:val="18"/>
                <w:szCs w:val="18"/>
                <w:lang w:val="en-US"/>
              </w:rPr>
              <w:t>127.8</w:t>
            </w:r>
          </w:p>
        </w:tc>
      </w:tr>
      <w:tr w:rsidR="00FE44C1" w:rsidRPr="00C921DE" w14:paraId="6BB1CEE5" w14:textId="77777777" w:rsidTr="009B10DB">
        <w:trPr>
          <w:trHeight w:val="187"/>
        </w:trPr>
        <w:tc>
          <w:tcPr>
            <w:tcW w:w="2977" w:type="dxa"/>
            <w:vAlign w:val="bottom"/>
          </w:tcPr>
          <w:p w14:paraId="2A6FE9BB" w14:textId="4C73CA55" w:rsidR="00FE44C1" w:rsidRPr="00C921DE" w:rsidRDefault="00FE44C1" w:rsidP="001217C2">
            <w:pPr>
              <w:ind w:left="57"/>
              <w:rPr>
                <w:rFonts w:ascii="GHEA Grapalat" w:hAnsi="GHEA Grapalat" w:cs="Calibri"/>
                <w:sz w:val="18"/>
                <w:szCs w:val="18"/>
              </w:rPr>
            </w:pPr>
            <w:r w:rsidRPr="00C921DE">
              <w:rPr>
                <w:rFonts w:ascii="GHEA Grapalat" w:hAnsi="GHEA Grapalat"/>
                <w:sz w:val="18"/>
                <w:szCs w:val="18"/>
              </w:rPr>
              <w:t>Ներքին տոկոսավճարներ</w:t>
            </w:r>
          </w:p>
        </w:tc>
        <w:tc>
          <w:tcPr>
            <w:tcW w:w="1276" w:type="dxa"/>
            <w:noWrap/>
            <w:vAlign w:val="bottom"/>
          </w:tcPr>
          <w:p w14:paraId="22667125"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1</w:t>
            </w:r>
            <w:r w:rsidRPr="00C921DE">
              <w:rPr>
                <w:rFonts w:ascii="GHEA Grapalat" w:hAnsi="GHEA Grapalat" w:cs="Calibri"/>
                <w:sz w:val="18"/>
                <w:szCs w:val="18"/>
                <w:lang w:val="en-US"/>
              </w:rPr>
              <w:t>25.9</w:t>
            </w:r>
          </w:p>
        </w:tc>
        <w:tc>
          <w:tcPr>
            <w:tcW w:w="1417" w:type="dxa"/>
            <w:noWrap/>
            <w:vAlign w:val="bottom"/>
          </w:tcPr>
          <w:p w14:paraId="4F0F537C"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15</w:t>
            </w:r>
            <w:r w:rsidRPr="00C921DE">
              <w:rPr>
                <w:rFonts w:ascii="GHEA Grapalat" w:hAnsi="GHEA Grapalat" w:cs="Calibri"/>
                <w:sz w:val="18"/>
                <w:szCs w:val="18"/>
                <w:lang w:val="en-US"/>
              </w:rPr>
              <w:t>7</w:t>
            </w:r>
            <w:r w:rsidRPr="00C921DE">
              <w:rPr>
                <w:rFonts w:ascii="GHEA Grapalat" w:hAnsi="GHEA Grapalat" w:cs="Calibri"/>
                <w:sz w:val="18"/>
                <w:szCs w:val="18"/>
              </w:rPr>
              <w:t>.</w:t>
            </w:r>
            <w:r w:rsidRPr="00C921DE">
              <w:rPr>
                <w:rFonts w:ascii="GHEA Grapalat" w:hAnsi="GHEA Grapalat" w:cs="Calibri"/>
                <w:sz w:val="18"/>
                <w:szCs w:val="18"/>
                <w:lang w:val="en-US"/>
              </w:rPr>
              <w:t>6</w:t>
            </w:r>
          </w:p>
        </w:tc>
        <w:tc>
          <w:tcPr>
            <w:tcW w:w="1276" w:type="dxa"/>
            <w:noWrap/>
            <w:vAlign w:val="bottom"/>
          </w:tcPr>
          <w:p w14:paraId="1A029AFC"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lang w:val="en-US"/>
              </w:rPr>
              <w:t>157.4</w:t>
            </w:r>
          </w:p>
        </w:tc>
        <w:tc>
          <w:tcPr>
            <w:tcW w:w="1401" w:type="dxa"/>
            <w:vAlign w:val="bottom"/>
          </w:tcPr>
          <w:p w14:paraId="71006E57"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lang w:val="en-US"/>
              </w:rPr>
              <w:t>99.9</w:t>
            </w:r>
          </w:p>
        </w:tc>
        <w:tc>
          <w:tcPr>
            <w:tcW w:w="1350" w:type="dxa"/>
            <w:noWrap/>
            <w:vAlign w:val="bottom"/>
          </w:tcPr>
          <w:p w14:paraId="3895F3AC"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1</w:t>
            </w:r>
            <w:r w:rsidRPr="00C921DE">
              <w:rPr>
                <w:rFonts w:ascii="GHEA Grapalat" w:hAnsi="GHEA Grapalat" w:cs="Calibri"/>
                <w:sz w:val="18"/>
                <w:szCs w:val="18"/>
                <w:lang w:val="en-US"/>
              </w:rPr>
              <w:t>25.0</w:t>
            </w:r>
          </w:p>
        </w:tc>
      </w:tr>
      <w:tr w:rsidR="00FE44C1" w:rsidRPr="00C921DE" w14:paraId="74748F48" w14:textId="77777777" w:rsidTr="009B10DB">
        <w:trPr>
          <w:trHeight w:val="164"/>
        </w:trPr>
        <w:tc>
          <w:tcPr>
            <w:tcW w:w="2977" w:type="dxa"/>
            <w:vAlign w:val="bottom"/>
          </w:tcPr>
          <w:p w14:paraId="1F5B16FD" w14:textId="658766A8" w:rsidR="00FE44C1" w:rsidRPr="00C921DE" w:rsidRDefault="00FE44C1" w:rsidP="001217C2">
            <w:pPr>
              <w:ind w:left="57"/>
              <w:rPr>
                <w:rFonts w:ascii="GHEA Grapalat" w:hAnsi="GHEA Grapalat" w:cs="Calibri"/>
                <w:sz w:val="18"/>
                <w:szCs w:val="18"/>
              </w:rPr>
            </w:pPr>
            <w:r w:rsidRPr="00C921DE">
              <w:rPr>
                <w:rFonts w:ascii="GHEA Grapalat" w:hAnsi="GHEA Grapalat"/>
                <w:sz w:val="18"/>
                <w:szCs w:val="18"/>
              </w:rPr>
              <w:t>Արտաքին տոկոսավճարներ</w:t>
            </w:r>
          </w:p>
        </w:tc>
        <w:tc>
          <w:tcPr>
            <w:tcW w:w="1276" w:type="dxa"/>
            <w:noWrap/>
            <w:vAlign w:val="bottom"/>
          </w:tcPr>
          <w:p w14:paraId="048D9BB1"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 xml:space="preserve">72.4 </w:t>
            </w:r>
          </w:p>
        </w:tc>
        <w:tc>
          <w:tcPr>
            <w:tcW w:w="1417" w:type="dxa"/>
            <w:noWrap/>
            <w:vAlign w:val="bottom"/>
          </w:tcPr>
          <w:p w14:paraId="479A761F"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98.9</w:t>
            </w:r>
          </w:p>
        </w:tc>
        <w:tc>
          <w:tcPr>
            <w:tcW w:w="1276" w:type="dxa"/>
            <w:noWrap/>
            <w:vAlign w:val="bottom"/>
          </w:tcPr>
          <w:p w14:paraId="0BB24C2C"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lang w:val="en-US"/>
              </w:rPr>
              <w:t>96.1</w:t>
            </w:r>
          </w:p>
        </w:tc>
        <w:tc>
          <w:tcPr>
            <w:tcW w:w="1401" w:type="dxa"/>
            <w:vAlign w:val="bottom"/>
          </w:tcPr>
          <w:p w14:paraId="5220DD58"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 xml:space="preserve"> 97.2</w:t>
            </w:r>
          </w:p>
        </w:tc>
        <w:tc>
          <w:tcPr>
            <w:tcW w:w="1350" w:type="dxa"/>
            <w:noWrap/>
            <w:vAlign w:val="bottom"/>
          </w:tcPr>
          <w:p w14:paraId="51D85CFF" w14:textId="77777777" w:rsidR="00FE44C1" w:rsidRPr="00C921DE" w:rsidRDefault="00FE44C1" w:rsidP="009B10DB">
            <w:pPr>
              <w:jc w:val="right"/>
              <w:rPr>
                <w:rFonts w:ascii="GHEA Grapalat" w:hAnsi="GHEA Grapalat" w:cs="Calibri"/>
                <w:sz w:val="18"/>
                <w:szCs w:val="18"/>
              </w:rPr>
            </w:pPr>
            <w:r w:rsidRPr="00C921DE">
              <w:rPr>
                <w:rFonts w:ascii="GHEA Grapalat" w:hAnsi="GHEA Grapalat" w:cs="Calibri"/>
                <w:sz w:val="18"/>
                <w:szCs w:val="18"/>
              </w:rPr>
              <w:t>132.7</w:t>
            </w:r>
          </w:p>
        </w:tc>
      </w:tr>
    </w:tbl>
    <w:p w14:paraId="54FB8DD1" w14:textId="77777777" w:rsidR="00FE44C1" w:rsidRPr="00C921DE" w:rsidRDefault="00FE44C1" w:rsidP="00E73373">
      <w:pPr>
        <w:spacing w:line="360" w:lineRule="auto"/>
        <w:ind w:firstLine="567"/>
        <w:jc w:val="both"/>
        <w:rPr>
          <w:rFonts w:ascii="GHEA Grapalat" w:hAnsi="GHEA Grapalat" w:cs="GHEA Grapalat"/>
          <w:sz w:val="22"/>
          <w:szCs w:val="22"/>
        </w:rPr>
      </w:pPr>
    </w:p>
    <w:p w14:paraId="53E03A0A" w14:textId="6CAC53F2" w:rsidR="007C5B5B" w:rsidRPr="00C921DE" w:rsidRDefault="007C5B5B" w:rsidP="00B61704">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 նախորդ տարվա համեմատ ՀՀ կառավարության պարտքի սպասարկման ծախսերն աճել են 27.8%-ով կամ 55.1 մլրդ դրամով, ինչը պայմանավորված է շրջանառության մեջ գտնվող պետական գանձապետական պարտատոմսերի, արտաքին վարկերի ծավալների աճով և ֆինանսական շուկայում ընդհանուր տոկոսադրույքների բարձրացմամբ: Արտաքին արժեթղթերի գծով դրամային արտահայտությամբ սպասարկման ծախսերը նվազել են</w:t>
      </w:r>
      <w:r w:rsidR="00B61704" w:rsidRPr="00C921DE">
        <w:rPr>
          <w:rFonts w:ascii="GHEA Grapalat" w:hAnsi="GHEA Grapalat" w:cs="GHEA Grapalat"/>
          <w:sz w:val="22"/>
          <w:szCs w:val="22"/>
          <w:lang w:val="en-US"/>
        </w:rPr>
        <w:t xml:space="preserve"> 3.59 մլրդ դրամով</w:t>
      </w:r>
      <w:r w:rsidRPr="00C921DE">
        <w:rPr>
          <w:rFonts w:ascii="GHEA Grapalat" w:hAnsi="GHEA Grapalat" w:cs="GHEA Grapalat"/>
          <w:sz w:val="22"/>
          <w:szCs w:val="22"/>
        </w:rPr>
        <w:t>՝ պայմանավորված 2023</w:t>
      </w:r>
      <w:r w:rsidR="00B61704"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թ</w:t>
      </w:r>
      <w:r w:rsidR="00B61704" w:rsidRPr="00C921DE">
        <w:rPr>
          <w:rFonts w:ascii="GHEA Grapalat" w:hAnsi="GHEA Grapalat" w:cs="GHEA Grapalat"/>
          <w:sz w:val="22"/>
          <w:szCs w:val="22"/>
          <w:lang w:val="en-US"/>
        </w:rPr>
        <w:t>վականի</w:t>
      </w:r>
      <w:r w:rsidRPr="00C921DE">
        <w:rPr>
          <w:rFonts w:ascii="GHEA Grapalat" w:hAnsi="GHEA Grapalat" w:cs="GHEA Grapalat"/>
          <w:sz w:val="22"/>
          <w:szCs w:val="22"/>
        </w:rPr>
        <w:t xml:space="preserve"> ընթացքում կիրառված ԱՄՆ դոլար / ՀՀ դրամ միջին կշռված փաստացի փոխարժեքի նվազմամբ նախորդ տարվա ընթացքում կիրառված փոխարժեքների համեմատ: Այսպես, 2022թ. սպասարկման համար կիրառվել է 452.87 ԱՄՆ դոլար / ՀՀ դրամ միջին կշռված փաստացի փոխարժեքը, իսկ 2023թ.՝ 390.55 միջին կշռված փաստացի փոխարժեքը:</w:t>
      </w:r>
      <w:r w:rsidR="00B61704" w:rsidRPr="00C921DE">
        <w:rPr>
          <w:rFonts w:ascii="GHEA Grapalat" w:hAnsi="GHEA Grapalat" w:cs="GHEA Grapalat"/>
          <w:sz w:val="22"/>
          <w:szCs w:val="22"/>
        </w:rPr>
        <w:t xml:space="preserve"> Դոլարային արտահայտությամբ արտարժութային պարտատոմսերի սպասարկման ծախսերը նախորդ տարվա համեմատ աճել են 3.96 մլն ԱՄՆ դոլարով, ինչը պայմանավորված է եղել 2025 թվականին մարման ենթակա պարտատոմսերի գծով 186.8 մլն ԱՄՆ դոլարի մասնակի հետգնման արդյունքում վճարված հավելավճարով:</w:t>
      </w:r>
    </w:p>
    <w:p w14:paraId="14E11D00" w14:textId="77777777" w:rsidR="003B2C9C" w:rsidRPr="00C921DE" w:rsidRDefault="003B2C9C" w:rsidP="00B61704">
      <w:pPr>
        <w:spacing w:line="360" w:lineRule="auto"/>
        <w:ind w:firstLine="567"/>
        <w:jc w:val="both"/>
        <w:rPr>
          <w:rFonts w:ascii="GHEA Grapalat" w:hAnsi="GHEA Grapalat" w:cs="GHEA Grapalat"/>
          <w:sz w:val="22"/>
          <w:szCs w:val="22"/>
        </w:rPr>
      </w:pPr>
    </w:p>
    <w:p w14:paraId="0840B70E" w14:textId="190127BB" w:rsidR="0081584A" w:rsidRPr="00C921DE" w:rsidRDefault="003B2C9C" w:rsidP="00722D11">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en-US"/>
        </w:rPr>
        <w:lastRenderedPageBreak/>
        <w:t xml:space="preserve"> </w:t>
      </w:r>
      <w:r w:rsidR="00722D11" w:rsidRPr="00C921DE">
        <w:rPr>
          <w:rFonts w:ascii="GHEA Grapalat" w:hAnsi="GHEA Grapalat"/>
          <w:i/>
          <w:sz w:val="18"/>
          <w:szCs w:val="18"/>
          <w:lang w:val="hy-AM"/>
        </w:rPr>
        <w:t>Կառավարության պարտքի սպասարկման ծախսեր</w:t>
      </w:r>
      <w:r w:rsidR="00852DA9" w:rsidRPr="00C921DE">
        <w:rPr>
          <w:rFonts w:ascii="GHEA Grapalat" w:hAnsi="GHEA Grapalat"/>
          <w:i/>
          <w:sz w:val="18"/>
          <w:szCs w:val="18"/>
          <w:lang w:val="en-US"/>
        </w:rPr>
        <w:t>ի կառուցվածք</w:t>
      </w:r>
      <w:r w:rsidR="00722D11" w:rsidRPr="00C921DE">
        <w:rPr>
          <w:rFonts w:ascii="GHEA Grapalat" w:hAnsi="GHEA Grapalat"/>
          <w:i/>
          <w:sz w:val="18"/>
          <w:szCs w:val="18"/>
          <w:lang w:val="hy-AM"/>
        </w:rPr>
        <w:t>ը</w:t>
      </w:r>
      <w:r w:rsidR="00852DA9" w:rsidRPr="00C921DE">
        <w:rPr>
          <w:rFonts w:ascii="GHEA Grapalat" w:hAnsi="GHEA Grapalat"/>
          <w:i/>
          <w:sz w:val="18"/>
          <w:szCs w:val="18"/>
          <w:lang w:val="en-US"/>
        </w:rPr>
        <w:t xml:space="preserve"> 2022-2023թթ.</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418"/>
        <w:gridCol w:w="1417"/>
        <w:gridCol w:w="1276"/>
        <w:gridCol w:w="1417"/>
      </w:tblGrid>
      <w:tr w:rsidR="0081584A" w:rsidRPr="00C921DE" w14:paraId="023410CF" w14:textId="77777777" w:rsidTr="0081584A">
        <w:trPr>
          <w:trHeight w:val="330"/>
        </w:trPr>
        <w:tc>
          <w:tcPr>
            <w:tcW w:w="4673" w:type="dxa"/>
            <w:vMerge w:val="restart"/>
            <w:shd w:val="clear" w:color="auto" w:fill="auto"/>
            <w:hideMark/>
          </w:tcPr>
          <w:p w14:paraId="238AE551" w14:textId="77777777" w:rsidR="0081584A" w:rsidRPr="00C921DE" w:rsidRDefault="0081584A" w:rsidP="009B10DB">
            <w:pPr>
              <w:spacing w:line="288" w:lineRule="auto"/>
              <w:jc w:val="center"/>
              <w:rPr>
                <w:rFonts w:ascii="GHEA Grapalat" w:hAnsi="GHEA Grapalat" w:cs="Calibri"/>
                <w:b/>
                <w:bCs/>
                <w:sz w:val="18"/>
                <w:szCs w:val="18"/>
              </w:rPr>
            </w:pPr>
            <w:r w:rsidRPr="00C921DE">
              <w:rPr>
                <w:rFonts w:ascii="Courier New" w:hAnsi="Courier New" w:cs="Courier New"/>
                <w:b/>
                <w:bCs/>
                <w:sz w:val="18"/>
                <w:szCs w:val="18"/>
              </w:rPr>
              <w:t> </w:t>
            </w:r>
          </w:p>
        </w:tc>
        <w:tc>
          <w:tcPr>
            <w:tcW w:w="2835" w:type="dxa"/>
            <w:gridSpan w:val="2"/>
            <w:shd w:val="clear" w:color="auto" w:fill="auto"/>
            <w:hideMark/>
          </w:tcPr>
          <w:p w14:paraId="228C244D" w14:textId="77777777" w:rsidR="0081584A" w:rsidRPr="00C921DE" w:rsidRDefault="0081584A" w:rsidP="009B10DB">
            <w:pPr>
              <w:spacing w:line="288" w:lineRule="auto"/>
              <w:jc w:val="center"/>
              <w:rPr>
                <w:rFonts w:ascii="GHEA Grapalat" w:hAnsi="GHEA Grapalat" w:cs="Calibri"/>
                <w:b/>
                <w:bCs/>
                <w:sz w:val="18"/>
                <w:szCs w:val="18"/>
              </w:rPr>
            </w:pPr>
            <w:r w:rsidRPr="00C921DE">
              <w:rPr>
                <w:rFonts w:ascii="GHEA Grapalat" w:hAnsi="GHEA Grapalat" w:cs="Calibri"/>
                <w:b/>
                <w:bCs/>
                <w:sz w:val="18"/>
                <w:szCs w:val="18"/>
              </w:rPr>
              <w:t xml:space="preserve"> 2022թ. </w:t>
            </w:r>
          </w:p>
        </w:tc>
        <w:tc>
          <w:tcPr>
            <w:tcW w:w="2693" w:type="dxa"/>
            <w:gridSpan w:val="2"/>
            <w:shd w:val="clear" w:color="auto" w:fill="auto"/>
            <w:hideMark/>
          </w:tcPr>
          <w:p w14:paraId="75596993" w14:textId="77777777" w:rsidR="0081584A" w:rsidRPr="00C921DE" w:rsidRDefault="0081584A" w:rsidP="009B10DB">
            <w:pPr>
              <w:spacing w:line="288" w:lineRule="auto"/>
              <w:jc w:val="center"/>
              <w:rPr>
                <w:rFonts w:ascii="GHEA Grapalat" w:hAnsi="GHEA Grapalat" w:cs="Calibri"/>
                <w:b/>
                <w:bCs/>
                <w:sz w:val="18"/>
                <w:szCs w:val="18"/>
              </w:rPr>
            </w:pPr>
            <w:r w:rsidRPr="00C921DE">
              <w:rPr>
                <w:rFonts w:ascii="GHEA Grapalat" w:hAnsi="GHEA Grapalat" w:cs="Calibri"/>
                <w:b/>
                <w:bCs/>
                <w:sz w:val="18"/>
                <w:szCs w:val="18"/>
              </w:rPr>
              <w:t xml:space="preserve"> 2023թ. </w:t>
            </w:r>
          </w:p>
        </w:tc>
      </w:tr>
      <w:tr w:rsidR="00016F4F" w:rsidRPr="00C921DE" w14:paraId="0D220855" w14:textId="77777777" w:rsidTr="00016F4F">
        <w:trPr>
          <w:trHeight w:val="330"/>
        </w:trPr>
        <w:tc>
          <w:tcPr>
            <w:tcW w:w="4673" w:type="dxa"/>
            <w:vMerge/>
            <w:shd w:val="clear" w:color="auto" w:fill="auto"/>
            <w:hideMark/>
          </w:tcPr>
          <w:p w14:paraId="227597F6" w14:textId="77777777" w:rsidR="00016F4F" w:rsidRPr="00C921DE" w:rsidRDefault="00016F4F" w:rsidP="00016F4F">
            <w:pPr>
              <w:spacing w:line="288" w:lineRule="auto"/>
              <w:rPr>
                <w:rFonts w:ascii="GHEA Grapalat" w:hAnsi="GHEA Grapalat" w:cs="Calibri"/>
                <w:b/>
                <w:bCs/>
                <w:sz w:val="18"/>
                <w:szCs w:val="18"/>
              </w:rPr>
            </w:pPr>
          </w:p>
        </w:tc>
        <w:tc>
          <w:tcPr>
            <w:tcW w:w="1418" w:type="dxa"/>
            <w:shd w:val="clear" w:color="auto" w:fill="auto"/>
            <w:hideMark/>
          </w:tcPr>
          <w:p w14:paraId="14538C24" w14:textId="77777777" w:rsidR="00016F4F" w:rsidRPr="00C921DE" w:rsidRDefault="00016F4F" w:rsidP="00016F4F">
            <w:pPr>
              <w:spacing w:line="288" w:lineRule="auto"/>
              <w:jc w:val="center"/>
              <w:rPr>
                <w:rFonts w:ascii="GHEA Grapalat" w:hAnsi="GHEA Grapalat" w:cs="Calibri"/>
                <w:b/>
                <w:bCs/>
                <w:sz w:val="18"/>
                <w:szCs w:val="18"/>
              </w:rPr>
            </w:pPr>
            <w:r w:rsidRPr="00C921DE">
              <w:rPr>
                <w:rFonts w:ascii="GHEA Grapalat" w:hAnsi="GHEA Grapalat" w:cs="Calibri"/>
                <w:b/>
                <w:bCs/>
                <w:sz w:val="18"/>
                <w:szCs w:val="18"/>
              </w:rPr>
              <w:t>մլրդ դրամ</w:t>
            </w:r>
          </w:p>
        </w:tc>
        <w:tc>
          <w:tcPr>
            <w:tcW w:w="1417" w:type="dxa"/>
            <w:shd w:val="clear" w:color="auto" w:fill="auto"/>
            <w:hideMark/>
          </w:tcPr>
          <w:p w14:paraId="64340E67" w14:textId="34C054E6" w:rsidR="00016F4F" w:rsidRPr="00C921DE" w:rsidRDefault="00016F4F" w:rsidP="00016F4F">
            <w:pPr>
              <w:spacing w:line="288" w:lineRule="auto"/>
              <w:jc w:val="center"/>
              <w:rPr>
                <w:rFonts w:ascii="GHEA Grapalat" w:hAnsi="GHEA Grapalat" w:cs="Calibri"/>
                <w:b/>
                <w:bCs/>
                <w:sz w:val="18"/>
                <w:szCs w:val="18"/>
              </w:rPr>
            </w:pPr>
            <w:r w:rsidRPr="00C921DE">
              <w:rPr>
                <w:rFonts w:ascii="GHEA Grapalat" w:hAnsi="GHEA Grapalat" w:cs="Calibri"/>
                <w:b/>
                <w:bCs/>
                <w:sz w:val="18"/>
                <w:szCs w:val="18"/>
                <w:lang w:val="en-US"/>
              </w:rPr>
              <w:t xml:space="preserve">տես. կշիռ, </w:t>
            </w:r>
            <w:r w:rsidRPr="00C921DE">
              <w:rPr>
                <w:rFonts w:ascii="GHEA Grapalat" w:hAnsi="GHEA Grapalat" w:cs="Calibri"/>
                <w:b/>
                <w:bCs/>
                <w:sz w:val="18"/>
                <w:szCs w:val="18"/>
              </w:rPr>
              <w:t>%</w:t>
            </w:r>
          </w:p>
        </w:tc>
        <w:tc>
          <w:tcPr>
            <w:tcW w:w="1276" w:type="dxa"/>
            <w:shd w:val="clear" w:color="auto" w:fill="auto"/>
            <w:hideMark/>
          </w:tcPr>
          <w:p w14:paraId="3C1970A4" w14:textId="77777777" w:rsidR="00016F4F" w:rsidRPr="00C921DE" w:rsidRDefault="00016F4F" w:rsidP="00016F4F">
            <w:pPr>
              <w:spacing w:line="288" w:lineRule="auto"/>
              <w:jc w:val="center"/>
              <w:rPr>
                <w:rFonts w:ascii="GHEA Grapalat" w:hAnsi="GHEA Grapalat" w:cs="Calibri"/>
                <w:b/>
                <w:bCs/>
                <w:sz w:val="18"/>
                <w:szCs w:val="18"/>
              </w:rPr>
            </w:pPr>
            <w:r w:rsidRPr="00C921DE">
              <w:rPr>
                <w:rFonts w:ascii="GHEA Grapalat" w:hAnsi="GHEA Grapalat" w:cs="Calibri"/>
                <w:b/>
                <w:bCs/>
                <w:sz w:val="18"/>
                <w:szCs w:val="18"/>
              </w:rPr>
              <w:t>մլրդ դրամ</w:t>
            </w:r>
          </w:p>
        </w:tc>
        <w:tc>
          <w:tcPr>
            <w:tcW w:w="1417" w:type="dxa"/>
            <w:shd w:val="clear" w:color="auto" w:fill="auto"/>
            <w:hideMark/>
          </w:tcPr>
          <w:p w14:paraId="37031AA5" w14:textId="36738E80" w:rsidR="00016F4F" w:rsidRPr="00C921DE" w:rsidRDefault="00016F4F" w:rsidP="00016F4F">
            <w:pPr>
              <w:spacing w:line="288" w:lineRule="auto"/>
              <w:jc w:val="center"/>
              <w:rPr>
                <w:rFonts w:ascii="GHEA Grapalat" w:hAnsi="GHEA Grapalat" w:cs="Calibri"/>
                <w:b/>
                <w:bCs/>
                <w:sz w:val="18"/>
                <w:szCs w:val="18"/>
              </w:rPr>
            </w:pPr>
            <w:r w:rsidRPr="00C921DE">
              <w:rPr>
                <w:rFonts w:ascii="GHEA Grapalat" w:hAnsi="GHEA Grapalat" w:cs="Calibri"/>
                <w:b/>
                <w:bCs/>
                <w:sz w:val="18"/>
                <w:szCs w:val="18"/>
                <w:lang w:val="en-US"/>
              </w:rPr>
              <w:t xml:space="preserve">տես. կշիռ, </w:t>
            </w:r>
            <w:r w:rsidRPr="00C921DE">
              <w:rPr>
                <w:rFonts w:ascii="GHEA Grapalat" w:hAnsi="GHEA Grapalat" w:cs="Calibri"/>
                <w:b/>
                <w:bCs/>
                <w:sz w:val="18"/>
                <w:szCs w:val="18"/>
              </w:rPr>
              <w:t>%</w:t>
            </w:r>
          </w:p>
        </w:tc>
      </w:tr>
      <w:tr w:rsidR="00016F4F" w:rsidRPr="00C921DE" w14:paraId="55CDEE3B" w14:textId="77777777" w:rsidTr="00016F4F">
        <w:trPr>
          <w:trHeight w:val="270"/>
        </w:trPr>
        <w:tc>
          <w:tcPr>
            <w:tcW w:w="4673" w:type="dxa"/>
            <w:shd w:val="clear" w:color="auto" w:fill="auto"/>
            <w:vAlign w:val="center"/>
            <w:hideMark/>
          </w:tcPr>
          <w:p w14:paraId="6DA656EE" w14:textId="77777777" w:rsidR="00016F4F" w:rsidRPr="00C921DE" w:rsidRDefault="00016F4F" w:rsidP="00521E48">
            <w:pPr>
              <w:rPr>
                <w:rFonts w:ascii="GHEA Grapalat" w:hAnsi="GHEA Grapalat" w:cs="Calibri"/>
                <w:b/>
                <w:bCs/>
                <w:sz w:val="18"/>
                <w:szCs w:val="18"/>
              </w:rPr>
            </w:pPr>
            <w:r w:rsidRPr="00C921DE">
              <w:rPr>
                <w:rFonts w:ascii="GHEA Grapalat" w:hAnsi="GHEA Grapalat" w:cs="Calibri"/>
                <w:b/>
                <w:bCs/>
                <w:sz w:val="18"/>
                <w:szCs w:val="18"/>
              </w:rPr>
              <w:t>Ընդամենը տոկոսավճարներ</w:t>
            </w:r>
          </w:p>
        </w:tc>
        <w:tc>
          <w:tcPr>
            <w:tcW w:w="1418" w:type="dxa"/>
            <w:shd w:val="clear" w:color="auto" w:fill="auto"/>
            <w:noWrap/>
            <w:vAlign w:val="center"/>
          </w:tcPr>
          <w:p w14:paraId="2161CF31" w14:textId="77777777" w:rsidR="00016F4F" w:rsidRPr="00C921DE" w:rsidRDefault="00016F4F" w:rsidP="00016F4F">
            <w:pPr>
              <w:jc w:val="right"/>
              <w:rPr>
                <w:rFonts w:ascii="GHEA Grapalat" w:hAnsi="GHEA Grapalat" w:cs="Calibri"/>
                <w:b/>
                <w:sz w:val="18"/>
                <w:szCs w:val="18"/>
              </w:rPr>
            </w:pPr>
            <w:r w:rsidRPr="00C921DE">
              <w:rPr>
                <w:rFonts w:ascii="GHEA Grapalat" w:hAnsi="GHEA Grapalat" w:cs="Calibri"/>
                <w:b/>
                <w:sz w:val="18"/>
                <w:szCs w:val="18"/>
              </w:rPr>
              <w:t xml:space="preserve">198.3 </w:t>
            </w:r>
          </w:p>
        </w:tc>
        <w:tc>
          <w:tcPr>
            <w:tcW w:w="1417" w:type="dxa"/>
            <w:shd w:val="clear" w:color="auto" w:fill="auto"/>
            <w:noWrap/>
            <w:vAlign w:val="center"/>
          </w:tcPr>
          <w:p w14:paraId="40563F7A" w14:textId="1B8EC8DA" w:rsidR="00016F4F" w:rsidRPr="00C921DE" w:rsidRDefault="00466820" w:rsidP="00016F4F">
            <w:pPr>
              <w:jc w:val="right"/>
              <w:rPr>
                <w:rFonts w:ascii="GHEA Grapalat" w:hAnsi="GHEA Grapalat" w:cs="Calibri"/>
                <w:b/>
                <w:sz w:val="18"/>
                <w:szCs w:val="18"/>
              </w:rPr>
            </w:pPr>
            <w:r w:rsidRPr="00C921DE">
              <w:rPr>
                <w:rFonts w:ascii="GHEA Grapalat" w:hAnsi="GHEA Grapalat" w:cs="Calibri"/>
                <w:b/>
                <w:sz w:val="18"/>
                <w:szCs w:val="18"/>
              </w:rPr>
              <w:t xml:space="preserve"> </w:t>
            </w:r>
            <w:r w:rsidR="00016F4F" w:rsidRPr="00C921DE">
              <w:rPr>
                <w:rFonts w:ascii="GHEA Grapalat" w:hAnsi="GHEA Grapalat" w:cs="Calibri"/>
                <w:b/>
                <w:sz w:val="18"/>
                <w:szCs w:val="18"/>
              </w:rPr>
              <w:t xml:space="preserve">100.0 </w:t>
            </w:r>
          </w:p>
        </w:tc>
        <w:tc>
          <w:tcPr>
            <w:tcW w:w="1276" w:type="dxa"/>
            <w:shd w:val="clear" w:color="auto" w:fill="auto"/>
            <w:noWrap/>
            <w:vAlign w:val="center"/>
          </w:tcPr>
          <w:p w14:paraId="47CDF965" w14:textId="7D894CEF" w:rsidR="00016F4F" w:rsidRPr="00C921DE" w:rsidRDefault="00466820" w:rsidP="00016F4F">
            <w:pPr>
              <w:jc w:val="right"/>
              <w:rPr>
                <w:rFonts w:ascii="GHEA Grapalat" w:hAnsi="GHEA Grapalat" w:cs="Calibri"/>
                <w:b/>
                <w:sz w:val="18"/>
                <w:szCs w:val="18"/>
              </w:rPr>
            </w:pPr>
            <w:r w:rsidRPr="00C921DE">
              <w:rPr>
                <w:rFonts w:ascii="GHEA Grapalat" w:hAnsi="GHEA Grapalat" w:cs="Calibri"/>
                <w:b/>
                <w:sz w:val="18"/>
                <w:szCs w:val="18"/>
              </w:rPr>
              <w:t xml:space="preserve"> </w:t>
            </w:r>
            <w:r w:rsidR="00016F4F" w:rsidRPr="00C921DE">
              <w:rPr>
                <w:rFonts w:ascii="GHEA Grapalat" w:hAnsi="GHEA Grapalat" w:cs="Calibri"/>
                <w:b/>
                <w:sz w:val="18"/>
                <w:szCs w:val="18"/>
              </w:rPr>
              <w:t xml:space="preserve">253.4 </w:t>
            </w:r>
          </w:p>
        </w:tc>
        <w:tc>
          <w:tcPr>
            <w:tcW w:w="1417" w:type="dxa"/>
            <w:shd w:val="clear" w:color="auto" w:fill="auto"/>
            <w:noWrap/>
            <w:vAlign w:val="center"/>
          </w:tcPr>
          <w:p w14:paraId="43E57BDF" w14:textId="77777777" w:rsidR="00016F4F" w:rsidRPr="00C921DE" w:rsidRDefault="00016F4F" w:rsidP="00016F4F">
            <w:pPr>
              <w:jc w:val="right"/>
              <w:rPr>
                <w:rFonts w:ascii="GHEA Grapalat" w:hAnsi="GHEA Grapalat" w:cs="Calibri"/>
                <w:b/>
                <w:sz w:val="18"/>
                <w:szCs w:val="18"/>
              </w:rPr>
            </w:pPr>
            <w:r w:rsidRPr="00C921DE">
              <w:rPr>
                <w:rFonts w:ascii="GHEA Grapalat" w:hAnsi="GHEA Grapalat" w:cs="Calibri"/>
                <w:b/>
                <w:sz w:val="18"/>
                <w:szCs w:val="18"/>
              </w:rPr>
              <w:t>100.0</w:t>
            </w:r>
          </w:p>
        </w:tc>
      </w:tr>
      <w:tr w:rsidR="00016F4F" w:rsidRPr="00C921DE" w14:paraId="3C3EAD07" w14:textId="77777777" w:rsidTr="00B2428C">
        <w:trPr>
          <w:trHeight w:val="350"/>
        </w:trPr>
        <w:tc>
          <w:tcPr>
            <w:tcW w:w="2977" w:type="dxa"/>
            <w:shd w:val="clear" w:color="auto" w:fill="auto"/>
            <w:vAlign w:val="center"/>
            <w:hideMark/>
          </w:tcPr>
          <w:p w14:paraId="58392D91" w14:textId="77777777" w:rsidR="00016F4F" w:rsidRPr="00C921DE" w:rsidRDefault="00016F4F" w:rsidP="001217C2">
            <w:pPr>
              <w:ind w:left="57"/>
              <w:rPr>
                <w:rFonts w:ascii="GHEA Grapalat" w:hAnsi="GHEA Grapalat" w:cs="Calibri"/>
                <w:sz w:val="18"/>
                <w:szCs w:val="18"/>
              </w:rPr>
            </w:pPr>
            <w:r w:rsidRPr="00C921DE">
              <w:rPr>
                <w:rFonts w:ascii="GHEA Grapalat" w:hAnsi="GHEA Grapalat" w:cs="Calibri"/>
                <w:sz w:val="18"/>
                <w:szCs w:val="18"/>
              </w:rPr>
              <w:t xml:space="preserve">ներքին արժեթղթերի տոկոսավճարներ </w:t>
            </w:r>
          </w:p>
        </w:tc>
        <w:tc>
          <w:tcPr>
            <w:tcW w:w="1418" w:type="dxa"/>
            <w:shd w:val="clear" w:color="auto" w:fill="auto"/>
            <w:noWrap/>
            <w:vAlign w:val="center"/>
          </w:tcPr>
          <w:p w14:paraId="2495EF3D" w14:textId="5CF4D47F"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125.9 </w:t>
            </w:r>
          </w:p>
        </w:tc>
        <w:tc>
          <w:tcPr>
            <w:tcW w:w="1417" w:type="dxa"/>
            <w:shd w:val="clear" w:color="auto" w:fill="auto"/>
            <w:noWrap/>
            <w:vAlign w:val="center"/>
          </w:tcPr>
          <w:p w14:paraId="2707CFA7" w14:textId="1D6AAFBE"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63.5 </w:t>
            </w:r>
          </w:p>
        </w:tc>
        <w:tc>
          <w:tcPr>
            <w:tcW w:w="1276" w:type="dxa"/>
            <w:shd w:val="clear" w:color="auto" w:fill="auto"/>
            <w:noWrap/>
            <w:vAlign w:val="center"/>
          </w:tcPr>
          <w:p w14:paraId="71B600FF" w14:textId="1E2168FF" w:rsidR="00016F4F" w:rsidRPr="00C921DE" w:rsidRDefault="00466820" w:rsidP="00016F4F">
            <w:pPr>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157.4 </w:t>
            </w:r>
          </w:p>
        </w:tc>
        <w:tc>
          <w:tcPr>
            <w:tcW w:w="1417" w:type="dxa"/>
            <w:shd w:val="clear" w:color="auto" w:fill="auto"/>
            <w:noWrap/>
            <w:vAlign w:val="center"/>
          </w:tcPr>
          <w:p w14:paraId="6E5133D7" w14:textId="0BEDF108"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62.1 </w:t>
            </w:r>
          </w:p>
        </w:tc>
      </w:tr>
      <w:tr w:rsidR="00016F4F" w:rsidRPr="00C921DE" w14:paraId="5A0E042E" w14:textId="77777777" w:rsidTr="00B2428C">
        <w:trPr>
          <w:trHeight w:val="350"/>
        </w:trPr>
        <w:tc>
          <w:tcPr>
            <w:tcW w:w="2977" w:type="dxa"/>
            <w:shd w:val="clear" w:color="auto" w:fill="auto"/>
            <w:vAlign w:val="center"/>
            <w:hideMark/>
          </w:tcPr>
          <w:p w14:paraId="4B80AB00" w14:textId="77777777" w:rsidR="00016F4F" w:rsidRPr="00C921DE" w:rsidRDefault="00016F4F" w:rsidP="001217C2">
            <w:pPr>
              <w:ind w:left="57"/>
              <w:rPr>
                <w:rFonts w:ascii="GHEA Grapalat" w:hAnsi="GHEA Grapalat" w:cs="Calibri"/>
                <w:sz w:val="18"/>
                <w:szCs w:val="18"/>
              </w:rPr>
            </w:pPr>
            <w:r w:rsidRPr="00C921DE">
              <w:rPr>
                <w:rFonts w:ascii="GHEA Grapalat" w:hAnsi="GHEA Grapalat" w:cs="Calibri"/>
                <w:sz w:val="18"/>
                <w:szCs w:val="18"/>
              </w:rPr>
              <w:t xml:space="preserve">արտաքին վարկերի գծով տոկոսավճարներ </w:t>
            </w:r>
          </w:p>
        </w:tc>
        <w:tc>
          <w:tcPr>
            <w:tcW w:w="1418" w:type="dxa"/>
            <w:shd w:val="clear" w:color="auto" w:fill="auto"/>
            <w:noWrap/>
            <w:vAlign w:val="center"/>
          </w:tcPr>
          <w:p w14:paraId="222D0774" w14:textId="795C8584"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35.0 </w:t>
            </w:r>
          </w:p>
        </w:tc>
        <w:tc>
          <w:tcPr>
            <w:tcW w:w="1417" w:type="dxa"/>
            <w:shd w:val="clear" w:color="auto" w:fill="auto"/>
            <w:noWrap/>
            <w:vAlign w:val="center"/>
          </w:tcPr>
          <w:p w14:paraId="3483A88F" w14:textId="7D0617D4"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17.7 </w:t>
            </w:r>
          </w:p>
        </w:tc>
        <w:tc>
          <w:tcPr>
            <w:tcW w:w="1276" w:type="dxa"/>
            <w:shd w:val="clear" w:color="auto" w:fill="auto"/>
            <w:noWrap/>
            <w:vAlign w:val="center"/>
          </w:tcPr>
          <w:p w14:paraId="39E6515D" w14:textId="27B48E72" w:rsidR="00016F4F" w:rsidRPr="00C921DE" w:rsidRDefault="00466820" w:rsidP="00016F4F">
            <w:pPr>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62.3 </w:t>
            </w:r>
          </w:p>
        </w:tc>
        <w:tc>
          <w:tcPr>
            <w:tcW w:w="1417" w:type="dxa"/>
            <w:shd w:val="clear" w:color="auto" w:fill="auto"/>
            <w:noWrap/>
            <w:vAlign w:val="center"/>
          </w:tcPr>
          <w:p w14:paraId="53CC2757" w14:textId="58CBE687"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24.6 </w:t>
            </w:r>
          </w:p>
        </w:tc>
      </w:tr>
      <w:tr w:rsidR="00016F4F" w:rsidRPr="00C921DE" w14:paraId="5E0E3C4B" w14:textId="77777777" w:rsidTr="00B2428C">
        <w:trPr>
          <w:trHeight w:val="350"/>
        </w:trPr>
        <w:tc>
          <w:tcPr>
            <w:tcW w:w="2977" w:type="dxa"/>
            <w:shd w:val="clear" w:color="auto" w:fill="auto"/>
            <w:vAlign w:val="center"/>
            <w:hideMark/>
          </w:tcPr>
          <w:p w14:paraId="66C32ECD" w14:textId="77777777" w:rsidR="00016F4F" w:rsidRPr="00C921DE" w:rsidRDefault="00016F4F" w:rsidP="001217C2">
            <w:pPr>
              <w:ind w:left="57"/>
              <w:rPr>
                <w:rFonts w:ascii="GHEA Grapalat" w:hAnsi="GHEA Grapalat" w:cs="Calibri"/>
                <w:sz w:val="18"/>
                <w:szCs w:val="18"/>
              </w:rPr>
            </w:pPr>
            <w:r w:rsidRPr="00C921DE">
              <w:rPr>
                <w:rFonts w:ascii="GHEA Grapalat" w:hAnsi="GHEA Grapalat" w:cs="Calibri"/>
                <w:sz w:val="18"/>
                <w:szCs w:val="18"/>
              </w:rPr>
              <w:t xml:space="preserve">արտաքին արժեթղթերի գծով տոկոսավճարներ </w:t>
            </w:r>
          </w:p>
        </w:tc>
        <w:tc>
          <w:tcPr>
            <w:tcW w:w="1418" w:type="dxa"/>
            <w:shd w:val="clear" w:color="auto" w:fill="auto"/>
            <w:noWrap/>
            <w:vAlign w:val="center"/>
          </w:tcPr>
          <w:p w14:paraId="68E7635C" w14:textId="4ED3C546"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37.4 </w:t>
            </w:r>
          </w:p>
        </w:tc>
        <w:tc>
          <w:tcPr>
            <w:tcW w:w="1417" w:type="dxa"/>
            <w:shd w:val="clear" w:color="auto" w:fill="auto"/>
            <w:noWrap/>
            <w:vAlign w:val="center"/>
          </w:tcPr>
          <w:p w14:paraId="0FDBA80D" w14:textId="06D0F46F"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18.8 </w:t>
            </w:r>
          </w:p>
        </w:tc>
        <w:tc>
          <w:tcPr>
            <w:tcW w:w="1276" w:type="dxa"/>
            <w:shd w:val="clear" w:color="auto" w:fill="auto"/>
            <w:noWrap/>
            <w:vAlign w:val="center"/>
          </w:tcPr>
          <w:p w14:paraId="78CAB636" w14:textId="1F8903E1" w:rsidR="00016F4F" w:rsidRPr="00C921DE" w:rsidRDefault="00466820" w:rsidP="00016F4F">
            <w:pPr>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33.8 </w:t>
            </w:r>
          </w:p>
        </w:tc>
        <w:tc>
          <w:tcPr>
            <w:tcW w:w="1417" w:type="dxa"/>
            <w:shd w:val="clear" w:color="auto" w:fill="auto"/>
            <w:noWrap/>
            <w:vAlign w:val="center"/>
          </w:tcPr>
          <w:p w14:paraId="13BD3E5D" w14:textId="5FDD2EB9" w:rsidR="00016F4F" w:rsidRPr="00C921DE" w:rsidRDefault="00466820" w:rsidP="00016F4F">
            <w:pPr>
              <w:jc w:val="right"/>
              <w:rPr>
                <w:rFonts w:ascii="GHEA Grapalat" w:hAnsi="GHEA Grapalat" w:cs="Calibri"/>
                <w:sz w:val="18"/>
                <w:szCs w:val="18"/>
              </w:rPr>
            </w:pPr>
            <w:r w:rsidRPr="00C921DE">
              <w:rPr>
                <w:rFonts w:ascii="GHEA Grapalat" w:hAnsi="GHEA Grapalat" w:cs="Calibri"/>
                <w:sz w:val="18"/>
                <w:szCs w:val="18"/>
              </w:rPr>
              <w:t xml:space="preserve"> </w:t>
            </w:r>
            <w:r w:rsidR="00016F4F" w:rsidRPr="00C921DE">
              <w:rPr>
                <w:rFonts w:ascii="GHEA Grapalat" w:hAnsi="GHEA Grapalat" w:cs="Calibri"/>
                <w:sz w:val="18"/>
                <w:szCs w:val="18"/>
              </w:rPr>
              <w:t xml:space="preserve">13.3 </w:t>
            </w:r>
          </w:p>
        </w:tc>
      </w:tr>
    </w:tbl>
    <w:p w14:paraId="0833A8CE" w14:textId="77777777" w:rsidR="0081584A" w:rsidRPr="00C921DE" w:rsidRDefault="0081584A" w:rsidP="00B61704">
      <w:pPr>
        <w:spacing w:line="360" w:lineRule="auto"/>
        <w:ind w:firstLine="567"/>
        <w:jc w:val="both"/>
        <w:rPr>
          <w:rFonts w:ascii="GHEA Grapalat" w:hAnsi="GHEA Grapalat" w:cs="GHEA Grapalat"/>
          <w:sz w:val="22"/>
          <w:szCs w:val="22"/>
        </w:rPr>
      </w:pPr>
    </w:p>
    <w:p w14:paraId="08FDCA1A" w14:textId="78C25FC0" w:rsidR="000E7659" w:rsidRPr="00C921DE" w:rsidRDefault="000E7659" w:rsidP="000E7659">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Կառավարության պարտքի կառուցվածքում գանձապետական պարտատոմսերի կշռի աճը նպաստել է կառավարության ընդհանուր պարտքի միջին կշռված անվանական տոկոսադրույքի աճին: Այսպես՝ 2023 թվականի դեկտեմբերի 31-ի դրությամբ պարտքի միջին կշռված անվանական տոկոսադրույքը կազմել է 7.0% և նախորդ տարվա համեմատությամբ աճել է 0.7 տոկոսային կետով:</w:t>
      </w:r>
    </w:p>
    <w:p w14:paraId="0B3EED5D" w14:textId="54D201C1" w:rsidR="000E7659" w:rsidRPr="00C921DE" w:rsidRDefault="000E7659" w:rsidP="00DC08F3">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Արտաքին վարկերի գծով տվյալ ցուցանիշ</w:t>
      </w:r>
      <w:r w:rsidR="00033AC2"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աճել է 0.4 տոկոսային կետով: Հարկ է նշել, որ.</w:t>
      </w:r>
    </w:p>
    <w:p w14:paraId="0824B8D1" w14:textId="3EC18906" w:rsidR="000E7659" w:rsidRPr="00C921DE" w:rsidRDefault="000E7659" w:rsidP="00D9331C">
      <w:pPr>
        <w:pStyle w:val="ListParagraph"/>
        <w:numPr>
          <w:ilvl w:val="0"/>
          <w:numId w:val="33"/>
        </w:numPr>
        <w:tabs>
          <w:tab w:val="left" w:pos="851"/>
        </w:tabs>
        <w:spacing w:line="360" w:lineRule="auto"/>
        <w:ind w:left="567" w:firstLine="0"/>
        <w:jc w:val="both"/>
        <w:rPr>
          <w:rFonts w:ascii="GHEA Grapalat" w:hAnsi="GHEA Grapalat" w:cs="GHEA Grapalat"/>
        </w:rPr>
      </w:pPr>
      <w:r w:rsidRPr="00C921DE">
        <w:rPr>
          <w:rFonts w:ascii="GHEA Grapalat" w:hAnsi="GHEA Grapalat" w:cs="GHEA Grapalat"/>
        </w:rPr>
        <w:t>2022</w:t>
      </w:r>
      <w:r w:rsidR="00033AC2" w:rsidRPr="00C921DE">
        <w:rPr>
          <w:rFonts w:ascii="GHEA Grapalat" w:hAnsi="GHEA Grapalat" w:cs="GHEA Grapalat"/>
          <w:lang w:val="en-US"/>
        </w:rPr>
        <w:t xml:space="preserve"> </w:t>
      </w:r>
      <w:r w:rsidRPr="00C921DE">
        <w:rPr>
          <w:rFonts w:ascii="GHEA Grapalat" w:hAnsi="GHEA Grapalat" w:cs="GHEA Grapalat"/>
        </w:rPr>
        <w:t>թ</w:t>
      </w:r>
      <w:r w:rsidR="00033AC2" w:rsidRPr="00C921DE">
        <w:rPr>
          <w:rFonts w:ascii="GHEA Grapalat" w:hAnsi="GHEA Grapalat" w:cs="GHEA Grapalat"/>
          <w:lang w:val="en-US"/>
        </w:rPr>
        <w:t>վականի</w:t>
      </w:r>
      <w:r w:rsidRPr="00C921DE">
        <w:rPr>
          <w:rFonts w:ascii="GHEA Grapalat" w:hAnsi="GHEA Grapalat" w:cs="GHEA Grapalat"/>
        </w:rPr>
        <w:t xml:space="preserve"> հունվարից Համաշխարհային բանկն ու Ասիական զարգացման բանկ</w:t>
      </w:r>
      <w:r w:rsidR="00033AC2" w:rsidRPr="00C921DE">
        <w:rPr>
          <w:rFonts w:ascii="GHEA Grapalat" w:hAnsi="GHEA Grapalat" w:cs="GHEA Grapalat"/>
          <w:lang w:val="en-US"/>
        </w:rPr>
        <w:t>ն</w:t>
      </w:r>
      <w:r w:rsidRPr="00C921DE">
        <w:rPr>
          <w:rFonts w:ascii="GHEA Grapalat" w:hAnsi="GHEA Grapalat" w:cs="GHEA Grapalat"/>
        </w:rPr>
        <w:t xml:space="preserve"> անցում կատարեցին SOFR տոկոսադրույքի հիման վրա վարկերի սպասարկմանը (ԱՄՆ դոլարով վարկերի համար)՝ 6-ամսյա ԱՄՆ դոլարի LIBOR-ի փոխարեն: SOFR տոկոսադրույքի միջին ցուցանիշը 2023</w:t>
      </w:r>
      <w:r w:rsidR="00033AC2" w:rsidRPr="00C921DE">
        <w:rPr>
          <w:rFonts w:ascii="GHEA Grapalat" w:hAnsi="GHEA Grapalat" w:cs="GHEA Grapalat"/>
          <w:lang w:val="en-US"/>
        </w:rPr>
        <w:t xml:space="preserve"> </w:t>
      </w:r>
      <w:r w:rsidRPr="00C921DE">
        <w:rPr>
          <w:rFonts w:ascii="GHEA Grapalat" w:hAnsi="GHEA Grapalat" w:cs="GHEA Grapalat"/>
        </w:rPr>
        <w:t>թ</w:t>
      </w:r>
      <w:r w:rsidR="00033AC2" w:rsidRPr="00C921DE">
        <w:rPr>
          <w:rFonts w:ascii="GHEA Grapalat" w:hAnsi="GHEA Grapalat" w:cs="GHEA Grapalat"/>
          <w:lang w:val="en-US"/>
        </w:rPr>
        <w:t>վականի</w:t>
      </w:r>
      <w:r w:rsidRPr="00C921DE">
        <w:rPr>
          <w:rFonts w:ascii="GHEA Grapalat" w:hAnsi="GHEA Grapalat" w:cs="GHEA Grapalat"/>
        </w:rPr>
        <w:t xml:space="preserve"> համար կազմել է 5.01%, մինչդեռ նախորդ տարվա նույն ցուցանիշը կազմել է</w:t>
      </w:r>
      <w:r w:rsidR="00033AC2" w:rsidRPr="00C921DE">
        <w:rPr>
          <w:rFonts w:ascii="GHEA Grapalat" w:hAnsi="GHEA Grapalat" w:cs="GHEA Grapalat"/>
          <w:lang w:val="en-US"/>
        </w:rPr>
        <w:t>ր</w:t>
      </w:r>
      <w:r w:rsidRPr="00C921DE">
        <w:rPr>
          <w:rFonts w:ascii="GHEA Grapalat" w:hAnsi="GHEA Grapalat" w:cs="GHEA Grapalat"/>
        </w:rPr>
        <w:t xml:space="preserve"> 1.64%,</w:t>
      </w:r>
    </w:p>
    <w:p w14:paraId="03D2EDF7" w14:textId="220590E6" w:rsidR="000E7659" w:rsidRPr="00C921DE" w:rsidRDefault="000E7659" w:rsidP="00D9331C">
      <w:pPr>
        <w:pStyle w:val="ListParagraph"/>
        <w:numPr>
          <w:ilvl w:val="0"/>
          <w:numId w:val="33"/>
        </w:numPr>
        <w:tabs>
          <w:tab w:val="left" w:pos="851"/>
        </w:tabs>
        <w:spacing w:after="0" w:line="360" w:lineRule="auto"/>
        <w:ind w:left="567" w:firstLine="0"/>
        <w:jc w:val="both"/>
        <w:rPr>
          <w:rFonts w:ascii="GHEA Grapalat" w:hAnsi="GHEA Grapalat" w:cs="GHEA Grapalat"/>
        </w:rPr>
      </w:pPr>
      <w:r w:rsidRPr="00C921DE">
        <w:rPr>
          <w:rFonts w:ascii="GHEA Grapalat" w:hAnsi="GHEA Grapalat" w:cs="GHEA Grapalat"/>
        </w:rPr>
        <w:t>2023</w:t>
      </w:r>
      <w:r w:rsidR="00033AC2" w:rsidRPr="00C921DE">
        <w:rPr>
          <w:rFonts w:ascii="GHEA Grapalat" w:hAnsi="GHEA Grapalat" w:cs="GHEA Grapalat"/>
          <w:lang w:val="en-US"/>
        </w:rPr>
        <w:t xml:space="preserve"> </w:t>
      </w:r>
      <w:r w:rsidRPr="00C921DE">
        <w:rPr>
          <w:rFonts w:ascii="GHEA Grapalat" w:hAnsi="GHEA Grapalat" w:cs="GHEA Grapalat"/>
        </w:rPr>
        <w:t>թ</w:t>
      </w:r>
      <w:r w:rsidR="00033AC2" w:rsidRPr="00C921DE">
        <w:rPr>
          <w:rFonts w:ascii="GHEA Grapalat" w:hAnsi="GHEA Grapalat" w:cs="GHEA Grapalat"/>
          <w:lang w:val="en-US"/>
        </w:rPr>
        <w:t>վականին</w:t>
      </w:r>
      <w:r w:rsidRPr="00C921DE">
        <w:rPr>
          <w:rFonts w:ascii="GHEA Grapalat" w:hAnsi="GHEA Grapalat" w:cs="GHEA Grapalat"/>
        </w:rPr>
        <w:t xml:space="preserve"> արտաքին վարկերի սպասարկման հաշվարկներում կիրառված 6-ամսյա EURIBOR միջին դրույքաչափը կազմել է 3.83%, նույն ցուցանիշը 2022</w:t>
      </w:r>
      <w:r w:rsidR="00F06DFA" w:rsidRPr="00C921DE">
        <w:rPr>
          <w:rFonts w:ascii="GHEA Grapalat" w:hAnsi="GHEA Grapalat" w:cs="GHEA Grapalat"/>
          <w:lang w:val="en-US"/>
        </w:rPr>
        <w:t xml:space="preserve"> </w:t>
      </w:r>
      <w:r w:rsidRPr="00C921DE">
        <w:rPr>
          <w:rFonts w:ascii="GHEA Grapalat" w:hAnsi="GHEA Grapalat" w:cs="GHEA Grapalat"/>
        </w:rPr>
        <w:t>թ</w:t>
      </w:r>
      <w:r w:rsidR="00F06DFA" w:rsidRPr="00C921DE">
        <w:rPr>
          <w:rFonts w:ascii="GHEA Grapalat" w:hAnsi="GHEA Grapalat" w:cs="GHEA Grapalat"/>
          <w:lang w:val="en-US"/>
        </w:rPr>
        <w:t>վականի</w:t>
      </w:r>
      <w:r w:rsidRPr="00C921DE">
        <w:rPr>
          <w:rFonts w:ascii="GHEA Grapalat" w:hAnsi="GHEA Grapalat" w:cs="GHEA Grapalat"/>
        </w:rPr>
        <w:t xml:space="preserve"> համար կազմել է</w:t>
      </w:r>
      <w:r w:rsidR="00F06DFA" w:rsidRPr="00C921DE">
        <w:rPr>
          <w:rFonts w:ascii="GHEA Grapalat" w:hAnsi="GHEA Grapalat" w:cs="GHEA Grapalat"/>
          <w:lang w:val="en-US"/>
        </w:rPr>
        <w:t>ր</w:t>
      </w:r>
      <w:r w:rsidRPr="00C921DE">
        <w:rPr>
          <w:rFonts w:ascii="GHEA Grapalat" w:hAnsi="GHEA Grapalat" w:cs="GHEA Grapalat"/>
        </w:rPr>
        <w:t xml:space="preserve"> 0.5%</w:t>
      </w:r>
      <w:r w:rsidR="00F06DFA" w:rsidRPr="00C921DE">
        <w:rPr>
          <w:rFonts w:ascii="GHEA Grapalat" w:hAnsi="GHEA Grapalat" w:cs="GHEA Grapalat"/>
          <w:lang w:val="en-US"/>
        </w:rPr>
        <w:t>:</w:t>
      </w:r>
    </w:p>
    <w:p w14:paraId="4DFFCD82" w14:textId="77777777" w:rsidR="000E7659" w:rsidRPr="00C921DE" w:rsidRDefault="000E7659" w:rsidP="00F06DFA">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Շրջանառության մեջ գտնվող պետական գանձապետական պարտատոմսերի միջին կշռված եկամտաբերությունն աճել է 0.4 տոկոսային կետով՝ պայմանավորված ֆինանսական շուկայում ընդհանուր տոկոսադրույքների բարձրացմամբ:</w:t>
      </w:r>
    </w:p>
    <w:p w14:paraId="697BD794" w14:textId="458E59F9" w:rsidR="000E7659" w:rsidRPr="00C921DE" w:rsidRDefault="000E7659" w:rsidP="00F06DFA">
      <w:pPr>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Արտարժութային պետական պարտատոմսերի միջին կշռված եկամտաբերությունը նվազել է 0.3 տոկոսային կետով՝ պայմանավորված 2023</w:t>
      </w:r>
      <w:r w:rsidR="00F06DFA"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թ</w:t>
      </w:r>
      <w:r w:rsidR="00F06DFA" w:rsidRPr="00C921DE">
        <w:rPr>
          <w:rFonts w:ascii="GHEA Grapalat" w:hAnsi="GHEA Grapalat" w:cs="GHEA Grapalat"/>
          <w:sz w:val="22"/>
          <w:szCs w:val="22"/>
          <w:lang w:val="en-US"/>
        </w:rPr>
        <w:t>վականի</w:t>
      </w:r>
      <w:r w:rsidRPr="00C921DE">
        <w:rPr>
          <w:rFonts w:ascii="GHEA Grapalat" w:hAnsi="GHEA Grapalat" w:cs="GHEA Grapalat"/>
          <w:sz w:val="22"/>
          <w:szCs w:val="22"/>
        </w:rPr>
        <w:t xml:space="preserve"> հոկտեմբերի 2-ին բարձր եկամտաբերությամբ պարտատոմսերի մասնակի հետգնմամբ:</w:t>
      </w:r>
    </w:p>
    <w:p w14:paraId="19B688F7" w14:textId="0F7D24B8"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Նախորդ տարվա համեմատ սուբսիդիաներն աճել են 9%</w:t>
      </w:r>
      <w:r w:rsidRPr="00C921DE">
        <w:rPr>
          <w:rFonts w:ascii="GHEA Grapalat" w:hAnsi="GHEA Grapalat" w:cs="GHEA Grapalat"/>
          <w:sz w:val="22"/>
          <w:szCs w:val="22"/>
        </w:rPr>
        <w:noBreakHyphen/>
        <w:t xml:space="preserve">ով (13.5 մլրդ դրամով), որը հիմնականում պայմանավորված է </w:t>
      </w:r>
      <w:r w:rsidR="00DA01AF" w:rsidRPr="00C921DE">
        <w:rPr>
          <w:rFonts w:ascii="GHEA Grapalat" w:hAnsi="GHEA Grapalat" w:cs="GHEA Grapalat"/>
          <w:sz w:val="22"/>
          <w:szCs w:val="22"/>
        </w:rPr>
        <w:t>Տնտեսության արդիականացման միջոցառմանը</w:t>
      </w:r>
      <w:r w:rsidR="00631A7C" w:rsidRPr="00C921DE">
        <w:rPr>
          <w:rFonts w:ascii="GHEA Grapalat" w:hAnsi="GHEA Grapalat" w:cs="GHEA Grapalat"/>
          <w:sz w:val="22"/>
          <w:szCs w:val="22"/>
          <w:lang w:val="en-US"/>
        </w:rPr>
        <w:t xml:space="preserve"> 7.9 մլրդ դրամ</w:t>
      </w:r>
      <w:r w:rsidR="00DA01AF" w:rsidRPr="00C921DE">
        <w:rPr>
          <w:rFonts w:ascii="GHEA Grapalat" w:hAnsi="GHEA Grapalat" w:cs="GHEA Grapalat"/>
          <w:sz w:val="22"/>
          <w:szCs w:val="22"/>
        </w:rPr>
        <w:t xml:space="preserve"> պետական աջակցությ</w:t>
      </w:r>
      <w:r w:rsidR="00DA01AF" w:rsidRPr="00C921DE">
        <w:rPr>
          <w:rFonts w:ascii="GHEA Grapalat" w:hAnsi="GHEA Grapalat" w:cs="GHEA Grapalat"/>
          <w:sz w:val="22"/>
          <w:szCs w:val="22"/>
          <w:lang w:val="en-US"/>
        </w:rPr>
        <w:t xml:space="preserve">ան </w:t>
      </w:r>
      <w:r w:rsidR="00631A7C" w:rsidRPr="00C921DE">
        <w:rPr>
          <w:rFonts w:ascii="GHEA Grapalat" w:hAnsi="GHEA Grapalat" w:cs="GHEA Grapalat"/>
          <w:sz w:val="22"/>
          <w:szCs w:val="22"/>
          <w:lang w:val="en-US"/>
        </w:rPr>
        <w:t>տրամադրմամբ, որի գծով 2022 թվականին միջոցներ չէին հատկացվել</w:t>
      </w:r>
      <w:r w:rsidRPr="00C921DE">
        <w:rPr>
          <w:rFonts w:ascii="GHEA Grapalat" w:hAnsi="GHEA Grapalat" w:cs="GHEA Grapalat"/>
          <w:sz w:val="22"/>
          <w:szCs w:val="22"/>
        </w:rPr>
        <w:t>, ինչպես նաև Հանրակրթության</w:t>
      </w:r>
      <w:r w:rsidR="00631A7C" w:rsidRPr="00C921DE">
        <w:rPr>
          <w:rFonts w:ascii="GHEA Grapalat" w:hAnsi="GHEA Grapalat" w:cs="GHEA Grapalat"/>
          <w:sz w:val="22"/>
          <w:szCs w:val="22"/>
          <w:lang w:val="en-US"/>
        </w:rPr>
        <w:t xml:space="preserve"> ծրագրին</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և</w:t>
      </w:r>
      <w:r w:rsidRPr="00C921DE">
        <w:rPr>
          <w:rFonts w:ascii="GHEA Grapalat" w:hAnsi="GHEA Grapalat" w:cs="GHEA Grapalat"/>
          <w:sz w:val="22"/>
          <w:szCs w:val="22"/>
        </w:rPr>
        <w:t xml:space="preserve"> </w:t>
      </w:r>
      <w:r w:rsidR="00DA01AF" w:rsidRPr="00C921DE">
        <w:rPr>
          <w:rFonts w:ascii="GHEA Grapalat" w:hAnsi="GHEA Grapalat" w:cs="GHEA Grapalat"/>
          <w:sz w:val="22"/>
          <w:szCs w:val="22"/>
        </w:rPr>
        <w:t>Հ</w:t>
      </w:r>
      <w:r w:rsidR="00631A7C" w:rsidRPr="00C921DE">
        <w:rPr>
          <w:rFonts w:ascii="GHEA Grapalat" w:hAnsi="GHEA Grapalat" w:cs="GHEA Grapalat"/>
          <w:sz w:val="22"/>
          <w:szCs w:val="22"/>
          <w:lang w:val="en-US"/>
        </w:rPr>
        <w:t>Հ-</w:t>
      </w:r>
      <w:r w:rsidR="00DA01AF" w:rsidRPr="00C921DE">
        <w:rPr>
          <w:rFonts w:ascii="GHEA Grapalat" w:hAnsi="GHEA Grapalat" w:cs="GHEA Grapalat"/>
          <w:sz w:val="22"/>
          <w:szCs w:val="22"/>
        </w:rPr>
        <w:t>ում ինտենսիվ այգեգործության զարգացման նպատակով</w:t>
      </w:r>
      <w:r w:rsidRPr="00C921DE">
        <w:rPr>
          <w:rFonts w:ascii="GHEA Grapalat" w:hAnsi="GHEA Grapalat" w:cs="GHEA Grapalat"/>
          <w:sz w:val="22"/>
          <w:szCs w:val="22"/>
        </w:rPr>
        <w:t xml:space="preserve"> </w:t>
      </w:r>
      <w:r w:rsidR="00631A7C" w:rsidRPr="00C921DE">
        <w:rPr>
          <w:rFonts w:ascii="GHEA Grapalat" w:hAnsi="GHEA Grapalat" w:cs="GHEA Grapalat"/>
          <w:sz w:val="22"/>
          <w:szCs w:val="22"/>
          <w:lang w:val="en-US"/>
        </w:rPr>
        <w:t xml:space="preserve">տրամադրված </w:t>
      </w:r>
      <w:r w:rsidRPr="00C921DE">
        <w:rPr>
          <w:rFonts w:ascii="GHEA Grapalat" w:hAnsi="GHEA Grapalat" w:cs="GHEA Grapalat"/>
          <w:sz w:val="22"/>
          <w:szCs w:val="22"/>
        </w:rPr>
        <w:t>սուբսիդիաների</w:t>
      </w:r>
      <w:r w:rsidR="00142463" w:rsidRPr="00C921DE">
        <w:rPr>
          <w:rFonts w:ascii="GHEA Grapalat" w:hAnsi="GHEA Grapalat" w:cs="GHEA Grapalat"/>
          <w:sz w:val="22"/>
          <w:szCs w:val="22"/>
          <w:lang w:val="en-US"/>
        </w:rPr>
        <w:t xml:space="preserve"> համապատասխանաբար 7.2 մլրդ դրամ և 4.8 մլրդ դրամ</w:t>
      </w:r>
      <w:r w:rsidRPr="00C921DE">
        <w:rPr>
          <w:rFonts w:ascii="GHEA Grapalat" w:hAnsi="GHEA Grapalat" w:cs="GHEA Grapalat"/>
          <w:sz w:val="22"/>
          <w:szCs w:val="22"/>
        </w:rPr>
        <w:t xml:space="preserve"> աճով:</w:t>
      </w:r>
      <w:r w:rsidRPr="00C921DE">
        <w:rPr>
          <w:rFonts w:ascii="GHEA Grapalat" w:hAnsi="GHEA Grapalat" w:cs="GHEA Grapalat"/>
          <w:sz w:val="22"/>
          <w:szCs w:val="22"/>
          <w:lang w:val="en-US"/>
        </w:rPr>
        <w:t xml:space="preserve"> Միևնույն ժամանակ պետք է նշել, որ</w:t>
      </w:r>
      <w:r w:rsidRPr="00C921DE">
        <w:rPr>
          <w:rFonts w:ascii="GHEA Grapalat" w:hAnsi="GHEA Grapalat" w:cs="GHEA Grapalat"/>
          <w:sz w:val="22"/>
          <w:szCs w:val="22"/>
        </w:rPr>
        <w:t xml:space="preserve"> Գյուղատնտեսության խթանման ծրագրի</w:t>
      </w:r>
      <w:r w:rsidR="00B04D3F" w:rsidRPr="00C921DE">
        <w:rPr>
          <w:rFonts w:ascii="GHEA Grapalat" w:hAnsi="GHEA Grapalat" w:cs="GHEA Grapalat"/>
          <w:sz w:val="22"/>
          <w:szCs w:val="22"/>
          <w:lang w:val="en-US"/>
        </w:rPr>
        <w:t xml:space="preserve"> շրջանակներում սուբսիդավորումը նվազել է 27.3%-ով (</w:t>
      </w:r>
      <w:r w:rsidR="00BC7846" w:rsidRPr="00C921DE">
        <w:rPr>
          <w:rFonts w:ascii="GHEA Grapalat" w:hAnsi="GHEA Grapalat" w:cs="GHEA Grapalat"/>
          <w:sz w:val="22"/>
          <w:szCs w:val="22"/>
          <w:lang w:val="en-US"/>
        </w:rPr>
        <w:t>5.4</w:t>
      </w:r>
      <w:r w:rsidR="00BC7846" w:rsidRPr="00C921DE">
        <w:rPr>
          <w:rFonts w:ascii="Calibri" w:hAnsi="Calibri" w:cs="Calibri"/>
          <w:sz w:val="22"/>
          <w:szCs w:val="22"/>
          <w:lang w:val="en-US"/>
        </w:rPr>
        <w:t> </w:t>
      </w:r>
      <w:r w:rsidR="002D7546" w:rsidRPr="00C921DE">
        <w:rPr>
          <w:rFonts w:ascii="GHEA Grapalat" w:hAnsi="GHEA Grapalat" w:cs="GHEA Grapalat"/>
          <w:sz w:val="22"/>
          <w:szCs w:val="22"/>
          <w:lang w:val="en-US"/>
        </w:rPr>
        <w:t>մլրդ դրամով)</w:t>
      </w:r>
      <w:r w:rsidRPr="00C921DE">
        <w:rPr>
          <w:rFonts w:ascii="GHEA Grapalat" w:hAnsi="GHEA Grapalat" w:cs="GHEA Grapalat"/>
          <w:sz w:val="22"/>
          <w:szCs w:val="22"/>
          <w:lang w:val="en-US"/>
        </w:rPr>
        <w:t>՝ պայմանավորված ա</w:t>
      </w:r>
      <w:r w:rsidR="002D7546" w:rsidRPr="00C921DE">
        <w:rPr>
          <w:rFonts w:ascii="GHEA Grapalat" w:hAnsi="GHEA Grapalat" w:cs="GHEA Grapalat"/>
          <w:sz w:val="22"/>
          <w:szCs w:val="22"/>
          <w:lang w:val="en-US"/>
        </w:rPr>
        <w:t xml:space="preserve">յն հանգամանքով, որ </w:t>
      </w:r>
      <w:r w:rsidR="002D7546" w:rsidRPr="00C921DE">
        <w:rPr>
          <w:rFonts w:ascii="GHEA Grapalat" w:hAnsi="GHEA Grapalat" w:cs="GHEA Grapalat"/>
          <w:sz w:val="22"/>
          <w:szCs w:val="22"/>
          <w:lang w:val="en-US"/>
        </w:rPr>
        <w:lastRenderedPageBreak/>
        <w:t xml:space="preserve">2023 թվականի պետական բյուջեից </w:t>
      </w:r>
      <w:r w:rsidRPr="00C921DE">
        <w:rPr>
          <w:rFonts w:ascii="GHEA Grapalat" w:hAnsi="GHEA Grapalat" w:cs="GHEA Grapalat"/>
          <w:sz w:val="22"/>
          <w:szCs w:val="22"/>
          <w:lang w:val="en-US"/>
        </w:rPr>
        <w:t xml:space="preserve">ՀՀ-ում հողօգտագործողներին մատչելի գներով ազոտական, ֆոսֆորական և կալիումական պարարտանյութերի ձեռքբերմանն աջակցության </w:t>
      </w:r>
      <w:r w:rsidR="002D7546" w:rsidRPr="00C921DE">
        <w:rPr>
          <w:rFonts w:ascii="GHEA Grapalat" w:hAnsi="GHEA Grapalat" w:cs="GHEA Grapalat"/>
          <w:sz w:val="22"/>
          <w:szCs w:val="22"/>
          <w:lang w:val="en-US"/>
        </w:rPr>
        <w:t>նպատակով միջոցներ չեն հատկացվել</w:t>
      </w:r>
      <w:r w:rsidRPr="00C921DE">
        <w:rPr>
          <w:rFonts w:ascii="GHEA Grapalat" w:hAnsi="GHEA Grapalat" w:cs="GHEA Grapalat"/>
          <w:sz w:val="22"/>
          <w:szCs w:val="22"/>
          <w:lang w:val="en-US"/>
        </w:rPr>
        <w:t>:</w:t>
      </w:r>
      <w:r w:rsidR="003F1C72" w:rsidRPr="00C921DE">
        <w:rPr>
          <w:rFonts w:ascii="GHEA Grapalat" w:hAnsi="GHEA Grapalat" w:cs="GHEA Grapalat"/>
          <w:sz w:val="22"/>
          <w:szCs w:val="22"/>
          <w:lang w:val="en-US"/>
        </w:rPr>
        <w:t xml:space="preserve"> Բացի այդ,</w:t>
      </w:r>
      <w:r w:rsidR="002258F3" w:rsidRPr="00C921DE">
        <w:rPr>
          <w:rFonts w:ascii="GHEA Grapalat" w:hAnsi="GHEA Grapalat" w:cs="GHEA Grapalat"/>
          <w:sz w:val="22"/>
          <w:szCs w:val="22"/>
          <w:lang w:val="en-US"/>
        </w:rPr>
        <w:t xml:space="preserve"> 2023 թվականին</w:t>
      </w:r>
      <w:r w:rsidR="003F1C72" w:rsidRPr="00C921DE">
        <w:rPr>
          <w:rFonts w:ascii="GHEA Grapalat" w:hAnsi="GHEA Grapalat" w:cs="GHEA Grapalat"/>
          <w:sz w:val="22"/>
          <w:szCs w:val="22"/>
          <w:lang w:val="en-US"/>
        </w:rPr>
        <w:t xml:space="preserve"> </w:t>
      </w:r>
      <w:r w:rsidR="002258F3" w:rsidRPr="00C921DE">
        <w:rPr>
          <w:rFonts w:ascii="GHEA Grapalat" w:hAnsi="GHEA Grapalat" w:cs="GHEA Grapalat"/>
          <w:sz w:val="22"/>
          <w:szCs w:val="22"/>
          <w:lang w:val="en-US"/>
        </w:rPr>
        <w:t>սուբսիդավորում չի</w:t>
      </w:r>
      <w:r w:rsidR="003F1C72" w:rsidRPr="00C921DE">
        <w:rPr>
          <w:rFonts w:ascii="GHEA Grapalat" w:hAnsi="GHEA Grapalat" w:cs="GHEA Grapalat"/>
          <w:sz w:val="22"/>
          <w:szCs w:val="22"/>
          <w:lang w:val="en-US"/>
        </w:rPr>
        <w:t xml:space="preserve"> </w:t>
      </w:r>
      <w:r w:rsidR="002258F3" w:rsidRPr="00C921DE">
        <w:rPr>
          <w:rFonts w:ascii="GHEA Grapalat" w:hAnsi="GHEA Grapalat" w:cs="GHEA Grapalat"/>
          <w:sz w:val="22"/>
          <w:szCs w:val="22"/>
          <w:lang w:val="en-US"/>
        </w:rPr>
        <w:t>նախատես</w:t>
      </w:r>
      <w:r w:rsidR="003F1C72" w:rsidRPr="00C921DE">
        <w:rPr>
          <w:rFonts w:ascii="GHEA Grapalat" w:hAnsi="GHEA Grapalat" w:cs="GHEA Grapalat"/>
          <w:sz w:val="22"/>
          <w:szCs w:val="22"/>
          <w:lang w:val="en-US"/>
        </w:rPr>
        <w:t>վել նաև Ճգնաժամերի հակազդման և արտակարգ իրավիճակների հետևանքն</w:t>
      </w:r>
      <w:r w:rsidR="002258F3" w:rsidRPr="00C921DE">
        <w:rPr>
          <w:rFonts w:ascii="GHEA Grapalat" w:hAnsi="GHEA Grapalat" w:cs="GHEA Grapalat"/>
          <w:sz w:val="22"/>
          <w:szCs w:val="22"/>
          <w:lang w:val="en-US"/>
        </w:rPr>
        <w:t>երի նվազեցման և վերացման</w:t>
      </w:r>
      <w:r w:rsidR="00517635" w:rsidRPr="00C921DE">
        <w:rPr>
          <w:rFonts w:ascii="GHEA Grapalat" w:hAnsi="GHEA Grapalat" w:cs="GHEA Grapalat"/>
          <w:sz w:val="22"/>
          <w:szCs w:val="22"/>
          <w:lang w:val="en-US"/>
        </w:rPr>
        <w:t xml:space="preserve"> </w:t>
      </w:r>
      <w:r w:rsidR="002258F3" w:rsidRPr="00C921DE">
        <w:rPr>
          <w:rFonts w:ascii="GHEA Grapalat" w:hAnsi="GHEA Grapalat" w:cs="GHEA Grapalat"/>
          <w:sz w:val="22"/>
          <w:szCs w:val="22"/>
          <w:lang w:val="en-US"/>
        </w:rPr>
        <w:t>ծրագրի շրջանակներում</w:t>
      </w:r>
      <w:r w:rsidR="00BC7846" w:rsidRPr="00C921DE">
        <w:rPr>
          <w:rFonts w:ascii="GHEA Grapalat" w:hAnsi="GHEA Grapalat" w:cs="GHEA Grapalat"/>
          <w:sz w:val="22"/>
          <w:szCs w:val="22"/>
          <w:lang w:val="en-US"/>
        </w:rPr>
        <w:t>, որի շրջանակներում 2022 թվականին տրամադրվել էր 4.5 մլրդ դրամ</w:t>
      </w:r>
      <w:r w:rsidR="002258F3" w:rsidRPr="00C921DE">
        <w:rPr>
          <w:rFonts w:ascii="GHEA Grapalat" w:hAnsi="GHEA Grapalat" w:cs="GHEA Grapalat"/>
          <w:sz w:val="22"/>
          <w:szCs w:val="22"/>
          <w:lang w:val="en-US"/>
        </w:rPr>
        <w:t>:</w:t>
      </w:r>
    </w:p>
    <w:p w14:paraId="620CED20" w14:textId="55FDD520" w:rsidR="00DE695B" w:rsidRPr="00C921DE" w:rsidRDefault="000E7659" w:rsidP="00B10D2B">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Պետական բյուջեից տրամադրված դրամաշնորհների տարեկան ծրագիրը </w:t>
      </w:r>
      <w:r w:rsidR="002258F3" w:rsidRPr="00C921DE">
        <w:rPr>
          <w:rFonts w:ascii="GHEA Grapalat" w:hAnsi="GHEA Grapalat" w:cs="GHEA Grapalat"/>
          <w:sz w:val="22"/>
          <w:szCs w:val="22"/>
          <w:lang w:val="en-US"/>
        </w:rPr>
        <w:t>կատար</w:t>
      </w:r>
      <w:r w:rsidRPr="00C921DE">
        <w:rPr>
          <w:rFonts w:ascii="GHEA Grapalat" w:hAnsi="GHEA Grapalat" w:cs="GHEA Grapalat"/>
          <w:sz w:val="22"/>
          <w:szCs w:val="22"/>
        </w:rPr>
        <w:t>վել է 96.3%</w:t>
      </w:r>
      <w:r w:rsidR="002258F3" w:rsidRPr="00C921DE">
        <w:rPr>
          <w:rFonts w:ascii="GHEA Grapalat" w:hAnsi="GHEA Grapalat" w:cs="GHEA Grapalat"/>
          <w:sz w:val="22"/>
          <w:szCs w:val="22"/>
        </w:rPr>
        <w:noBreakHyphen/>
      </w:r>
      <w:r w:rsidRPr="00C921DE">
        <w:rPr>
          <w:rFonts w:ascii="GHEA Grapalat" w:hAnsi="GHEA Grapalat" w:cs="GHEA Grapalat"/>
          <w:sz w:val="22"/>
          <w:szCs w:val="22"/>
        </w:rPr>
        <w:t xml:space="preserve">ով: Շեղումը հիմնականում </w:t>
      </w:r>
      <w:r w:rsidR="008C2155" w:rsidRPr="00C921DE">
        <w:rPr>
          <w:rFonts w:ascii="GHEA Grapalat" w:hAnsi="GHEA Grapalat" w:cs="GHEA Grapalat"/>
          <w:sz w:val="22"/>
          <w:szCs w:val="22"/>
          <w:lang w:val="en-US"/>
        </w:rPr>
        <w:t>արձանագրվել</w:t>
      </w:r>
      <w:r w:rsidRPr="00C921DE">
        <w:rPr>
          <w:rFonts w:ascii="GHEA Grapalat" w:hAnsi="GHEA Grapalat" w:cs="GHEA Grapalat"/>
          <w:sz w:val="22"/>
          <w:szCs w:val="22"/>
        </w:rPr>
        <w:t xml:space="preserve"> է Սոցիալական ապահովության, Գիտական և գիտատեխնիկական հետազոտությունների ու Հանրակրթության ծրագրեր</w:t>
      </w:r>
      <w:r w:rsidR="008C215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Նախորդ տարվա համեմատ պետական բյուջեից տրամադրված դրամաշնորհների </w:t>
      </w:r>
      <w:r w:rsidR="00A43063" w:rsidRPr="00C921DE">
        <w:rPr>
          <w:rFonts w:ascii="GHEA Grapalat" w:hAnsi="GHEA Grapalat" w:cs="GHEA Grapalat"/>
          <w:sz w:val="22"/>
          <w:szCs w:val="22"/>
          <w:lang w:val="en-US"/>
        </w:rPr>
        <w:t>17.8% (</w:t>
      </w:r>
      <w:r w:rsidRPr="00C921DE">
        <w:rPr>
          <w:rFonts w:ascii="GHEA Grapalat" w:hAnsi="GHEA Grapalat" w:cs="GHEA Grapalat"/>
          <w:sz w:val="22"/>
          <w:szCs w:val="22"/>
        </w:rPr>
        <w:t>42.4</w:t>
      </w:r>
      <w:r w:rsidR="00A43063" w:rsidRPr="00C921DE">
        <w:rPr>
          <w:rFonts w:ascii="GHEA Grapalat" w:hAnsi="GHEA Grapalat" w:cs="GHEA Grapalat"/>
          <w:sz w:val="22"/>
          <w:szCs w:val="22"/>
        </w:rPr>
        <w:t xml:space="preserve"> մլրդ դրամ</w:t>
      </w:r>
      <w:r w:rsidR="00A43063"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աճը հիմնականում պայմանավորված է </w:t>
      </w:r>
      <w:r w:rsidR="00DE695B" w:rsidRPr="00C921DE">
        <w:rPr>
          <w:rFonts w:ascii="GHEA Grapalat" w:hAnsi="GHEA Grapalat" w:cs="GHEA Grapalat"/>
          <w:sz w:val="22"/>
          <w:szCs w:val="22"/>
        </w:rPr>
        <w:t>ՀՀ մարզերին ենթակառուցվածքների զարգացման նպատակով</w:t>
      </w:r>
      <w:r w:rsidR="00DE695B" w:rsidRPr="00C921DE">
        <w:rPr>
          <w:rFonts w:ascii="GHEA Grapalat" w:hAnsi="GHEA Grapalat" w:cs="GHEA Grapalat"/>
          <w:sz w:val="22"/>
          <w:szCs w:val="22"/>
          <w:lang w:val="en-US"/>
        </w:rPr>
        <w:t xml:space="preserve"> տրամադրված </w:t>
      </w:r>
      <w:r w:rsidR="00DE695B" w:rsidRPr="00C921DE">
        <w:rPr>
          <w:rFonts w:ascii="GHEA Grapalat" w:hAnsi="GHEA Grapalat" w:cs="GHEA Grapalat"/>
          <w:sz w:val="22"/>
          <w:szCs w:val="22"/>
        </w:rPr>
        <w:t>սուբվենցիաների</w:t>
      </w:r>
      <w:r w:rsidR="00556B63" w:rsidRPr="00C921DE">
        <w:rPr>
          <w:rFonts w:ascii="GHEA Grapalat" w:hAnsi="GHEA Grapalat" w:cs="GHEA Grapalat"/>
          <w:sz w:val="22"/>
          <w:szCs w:val="22"/>
          <w:lang w:val="en-US"/>
        </w:rPr>
        <w:t>՝</w:t>
      </w:r>
      <w:r w:rsidR="00DE695B" w:rsidRPr="00C921DE">
        <w:rPr>
          <w:rFonts w:ascii="GHEA Grapalat" w:hAnsi="GHEA Grapalat" w:cs="GHEA Grapalat"/>
          <w:sz w:val="22"/>
          <w:szCs w:val="22"/>
          <w:lang w:val="en-US"/>
        </w:rPr>
        <w:t xml:space="preserve"> 64.3% (11.8 մլրդ դրամ), </w:t>
      </w:r>
      <w:r w:rsidR="00353693" w:rsidRPr="00C921DE">
        <w:rPr>
          <w:rFonts w:ascii="GHEA Grapalat" w:hAnsi="GHEA Grapalat" w:cs="GHEA Grapalat"/>
          <w:sz w:val="22"/>
          <w:szCs w:val="22"/>
          <w:lang w:val="en-US"/>
        </w:rPr>
        <w:t>ՀՀ</w:t>
      </w:r>
      <w:r w:rsidR="00353693" w:rsidRPr="00C921DE">
        <w:rPr>
          <w:rFonts w:ascii="GHEA Grapalat" w:hAnsi="GHEA Grapalat" w:cs="GHEA Grapalat"/>
          <w:sz w:val="22"/>
          <w:szCs w:val="22"/>
        </w:rPr>
        <w:t xml:space="preserve"> պաշտպանության ժամանակ զինծառայողների կյանքին կամ առողջությանը պատճառված վնասների հատուցման ծախսերի</w:t>
      </w:r>
      <w:r w:rsidR="00556B63" w:rsidRPr="00C921DE">
        <w:rPr>
          <w:rFonts w:ascii="GHEA Grapalat" w:hAnsi="GHEA Grapalat" w:cs="GHEA Grapalat"/>
          <w:sz w:val="22"/>
          <w:szCs w:val="22"/>
          <w:lang w:val="en-US"/>
        </w:rPr>
        <w:t>՝</w:t>
      </w:r>
      <w:r w:rsidR="00353693" w:rsidRPr="00C921DE">
        <w:rPr>
          <w:rFonts w:ascii="GHEA Grapalat" w:hAnsi="GHEA Grapalat" w:cs="GHEA Grapalat"/>
          <w:sz w:val="22"/>
          <w:szCs w:val="22"/>
        </w:rPr>
        <w:t xml:space="preserve"> 24.9% (8.5 մլրդ դրամ)</w:t>
      </w:r>
      <w:r w:rsidR="00B10D2B" w:rsidRPr="00C921DE">
        <w:rPr>
          <w:rFonts w:ascii="GHEA Grapalat" w:hAnsi="GHEA Grapalat" w:cs="GHEA Grapalat"/>
          <w:sz w:val="22"/>
          <w:szCs w:val="22"/>
          <w:lang w:val="en-US"/>
        </w:rPr>
        <w:t xml:space="preserve">, </w:t>
      </w:r>
      <w:r w:rsidR="00B10D2B" w:rsidRPr="00C921DE">
        <w:rPr>
          <w:rFonts w:ascii="GHEA Grapalat" w:hAnsi="GHEA Grapalat" w:cs="GHEA Grapalat"/>
          <w:sz w:val="22"/>
          <w:szCs w:val="22"/>
        </w:rPr>
        <w:t>տեղեկատվական տեխնոլոգիաների ոլորտում գործունեություն իրականացնող առևտրային կազմակերպություններին և անհատ ձեռնարկատերերին</w:t>
      </w:r>
      <w:r w:rsidR="00B10D2B" w:rsidRPr="00C921DE">
        <w:rPr>
          <w:rFonts w:ascii="GHEA Grapalat" w:hAnsi="GHEA Grapalat" w:cs="GHEA Grapalat"/>
          <w:sz w:val="22"/>
          <w:szCs w:val="22"/>
          <w:lang w:val="en-US"/>
        </w:rPr>
        <w:t xml:space="preserve"> պ</w:t>
      </w:r>
      <w:r w:rsidR="00B10D2B" w:rsidRPr="00C921DE">
        <w:rPr>
          <w:rFonts w:ascii="GHEA Grapalat" w:hAnsi="GHEA Grapalat" w:cs="GHEA Grapalat"/>
          <w:sz w:val="22"/>
          <w:szCs w:val="22"/>
        </w:rPr>
        <w:t>ետական աջակցության</w:t>
      </w:r>
      <w:r w:rsidR="00556B63" w:rsidRPr="00C921DE">
        <w:rPr>
          <w:rFonts w:ascii="GHEA Grapalat" w:hAnsi="GHEA Grapalat" w:cs="GHEA Grapalat"/>
          <w:sz w:val="22"/>
          <w:szCs w:val="22"/>
          <w:lang w:val="en-US"/>
        </w:rPr>
        <w:t>՝</w:t>
      </w:r>
      <w:r w:rsidR="00B10D2B" w:rsidRPr="00C921DE">
        <w:rPr>
          <w:rFonts w:ascii="GHEA Grapalat" w:hAnsi="GHEA Grapalat" w:cs="GHEA Grapalat"/>
          <w:sz w:val="22"/>
          <w:szCs w:val="22"/>
          <w:lang w:val="en-US"/>
        </w:rPr>
        <w:t xml:space="preserve"> 4.9 անգամ (10.1 մլրդ դրամ) և պետական բյուջեից համայնքների բյուջեներին ֆինանսական համահարթեցման սկզբունքով տրվող դոտացիաների </w:t>
      </w:r>
      <w:r w:rsidR="00556B63" w:rsidRPr="00C921DE">
        <w:rPr>
          <w:rFonts w:ascii="GHEA Grapalat" w:hAnsi="GHEA Grapalat" w:cs="GHEA Grapalat"/>
          <w:sz w:val="22"/>
          <w:szCs w:val="22"/>
          <w:lang w:val="en-US"/>
        </w:rPr>
        <w:t>8.5% (5.5 մլրդ դրամ) աճով:</w:t>
      </w:r>
    </w:p>
    <w:p w14:paraId="505C1161" w14:textId="77777777" w:rsidR="000E7659" w:rsidRPr="00C921DE" w:rsidRDefault="000E7659" w:rsidP="000E7659">
      <w:pPr>
        <w:spacing w:line="360" w:lineRule="auto"/>
        <w:ind w:firstLine="567"/>
        <w:jc w:val="both"/>
        <w:rPr>
          <w:rFonts w:ascii="GHEA Grapalat" w:hAnsi="GHEA Grapalat" w:cs="GHEA Grapalat"/>
          <w:sz w:val="22"/>
          <w:szCs w:val="22"/>
        </w:rPr>
      </w:pPr>
    </w:p>
    <w:p w14:paraId="77139CD0" w14:textId="77777777" w:rsidR="000E7659" w:rsidRPr="00C921DE" w:rsidRDefault="000E7659" w:rsidP="000E7659">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բյուջեից տրամադրված դրամաշնորհները (մլրդ դրամ)</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536"/>
        <w:gridCol w:w="993"/>
        <w:gridCol w:w="1134"/>
        <w:gridCol w:w="992"/>
        <w:gridCol w:w="1232"/>
        <w:gridCol w:w="1206"/>
      </w:tblGrid>
      <w:tr w:rsidR="004264D1" w:rsidRPr="00C921DE" w14:paraId="038DDAA3" w14:textId="77777777" w:rsidTr="00B450AE">
        <w:trPr>
          <w:trHeight w:val="1425"/>
        </w:trPr>
        <w:tc>
          <w:tcPr>
            <w:tcW w:w="4536" w:type="dxa"/>
            <w:noWrap/>
            <w:vAlign w:val="bottom"/>
          </w:tcPr>
          <w:p w14:paraId="4673CAF4" w14:textId="77777777" w:rsidR="004264D1" w:rsidRPr="00C921DE" w:rsidRDefault="004264D1" w:rsidP="004264D1">
            <w:pPr>
              <w:rPr>
                <w:rFonts w:ascii="Courier New" w:hAnsi="Courier New" w:cs="Courier New"/>
                <w:sz w:val="18"/>
                <w:szCs w:val="18"/>
              </w:rPr>
            </w:pPr>
            <w:r w:rsidRPr="00C921DE">
              <w:rPr>
                <w:rFonts w:ascii="Courier New" w:hAnsi="Courier New" w:cs="Courier New"/>
                <w:sz w:val="18"/>
                <w:szCs w:val="18"/>
              </w:rPr>
              <w:t> </w:t>
            </w:r>
          </w:p>
          <w:p w14:paraId="633DC1FD" w14:textId="77777777" w:rsidR="004264D1" w:rsidRPr="00C921DE" w:rsidRDefault="004264D1" w:rsidP="004264D1">
            <w:pPr>
              <w:rPr>
                <w:rFonts w:ascii="GHEA Grapalat" w:hAnsi="GHEA Grapalat" w:cs="Calibri"/>
                <w:sz w:val="18"/>
                <w:szCs w:val="18"/>
              </w:rPr>
            </w:pPr>
          </w:p>
        </w:tc>
        <w:tc>
          <w:tcPr>
            <w:tcW w:w="993" w:type="dxa"/>
            <w:shd w:val="clear" w:color="auto" w:fill="FFFFFF"/>
          </w:tcPr>
          <w:p w14:paraId="5347EE76" w14:textId="77777777"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134" w:type="dxa"/>
            <w:shd w:val="clear" w:color="auto" w:fill="FFFFFF"/>
          </w:tcPr>
          <w:p w14:paraId="0993FFC2" w14:textId="3110EBEA"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ճշտված ծրագիր</w:t>
            </w:r>
          </w:p>
        </w:tc>
        <w:tc>
          <w:tcPr>
            <w:tcW w:w="992" w:type="dxa"/>
            <w:shd w:val="clear" w:color="auto" w:fill="FFFFFF"/>
          </w:tcPr>
          <w:p w14:paraId="0DC7759E" w14:textId="70134745"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c>
          <w:tcPr>
            <w:tcW w:w="1232" w:type="dxa"/>
            <w:shd w:val="clear" w:color="auto" w:fill="FFFFFF"/>
          </w:tcPr>
          <w:p w14:paraId="37F7F475" w14:textId="1BB09256"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Կատարո-ղական</w:t>
            </w:r>
            <w:r w:rsidRPr="00C921DE">
              <w:rPr>
                <w:rFonts w:ascii="GHEA Grapalat" w:hAnsi="GHEA Grapalat" w:cs="Calibri"/>
                <w:b/>
                <w:bCs/>
                <w:sz w:val="18"/>
                <w:szCs w:val="18"/>
                <w:lang w:val="en-US"/>
              </w:rPr>
              <w:t>ը</w:t>
            </w:r>
            <w:r w:rsidRPr="00C921DE">
              <w:rPr>
                <w:rFonts w:ascii="GHEA Grapalat" w:hAnsi="GHEA Grapalat" w:cs="Calibri"/>
                <w:b/>
                <w:bCs/>
                <w:sz w:val="18"/>
                <w:szCs w:val="18"/>
              </w:rPr>
              <w:t xml:space="preserve"> ճշտված </w:t>
            </w:r>
            <w:r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206" w:type="dxa"/>
            <w:shd w:val="clear" w:color="auto" w:fill="FFFFFF"/>
          </w:tcPr>
          <w:p w14:paraId="3E69FFF9" w14:textId="27C504D1" w:rsidR="004264D1" w:rsidRPr="00C921DE" w:rsidRDefault="004264D1" w:rsidP="004264D1">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w:t>
            </w:r>
            <w:r w:rsidRPr="00C921DE">
              <w:rPr>
                <w:rFonts w:ascii="GHEA Grapalat" w:hAnsi="GHEA Grapalat" w:cs="Calibri"/>
                <w:b/>
                <w:bCs/>
                <w:sz w:val="18"/>
                <w:szCs w:val="18"/>
                <w:lang w:val="en-US"/>
              </w:rPr>
              <w:t xml:space="preserve">. </w:t>
            </w: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0E7659" w:rsidRPr="00C921DE" w14:paraId="70738C52" w14:textId="77777777" w:rsidTr="00B450AE">
        <w:trPr>
          <w:trHeight w:val="265"/>
        </w:trPr>
        <w:tc>
          <w:tcPr>
            <w:tcW w:w="4536" w:type="dxa"/>
            <w:noWrap/>
            <w:vAlign w:val="bottom"/>
          </w:tcPr>
          <w:p w14:paraId="74095742" w14:textId="77777777" w:rsidR="000E7659" w:rsidRPr="00C921DE" w:rsidRDefault="000E7659" w:rsidP="000E7659">
            <w:pPr>
              <w:rPr>
                <w:rFonts w:ascii="GHEA Grapalat" w:hAnsi="GHEA Grapalat" w:cs="Calibri"/>
                <w:b/>
                <w:bCs/>
                <w:sz w:val="18"/>
                <w:szCs w:val="18"/>
              </w:rPr>
            </w:pPr>
            <w:r w:rsidRPr="00C921DE">
              <w:rPr>
                <w:rFonts w:ascii="GHEA Grapalat" w:hAnsi="GHEA Grapalat"/>
                <w:b/>
                <w:sz w:val="18"/>
                <w:szCs w:val="18"/>
              </w:rPr>
              <w:t>Դրամաշնորհներ</w:t>
            </w:r>
          </w:p>
        </w:tc>
        <w:tc>
          <w:tcPr>
            <w:tcW w:w="993" w:type="dxa"/>
            <w:noWrap/>
            <w:vAlign w:val="bottom"/>
          </w:tcPr>
          <w:p w14:paraId="25657A16"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238.6</w:t>
            </w:r>
          </w:p>
        </w:tc>
        <w:tc>
          <w:tcPr>
            <w:tcW w:w="1134" w:type="dxa"/>
            <w:noWrap/>
            <w:vAlign w:val="bottom"/>
          </w:tcPr>
          <w:p w14:paraId="41096241"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291.8</w:t>
            </w:r>
          </w:p>
        </w:tc>
        <w:tc>
          <w:tcPr>
            <w:tcW w:w="992" w:type="dxa"/>
            <w:noWrap/>
            <w:vAlign w:val="bottom"/>
          </w:tcPr>
          <w:p w14:paraId="200B1D4D"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281.0</w:t>
            </w:r>
          </w:p>
        </w:tc>
        <w:tc>
          <w:tcPr>
            <w:tcW w:w="1232" w:type="dxa"/>
            <w:vAlign w:val="bottom"/>
          </w:tcPr>
          <w:p w14:paraId="656FC399"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96.3</w:t>
            </w:r>
          </w:p>
        </w:tc>
        <w:tc>
          <w:tcPr>
            <w:tcW w:w="1206" w:type="dxa"/>
            <w:noWrap/>
            <w:vAlign w:val="bottom"/>
          </w:tcPr>
          <w:p w14:paraId="0BAFC05E"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117.8</w:t>
            </w:r>
          </w:p>
        </w:tc>
      </w:tr>
      <w:tr w:rsidR="000E7659" w:rsidRPr="00C921DE" w14:paraId="49E3AE93" w14:textId="77777777" w:rsidTr="00B450AE">
        <w:trPr>
          <w:trHeight w:val="171"/>
        </w:trPr>
        <w:tc>
          <w:tcPr>
            <w:tcW w:w="4536" w:type="dxa"/>
            <w:vAlign w:val="bottom"/>
          </w:tcPr>
          <w:p w14:paraId="1BDB0C25" w14:textId="77777777" w:rsidR="000E7659" w:rsidRPr="00C921DE" w:rsidRDefault="000E7659" w:rsidP="000E7659">
            <w:pPr>
              <w:rPr>
                <w:rFonts w:ascii="GHEA Grapalat" w:hAnsi="GHEA Grapalat" w:cs="Calibri"/>
                <w:sz w:val="18"/>
                <w:szCs w:val="18"/>
              </w:rPr>
            </w:pPr>
            <w:r w:rsidRPr="00C921DE">
              <w:rPr>
                <w:rFonts w:ascii="GHEA Grapalat" w:hAnsi="GHEA Grapalat"/>
                <w:sz w:val="18"/>
                <w:szCs w:val="18"/>
              </w:rPr>
              <w:t xml:space="preserve"> Միջազգային կազմակերպություններին</w:t>
            </w:r>
          </w:p>
        </w:tc>
        <w:tc>
          <w:tcPr>
            <w:tcW w:w="993" w:type="dxa"/>
            <w:noWrap/>
            <w:vAlign w:val="bottom"/>
          </w:tcPr>
          <w:p w14:paraId="3D6D9FB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3.7</w:t>
            </w:r>
          </w:p>
        </w:tc>
        <w:tc>
          <w:tcPr>
            <w:tcW w:w="1134" w:type="dxa"/>
            <w:noWrap/>
            <w:vAlign w:val="bottom"/>
          </w:tcPr>
          <w:p w14:paraId="3194F2C4"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3.3</w:t>
            </w:r>
          </w:p>
        </w:tc>
        <w:tc>
          <w:tcPr>
            <w:tcW w:w="992" w:type="dxa"/>
            <w:noWrap/>
            <w:vAlign w:val="bottom"/>
          </w:tcPr>
          <w:p w14:paraId="3A322763"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3.1</w:t>
            </w:r>
          </w:p>
        </w:tc>
        <w:tc>
          <w:tcPr>
            <w:tcW w:w="1232" w:type="dxa"/>
            <w:vAlign w:val="bottom"/>
          </w:tcPr>
          <w:p w14:paraId="311DE72B" w14:textId="1DD37408" w:rsidR="000E7659" w:rsidRPr="00C921DE" w:rsidRDefault="000E7659" w:rsidP="002169EF">
            <w:pPr>
              <w:jc w:val="right"/>
              <w:rPr>
                <w:rFonts w:ascii="GHEA Grapalat" w:hAnsi="GHEA Grapalat" w:cs="Calibri"/>
                <w:sz w:val="18"/>
                <w:szCs w:val="18"/>
              </w:rPr>
            </w:pPr>
            <w:r w:rsidRPr="00C921DE">
              <w:rPr>
                <w:rFonts w:ascii="GHEA Grapalat" w:hAnsi="GHEA Grapalat" w:cs="Calibri"/>
                <w:sz w:val="18"/>
                <w:szCs w:val="18"/>
              </w:rPr>
              <w:t>9</w:t>
            </w:r>
            <w:r w:rsidR="002169EF" w:rsidRPr="00C921DE">
              <w:rPr>
                <w:rFonts w:ascii="GHEA Grapalat" w:hAnsi="GHEA Grapalat" w:cs="Calibri"/>
                <w:sz w:val="18"/>
                <w:szCs w:val="18"/>
                <w:lang w:val="en-US"/>
              </w:rPr>
              <w:t>2</w:t>
            </w:r>
            <w:r w:rsidRPr="00C921DE">
              <w:rPr>
                <w:rFonts w:ascii="GHEA Grapalat" w:hAnsi="GHEA Grapalat" w:cs="Calibri"/>
                <w:sz w:val="18"/>
                <w:szCs w:val="18"/>
              </w:rPr>
              <w:t>.1</w:t>
            </w:r>
          </w:p>
        </w:tc>
        <w:tc>
          <w:tcPr>
            <w:tcW w:w="1206" w:type="dxa"/>
            <w:noWrap/>
            <w:vAlign w:val="bottom"/>
          </w:tcPr>
          <w:p w14:paraId="633A2D2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lang w:val="en-US"/>
              </w:rPr>
              <w:t>82.1</w:t>
            </w:r>
          </w:p>
        </w:tc>
      </w:tr>
      <w:tr w:rsidR="000E7659" w:rsidRPr="00C921DE" w14:paraId="3C2E197D" w14:textId="77777777" w:rsidTr="00B450AE">
        <w:trPr>
          <w:trHeight w:val="315"/>
        </w:trPr>
        <w:tc>
          <w:tcPr>
            <w:tcW w:w="4536" w:type="dxa"/>
            <w:vAlign w:val="bottom"/>
          </w:tcPr>
          <w:p w14:paraId="3EAD2315" w14:textId="77777777" w:rsidR="000E7659" w:rsidRPr="00C921DE" w:rsidRDefault="000E7659" w:rsidP="000E7659">
            <w:pPr>
              <w:rPr>
                <w:rFonts w:ascii="GHEA Grapalat" w:hAnsi="GHEA Grapalat" w:cs="Calibri"/>
                <w:sz w:val="18"/>
                <w:szCs w:val="18"/>
              </w:rPr>
            </w:pPr>
            <w:r w:rsidRPr="00C921DE">
              <w:rPr>
                <w:rFonts w:ascii="GHEA Grapalat" w:hAnsi="GHEA Grapalat"/>
                <w:sz w:val="18"/>
                <w:szCs w:val="18"/>
              </w:rPr>
              <w:t xml:space="preserve"> Պետական հատվածի այլ մակարդակներին (ընթացիկ), այդ թվում`</w:t>
            </w:r>
          </w:p>
        </w:tc>
        <w:tc>
          <w:tcPr>
            <w:tcW w:w="993" w:type="dxa"/>
            <w:noWrap/>
            <w:vAlign w:val="bottom"/>
          </w:tcPr>
          <w:p w14:paraId="1327A2C4"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208.6</w:t>
            </w:r>
          </w:p>
        </w:tc>
        <w:tc>
          <w:tcPr>
            <w:tcW w:w="1134" w:type="dxa"/>
            <w:noWrap/>
            <w:vAlign w:val="bottom"/>
          </w:tcPr>
          <w:p w14:paraId="729BED47"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246.2</w:t>
            </w:r>
          </w:p>
        </w:tc>
        <w:tc>
          <w:tcPr>
            <w:tcW w:w="992" w:type="dxa"/>
            <w:noWrap/>
            <w:vAlign w:val="bottom"/>
          </w:tcPr>
          <w:p w14:paraId="62EA9FD9"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238.0</w:t>
            </w:r>
          </w:p>
        </w:tc>
        <w:tc>
          <w:tcPr>
            <w:tcW w:w="1232" w:type="dxa"/>
            <w:vAlign w:val="bottom"/>
          </w:tcPr>
          <w:p w14:paraId="5E0326C4" w14:textId="06BFCAE7" w:rsidR="000E7659" w:rsidRPr="00C921DE" w:rsidRDefault="000E7659" w:rsidP="002169EF">
            <w:pPr>
              <w:jc w:val="right"/>
              <w:rPr>
                <w:rFonts w:ascii="GHEA Grapalat" w:hAnsi="GHEA Grapalat" w:cs="Calibri"/>
                <w:sz w:val="18"/>
                <w:szCs w:val="18"/>
                <w:lang w:val="en-US"/>
              </w:rPr>
            </w:pPr>
            <w:r w:rsidRPr="00C921DE">
              <w:rPr>
                <w:rFonts w:ascii="GHEA Grapalat" w:hAnsi="GHEA Grapalat" w:cs="Calibri"/>
                <w:sz w:val="18"/>
                <w:szCs w:val="18"/>
              </w:rPr>
              <w:t>9</w:t>
            </w:r>
            <w:r w:rsidR="002169EF" w:rsidRPr="00C921DE">
              <w:rPr>
                <w:rFonts w:ascii="GHEA Grapalat" w:hAnsi="GHEA Grapalat" w:cs="Calibri"/>
                <w:sz w:val="18"/>
                <w:szCs w:val="18"/>
                <w:lang w:val="en-US"/>
              </w:rPr>
              <w:t>6.7</w:t>
            </w:r>
          </w:p>
        </w:tc>
        <w:tc>
          <w:tcPr>
            <w:tcW w:w="1206" w:type="dxa"/>
            <w:noWrap/>
            <w:vAlign w:val="bottom"/>
          </w:tcPr>
          <w:p w14:paraId="39F30C5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114.1</w:t>
            </w:r>
          </w:p>
        </w:tc>
      </w:tr>
      <w:tr w:rsidR="000E7659" w:rsidRPr="00C921DE" w14:paraId="65B09FE0" w14:textId="77777777" w:rsidTr="00B450AE">
        <w:trPr>
          <w:trHeight w:val="491"/>
        </w:trPr>
        <w:tc>
          <w:tcPr>
            <w:tcW w:w="4536" w:type="dxa"/>
            <w:vAlign w:val="bottom"/>
          </w:tcPr>
          <w:p w14:paraId="4F9491BF" w14:textId="77777777" w:rsidR="000E7659" w:rsidRPr="00C921DE" w:rsidRDefault="000E7659" w:rsidP="000E7659">
            <w:pPr>
              <w:rPr>
                <w:rFonts w:ascii="GHEA Grapalat" w:hAnsi="GHEA Grapalat"/>
                <w:sz w:val="18"/>
                <w:szCs w:val="18"/>
              </w:rPr>
            </w:pPr>
            <w:r w:rsidRPr="00C921DE">
              <w:rPr>
                <w:rFonts w:ascii="GHEA Grapalat" w:hAnsi="GHEA Grapalat"/>
                <w:sz w:val="18"/>
                <w:szCs w:val="18"/>
              </w:rPr>
              <w:t xml:space="preserve"> - Համայնքների բյուջեներին համահարթեցման սկզբունքով տրվող դոտացիաներ</w:t>
            </w:r>
          </w:p>
        </w:tc>
        <w:tc>
          <w:tcPr>
            <w:tcW w:w="993" w:type="dxa"/>
            <w:noWrap/>
            <w:vAlign w:val="bottom"/>
          </w:tcPr>
          <w:p w14:paraId="11A8353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64.3</w:t>
            </w:r>
          </w:p>
        </w:tc>
        <w:tc>
          <w:tcPr>
            <w:tcW w:w="1134" w:type="dxa"/>
            <w:noWrap/>
            <w:vAlign w:val="bottom"/>
          </w:tcPr>
          <w:p w14:paraId="7D0E36E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69.8</w:t>
            </w:r>
          </w:p>
        </w:tc>
        <w:tc>
          <w:tcPr>
            <w:tcW w:w="992" w:type="dxa"/>
            <w:noWrap/>
            <w:vAlign w:val="bottom"/>
          </w:tcPr>
          <w:p w14:paraId="255C1C8C"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69.8</w:t>
            </w:r>
          </w:p>
        </w:tc>
        <w:tc>
          <w:tcPr>
            <w:tcW w:w="1232" w:type="dxa"/>
            <w:vAlign w:val="bottom"/>
          </w:tcPr>
          <w:p w14:paraId="59BFF35C"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100.0</w:t>
            </w:r>
          </w:p>
        </w:tc>
        <w:tc>
          <w:tcPr>
            <w:tcW w:w="1206" w:type="dxa"/>
            <w:noWrap/>
            <w:vAlign w:val="bottom"/>
          </w:tcPr>
          <w:p w14:paraId="33E7FBB8"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108.5</w:t>
            </w:r>
          </w:p>
        </w:tc>
      </w:tr>
      <w:tr w:rsidR="000E7659" w:rsidRPr="00C921DE" w14:paraId="7B65C774" w14:textId="77777777" w:rsidTr="00B450AE">
        <w:trPr>
          <w:trHeight w:val="457"/>
        </w:trPr>
        <w:tc>
          <w:tcPr>
            <w:tcW w:w="4536" w:type="dxa"/>
            <w:vAlign w:val="bottom"/>
          </w:tcPr>
          <w:p w14:paraId="43F25301" w14:textId="77777777" w:rsidR="000E7659" w:rsidRPr="00C921DE" w:rsidRDefault="000E7659" w:rsidP="000E7659">
            <w:pPr>
              <w:rPr>
                <w:rFonts w:ascii="GHEA Grapalat" w:hAnsi="GHEA Grapalat"/>
                <w:sz w:val="18"/>
                <w:szCs w:val="18"/>
              </w:rPr>
            </w:pPr>
            <w:r w:rsidRPr="00C921DE">
              <w:rPr>
                <w:rFonts w:ascii="GHEA Grapalat" w:hAnsi="GHEA Grapalat"/>
                <w:sz w:val="18"/>
                <w:szCs w:val="18"/>
              </w:rPr>
              <w:t>Պետական հատվածի այլ մակարդակներին (կապիտալ)</w:t>
            </w:r>
          </w:p>
        </w:tc>
        <w:tc>
          <w:tcPr>
            <w:tcW w:w="993" w:type="dxa"/>
            <w:noWrap/>
            <w:vAlign w:val="bottom"/>
          </w:tcPr>
          <w:p w14:paraId="4267262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26.2</w:t>
            </w:r>
          </w:p>
        </w:tc>
        <w:tc>
          <w:tcPr>
            <w:tcW w:w="1134" w:type="dxa"/>
            <w:noWrap/>
            <w:vAlign w:val="bottom"/>
          </w:tcPr>
          <w:p w14:paraId="0A2F8960" w14:textId="44AC8BE0" w:rsidR="000E7659" w:rsidRPr="00C921DE" w:rsidRDefault="000E7659" w:rsidP="002169EF">
            <w:pPr>
              <w:jc w:val="right"/>
              <w:rPr>
                <w:rFonts w:ascii="GHEA Grapalat" w:hAnsi="GHEA Grapalat" w:cs="Calibri"/>
                <w:sz w:val="18"/>
                <w:szCs w:val="18"/>
                <w:lang w:val="en-US"/>
              </w:rPr>
            </w:pPr>
            <w:r w:rsidRPr="00C921DE">
              <w:rPr>
                <w:rFonts w:ascii="GHEA Grapalat" w:hAnsi="GHEA Grapalat" w:cs="Calibri"/>
                <w:sz w:val="18"/>
                <w:szCs w:val="18"/>
                <w:lang w:val="en-US"/>
              </w:rPr>
              <w:t>42.</w:t>
            </w:r>
            <w:r w:rsidR="002169EF" w:rsidRPr="00C921DE">
              <w:rPr>
                <w:rFonts w:ascii="GHEA Grapalat" w:hAnsi="GHEA Grapalat" w:cs="Calibri"/>
                <w:sz w:val="18"/>
                <w:szCs w:val="18"/>
                <w:lang w:val="en-US"/>
              </w:rPr>
              <w:t>3</w:t>
            </w:r>
          </w:p>
        </w:tc>
        <w:tc>
          <w:tcPr>
            <w:tcW w:w="992" w:type="dxa"/>
            <w:noWrap/>
            <w:vAlign w:val="bottom"/>
          </w:tcPr>
          <w:p w14:paraId="5CB5EE3B"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39.9</w:t>
            </w:r>
          </w:p>
        </w:tc>
        <w:tc>
          <w:tcPr>
            <w:tcW w:w="1232" w:type="dxa"/>
            <w:vAlign w:val="bottom"/>
          </w:tcPr>
          <w:p w14:paraId="4A813CC7" w14:textId="1707B7F6" w:rsidR="000E7659" w:rsidRPr="00C921DE" w:rsidRDefault="002169EF" w:rsidP="000E7659">
            <w:pPr>
              <w:jc w:val="right"/>
              <w:rPr>
                <w:rFonts w:ascii="GHEA Grapalat" w:hAnsi="GHEA Grapalat" w:cs="Calibri"/>
                <w:sz w:val="18"/>
                <w:szCs w:val="18"/>
              </w:rPr>
            </w:pPr>
            <w:r w:rsidRPr="00C921DE">
              <w:rPr>
                <w:rFonts w:ascii="GHEA Grapalat" w:hAnsi="GHEA Grapalat" w:cs="Calibri"/>
                <w:sz w:val="18"/>
                <w:szCs w:val="18"/>
              </w:rPr>
              <w:t>94</w:t>
            </w:r>
            <w:r w:rsidR="000E7659" w:rsidRPr="00C921DE">
              <w:rPr>
                <w:rFonts w:ascii="GHEA Grapalat" w:hAnsi="GHEA Grapalat" w:cs="Calibri"/>
                <w:sz w:val="18"/>
                <w:szCs w:val="18"/>
              </w:rPr>
              <w:t>.5</w:t>
            </w:r>
          </w:p>
        </w:tc>
        <w:tc>
          <w:tcPr>
            <w:tcW w:w="1206" w:type="dxa"/>
            <w:noWrap/>
            <w:vAlign w:val="bottom"/>
          </w:tcPr>
          <w:p w14:paraId="5B0574FC"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152.3</w:t>
            </w:r>
          </w:p>
        </w:tc>
      </w:tr>
    </w:tbl>
    <w:p w14:paraId="0AA19A2A" w14:textId="77777777" w:rsidR="000E7659" w:rsidRPr="00C921DE" w:rsidRDefault="000E7659" w:rsidP="000E7659">
      <w:pPr>
        <w:spacing w:line="360" w:lineRule="auto"/>
        <w:ind w:firstLine="567"/>
        <w:jc w:val="both"/>
        <w:rPr>
          <w:rFonts w:ascii="GHEA Grapalat" w:hAnsi="GHEA Grapalat" w:cs="GHEA Grapalat"/>
          <w:sz w:val="22"/>
          <w:szCs w:val="22"/>
        </w:rPr>
      </w:pPr>
    </w:p>
    <w:p w14:paraId="012F6349" w14:textId="766B80C5" w:rsidR="00FC3885" w:rsidRPr="00C921DE" w:rsidRDefault="00712CC0" w:rsidP="00FC3885">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Նախորդ տարվա համեմատ նպաստների գծով ծախսերի աճը հիմնականում արձանագրվել է 3 և ավելի երեխա ունեցող ընտանիքներին դրամական աջակցության (3.</w:t>
      </w:r>
      <w:r w:rsidR="00EC436A" w:rsidRPr="00C921DE">
        <w:rPr>
          <w:rFonts w:ascii="GHEA Grapalat" w:hAnsi="GHEA Grapalat" w:cs="GHEA Grapalat"/>
          <w:sz w:val="22"/>
          <w:szCs w:val="22"/>
          <w:lang w:val="en-US"/>
        </w:rPr>
        <w:t>5</w:t>
      </w:r>
      <w:r w:rsidRPr="00C921DE">
        <w:rPr>
          <w:rFonts w:ascii="GHEA Grapalat" w:hAnsi="GHEA Grapalat" w:cs="GHEA Grapalat"/>
          <w:sz w:val="22"/>
          <w:szCs w:val="22"/>
          <w:lang w:val="en-US"/>
        </w:rPr>
        <w:t xml:space="preserve"> անգամ կամ </w:t>
      </w:r>
      <w:r w:rsidR="00EC436A" w:rsidRPr="00C921DE">
        <w:rPr>
          <w:rFonts w:ascii="GHEA Grapalat" w:hAnsi="GHEA Grapalat" w:cs="GHEA Grapalat"/>
          <w:sz w:val="22"/>
          <w:szCs w:val="22"/>
          <w:lang w:val="en-US"/>
        </w:rPr>
        <w:t xml:space="preserve">7.5 </w:t>
      </w:r>
      <w:r w:rsidRPr="00C921DE">
        <w:rPr>
          <w:rFonts w:ascii="GHEA Grapalat" w:hAnsi="GHEA Grapalat" w:cs="GHEA Grapalat"/>
          <w:sz w:val="22"/>
          <w:szCs w:val="22"/>
          <w:lang w:val="en-US"/>
        </w:rPr>
        <w:t>մլրդ դրամ</w:t>
      </w:r>
      <w:r w:rsidR="00EC436A" w:rsidRPr="00C921DE">
        <w:rPr>
          <w:rFonts w:ascii="GHEA Grapalat" w:hAnsi="GHEA Grapalat" w:cs="GHEA Grapalat"/>
          <w:sz w:val="22"/>
          <w:szCs w:val="22"/>
          <w:lang w:val="en-US"/>
        </w:rPr>
        <w:t>ով</w:t>
      </w:r>
      <w:r w:rsidRPr="00C921DE">
        <w:rPr>
          <w:rFonts w:ascii="GHEA Grapalat" w:hAnsi="GHEA Grapalat" w:cs="GHEA Grapalat"/>
          <w:sz w:val="22"/>
          <w:szCs w:val="22"/>
          <w:lang w:val="en-US"/>
        </w:rPr>
        <w:t xml:space="preserve">), </w:t>
      </w:r>
      <w:r w:rsidR="00EC436A" w:rsidRPr="00C921DE">
        <w:rPr>
          <w:rFonts w:ascii="GHEA Grapalat" w:hAnsi="GHEA Grapalat" w:cs="GHEA Grapalat"/>
          <w:sz w:val="22"/>
          <w:szCs w:val="22"/>
          <w:lang w:val="en-US"/>
        </w:rPr>
        <w:t xml:space="preserve">մինչև 2 տարեկան երեխայի խնամքի նպաստի (32.8%-ով կամ 5 մլրդ դրամով), </w:t>
      </w:r>
      <w:r w:rsidRPr="00C921DE">
        <w:rPr>
          <w:rFonts w:ascii="GHEA Grapalat" w:hAnsi="GHEA Grapalat" w:cs="GHEA Grapalat"/>
          <w:sz w:val="22"/>
          <w:szCs w:val="22"/>
          <w:lang w:val="en-US"/>
        </w:rPr>
        <w:t>ծերության, հաշմանդամության, կերակրողին կորցնելու դեպքում տրվող նպաստների (</w:t>
      </w:r>
      <w:r w:rsidR="00D70F58" w:rsidRPr="00C921DE">
        <w:rPr>
          <w:rFonts w:ascii="GHEA Grapalat" w:hAnsi="GHEA Grapalat" w:cs="GHEA Grapalat"/>
          <w:sz w:val="22"/>
          <w:szCs w:val="22"/>
          <w:lang w:val="en-US"/>
        </w:rPr>
        <w:t>14.5</w:t>
      </w:r>
      <w:r w:rsidRPr="00C921DE">
        <w:rPr>
          <w:rFonts w:ascii="GHEA Grapalat" w:hAnsi="GHEA Grapalat" w:cs="GHEA Grapalat"/>
          <w:sz w:val="22"/>
          <w:szCs w:val="22"/>
          <w:lang w:val="en-US"/>
        </w:rPr>
        <w:t xml:space="preserve">%-ով կամ </w:t>
      </w:r>
      <w:r w:rsidR="00D70F58" w:rsidRPr="00C921DE">
        <w:rPr>
          <w:rFonts w:ascii="GHEA Grapalat" w:hAnsi="GHEA Grapalat" w:cs="GHEA Grapalat"/>
          <w:sz w:val="22"/>
          <w:szCs w:val="22"/>
          <w:lang w:val="en-US"/>
        </w:rPr>
        <w:t>4.8</w:t>
      </w:r>
      <w:r w:rsidRPr="00C921DE">
        <w:rPr>
          <w:rFonts w:ascii="GHEA Grapalat" w:hAnsi="GHEA Grapalat" w:cs="GHEA Grapalat"/>
          <w:sz w:val="22"/>
          <w:szCs w:val="22"/>
          <w:lang w:val="en-US"/>
        </w:rPr>
        <w:t xml:space="preserve"> մլրդ </w:t>
      </w:r>
      <w:r w:rsidRPr="00C921DE">
        <w:rPr>
          <w:rFonts w:ascii="GHEA Grapalat" w:hAnsi="GHEA Grapalat" w:cs="GHEA Grapalat"/>
          <w:sz w:val="22"/>
          <w:szCs w:val="22"/>
          <w:lang w:val="en-US"/>
        </w:rPr>
        <w:lastRenderedPageBreak/>
        <w:t>դրամով)</w:t>
      </w:r>
      <w:r w:rsidR="00D70F58" w:rsidRPr="00C921DE">
        <w:rPr>
          <w:rFonts w:ascii="GHEA Grapalat" w:hAnsi="GHEA Grapalat" w:cs="GHEA Grapalat"/>
          <w:sz w:val="22"/>
          <w:szCs w:val="22"/>
          <w:lang w:val="en-US"/>
        </w:rPr>
        <w:t>, ՀՀ-ում</w:t>
      </w:r>
      <w:r w:rsidRPr="00C921DE">
        <w:rPr>
          <w:rFonts w:ascii="GHEA Grapalat" w:hAnsi="GHEA Grapalat" w:cs="GHEA Grapalat"/>
          <w:sz w:val="22"/>
          <w:szCs w:val="22"/>
          <w:lang w:val="en-US"/>
        </w:rPr>
        <w:t xml:space="preserve"> աշնանացան ցորենի արտադրության խթանման նպատակով փոխհատուցման տրամադրման (34.7 անգամ կամ 4.6 մլրդ դրամով), և անկանխիկ եղանակով վճարումներից կենսաթոշակառուներին հետվճարի տրամադրման </w:t>
      </w:r>
      <w:r w:rsidR="00DA38F0" w:rsidRPr="00C921DE">
        <w:rPr>
          <w:rFonts w:ascii="GHEA Grapalat" w:hAnsi="GHEA Grapalat" w:cs="GHEA Grapalat"/>
          <w:sz w:val="22"/>
          <w:szCs w:val="22"/>
          <w:lang w:val="en-US"/>
        </w:rPr>
        <w:t xml:space="preserve">(8 անգամ կամ 4.5 մլրդ դրամով) </w:t>
      </w:r>
      <w:r w:rsidRPr="00C921DE">
        <w:rPr>
          <w:rFonts w:ascii="GHEA Grapalat" w:hAnsi="GHEA Grapalat" w:cs="GHEA Grapalat"/>
          <w:sz w:val="22"/>
          <w:szCs w:val="22"/>
          <w:lang w:val="en-US"/>
        </w:rPr>
        <w:t>ծախսերում: Բացի այդ, 1</w:t>
      </w:r>
      <w:r w:rsidR="005B4A00" w:rsidRPr="00C921DE">
        <w:rPr>
          <w:rFonts w:ascii="GHEA Grapalat" w:hAnsi="GHEA Grapalat" w:cs="GHEA Grapalat"/>
          <w:sz w:val="22"/>
          <w:szCs w:val="22"/>
          <w:lang w:val="en-US"/>
        </w:rPr>
        <w:t>1.2</w:t>
      </w:r>
      <w:r w:rsidRPr="00C921DE">
        <w:rPr>
          <w:rFonts w:ascii="GHEA Grapalat" w:hAnsi="GHEA Grapalat" w:cs="GHEA Grapalat"/>
          <w:sz w:val="22"/>
          <w:szCs w:val="22"/>
          <w:lang w:val="en-US"/>
        </w:rPr>
        <w:t xml:space="preserve"> մլրդ դրամ է տրամադրվել Լեռնային Ղարաբաղից բռնի տեղահանվածներին միանվագ </w:t>
      </w:r>
      <w:r w:rsidR="005B4A00" w:rsidRPr="00C921DE">
        <w:rPr>
          <w:rFonts w:ascii="GHEA Grapalat" w:hAnsi="GHEA Grapalat" w:cs="GHEA Grapalat"/>
          <w:sz w:val="22"/>
          <w:szCs w:val="22"/>
          <w:lang w:val="en-US"/>
        </w:rPr>
        <w:t>դրամական աջակցության նպատակով, 11.2</w:t>
      </w:r>
      <w:r w:rsidRPr="00C921DE">
        <w:rPr>
          <w:rFonts w:ascii="GHEA Grapalat" w:hAnsi="GHEA Grapalat" w:cs="GHEA Grapalat"/>
          <w:sz w:val="22"/>
          <w:szCs w:val="22"/>
          <w:lang w:val="en-US"/>
        </w:rPr>
        <w:t xml:space="preserve"> մլրդ դրամ՝ Լեռնային Ղարաբաղից բռնի տեղահանվածներին ժամանակավոր կացարանում բնակվելու և կոմունալ ծառայությունների ծախսերի կատարմանն օժանդակելու</w:t>
      </w:r>
      <w:r w:rsidR="005B4A00" w:rsidRPr="00C921DE">
        <w:rPr>
          <w:rFonts w:ascii="GHEA Grapalat" w:hAnsi="GHEA Grapalat" w:cs="GHEA Grapalat"/>
          <w:sz w:val="22"/>
          <w:szCs w:val="22"/>
          <w:lang w:val="en-US"/>
        </w:rPr>
        <w:t xml:space="preserve"> և 6.4 մլրդ դրամ՝ Լեռնային Ղարաբաղից բռնի տեղահանվածներին առաջնային սպառողական</w:t>
      </w:r>
      <w:r w:rsidR="00517635" w:rsidRPr="00C921DE">
        <w:rPr>
          <w:rFonts w:ascii="GHEA Grapalat" w:hAnsi="GHEA Grapalat" w:cs="GHEA Grapalat"/>
          <w:sz w:val="22"/>
          <w:szCs w:val="22"/>
          <w:lang w:val="en-US"/>
        </w:rPr>
        <w:t xml:space="preserve"> </w:t>
      </w:r>
      <w:r w:rsidR="005B4A00" w:rsidRPr="00C921DE">
        <w:rPr>
          <w:rFonts w:ascii="GHEA Grapalat" w:hAnsi="GHEA Grapalat" w:cs="GHEA Grapalat"/>
          <w:sz w:val="22"/>
          <w:szCs w:val="22"/>
          <w:lang w:val="en-US"/>
        </w:rPr>
        <w:t>ծախսերը</w:t>
      </w:r>
      <w:r w:rsidR="00517635" w:rsidRPr="00C921DE">
        <w:rPr>
          <w:rFonts w:ascii="GHEA Grapalat" w:hAnsi="GHEA Grapalat" w:cs="GHEA Grapalat"/>
          <w:sz w:val="22"/>
          <w:szCs w:val="22"/>
          <w:lang w:val="en-US"/>
        </w:rPr>
        <w:t xml:space="preserve"> </w:t>
      </w:r>
      <w:r w:rsidR="005B4A00" w:rsidRPr="00C921DE">
        <w:rPr>
          <w:rFonts w:ascii="GHEA Grapalat" w:hAnsi="GHEA Grapalat" w:cs="GHEA Grapalat"/>
          <w:sz w:val="22"/>
          <w:szCs w:val="22"/>
          <w:lang w:val="en-US"/>
        </w:rPr>
        <w:t>հոգալու համար սոցիալական աջակցությ</w:t>
      </w:r>
      <w:r w:rsidR="00FC3885" w:rsidRPr="00C921DE">
        <w:rPr>
          <w:rFonts w:ascii="GHEA Grapalat" w:hAnsi="GHEA Grapalat" w:cs="GHEA Grapalat"/>
          <w:sz w:val="22"/>
          <w:szCs w:val="22"/>
          <w:lang w:val="en-US"/>
        </w:rPr>
        <w:t>ան նպատակով</w:t>
      </w:r>
      <w:r w:rsidRPr="00C921DE">
        <w:rPr>
          <w:rFonts w:ascii="GHEA Grapalat" w:hAnsi="GHEA Grapalat" w:cs="GHEA Grapalat"/>
          <w:sz w:val="22"/>
          <w:szCs w:val="22"/>
          <w:lang w:val="en-US"/>
        </w:rPr>
        <w:t>:</w:t>
      </w:r>
      <w:r w:rsidR="00FC3885" w:rsidRPr="00C921DE">
        <w:rPr>
          <w:rFonts w:ascii="GHEA Grapalat" w:hAnsi="GHEA Grapalat" w:cs="GHEA Grapalat"/>
          <w:sz w:val="22"/>
          <w:szCs w:val="22"/>
          <w:lang w:val="en-US"/>
        </w:rPr>
        <w:t xml:space="preserve"> Եվս 7 մլրդ դրամ հատկացվել է ԵՏՄ անդամ չհանդիսացող պետություններից ՀՀ ֆիզիկական</w:t>
      </w:r>
      <w:r w:rsidR="00517635" w:rsidRPr="00C921DE">
        <w:rPr>
          <w:rFonts w:ascii="GHEA Grapalat" w:hAnsi="GHEA Grapalat" w:cs="GHEA Grapalat"/>
          <w:sz w:val="22"/>
          <w:szCs w:val="22"/>
          <w:lang w:val="en-US"/>
        </w:rPr>
        <w:t xml:space="preserve"> </w:t>
      </w:r>
      <w:r w:rsidR="00FC3885" w:rsidRPr="00C921DE">
        <w:rPr>
          <w:rFonts w:ascii="GHEA Grapalat" w:hAnsi="GHEA Grapalat" w:cs="GHEA Grapalat"/>
          <w:sz w:val="22"/>
          <w:szCs w:val="22"/>
          <w:lang w:val="en-US"/>
        </w:rPr>
        <w:t>անձանց</w:t>
      </w:r>
      <w:r w:rsidR="00517635" w:rsidRPr="00C921DE">
        <w:rPr>
          <w:rFonts w:ascii="GHEA Grapalat" w:hAnsi="GHEA Grapalat" w:cs="GHEA Grapalat"/>
          <w:sz w:val="22"/>
          <w:szCs w:val="22"/>
          <w:lang w:val="en-US"/>
        </w:rPr>
        <w:t xml:space="preserve"> </w:t>
      </w:r>
      <w:r w:rsidR="00FC3885" w:rsidRPr="00C921DE">
        <w:rPr>
          <w:rFonts w:ascii="GHEA Grapalat" w:hAnsi="GHEA Grapalat" w:cs="GHEA Grapalat"/>
          <w:sz w:val="22"/>
          <w:szCs w:val="22"/>
          <w:lang w:val="en-US"/>
        </w:rPr>
        <w:t>կողմից անձնական օգտագործման համար ներմուծման դեպքում պետական</w:t>
      </w:r>
      <w:r w:rsidR="00517635" w:rsidRPr="00C921DE">
        <w:rPr>
          <w:rFonts w:ascii="GHEA Grapalat" w:hAnsi="GHEA Grapalat" w:cs="GHEA Grapalat"/>
          <w:sz w:val="22"/>
          <w:szCs w:val="22"/>
          <w:lang w:val="en-US"/>
        </w:rPr>
        <w:t xml:space="preserve"> </w:t>
      </w:r>
      <w:r w:rsidR="00FC3885" w:rsidRPr="00C921DE">
        <w:rPr>
          <w:rFonts w:ascii="GHEA Grapalat" w:hAnsi="GHEA Grapalat" w:cs="GHEA Grapalat"/>
          <w:sz w:val="22"/>
          <w:szCs w:val="22"/>
          <w:lang w:val="en-US"/>
        </w:rPr>
        <w:t>աջակցության նպատակով, որի գծով նախորդ տարի միջոցներ չէին հատկացվել:</w:t>
      </w:r>
    </w:p>
    <w:p w14:paraId="52009AD4" w14:textId="73F04135"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 xml:space="preserve">2022 թվականի համեմատ կենսաթոշակների գծով ծախսերի աճը հիմնականում </w:t>
      </w:r>
      <w:r w:rsidR="00817631" w:rsidRPr="00C921DE">
        <w:rPr>
          <w:rFonts w:ascii="GHEA Grapalat" w:hAnsi="GHEA Grapalat" w:cs="GHEA Grapalat"/>
          <w:sz w:val="22"/>
          <w:szCs w:val="22"/>
          <w:lang w:val="en-US"/>
        </w:rPr>
        <w:t>արձանագրվել</w:t>
      </w:r>
      <w:r w:rsidRPr="00C921DE">
        <w:rPr>
          <w:rFonts w:ascii="GHEA Grapalat" w:hAnsi="GHEA Grapalat" w:cs="GHEA Grapalat"/>
          <w:sz w:val="22"/>
          <w:szCs w:val="22"/>
          <w:lang w:val="en-US"/>
        </w:rPr>
        <w:t xml:space="preserve"> է կուտակային կենսաթոշակային համակարգի մասնակիցների հաշիվներին կատարված հատկացումների </w:t>
      </w:r>
      <w:r w:rsidR="00817631" w:rsidRPr="00C921DE">
        <w:rPr>
          <w:rFonts w:ascii="GHEA Grapalat" w:hAnsi="GHEA Grapalat" w:cs="GHEA Grapalat"/>
          <w:sz w:val="22"/>
          <w:szCs w:val="22"/>
          <w:lang w:val="en-US"/>
        </w:rPr>
        <w:t>գծով</w:t>
      </w:r>
      <w:r w:rsidRPr="00C921DE">
        <w:rPr>
          <w:rFonts w:ascii="GHEA Grapalat" w:hAnsi="GHEA Grapalat" w:cs="GHEA Grapalat"/>
          <w:sz w:val="22"/>
          <w:szCs w:val="22"/>
          <w:lang w:val="en-US"/>
        </w:rPr>
        <w:t>, որոնք կազմել են 143.6 մլրդ դրամ՝ 20.9%-ով կամ 24.8 մլրդ դրամով գերազանցելով 2022 թվականի ցուցանիշը</w:t>
      </w:r>
      <w:r w:rsidR="00817631" w:rsidRPr="00C921DE">
        <w:rPr>
          <w:rFonts w:ascii="GHEA Grapalat" w:hAnsi="GHEA Grapalat" w:cs="GHEA Grapalat"/>
          <w:sz w:val="22"/>
          <w:szCs w:val="22"/>
          <w:lang w:val="en-US"/>
        </w:rPr>
        <w:t>՝ պայմանավորված մասնակիցների թվի և միջին ամսական անվանական աշխատավարձի աճով</w:t>
      </w:r>
      <w:r w:rsidRPr="00C921DE">
        <w:rPr>
          <w:rFonts w:ascii="GHEA Grapalat" w:hAnsi="GHEA Grapalat" w:cs="GHEA Grapalat"/>
          <w:sz w:val="22"/>
          <w:szCs w:val="22"/>
          <w:lang w:val="en-US"/>
        </w:rPr>
        <w:t>, ինչպես նաև աշխատանքային կենսաթոշակների</w:t>
      </w:r>
      <w:r w:rsidR="00817631" w:rsidRPr="00C921DE">
        <w:rPr>
          <w:rFonts w:ascii="GHEA Grapalat" w:hAnsi="GHEA Grapalat" w:cs="GHEA Grapalat"/>
          <w:sz w:val="22"/>
          <w:szCs w:val="22"/>
          <w:lang w:val="en-US"/>
        </w:rPr>
        <w:t xml:space="preserve"> գծով ծախսերում, որոնք </w:t>
      </w:r>
      <w:r w:rsidRPr="00C921DE">
        <w:rPr>
          <w:rFonts w:ascii="GHEA Grapalat" w:hAnsi="GHEA Grapalat" w:cs="GHEA Grapalat"/>
          <w:sz w:val="22"/>
          <w:szCs w:val="22"/>
          <w:lang w:val="en-US"/>
        </w:rPr>
        <w:t>2%-ով (4.9</w:t>
      </w:r>
      <w:r w:rsidRPr="00C921DE">
        <w:rPr>
          <w:rFonts w:ascii="Calibri" w:hAnsi="Calibri" w:cs="Calibri"/>
          <w:sz w:val="22"/>
          <w:szCs w:val="22"/>
          <w:lang w:val="en-US"/>
        </w:rPr>
        <w:t> </w:t>
      </w:r>
      <w:r w:rsidRPr="00C921DE">
        <w:rPr>
          <w:rFonts w:ascii="GHEA Grapalat" w:hAnsi="GHEA Grapalat" w:cs="GHEA Grapalat"/>
          <w:sz w:val="22"/>
          <w:szCs w:val="22"/>
          <w:lang w:val="en-US"/>
        </w:rPr>
        <w:t>մլրդ դրամ</w:t>
      </w:r>
      <w:r w:rsidR="00817631" w:rsidRPr="00C921DE">
        <w:rPr>
          <w:rFonts w:ascii="GHEA Grapalat" w:hAnsi="GHEA Grapalat" w:cs="GHEA Grapalat"/>
          <w:sz w:val="22"/>
          <w:szCs w:val="22"/>
          <w:lang w:val="en-US"/>
        </w:rPr>
        <w:t>ով</w:t>
      </w:r>
      <w:r w:rsidRPr="00C921DE">
        <w:rPr>
          <w:rFonts w:ascii="GHEA Grapalat" w:hAnsi="GHEA Grapalat" w:cs="GHEA Grapalat"/>
          <w:sz w:val="22"/>
          <w:szCs w:val="22"/>
          <w:lang w:val="en-US"/>
        </w:rPr>
        <w:t xml:space="preserve">) </w:t>
      </w:r>
      <w:r w:rsidR="00817631" w:rsidRPr="00C921DE">
        <w:rPr>
          <w:rFonts w:ascii="GHEA Grapalat" w:hAnsi="GHEA Grapalat" w:cs="GHEA Grapalat"/>
          <w:sz w:val="22"/>
          <w:szCs w:val="22"/>
          <w:lang w:val="en-US"/>
        </w:rPr>
        <w:t>գերա</w:t>
      </w:r>
      <w:r w:rsidR="008B3654" w:rsidRPr="00C921DE">
        <w:rPr>
          <w:rFonts w:ascii="GHEA Grapalat" w:hAnsi="GHEA Grapalat" w:cs="GHEA Grapalat"/>
          <w:sz w:val="22"/>
          <w:szCs w:val="22"/>
          <w:lang w:val="en-US"/>
        </w:rPr>
        <w:t>զ</w:t>
      </w:r>
      <w:r w:rsidR="00817631" w:rsidRPr="00C921DE">
        <w:rPr>
          <w:rFonts w:ascii="GHEA Grapalat" w:hAnsi="GHEA Grapalat" w:cs="GHEA Grapalat"/>
          <w:sz w:val="22"/>
          <w:szCs w:val="22"/>
          <w:lang w:val="en-US"/>
        </w:rPr>
        <w:t xml:space="preserve">անցել են նախորդ տարվա ցուցանիշը՝ պայմանավորված </w:t>
      </w:r>
      <w:r w:rsidR="00354BB3" w:rsidRPr="00C921DE">
        <w:rPr>
          <w:rFonts w:ascii="GHEA Grapalat" w:hAnsi="GHEA Grapalat" w:cs="GHEA Grapalat"/>
          <w:sz w:val="22"/>
          <w:szCs w:val="22"/>
          <w:lang w:val="en-US"/>
        </w:rPr>
        <w:t>2022 թվականի սեպտեմբերի 1-ից և 2023 թվականի հուլիսի 1-ից կենսաթոշակների չափերի բարձրացմամբ</w:t>
      </w:r>
      <w:r w:rsidRPr="00C921DE">
        <w:rPr>
          <w:rFonts w:ascii="GHEA Grapalat" w:hAnsi="GHEA Grapalat" w:cs="GHEA Grapalat"/>
          <w:sz w:val="22"/>
          <w:szCs w:val="22"/>
          <w:lang w:val="en-US"/>
        </w:rPr>
        <w:t>:</w:t>
      </w:r>
    </w:p>
    <w:p w14:paraId="7C409473" w14:textId="77777777" w:rsidR="000E7659" w:rsidRPr="00C921DE" w:rsidRDefault="000E7659" w:rsidP="000E7659">
      <w:pPr>
        <w:spacing w:line="360" w:lineRule="auto"/>
        <w:ind w:firstLine="567"/>
        <w:jc w:val="both"/>
        <w:rPr>
          <w:rFonts w:ascii="GHEA Grapalat" w:hAnsi="GHEA Grapalat" w:cs="GHEA Grapalat"/>
          <w:sz w:val="22"/>
          <w:szCs w:val="22"/>
          <w:lang w:val="en-US"/>
        </w:rPr>
      </w:pPr>
    </w:p>
    <w:p w14:paraId="548BED06" w14:textId="77777777" w:rsidR="000E7659" w:rsidRPr="00C921DE" w:rsidRDefault="000E7659" w:rsidP="000E7659">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բյուջեից տրամադրված նպաստները և կենսաթոշակները (մլրդ դրամ)</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111"/>
        <w:gridCol w:w="1134"/>
        <w:gridCol w:w="1134"/>
        <w:gridCol w:w="1134"/>
        <w:gridCol w:w="1284"/>
        <w:gridCol w:w="1296"/>
      </w:tblGrid>
      <w:tr w:rsidR="000E7659" w:rsidRPr="00C921DE" w14:paraId="78E28CF6" w14:textId="77777777" w:rsidTr="004264D1">
        <w:trPr>
          <w:trHeight w:val="1442"/>
        </w:trPr>
        <w:tc>
          <w:tcPr>
            <w:tcW w:w="4111" w:type="dxa"/>
            <w:noWrap/>
            <w:vAlign w:val="bottom"/>
          </w:tcPr>
          <w:p w14:paraId="1710D2BA" w14:textId="77777777" w:rsidR="000E7659" w:rsidRPr="00C921DE" w:rsidRDefault="000E7659" w:rsidP="000E7659">
            <w:pPr>
              <w:rPr>
                <w:rFonts w:ascii="GHEA Grapalat" w:hAnsi="GHEA Grapalat" w:cs="Calibri"/>
                <w:sz w:val="18"/>
                <w:szCs w:val="18"/>
              </w:rPr>
            </w:pPr>
            <w:r w:rsidRPr="00C921DE">
              <w:rPr>
                <w:rFonts w:ascii="Courier New" w:hAnsi="Courier New" w:cs="Courier New"/>
                <w:sz w:val="18"/>
                <w:szCs w:val="18"/>
              </w:rPr>
              <w:t> </w:t>
            </w:r>
          </w:p>
        </w:tc>
        <w:tc>
          <w:tcPr>
            <w:tcW w:w="1134" w:type="dxa"/>
            <w:shd w:val="clear" w:color="auto" w:fill="FFFFFF"/>
          </w:tcPr>
          <w:p w14:paraId="7B70F159"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134" w:type="dxa"/>
            <w:shd w:val="clear" w:color="auto" w:fill="FFFFFF"/>
          </w:tcPr>
          <w:p w14:paraId="36E7E3FC" w14:textId="443205CB"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004264D1" w:rsidRPr="00C921DE">
              <w:rPr>
                <w:rFonts w:ascii="GHEA Grapalat" w:hAnsi="GHEA Grapalat" w:cs="Calibri"/>
                <w:b/>
                <w:bCs/>
                <w:sz w:val="18"/>
                <w:szCs w:val="18"/>
              </w:rPr>
              <w:t>թ. ճշտված ծրագիր</w:t>
            </w:r>
          </w:p>
        </w:tc>
        <w:tc>
          <w:tcPr>
            <w:tcW w:w="1134" w:type="dxa"/>
            <w:shd w:val="clear" w:color="auto" w:fill="FFFFFF"/>
          </w:tcPr>
          <w:p w14:paraId="79220FBD"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c>
          <w:tcPr>
            <w:tcW w:w="1284" w:type="dxa"/>
            <w:shd w:val="clear" w:color="auto" w:fill="FFFFFF"/>
          </w:tcPr>
          <w:p w14:paraId="2AC2B3A8" w14:textId="269CB2EC" w:rsidR="000E7659" w:rsidRPr="00C921DE" w:rsidRDefault="000E7659" w:rsidP="004264D1">
            <w:pPr>
              <w:jc w:val="center"/>
              <w:rPr>
                <w:rFonts w:ascii="GHEA Grapalat" w:hAnsi="GHEA Grapalat" w:cs="Calibri"/>
                <w:b/>
                <w:bCs/>
                <w:sz w:val="18"/>
                <w:szCs w:val="18"/>
              </w:rPr>
            </w:pPr>
            <w:r w:rsidRPr="00C921DE">
              <w:rPr>
                <w:rFonts w:ascii="GHEA Grapalat" w:hAnsi="GHEA Grapalat" w:cs="Calibri"/>
                <w:b/>
                <w:bCs/>
                <w:sz w:val="18"/>
                <w:szCs w:val="18"/>
              </w:rPr>
              <w:t>Կատարո-ղական</w:t>
            </w:r>
            <w:r w:rsidRPr="00C921DE">
              <w:rPr>
                <w:rFonts w:ascii="GHEA Grapalat" w:hAnsi="GHEA Grapalat" w:cs="Calibri"/>
                <w:b/>
                <w:bCs/>
                <w:sz w:val="18"/>
                <w:szCs w:val="18"/>
                <w:lang w:val="en-US"/>
              </w:rPr>
              <w:t>ը</w:t>
            </w:r>
            <w:r w:rsidRPr="00C921DE">
              <w:rPr>
                <w:rFonts w:ascii="GHEA Grapalat" w:hAnsi="GHEA Grapalat" w:cs="Calibri"/>
                <w:b/>
                <w:bCs/>
                <w:sz w:val="18"/>
                <w:szCs w:val="18"/>
              </w:rPr>
              <w:t xml:space="preserve"> ճշտված </w:t>
            </w:r>
            <w:r w:rsidR="004264D1"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296" w:type="dxa"/>
            <w:shd w:val="clear" w:color="auto" w:fill="FFFFFF"/>
          </w:tcPr>
          <w:p w14:paraId="0A730063" w14:textId="3192B3D9"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004264D1" w:rsidRPr="00C921DE">
              <w:rPr>
                <w:rFonts w:ascii="GHEA Grapalat" w:hAnsi="GHEA Grapalat" w:cs="Calibri"/>
                <w:b/>
                <w:bCs/>
                <w:sz w:val="18"/>
                <w:szCs w:val="18"/>
              </w:rPr>
              <w:t>թ</w:t>
            </w:r>
            <w:r w:rsidR="004264D1" w:rsidRPr="00C921DE">
              <w:rPr>
                <w:rFonts w:ascii="GHEA Grapalat" w:hAnsi="GHEA Grapalat" w:cs="Calibri"/>
                <w:b/>
                <w:bCs/>
                <w:sz w:val="18"/>
                <w:szCs w:val="18"/>
                <w:lang w:val="en-US"/>
              </w:rPr>
              <w:t xml:space="preserve">. </w:t>
            </w: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0E7659" w:rsidRPr="00C921DE" w14:paraId="0EB654F9" w14:textId="77777777" w:rsidTr="004264D1">
        <w:trPr>
          <w:trHeight w:val="188"/>
        </w:trPr>
        <w:tc>
          <w:tcPr>
            <w:tcW w:w="4111" w:type="dxa"/>
            <w:noWrap/>
            <w:vAlign w:val="bottom"/>
          </w:tcPr>
          <w:p w14:paraId="26469FA5" w14:textId="77777777" w:rsidR="000E7659" w:rsidRPr="00C921DE" w:rsidRDefault="000E7659" w:rsidP="000E7659">
            <w:pPr>
              <w:rPr>
                <w:rFonts w:ascii="Courier New" w:hAnsi="Courier New" w:cs="Courier New"/>
                <w:sz w:val="18"/>
                <w:szCs w:val="18"/>
              </w:rPr>
            </w:pPr>
            <w:r w:rsidRPr="00C921DE">
              <w:rPr>
                <w:rFonts w:ascii="GHEA Grapalat" w:hAnsi="GHEA Grapalat" w:cs="Calibri"/>
                <w:b/>
                <w:sz w:val="18"/>
                <w:szCs w:val="18"/>
              </w:rPr>
              <w:t>Սոցիալական նպաստներ և կենսաթոշակներ</w:t>
            </w:r>
          </w:p>
        </w:tc>
        <w:tc>
          <w:tcPr>
            <w:tcW w:w="1134" w:type="dxa"/>
            <w:shd w:val="clear" w:color="auto" w:fill="FFFFFF"/>
            <w:vAlign w:val="bottom"/>
          </w:tcPr>
          <w:p w14:paraId="7E675487"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613.1</w:t>
            </w:r>
          </w:p>
        </w:tc>
        <w:tc>
          <w:tcPr>
            <w:tcW w:w="1134" w:type="dxa"/>
            <w:shd w:val="clear" w:color="auto" w:fill="FFFFFF"/>
            <w:vAlign w:val="bottom"/>
          </w:tcPr>
          <w:p w14:paraId="5D22CC35"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727.7</w:t>
            </w:r>
          </w:p>
        </w:tc>
        <w:tc>
          <w:tcPr>
            <w:tcW w:w="1134" w:type="dxa"/>
            <w:shd w:val="clear" w:color="auto" w:fill="FFFFFF"/>
            <w:vAlign w:val="bottom"/>
          </w:tcPr>
          <w:p w14:paraId="1B00EF30"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710.2</w:t>
            </w:r>
          </w:p>
        </w:tc>
        <w:tc>
          <w:tcPr>
            <w:tcW w:w="1284" w:type="dxa"/>
            <w:shd w:val="clear" w:color="auto" w:fill="FFFFFF"/>
            <w:vAlign w:val="bottom"/>
          </w:tcPr>
          <w:p w14:paraId="0DE4C76D"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97.6</w:t>
            </w:r>
          </w:p>
        </w:tc>
        <w:tc>
          <w:tcPr>
            <w:tcW w:w="1296" w:type="dxa"/>
            <w:shd w:val="clear" w:color="auto" w:fill="FFFFFF"/>
            <w:vAlign w:val="bottom"/>
          </w:tcPr>
          <w:p w14:paraId="1CC362E9"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115.8</w:t>
            </w:r>
          </w:p>
        </w:tc>
      </w:tr>
      <w:tr w:rsidR="000E7659" w:rsidRPr="00C921DE" w14:paraId="33476858" w14:textId="77777777" w:rsidTr="004264D1">
        <w:trPr>
          <w:trHeight w:val="261"/>
        </w:trPr>
        <w:tc>
          <w:tcPr>
            <w:tcW w:w="4111" w:type="dxa"/>
            <w:noWrap/>
            <w:vAlign w:val="bottom"/>
          </w:tcPr>
          <w:p w14:paraId="03E67D26" w14:textId="77777777" w:rsidR="000E7659" w:rsidRPr="00C921DE" w:rsidRDefault="000E7659" w:rsidP="000E7659">
            <w:pPr>
              <w:rPr>
                <w:rFonts w:ascii="Courier New" w:hAnsi="Courier New" w:cs="Courier New"/>
                <w:sz w:val="18"/>
                <w:szCs w:val="18"/>
              </w:rPr>
            </w:pPr>
            <w:r w:rsidRPr="00C921DE">
              <w:rPr>
                <w:rFonts w:ascii="GHEA Grapalat" w:hAnsi="GHEA Grapalat" w:cs="Calibri"/>
                <w:sz w:val="18"/>
                <w:szCs w:val="18"/>
              </w:rPr>
              <w:t>Նպաստներ</w:t>
            </w:r>
          </w:p>
        </w:tc>
        <w:tc>
          <w:tcPr>
            <w:tcW w:w="1134" w:type="dxa"/>
            <w:shd w:val="clear" w:color="auto" w:fill="FFFFFF"/>
            <w:vAlign w:val="bottom"/>
          </w:tcPr>
          <w:p w14:paraId="3C5BC01F" w14:textId="77777777" w:rsidR="000E7659" w:rsidRPr="00C921DE" w:rsidRDefault="000E7659" w:rsidP="000E7659">
            <w:pPr>
              <w:jc w:val="right"/>
              <w:rPr>
                <w:rFonts w:ascii="GHEA Grapalat" w:hAnsi="GHEA Grapalat" w:cs="Calibri"/>
                <w:bCs/>
                <w:sz w:val="18"/>
                <w:szCs w:val="18"/>
              </w:rPr>
            </w:pPr>
            <w:r w:rsidRPr="00C921DE">
              <w:rPr>
                <w:rFonts w:ascii="GHEA Grapalat" w:hAnsi="GHEA Grapalat" w:cs="Calibri"/>
                <w:bCs/>
                <w:sz w:val="18"/>
                <w:szCs w:val="18"/>
              </w:rPr>
              <w:t>202.3</w:t>
            </w:r>
          </w:p>
        </w:tc>
        <w:tc>
          <w:tcPr>
            <w:tcW w:w="1134" w:type="dxa"/>
            <w:shd w:val="clear" w:color="auto" w:fill="FFFFFF"/>
            <w:vAlign w:val="bottom"/>
          </w:tcPr>
          <w:p w14:paraId="26E62A46" w14:textId="77777777" w:rsidR="000E7659" w:rsidRPr="00C921DE" w:rsidRDefault="000E7659" w:rsidP="000E7659">
            <w:pPr>
              <w:jc w:val="right"/>
              <w:rPr>
                <w:rFonts w:ascii="GHEA Grapalat" w:hAnsi="GHEA Grapalat" w:cs="Calibri"/>
                <w:bCs/>
                <w:sz w:val="18"/>
                <w:szCs w:val="18"/>
              </w:rPr>
            </w:pPr>
            <w:r w:rsidRPr="00C921DE">
              <w:rPr>
                <w:rFonts w:ascii="GHEA Grapalat" w:hAnsi="GHEA Grapalat" w:cs="Calibri"/>
                <w:bCs/>
                <w:sz w:val="18"/>
                <w:szCs w:val="18"/>
              </w:rPr>
              <w:t>2</w:t>
            </w:r>
            <w:r w:rsidRPr="00C921DE">
              <w:rPr>
                <w:rFonts w:ascii="GHEA Grapalat" w:hAnsi="GHEA Grapalat" w:cs="Calibri"/>
                <w:bCs/>
                <w:sz w:val="18"/>
                <w:szCs w:val="18"/>
                <w:lang w:val="en-US"/>
              </w:rPr>
              <w:t>7</w:t>
            </w:r>
            <w:r w:rsidRPr="00C921DE">
              <w:rPr>
                <w:rFonts w:ascii="GHEA Grapalat" w:hAnsi="GHEA Grapalat" w:cs="Calibri"/>
                <w:bCs/>
                <w:sz w:val="18"/>
                <w:szCs w:val="18"/>
              </w:rPr>
              <w:t>7.</w:t>
            </w:r>
            <w:r w:rsidRPr="00C921DE">
              <w:rPr>
                <w:rFonts w:ascii="GHEA Grapalat" w:hAnsi="GHEA Grapalat" w:cs="Calibri"/>
                <w:bCs/>
                <w:sz w:val="18"/>
                <w:szCs w:val="18"/>
                <w:lang w:val="en-US"/>
              </w:rPr>
              <w:t>4</w:t>
            </w:r>
          </w:p>
        </w:tc>
        <w:tc>
          <w:tcPr>
            <w:tcW w:w="1134" w:type="dxa"/>
            <w:shd w:val="clear" w:color="auto" w:fill="FFFFFF"/>
            <w:vAlign w:val="bottom"/>
          </w:tcPr>
          <w:p w14:paraId="66F07E11" w14:textId="77777777" w:rsidR="000E7659" w:rsidRPr="00C921DE" w:rsidRDefault="000E7659" w:rsidP="000E7659">
            <w:pPr>
              <w:jc w:val="right"/>
              <w:rPr>
                <w:rFonts w:ascii="GHEA Grapalat" w:hAnsi="GHEA Grapalat" w:cs="Calibri"/>
                <w:bCs/>
                <w:sz w:val="18"/>
                <w:szCs w:val="18"/>
              </w:rPr>
            </w:pPr>
            <w:r w:rsidRPr="00C921DE">
              <w:rPr>
                <w:rFonts w:ascii="GHEA Grapalat" w:hAnsi="GHEA Grapalat" w:cs="Calibri"/>
                <w:bCs/>
                <w:sz w:val="18"/>
                <w:szCs w:val="18"/>
              </w:rPr>
              <w:t>270.3</w:t>
            </w:r>
          </w:p>
        </w:tc>
        <w:tc>
          <w:tcPr>
            <w:tcW w:w="1284" w:type="dxa"/>
            <w:shd w:val="clear" w:color="auto" w:fill="FFFFFF"/>
            <w:vAlign w:val="center"/>
          </w:tcPr>
          <w:p w14:paraId="33214CAF" w14:textId="77777777" w:rsidR="000E7659" w:rsidRPr="00C921DE" w:rsidRDefault="000E7659" w:rsidP="000E7659">
            <w:pPr>
              <w:jc w:val="right"/>
              <w:rPr>
                <w:rFonts w:ascii="GHEA Grapalat" w:hAnsi="GHEA Grapalat" w:cs="Calibri"/>
                <w:bCs/>
                <w:sz w:val="18"/>
                <w:szCs w:val="18"/>
              </w:rPr>
            </w:pPr>
            <w:r w:rsidRPr="00C921DE">
              <w:rPr>
                <w:rFonts w:ascii="GHEA Grapalat" w:hAnsi="GHEA Grapalat" w:cs="Calibri"/>
                <w:bCs/>
                <w:sz w:val="18"/>
                <w:szCs w:val="18"/>
              </w:rPr>
              <w:t>97.</w:t>
            </w:r>
            <w:r w:rsidRPr="00C921DE">
              <w:rPr>
                <w:rFonts w:ascii="GHEA Grapalat" w:hAnsi="GHEA Grapalat" w:cs="Calibri"/>
                <w:bCs/>
                <w:sz w:val="18"/>
                <w:szCs w:val="18"/>
                <w:lang w:val="en-US"/>
              </w:rPr>
              <w:t>4</w:t>
            </w:r>
          </w:p>
        </w:tc>
        <w:tc>
          <w:tcPr>
            <w:tcW w:w="1296" w:type="dxa"/>
            <w:shd w:val="clear" w:color="auto" w:fill="FFFFFF"/>
            <w:vAlign w:val="center"/>
          </w:tcPr>
          <w:p w14:paraId="1F87AEBE" w14:textId="77777777" w:rsidR="000E7659" w:rsidRPr="00C921DE" w:rsidRDefault="000E7659" w:rsidP="000E7659">
            <w:pPr>
              <w:jc w:val="right"/>
              <w:rPr>
                <w:rFonts w:ascii="GHEA Grapalat" w:hAnsi="GHEA Grapalat" w:cs="Calibri"/>
                <w:bCs/>
                <w:sz w:val="18"/>
                <w:szCs w:val="18"/>
              </w:rPr>
            </w:pPr>
            <w:r w:rsidRPr="00C921DE">
              <w:rPr>
                <w:rFonts w:ascii="GHEA Grapalat" w:hAnsi="GHEA Grapalat" w:cs="Calibri"/>
                <w:sz w:val="18"/>
                <w:szCs w:val="18"/>
              </w:rPr>
              <w:t>133.6</w:t>
            </w:r>
          </w:p>
        </w:tc>
      </w:tr>
      <w:tr w:rsidR="000E7659" w:rsidRPr="00C921DE" w14:paraId="34F771E9" w14:textId="77777777" w:rsidTr="004264D1">
        <w:trPr>
          <w:trHeight w:val="268"/>
        </w:trPr>
        <w:tc>
          <w:tcPr>
            <w:tcW w:w="4111" w:type="dxa"/>
            <w:noWrap/>
            <w:vAlign w:val="bottom"/>
          </w:tcPr>
          <w:p w14:paraId="557AD015" w14:textId="77777777" w:rsidR="000E7659" w:rsidRPr="00C921DE" w:rsidRDefault="000E7659" w:rsidP="000E7659">
            <w:pPr>
              <w:rPr>
                <w:rFonts w:ascii="Courier New" w:hAnsi="Courier New" w:cs="Courier New"/>
                <w:sz w:val="18"/>
                <w:szCs w:val="18"/>
              </w:rPr>
            </w:pPr>
            <w:r w:rsidRPr="00C921DE">
              <w:rPr>
                <w:rFonts w:ascii="GHEA Grapalat" w:hAnsi="GHEA Grapalat" w:cs="Calibri"/>
                <w:sz w:val="18"/>
                <w:szCs w:val="18"/>
              </w:rPr>
              <w:t>Կենսաթոշակներ</w:t>
            </w:r>
          </w:p>
        </w:tc>
        <w:tc>
          <w:tcPr>
            <w:tcW w:w="1134" w:type="dxa"/>
            <w:shd w:val="clear" w:color="auto" w:fill="FFFFFF"/>
            <w:vAlign w:val="bottom"/>
          </w:tcPr>
          <w:p w14:paraId="638DA6D8"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410.8</w:t>
            </w:r>
          </w:p>
        </w:tc>
        <w:tc>
          <w:tcPr>
            <w:tcW w:w="1134" w:type="dxa"/>
            <w:shd w:val="clear" w:color="auto" w:fill="FFFFFF"/>
            <w:vAlign w:val="bottom"/>
          </w:tcPr>
          <w:p w14:paraId="4C4697EA"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450.3</w:t>
            </w:r>
          </w:p>
        </w:tc>
        <w:tc>
          <w:tcPr>
            <w:tcW w:w="1134" w:type="dxa"/>
            <w:shd w:val="clear" w:color="auto" w:fill="FFFFFF"/>
            <w:vAlign w:val="bottom"/>
          </w:tcPr>
          <w:p w14:paraId="4B3ED7F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w:t>
            </w:r>
            <w:r w:rsidRPr="00C921DE">
              <w:rPr>
                <w:rFonts w:ascii="GHEA Grapalat" w:hAnsi="GHEA Grapalat" w:cs="Calibri"/>
                <w:sz w:val="18"/>
                <w:szCs w:val="18"/>
                <w:lang w:val="en-US"/>
              </w:rPr>
              <w:t>39.9</w:t>
            </w:r>
          </w:p>
        </w:tc>
        <w:tc>
          <w:tcPr>
            <w:tcW w:w="1284" w:type="dxa"/>
            <w:shd w:val="clear" w:color="auto" w:fill="FFFFFF"/>
            <w:vAlign w:val="center"/>
          </w:tcPr>
          <w:p w14:paraId="44F08835"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w:t>
            </w:r>
            <w:r w:rsidRPr="00C921DE">
              <w:rPr>
                <w:rFonts w:ascii="GHEA Grapalat" w:hAnsi="GHEA Grapalat" w:cs="Calibri"/>
                <w:sz w:val="18"/>
                <w:szCs w:val="18"/>
                <w:lang w:val="en-US"/>
              </w:rPr>
              <w:t>7.7</w:t>
            </w:r>
          </w:p>
        </w:tc>
        <w:tc>
          <w:tcPr>
            <w:tcW w:w="1296" w:type="dxa"/>
            <w:shd w:val="clear" w:color="auto" w:fill="FFFFFF"/>
            <w:vAlign w:val="center"/>
          </w:tcPr>
          <w:p w14:paraId="5AA632C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w:t>
            </w:r>
            <w:r w:rsidRPr="00C921DE">
              <w:rPr>
                <w:rFonts w:ascii="GHEA Grapalat" w:hAnsi="GHEA Grapalat" w:cs="Calibri"/>
                <w:sz w:val="18"/>
                <w:szCs w:val="18"/>
                <w:lang w:val="en-US"/>
              </w:rPr>
              <w:t>7.1</w:t>
            </w:r>
          </w:p>
        </w:tc>
      </w:tr>
    </w:tbl>
    <w:p w14:paraId="13D9BB28" w14:textId="77777777" w:rsidR="000E7659" w:rsidRPr="00C921DE" w:rsidRDefault="000E7659" w:rsidP="00E653A4">
      <w:pPr>
        <w:spacing w:line="360" w:lineRule="auto"/>
        <w:ind w:firstLine="567"/>
        <w:jc w:val="both"/>
        <w:rPr>
          <w:rFonts w:ascii="GHEA Grapalat" w:hAnsi="GHEA Grapalat" w:cs="GHEA Grapalat"/>
          <w:sz w:val="22"/>
          <w:szCs w:val="22"/>
          <w:lang w:val="en-US"/>
        </w:rPr>
      </w:pPr>
    </w:p>
    <w:p w14:paraId="64545561" w14:textId="77777777" w:rsidR="001C411D" w:rsidRPr="00C921DE" w:rsidRDefault="001C411D" w:rsidP="00D710D8">
      <w:pPr>
        <w:autoSpaceDE w:val="0"/>
        <w:autoSpaceDN w:val="0"/>
        <w:adjustRightInd w:val="0"/>
        <w:spacing w:line="480" w:lineRule="auto"/>
        <w:ind w:firstLine="567"/>
        <w:jc w:val="both"/>
        <w:rPr>
          <w:rFonts w:ascii="GHEA Grapalat" w:hAnsi="GHEA Grapalat" w:cs="GHEA Grapalat"/>
          <w:sz w:val="22"/>
          <w:szCs w:val="22"/>
          <w:u w:val="single"/>
        </w:rPr>
      </w:pPr>
      <w:bookmarkStart w:id="229" w:name="_Toc511744973"/>
      <w:bookmarkStart w:id="230" w:name="_Toc6389332"/>
      <w:r w:rsidRPr="00C921DE">
        <w:rPr>
          <w:rFonts w:ascii="GHEA Grapalat" w:hAnsi="GHEA Grapalat" w:cs="GHEA Grapalat"/>
          <w:sz w:val="22"/>
          <w:szCs w:val="22"/>
          <w:u w:val="single"/>
        </w:rPr>
        <w:t>Ոչ ֆինանսական ակտիվների հետ գործառնություններ</w:t>
      </w:r>
      <w:bookmarkEnd w:id="229"/>
      <w:bookmarkEnd w:id="230"/>
    </w:p>
    <w:p w14:paraId="0665D577" w14:textId="1D45B627"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 xml:space="preserve">Ոչ ֆինանսական ակտիվների հետ գործառնությունների ցուցանիշի՝ ծրագրից 3.9% (19.3 մլրդ դրամ) շեղումը և նախորդ տարվա համեմատ 24.2% (92.2 մլրդ դրամ) աճը պայմանավորված են ոչ ֆինանսական ակտիվների գծով ծախսերով (կապիտալ ծախսերով): Կապիտալ ծախսերի՝ ծրագրից </w:t>
      </w:r>
      <w:r w:rsidRPr="00C921DE">
        <w:rPr>
          <w:rFonts w:ascii="GHEA Grapalat" w:hAnsi="GHEA Grapalat" w:cs="GHEA Grapalat"/>
          <w:sz w:val="22"/>
          <w:szCs w:val="22"/>
          <w:lang w:val="en-US"/>
        </w:rPr>
        <w:lastRenderedPageBreak/>
        <w:t>21.7 մլրդ դրամ (4.2%) շեղումը հիմնականում պայմանավորված է «Ճանապարհային ցանցի բարելավում» (շեղումը՝ 2.9 մլրդ դրամ), «Առողջապահության ոլորտում պետական քաղաքականության մշակում, ծրագրերի համակարգում և մոնիտորինգ» (շեղումը՝ 2.4 մլրդ դրամ), «Ապահով դպրոց» (շեղումը 2.3 մլրդ դրամ), «Քաղաքային զարգացում» (շեղումը՝ 2 մլրդ դրամ)</w:t>
      </w:r>
      <w:r w:rsidR="00AF363D" w:rsidRPr="00C921DE">
        <w:rPr>
          <w:rFonts w:ascii="GHEA Grapalat" w:hAnsi="GHEA Grapalat" w:cs="GHEA Grapalat"/>
          <w:sz w:val="22"/>
          <w:szCs w:val="22"/>
          <w:lang w:val="en-US"/>
        </w:rPr>
        <w:t>,</w:t>
      </w:r>
      <w:r w:rsidRPr="00C921DE">
        <w:rPr>
          <w:rFonts w:ascii="GHEA Grapalat" w:hAnsi="GHEA Grapalat" w:cs="GHEA Grapalat"/>
          <w:sz w:val="22"/>
          <w:szCs w:val="22"/>
          <w:lang w:val="en-US"/>
        </w:rPr>
        <w:t xml:space="preserve"> Բարձր տեխնոլոգիական արդյունաբերության էկոհամակարգի,</w:t>
      </w:r>
      <w:r w:rsidR="00AF363D" w:rsidRPr="00C921DE">
        <w:rPr>
          <w:rFonts w:ascii="GHEA Grapalat" w:hAnsi="GHEA Grapalat" w:cs="GHEA Grapalat"/>
          <w:sz w:val="22"/>
          <w:szCs w:val="22"/>
          <w:lang w:val="en-US"/>
        </w:rPr>
        <w:t xml:space="preserve"> թվայնացման և շուկայի զարգացման, </w:t>
      </w:r>
      <w:r w:rsidRPr="00C921DE">
        <w:rPr>
          <w:rFonts w:ascii="GHEA Grapalat" w:hAnsi="GHEA Grapalat" w:cs="GHEA Grapalat"/>
          <w:sz w:val="22"/>
          <w:szCs w:val="22"/>
          <w:lang w:val="en-US"/>
        </w:rPr>
        <w:t>(շեղումը՝ 1.4 մլրդ դրամ), Հանրակրթության (շեղումը՝ 1.4 մլրդ դրամ),</w:t>
      </w:r>
      <w:r w:rsidR="00517635" w:rsidRPr="00C921DE">
        <w:rPr>
          <w:rFonts w:ascii="GHEA Grapalat" w:hAnsi="GHEA Grapalat" w:cs="GHEA Grapalat"/>
          <w:sz w:val="22"/>
          <w:szCs w:val="22"/>
          <w:lang w:val="en-US"/>
        </w:rPr>
        <w:t xml:space="preserve"> </w:t>
      </w:r>
      <w:r w:rsidRPr="00C921DE">
        <w:rPr>
          <w:rFonts w:ascii="GHEA Grapalat" w:hAnsi="GHEA Grapalat" w:cs="GHEA Grapalat"/>
          <w:sz w:val="22"/>
          <w:szCs w:val="22"/>
          <w:lang w:val="en-US"/>
        </w:rPr>
        <w:t xml:space="preserve">Ներդրումների և արտահանման խթանման (շեղումը՝ 1.3 մլրդ դրամ) և «Հարկային և մաքսային ծառայություններ» (շեղումը՝ 1.2 մլրդ դրամ) ծրագրերի շրջանակներում կատարված կապիտալ ծախսերի </w:t>
      </w:r>
      <w:r w:rsidR="00983090" w:rsidRPr="00C921DE">
        <w:rPr>
          <w:rFonts w:ascii="GHEA Grapalat" w:hAnsi="GHEA Grapalat" w:cs="GHEA Grapalat"/>
          <w:sz w:val="22"/>
          <w:szCs w:val="22"/>
          <w:lang w:val="en-US"/>
        </w:rPr>
        <w:t>կատարողական</w:t>
      </w:r>
      <w:r w:rsidRPr="00C921DE">
        <w:rPr>
          <w:rFonts w:ascii="GHEA Grapalat" w:hAnsi="GHEA Grapalat" w:cs="GHEA Grapalat"/>
          <w:sz w:val="22"/>
          <w:szCs w:val="22"/>
          <w:lang w:val="en-US"/>
        </w:rPr>
        <w:t xml:space="preserve">ով: </w:t>
      </w:r>
    </w:p>
    <w:p w14:paraId="0BBAE7E9" w14:textId="590536F5"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Նախորդ տարվա համեմատ կապիտալ ծախսերի աճը հիմնականում պայմանավորված է ՀՀ պաշտպանության ապահով</w:t>
      </w:r>
      <w:r w:rsidR="007338C1" w:rsidRPr="00C921DE">
        <w:rPr>
          <w:rFonts w:ascii="GHEA Grapalat" w:hAnsi="GHEA Grapalat" w:cs="GHEA Grapalat"/>
          <w:sz w:val="22"/>
          <w:szCs w:val="22"/>
          <w:lang w:val="en-US"/>
        </w:rPr>
        <w:t>ման</w:t>
      </w:r>
      <w:r w:rsidR="00D63EA3" w:rsidRPr="00C921DE">
        <w:rPr>
          <w:rFonts w:ascii="GHEA Grapalat" w:hAnsi="GHEA Grapalat" w:cs="GHEA Grapalat"/>
          <w:sz w:val="22"/>
          <w:szCs w:val="22"/>
          <w:lang w:val="en-US"/>
        </w:rPr>
        <w:t xml:space="preserve"> (</w:t>
      </w:r>
      <w:r w:rsidR="00DB2E19" w:rsidRPr="00C921DE">
        <w:rPr>
          <w:rFonts w:ascii="GHEA Grapalat" w:hAnsi="GHEA Grapalat" w:cs="GHEA Grapalat"/>
          <w:sz w:val="22"/>
          <w:szCs w:val="22"/>
          <w:lang w:val="en-US"/>
        </w:rPr>
        <w:t xml:space="preserve">աճը՝ 20.2% կամ </w:t>
      </w:r>
      <w:r w:rsidR="00D63EA3" w:rsidRPr="00C921DE">
        <w:rPr>
          <w:rFonts w:ascii="GHEA Grapalat" w:hAnsi="GHEA Grapalat" w:cs="GHEA Grapalat"/>
          <w:sz w:val="22"/>
          <w:szCs w:val="22"/>
          <w:lang w:val="en-US"/>
        </w:rPr>
        <w:t>47.8 մլրդ դրամ)</w:t>
      </w:r>
      <w:r w:rsidRPr="00C921DE">
        <w:rPr>
          <w:rFonts w:ascii="GHEA Grapalat" w:hAnsi="GHEA Grapalat" w:cs="GHEA Grapalat"/>
          <w:sz w:val="22"/>
          <w:szCs w:val="22"/>
          <w:lang w:val="en-US"/>
        </w:rPr>
        <w:t xml:space="preserve">, </w:t>
      </w:r>
      <w:r w:rsidR="007338C1" w:rsidRPr="00C921DE">
        <w:rPr>
          <w:rFonts w:ascii="GHEA Grapalat" w:hAnsi="GHEA Grapalat" w:cs="GHEA Grapalat"/>
          <w:sz w:val="22"/>
          <w:szCs w:val="22"/>
          <w:lang w:val="en-US"/>
        </w:rPr>
        <w:t>Ճանապարհային ցանցի բարելավման</w:t>
      </w:r>
      <w:r w:rsidR="00D63EA3" w:rsidRPr="00C921DE">
        <w:rPr>
          <w:rFonts w:ascii="GHEA Grapalat" w:hAnsi="GHEA Grapalat" w:cs="GHEA Grapalat"/>
          <w:sz w:val="22"/>
          <w:szCs w:val="22"/>
          <w:lang w:val="en-US"/>
        </w:rPr>
        <w:t xml:space="preserve"> (աճը՝ 38.4% կամ 24.4 մլրդ դրամ)</w:t>
      </w:r>
      <w:r w:rsidRPr="00C921DE">
        <w:rPr>
          <w:rFonts w:ascii="GHEA Grapalat" w:hAnsi="GHEA Grapalat" w:cs="GHEA Grapalat"/>
          <w:sz w:val="22"/>
          <w:szCs w:val="22"/>
          <w:lang w:val="en-US"/>
        </w:rPr>
        <w:t xml:space="preserve">, </w:t>
      </w:r>
      <w:r w:rsidR="007338C1" w:rsidRPr="00C921DE">
        <w:rPr>
          <w:rFonts w:ascii="GHEA Grapalat" w:hAnsi="GHEA Grapalat" w:cs="GHEA Grapalat"/>
          <w:sz w:val="22"/>
          <w:szCs w:val="22"/>
          <w:lang w:val="en-US"/>
        </w:rPr>
        <w:t>Քաղաքային զարգացման</w:t>
      </w:r>
      <w:r w:rsidR="00DB2E19" w:rsidRPr="00C921DE">
        <w:rPr>
          <w:rFonts w:ascii="GHEA Grapalat" w:hAnsi="GHEA Grapalat" w:cs="GHEA Grapalat"/>
          <w:sz w:val="22"/>
          <w:szCs w:val="22"/>
          <w:lang w:val="en-US"/>
        </w:rPr>
        <w:t xml:space="preserve"> (աճը՝ 180.3% կամ </w:t>
      </w:r>
      <w:r w:rsidR="00B01231" w:rsidRPr="00C921DE">
        <w:rPr>
          <w:rFonts w:ascii="GHEA Grapalat" w:hAnsi="GHEA Grapalat" w:cs="GHEA Grapalat"/>
          <w:sz w:val="22"/>
          <w:szCs w:val="22"/>
          <w:lang w:val="en-US"/>
        </w:rPr>
        <w:t>8.6</w:t>
      </w:r>
      <w:r w:rsidR="00DB2E19" w:rsidRPr="00C921DE">
        <w:rPr>
          <w:rFonts w:ascii="Calibri" w:hAnsi="Calibri" w:cs="Calibri"/>
          <w:sz w:val="22"/>
          <w:szCs w:val="22"/>
          <w:lang w:val="en-US"/>
        </w:rPr>
        <w:t> </w:t>
      </w:r>
      <w:r w:rsidR="00DB2E19" w:rsidRPr="00C921DE">
        <w:rPr>
          <w:rFonts w:ascii="GHEA Grapalat" w:hAnsi="GHEA Grapalat" w:cs="GHEA Grapalat"/>
          <w:sz w:val="22"/>
          <w:szCs w:val="22"/>
          <w:lang w:val="en-US"/>
        </w:rPr>
        <w:t>մլրդ դրամ)</w:t>
      </w:r>
      <w:r w:rsidRPr="00C921DE">
        <w:rPr>
          <w:rFonts w:ascii="GHEA Grapalat" w:hAnsi="GHEA Grapalat" w:cs="GHEA Grapalat"/>
          <w:sz w:val="22"/>
          <w:szCs w:val="22"/>
          <w:lang w:val="en-US"/>
        </w:rPr>
        <w:t>,</w:t>
      </w:r>
      <w:r w:rsidR="007338C1" w:rsidRPr="00C921DE">
        <w:rPr>
          <w:rFonts w:ascii="GHEA Grapalat" w:hAnsi="GHEA Grapalat" w:cs="GHEA Grapalat"/>
          <w:sz w:val="22"/>
          <w:szCs w:val="22"/>
          <w:lang w:val="en-US"/>
        </w:rPr>
        <w:t xml:space="preserve"> </w:t>
      </w:r>
      <w:r w:rsidRPr="00C921DE">
        <w:rPr>
          <w:rFonts w:ascii="GHEA Grapalat" w:hAnsi="GHEA Grapalat" w:cs="GHEA Grapalat"/>
          <w:sz w:val="22"/>
          <w:szCs w:val="22"/>
          <w:lang w:val="en-US"/>
        </w:rPr>
        <w:t>Ոռոգման համակարգի առողջաց</w:t>
      </w:r>
      <w:r w:rsidR="007338C1" w:rsidRPr="00C921DE">
        <w:rPr>
          <w:rFonts w:ascii="GHEA Grapalat" w:hAnsi="GHEA Grapalat" w:cs="GHEA Grapalat"/>
          <w:sz w:val="22"/>
          <w:szCs w:val="22"/>
          <w:lang w:val="en-US"/>
        </w:rPr>
        <w:t>ման</w:t>
      </w:r>
      <w:r w:rsidR="00794840" w:rsidRPr="00C921DE">
        <w:rPr>
          <w:rFonts w:ascii="GHEA Grapalat" w:hAnsi="GHEA Grapalat" w:cs="GHEA Grapalat"/>
          <w:sz w:val="22"/>
          <w:szCs w:val="22"/>
          <w:lang w:val="en-US"/>
        </w:rPr>
        <w:t xml:space="preserve"> </w:t>
      </w:r>
      <w:r w:rsidR="00DB2E19" w:rsidRPr="00C921DE">
        <w:rPr>
          <w:rFonts w:ascii="GHEA Grapalat" w:hAnsi="GHEA Grapalat" w:cs="GHEA Grapalat"/>
          <w:sz w:val="22"/>
          <w:szCs w:val="22"/>
          <w:lang w:val="en-US"/>
        </w:rPr>
        <w:t xml:space="preserve">(աճը՝ </w:t>
      </w:r>
      <w:r w:rsidR="00B01231" w:rsidRPr="00C921DE">
        <w:rPr>
          <w:rFonts w:ascii="GHEA Grapalat" w:hAnsi="GHEA Grapalat" w:cs="GHEA Grapalat"/>
          <w:sz w:val="22"/>
          <w:szCs w:val="22"/>
          <w:lang w:val="en-US"/>
        </w:rPr>
        <w:t>44.7</w:t>
      </w:r>
      <w:r w:rsidR="00DB2E19" w:rsidRPr="00C921DE">
        <w:rPr>
          <w:rFonts w:ascii="GHEA Grapalat" w:hAnsi="GHEA Grapalat" w:cs="GHEA Grapalat"/>
          <w:sz w:val="22"/>
          <w:szCs w:val="22"/>
          <w:lang w:val="en-US"/>
        </w:rPr>
        <w:t xml:space="preserve">% կամ </w:t>
      </w:r>
      <w:r w:rsidR="00B01231" w:rsidRPr="00C921DE">
        <w:rPr>
          <w:rFonts w:ascii="GHEA Grapalat" w:hAnsi="GHEA Grapalat" w:cs="GHEA Grapalat"/>
          <w:sz w:val="22"/>
          <w:szCs w:val="22"/>
          <w:lang w:val="en-US"/>
        </w:rPr>
        <w:t>4.1</w:t>
      </w:r>
      <w:r w:rsidR="00DB2E19" w:rsidRPr="00C921DE">
        <w:rPr>
          <w:rFonts w:ascii="GHEA Grapalat" w:hAnsi="GHEA Grapalat" w:cs="GHEA Grapalat"/>
          <w:sz w:val="22"/>
          <w:szCs w:val="22"/>
          <w:lang w:val="en-US"/>
        </w:rPr>
        <w:t xml:space="preserve"> մլրդ դրամ) </w:t>
      </w:r>
      <w:r w:rsidR="00794840" w:rsidRPr="00C921DE">
        <w:rPr>
          <w:rFonts w:ascii="GHEA Grapalat" w:hAnsi="GHEA Grapalat" w:cs="GHEA Grapalat"/>
          <w:sz w:val="22"/>
          <w:szCs w:val="22"/>
          <w:lang w:val="en-US"/>
        </w:rPr>
        <w:t xml:space="preserve">և </w:t>
      </w:r>
      <w:r w:rsidRPr="00C921DE">
        <w:rPr>
          <w:rFonts w:ascii="GHEA Grapalat" w:hAnsi="GHEA Grapalat" w:cs="GHEA Grapalat"/>
          <w:sz w:val="22"/>
          <w:szCs w:val="22"/>
          <w:lang w:val="en-US"/>
        </w:rPr>
        <w:t>Դպրոցների սեյսմիկ անվտանգության մակարդակի բարձրացման</w:t>
      </w:r>
      <w:r w:rsidR="00DB2E19" w:rsidRPr="00C921DE">
        <w:rPr>
          <w:rFonts w:ascii="GHEA Grapalat" w:hAnsi="GHEA Grapalat" w:cs="GHEA Grapalat"/>
          <w:sz w:val="22"/>
          <w:szCs w:val="22"/>
          <w:lang w:val="en-US"/>
        </w:rPr>
        <w:t xml:space="preserve"> (աճը՝ </w:t>
      </w:r>
      <w:r w:rsidR="004F2712" w:rsidRPr="00C921DE">
        <w:rPr>
          <w:rFonts w:ascii="GHEA Grapalat" w:hAnsi="GHEA Grapalat" w:cs="GHEA Grapalat"/>
          <w:sz w:val="22"/>
          <w:szCs w:val="22"/>
          <w:lang w:val="en-US"/>
        </w:rPr>
        <w:t>49.7</w:t>
      </w:r>
      <w:r w:rsidR="00DB2E19" w:rsidRPr="00C921DE">
        <w:rPr>
          <w:rFonts w:ascii="GHEA Grapalat" w:hAnsi="GHEA Grapalat" w:cs="GHEA Grapalat"/>
          <w:sz w:val="22"/>
          <w:szCs w:val="22"/>
          <w:lang w:val="en-US"/>
        </w:rPr>
        <w:t>% կամ 4 մլրդ դրամ)</w:t>
      </w:r>
      <w:r w:rsidRPr="00C921DE">
        <w:rPr>
          <w:rFonts w:ascii="GHEA Grapalat" w:hAnsi="GHEA Grapalat" w:cs="GHEA Grapalat"/>
          <w:sz w:val="22"/>
          <w:szCs w:val="22"/>
          <w:lang w:val="en-US"/>
        </w:rPr>
        <w:t xml:space="preserve"> ծրագրերի շրջանակներում կատարված ծախսերի աճով</w:t>
      </w:r>
      <w:r w:rsidR="007338C1" w:rsidRPr="00C921DE">
        <w:rPr>
          <w:rFonts w:ascii="GHEA Grapalat" w:hAnsi="GHEA Grapalat" w:cs="GHEA Grapalat"/>
          <w:sz w:val="22"/>
          <w:szCs w:val="22"/>
          <w:lang w:val="en-US"/>
        </w:rPr>
        <w:t>, ինչպես նաև Միացյալ Թագավորությունում ՀՀ դեսպանության համար շենքի ձեռքբերման նպատակով</w:t>
      </w:r>
      <w:r w:rsidR="004F2712" w:rsidRPr="00C921DE">
        <w:rPr>
          <w:rFonts w:ascii="GHEA Grapalat" w:hAnsi="GHEA Grapalat" w:cs="GHEA Grapalat"/>
          <w:sz w:val="22"/>
          <w:szCs w:val="22"/>
          <w:lang w:val="en-US"/>
        </w:rPr>
        <w:t xml:space="preserve"> շուրջ 8.5 մլրդ դրամի չափով</w:t>
      </w:r>
      <w:r w:rsidR="007338C1" w:rsidRPr="00C921DE">
        <w:rPr>
          <w:rFonts w:ascii="GHEA Grapalat" w:hAnsi="GHEA Grapalat" w:cs="GHEA Grapalat"/>
          <w:sz w:val="22"/>
          <w:szCs w:val="22"/>
          <w:lang w:val="en-US"/>
        </w:rPr>
        <w:t xml:space="preserve"> միջոցների հատկացմամբ</w:t>
      </w:r>
      <w:r w:rsidRPr="00C921DE">
        <w:rPr>
          <w:rFonts w:ascii="GHEA Grapalat" w:hAnsi="GHEA Grapalat" w:cs="GHEA Grapalat"/>
          <w:sz w:val="22"/>
          <w:szCs w:val="22"/>
          <w:lang w:val="en-US"/>
        </w:rPr>
        <w:t>:</w:t>
      </w:r>
      <w:r w:rsidR="00C4400B" w:rsidRPr="00C921DE">
        <w:rPr>
          <w:rFonts w:ascii="GHEA Grapalat" w:hAnsi="GHEA Grapalat" w:cs="GHEA Grapalat"/>
          <w:sz w:val="22"/>
          <w:szCs w:val="22"/>
          <w:lang w:val="en-US"/>
        </w:rPr>
        <w:t xml:space="preserve"> Նախորդ տարվա համեմատ</w:t>
      </w:r>
      <w:r w:rsidR="00373EE1" w:rsidRPr="00C921DE">
        <w:rPr>
          <w:rFonts w:ascii="GHEA Grapalat" w:hAnsi="GHEA Grapalat" w:cs="GHEA Grapalat"/>
          <w:sz w:val="22"/>
          <w:szCs w:val="22"/>
          <w:lang w:val="en-US"/>
        </w:rPr>
        <w:t xml:space="preserve"> </w:t>
      </w:r>
      <w:r w:rsidR="00C4400B" w:rsidRPr="00C921DE">
        <w:rPr>
          <w:rFonts w:ascii="GHEA Grapalat" w:hAnsi="GHEA Grapalat" w:cs="GHEA Grapalat"/>
          <w:sz w:val="22"/>
          <w:szCs w:val="22"/>
          <w:lang w:val="en-US"/>
        </w:rPr>
        <w:t>ա</w:t>
      </w:r>
      <w:r w:rsidR="00373EE1" w:rsidRPr="00C921DE">
        <w:rPr>
          <w:rFonts w:ascii="GHEA Grapalat" w:hAnsi="GHEA Grapalat" w:cs="GHEA Grapalat"/>
          <w:sz w:val="22"/>
          <w:szCs w:val="22"/>
          <w:lang w:val="en-US"/>
        </w:rPr>
        <w:t>ճ է արձանագրվել ինչպես արտաքին աջակցությամբ, այնպես էլ ներքին ռեսուրսների հաշվին իրականացված կապիտալ ծրագրերի ծախսերում:</w:t>
      </w:r>
    </w:p>
    <w:p w14:paraId="1A91BF9D" w14:textId="3C236496"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Աղյուսակ 2</w:t>
      </w:r>
      <w:r w:rsidR="00B74D28" w:rsidRPr="00C921DE">
        <w:rPr>
          <w:rFonts w:ascii="GHEA Grapalat" w:hAnsi="GHEA Grapalat" w:cs="GHEA Grapalat"/>
          <w:sz w:val="22"/>
          <w:szCs w:val="22"/>
          <w:lang w:val="en-US"/>
        </w:rPr>
        <w:t>2</w:t>
      </w:r>
      <w:r w:rsidRPr="00C921DE">
        <w:rPr>
          <w:rFonts w:ascii="GHEA Grapalat" w:hAnsi="GHEA Grapalat" w:cs="GHEA Grapalat"/>
          <w:sz w:val="22"/>
          <w:szCs w:val="22"/>
          <w:lang w:val="en-US"/>
        </w:rPr>
        <w:t>-ում ներկայացված են կապիտալ ծախսերն ըստ ֆինանսավորման աղբյուրների:</w:t>
      </w:r>
    </w:p>
    <w:p w14:paraId="6470AF44" w14:textId="77777777" w:rsidR="000E7659" w:rsidRPr="00C921DE" w:rsidRDefault="000E7659" w:rsidP="000E7659">
      <w:pPr>
        <w:spacing w:line="360" w:lineRule="auto"/>
        <w:ind w:firstLine="567"/>
        <w:jc w:val="both"/>
        <w:rPr>
          <w:rFonts w:ascii="GHEA Grapalat" w:hAnsi="GHEA Grapalat" w:cs="GHEA Grapalat"/>
          <w:sz w:val="22"/>
          <w:szCs w:val="22"/>
          <w:lang w:val="en-US"/>
        </w:rPr>
      </w:pPr>
    </w:p>
    <w:p w14:paraId="5200BD9C" w14:textId="77777777" w:rsidR="000E7659" w:rsidRPr="00C921DE" w:rsidRDefault="000E7659" w:rsidP="000E7659">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 xml:space="preserve">ՀՀ պետական բյուջեի </w:t>
      </w:r>
      <w:r w:rsidRPr="00C921DE">
        <w:rPr>
          <w:rFonts w:ascii="GHEA Grapalat" w:hAnsi="GHEA Grapalat"/>
          <w:i/>
          <w:sz w:val="18"/>
          <w:szCs w:val="18"/>
          <w:lang w:val="en-US"/>
        </w:rPr>
        <w:t>կապիտալ ծախսերն ըստ ֆինանսավորման աղբյուրների</w:t>
      </w:r>
      <w:r w:rsidRPr="00C921DE">
        <w:rPr>
          <w:rFonts w:ascii="GHEA Grapalat" w:hAnsi="GHEA Grapalat"/>
          <w:i/>
          <w:sz w:val="18"/>
          <w:szCs w:val="18"/>
          <w:lang w:val="hy-AM"/>
        </w:rPr>
        <w:t xml:space="preserve"> (մլրդ դրամ)</w:t>
      </w:r>
    </w:p>
    <w:tbl>
      <w:tblPr>
        <w:tblW w:w="10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111"/>
        <w:gridCol w:w="1134"/>
        <w:gridCol w:w="1134"/>
        <w:gridCol w:w="1134"/>
        <w:gridCol w:w="1418"/>
        <w:gridCol w:w="1281"/>
      </w:tblGrid>
      <w:tr w:rsidR="000E7659" w:rsidRPr="00C921DE" w14:paraId="43EC08EB" w14:textId="77777777" w:rsidTr="000E7659">
        <w:trPr>
          <w:trHeight w:val="1442"/>
        </w:trPr>
        <w:tc>
          <w:tcPr>
            <w:tcW w:w="4111" w:type="dxa"/>
            <w:noWrap/>
            <w:vAlign w:val="bottom"/>
          </w:tcPr>
          <w:p w14:paraId="0176F7D2" w14:textId="77777777" w:rsidR="000E7659" w:rsidRPr="00C921DE" w:rsidRDefault="000E7659" w:rsidP="000E7659">
            <w:pPr>
              <w:rPr>
                <w:rFonts w:ascii="GHEA Grapalat" w:hAnsi="GHEA Grapalat" w:cs="Calibri"/>
                <w:sz w:val="18"/>
                <w:szCs w:val="18"/>
              </w:rPr>
            </w:pPr>
            <w:r w:rsidRPr="00C921DE">
              <w:rPr>
                <w:rFonts w:ascii="Courier New" w:hAnsi="Courier New" w:cs="Courier New"/>
                <w:sz w:val="18"/>
                <w:szCs w:val="18"/>
              </w:rPr>
              <w:t> </w:t>
            </w:r>
          </w:p>
        </w:tc>
        <w:tc>
          <w:tcPr>
            <w:tcW w:w="1134" w:type="dxa"/>
            <w:shd w:val="clear" w:color="auto" w:fill="FFFFFF"/>
          </w:tcPr>
          <w:p w14:paraId="4C0DE737"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134" w:type="dxa"/>
            <w:shd w:val="clear" w:color="auto" w:fill="FFFFFF"/>
          </w:tcPr>
          <w:p w14:paraId="4C6BFE1A" w14:textId="160C131C" w:rsidR="000E7659" w:rsidRPr="00C921DE" w:rsidRDefault="000E7659" w:rsidP="00BF4CEF">
            <w:pPr>
              <w:jc w:val="center"/>
              <w:rPr>
                <w:rFonts w:ascii="GHEA Grapalat" w:hAnsi="GHEA Grapalat" w:cs="Calibri"/>
                <w:b/>
                <w:bCs/>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ճշտված </w:t>
            </w:r>
            <w:r w:rsidR="00BF4CEF" w:rsidRPr="00C921DE">
              <w:rPr>
                <w:rFonts w:ascii="GHEA Grapalat" w:hAnsi="GHEA Grapalat" w:cs="Calibri"/>
                <w:b/>
                <w:bCs/>
                <w:sz w:val="18"/>
                <w:szCs w:val="18"/>
                <w:lang w:val="en-US"/>
              </w:rPr>
              <w:t>ծրագիր</w:t>
            </w:r>
          </w:p>
        </w:tc>
        <w:tc>
          <w:tcPr>
            <w:tcW w:w="1134" w:type="dxa"/>
            <w:shd w:val="clear" w:color="auto" w:fill="FFFFFF"/>
          </w:tcPr>
          <w:p w14:paraId="65FFF792"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c>
          <w:tcPr>
            <w:tcW w:w="1418" w:type="dxa"/>
            <w:shd w:val="clear" w:color="auto" w:fill="FFFFFF"/>
          </w:tcPr>
          <w:p w14:paraId="27C98ADC" w14:textId="147A1DD4" w:rsidR="000E7659" w:rsidRPr="00C921DE" w:rsidRDefault="000E7659" w:rsidP="00BF4CEF">
            <w:pPr>
              <w:jc w:val="center"/>
              <w:rPr>
                <w:rFonts w:ascii="GHEA Grapalat" w:hAnsi="GHEA Grapalat" w:cs="Calibri"/>
                <w:b/>
                <w:bCs/>
                <w:sz w:val="18"/>
                <w:szCs w:val="18"/>
              </w:rPr>
            </w:pPr>
            <w:r w:rsidRPr="00C921DE">
              <w:rPr>
                <w:rFonts w:ascii="GHEA Grapalat" w:hAnsi="GHEA Grapalat" w:cs="Calibri"/>
                <w:b/>
                <w:bCs/>
                <w:sz w:val="18"/>
                <w:szCs w:val="18"/>
              </w:rPr>
              <w:t>Կատարո-ղական</w:t>
            </w:r>
            <w:r w:rsidRPr="00C921DE">
              <w:rPr>
                <w:rFonts w:ascii="GHEA Grapalat" w:hAnsi="GHEA Grapalat" w:cs="Calibri"/>
                <w:b/>
                <w:bCs/>
                <w:sz w:val="18"/>
                <w:szCs w:val="18"/>
                <w:lang w:val="en-US"/>
              </w:rPr>
              <w:t>ը</w:t>
            </w:r>
            <w:r w:rsidRPr="00C921DE">
              <w:rPr>
                <w:rFonts w:ascii="GHEA Grapalat" w:hAnsi="GHEA Grapalat" w:cs="Calibri"/>
                <w:b/>
                <w:bCs/>
                <w:sz w:val="18"/>
                <w:szCs w:val="18"/>
              </w:rPr>
              <w:t xml:space="preserve"> ճշտված </w:t>
            </w:r>
            <w:r w:rsidR="00BF4CEF"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281" w:type="dxa"/>
            <w:shd w:val="clear" w:color="auto" w:fill="FFFFFF"/>
          </w:tcPr>
          <w:p w14:paraId="79E0E632" w14:textId="7B8B83B6"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w:t>
            </w:r>
            <w:r w:rsidR="00B7454E" w:rsidRPr="00C921DE">
              <w:rPr>
                <w:rFonts w:ascii="GHEA Grapalat" w:hAnsi="GHEA Grapalat" w:cs="Calibri"/>
                <w:b/>
                <w:bCs/>
                <w:sz w:val="18"/>
                <w:szCs w:val="18"/>
                <w:lang w:val="en-US"/>
              </w:rPr>
              <w:t>.</w:t>
            </w:r>
            <w:r w:rsidRPr="00C921DE">
              <w:rPr>
                <w:rFonts w:ascii="GHEA Grapalat" w:hAnsi="GHEA Grapalat" w:cs="Calibri"/>
                <w:b/>
                <w:bCs/>
                <w:sz w:val="18"/>
                <w:szCs w:val="18"/>
              </w:rPr>
              <w:t xml:space="preserve">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F4CEF"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0E7659" w:rsidRPr="00C921DE" w14:paraId="7F61E0CE" w14:textId="77777777" w:rsidTr="000E7659">
        <w:trPr>
          <w:trHeight w:val="351"/>
        </w:trPr>
        <w:tc>
          <w:tcPr>
            <w:tcW w:w="4111" w:type="dxa"/>
            <w:vAlign w:val="bottom"/>
          </w:tcPr>
          <w:p w14:paraId="511F09D8" w14:textId="77777777" w:rsidR="000E7659" w:rsidRPr="00C921DE" w:rsidRDefault="000E7659" w:rsidP="000E7659">
            <w:pPr>
              <w:rPr>
                <w:rFonts w:ascii="GHEA Grapalat" w:hAnsi="GHEA Grapalat" w:cs="Calibri"/>
                <w:b/>
                <w:bCs/>
                <w:sz w:val="18"/>
                <w:szCs w:val="18"/>
              </w:rPr>
            </w:pPr>
            <w:r w:rsidRPr="00C921DE">
              <w:rPr>
                <w:rFonts w:ascii="GHEA Grapalat" w:hAnsi="GHEA Grapalat" w:cs="Calibri"/>
                <w:b/>
                <w:bCs/>
                <w:sz w:val="18"/>
                <w:szCs w:val="18"/>
              </w:rPr>
              <w:t>Ոչ ֆինանսական ակտիվների գծով ծախսեր (կապիտալ ծախսեր), այդ թվում՝</w:t>
            </w:r>
          </w:p>
        </w:tc>
        <w:tc>
          <w:tcPr>
            <w:tcW w:w="1134" w:type="dxa"/>
            <w:noWrap/>
            <w:vAlign w:val="bottom"/>
          </w:tcPr>
          <w:p w14:paraId="2EC98194"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389.1</w:t>
            </w:r>
          </w:p>
        </w:tc>
        <w:tc>
          <w:tcPr>
            <w:tcW w:w="1134" w:type="dxa"/>
            <w:noWrap/>
            <w:vAlign w:val="bottom"/>
          </w:tcPr>
          <w:p w14:paraId="037CEA01"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lang w:val="en-US"/>
              </w:rPr>
              <w:t>516.1</w:t>
            </w:r>
          </w:p>
        </w:tc>
        <w:tc>
          <w:tcPr>
            <w:tcW w:w="1134" w:type="dxa"/>
            <w:noWrap/>
            <w:vAlign w:val="bottom"/>
          </w:tcPr>
          <w:p w14:paraId="6A29D6AB"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494.4</w:t>
            </w:r>
          </w:p>
        </w:tc>
        <w:tc>
          <w:tcPr>
            <w:tcW w:w="1418" w:type="dxa"/>
            <w:vAlign w:val="bottom"/>
          </w:tcPr>
          <w:p w14:paraId="621D41B3"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9</w:t>
            </w:r>
            <w:r w:rsidRPr="00C921DE">
              <w:rPr>
                <w:rFonts w:ascii="GHEA Grapalat" w:hAnsi="GHEA Grapalat" w:cs="Calibri"/>
                <w:b/>
                <w:sz w:val="18"/>
                <w:szCs w:val="18"/>
                <w:lang w:val="en-US"/>
              </w:rPr>
              <w:t>5.8</w:t>
            </w:r>
          </w:p>
        </w:tc>
        <w:tc>
          <w:tcPr>
            <w:tcW w:w="1281" w:type="dxa"/>
            <w:noWrap/>
            <w:vAlign w:val="bottom"/>
          </w:tcPr>
          <w:p w14:paraId="176E593B"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1</w:t>
            </w:r>
            <w:r w:rsidRPr="00C921DE">
              <w:rPr>
                <w:rFonts w:ascii="GHEA Grapalat" w:hAnsi="GHEA Grapalat" w:cs="Calibri"/>
                <w:b/>
                <w:sz w:val="18"/>
                <w:szCs w:val="18"/>
                <w:lang w:val="en-US"/>
              </w:rPr>
              <w:t>27.0</w:t>
            </w:r>
          </w:p>
        </w:tc>
      </w:tr>
      <w:tr w:rsidR="000E7659" w:rsidRPr="00C921DE" w14:paraId="5C19137C" w14:textId="77777777" w:rsidTr="000E7659">
        <w:trPr>
          <w:trHeight w:val="232"/>
        </w:trPr>
        <w:tc>
          <w:tcPr>
            <w:tcW w:w="4111" w:type="dxa"/>
            <w:vAlign w:val="bottom"/>
          </w:tcPr>
          <w:p w14:paraId="68FA3DC3" w14:textId="030B1EFA" w:rsidR="000E7659" w:rsidRPr="00C921DE" w:rsidRDefault="000E7659" w:rsidP="00EF6622">
            <w:pPr>
              <w:pStyle w:val="ListParagraph"/>
              <w:spacing w:after="0"/>
              <w:ind w:left="270"/>
              <w:rPr>
                <w:rFonts w:ascii="GHEA Grapalat" w:hAnsi="GHEA Grapalat"/>
                <w:sz w:val="18"/>
                <w:szCs w:val="18"/>
              </w:rPr>
            </w:pPr>
            <w:r w:rsidRPr="00C921DE">
              <w:rPr>
                <w:rFonts w:ascii="GHEA Grapalat" w:hAnsi="GHEA Grapalat"/>
                <w:sz w:val="18"/>
                <w:szCs w:val="18"/>
              </w:rPr>
              <w:t xml:space="preserve">Արտաքին աջակցությամբ իրականացվող ծրագրեր (ներառյալ </w:t>
            </w:r>
            <w:r w:rsidR="00EF6622" w:rsidRPr="00C921DE">
              <w:rPr>
                <w:rFonts w:ascii="GHEA Grapalat" w:hAnsi="GHEA Grapalat"/>
                <w:sz w:val="18"/>
                <w:szCs w:val="18"/>
                <w:lang w:val="en-US"/>
              </w:rPr>
              <w:t>Կ</w:t>
            </w:r>
            <w:r w:rsidRPr="00C921DE">
              <w:rPr>
                <w:rFonts w:ascii="GHEA Grapalat" w:hAnsi="GHEA Grapalat"/>
                <w:sz w:val="18"/>
                <w:szCs w:val="18"/>
              </w:rPr>
              <w:t>առավարության համաֆինանսավորումները)</w:t>
            </w:r>
          </w:p>
        </w:tc>
        <w:tc>
          <w:tcPr>
            <w:tcW w:w="1134" w:type="dxa"/>
            <w:noWrap/>
            <w:vAlign w:val="bottom"/>
          </w:tcPr>
          <w:p w14:paraId="632056A7"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54.0</w:t>
            </w:r>
          </w:p>
        </w:tc>
        <w:tc>
          <w:tcPr>
            <w:tcW w:w="1134" w:type="dxa"/>
            <w:noWrap/>
            <w:vAlign w:val="bottom"/>
          </w:tcPr>
          <w:p w14:paraId="6AA92553"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79.2</w:t>
            </w:r>
          </w:p>
        </w:tc>
        <w:tc>
          <w:tcPr>
            <w:tcW w:w="1134" w:type="dxa"/>
            <w:noWrap/>
            <w:vAlign w:val="bottom"/>
          </w:tcPr>
          <w:p w14:paraId="7609C72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73.4</w:t>
            </w:r>
          </w:p>
        </w:tc>
        <w:tc>
          <w:tcPr>
            <w:tcW w:w="1418" w:type="dxa"/>
            <w:vAlign w:val="bottom"/>
          </w:tcPr>
          <w:p w14:paraId="70291EFE"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92.7</w:t>
            </w:r>
          </w:p>
        </w:tc>
        <w:tc>
          <w:tcPr>
            <w:tcW w:w="1281" w:type="dxa"/>
            <w:noWrap/>
            <w:vAlign w:val="bottom"/>
          </w:tcPr>
          <w:p w14:paraId="7496E697"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135.9</w:t>
            </w:r>
          </w:p>
        </w:tc>
      </w:tr>
      <w:tr w:rsidR="000E7659" w:rsidRPr="00C921DE" w14:paraId="3092D717" w14:textId="77777777" w:rsidTr="000E7659">
        <w:trPr>
          <w:trHeight w:val="464"/>
        </w:trPr>
        <w:tc>
          <w:tcPr>
            <w:tcW w:w="4111" w:type="dxa"/>
            <w:vAlign w:val="bottom"/>
          </w:tcPr>
          <w:p w14:paraId="490D53CA" w14:textId="77777777" w:rsidR="000E7659" w:rsidRPr="00C921DE" w:rsidRDefault="000E7659" w:rsidP="000E7659">
            <w:pPr>
              <w:pStyle w:val="ListParagraph"/>
              <w:spacing w:after="0"/>
              <w:ind w:left="270"/>
              <w:rPr>
                <w:rFonts w:ascii="GHEA Grapalat" w:hAnsi="GHEA Grapalat"/>
                <w:sz w:val="18"/>
                <w:szCs w:val="18"/>
              </w:rPr>
            </w:pPr>
            <w:r w:rsidRPr="00C921DE">
              <w:rPr>
                <w:rFonts w:ascii="GHEA Grapalat" w:hAnsi="GHEA Grapalat"/>
                <w:sz w:val="18"/>
                <w:szCs w:val="18"/>
              </w:rPr>
              <w:t>Ներքին ռեսուրսների հաշվին իրականացվող ծրագրեր, այդ թվում՝</w:t>
            </w:r>
          </w:p>
        </w:tc>
        <w:tc>
          <w:tcPr>
            <w:tcW w:w="1134" w:type="dxa"/>
            <w:noWrap/>
            <w:vAlign w:val="bottom"/>
          </w:tcPr>
          <w:p w14:paraId="1F543AC3"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335.1</w:t>
            </w:r>
          </w:p>
        </w:tc>
        <w:tc>
          <w:tcPr>
            <w:tcW w:w="1134" w:type="dxa"/>
            <w:noWrap/>
            <w:vAlign w:val="bottom"/>
          </w:tcPr>
          <w:p w14:paraId="7D5EFE2A"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436.9</w:t>
            </w:r>
          </w:p>
        </w:tc>
        <w:tc>
          <w:tcPr>
            <w:tcW w:w="1134" w:type="dxa"/>
            <w:noWrap/>
            <w:vAlign w:val="bottom"/>
          </w:tcPr>
          <w:p w14:paraId="40497B5B"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420.9</w:t>
            </w:r>
          </w:p>
        </w:tc>
        <w:tc>
          <w:tcPr>
            <w:tcW w:w="1418" w:type="dxa"/>
            <w:vAlign w:val="bottom"/>
          </w:tcPr>
          <w:p w14:paraId="5E0E33B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96.3</w:t>
            </w:r>
          </w:p>
        </w:tc>
        <w:tc>
          <w:tcPr>
            <w:tcW w:w="1281" w:type="dxa"/>
            <w:noWrap/>
            <w:vAlign w:val="bottom"/>
          </w:tcPr>
          <w:p w14:paraId="61E1DAC6"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125.6</w:t>
            </w:r>
          </w:p>
        </w:tc>
      </w:tr>
      <w:tr w:rsidR="000E7659" w:rsidRPr="00C921DE" w14:paraId="0A10AF30" w14:textId="77777777" w:rsidTr="000E7659">
        <w:trPr>
          <w:trHeight w:val="260"/>
        </w:trPr>
        <w:tc>
          <w:tcPr>
            <w:tcW w:w="4111" w:type="dxa"/>
            <w:vAlign w:val="bottom"/>
          </w:tcPr>
          <w:p w14:paraId="0C525C2F" w14:textId="77777777" w:rsidR="000E7659" w:rsidRPr="00C921DE" w:rsidRDefault="000E7659" w:rsidP="000E7659">
            <w:pPr>
              <w:pStyle w:val="ListParagraph"/>
              <w:numPr>
                <w:ilvl w:val="0"/>
                <w:numId w:val="31"/>
              </w:numPr>
              <w:spacing w:after="0"/>
              <w:ind w:left="567" w:hanging="141"/>
              <w:rPr>
                <w:rFonts w:ascii="GHEA Grapalat" w:hAnsi="GHEA Grapalat"/>
                <w:sz w:val="18"/>
                <w:szCs w:val="18"/>
              </w:rPr>
            </w:pPr>
            <w:r w:rsidRPr="00C921DE">
              <w:rPr>
                <w:rFonts w:ascii="GHEA Grapalat" w:hAnsi="GHEA Grapalat"/>
                <w:i/>
                <w:iCs/>
                <w:sz w:val="18"/>
                <w:szCs w:val="18"/>
              </w:rPr>
              <w:t>ՀՀ պաշտպանության նախարարության ծրագրեր</w:t>
            </w:r>
          </w:p>
        </w:tc>
        <w:tc>
          <w:tcPr>
            <w:tcW w:w="1134" w:type="dxa"/>
            <w:noWrap/>
            <w:vAlign w:val="bottom"/>
          </w:tcPr>
          <w:p w14:paraId="4EA72DD9"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237.4</w:t>
            </w:r>
          </w:p>
        </w:tc>
        <w:tc>
          <w:tcPr>
            <w:tcW w:w="1134" w:type="dxa"/>
            <w:noWrap/>
            <w:vAlign w:val="bottom"/>
          </w:tcPr>
          <w:p w14:paraId="7E96AF33"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285.7</w:t>
            </w:r>
          </w:p>
        </w:tc>
        <w:tc>
          <w:tcPr>
            <w:tcW w:w="1134" w:type="dxa"/>
            <w:noWrap/>
            <w:vAlign w:val="bottom"/>
          </w:tcPr>
          <w:p w14:paraId="75CC41C4"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285.5</w:t>
            </w:r>
          </w:p>
        </w:tc>
        <w:tc>
          <w:tcPr>
            <w:tcW w:w="1418" w:type="dxa"/>
            <w:vAlign w:val="bottom"/>
          </w:tcPr>
          <w:p w14:paraId="3804015A"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99.9</w:t>
            </w:r>
          </w:p>
        </w:tc>
        <w:tc>
          <w:tcPr>
            <w:tcW w:w="1281" w:type="dxa"/>
            <w:noWrap/>
            <w:vAlign w:val="bottom"/>
          </w:tcPr>
          <w:p w14:paraId="0CB4AAFF"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120.3</w:t>
            </w:r>
          </w:p>
        </w:tc>
      </w:tr>
      <w:tr w:rsidR="000E7659" w:rsidRPr="00C921DE" w14:paraId="0B6DF0A3" w14:textId="77777777" w:rsidTr="000E7659">
        <w:trPr>
          <w:trHeight w:val="207"/>
        </w:trPr>
        <w:tc>
          <w:tcPr>
            <w:tcW w:w="4111" w:type="dxa"/>
            <w:vAlign w:val="bottom"/>
          </w:tcPr>
          <w:p w14:paraId="3D1D80E8" w14:textId="77777777" w:rsidR="000E7659" w:rsidRPr="00C921DE" w:rsidRDefault="000E7659" w:rsidP="000E7659">
            <w:pPr>
              <w:pStyle w:val="ListParagraph"/>
              <w:numPr>
                <w:ilvl w:val="0"/>
                <w:numId w:val="31"/>
              </w:numPr>
              <w:spacing w:after="0"/>
              <w:ind w:left="567" w:hanging="141"/>
              <w:rPr>
                <w:rFonts w:ascii="GHEA Grapalat" w:hAnsi="GHEA Grapalat"/>
                <w:i/>
                <w:iCs/>
                <w:sz w:val="18"/>
                <w:szCs w:val="18"/>
              </w:rPr>
            </w:pPr>
            <w:r w:rsidRPr="00C921DE">
              <w:rPr>
                <w:rFonts w:ascii="GHEA Grapalat" w:hAnsi="GHEA Grapalat"/>
                <w:i/>
                <w:iCs/>
                <w:sz w:val="18"/>
                <w:szCs w:val="18"/>
              </w:rPr>
              <w:t>Այլ ծրագրեր</w:t>
            </w:r>
          </w:p>
        </w:tc>
        <w:tc>
          <w:tcPr>
            <w:tcW w:w="1134" w:type="dxa"/>
            <w:noWrap/>
            <w:vAlign w:val="bottom"/>
          </w:tcPr>
          <w:p w14:paraId="2FE70E29"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97.7</w:t>
            </w:r>
          </w:p>
        </w:tc>
        <w:tc>
          <w:tcPr>
            <w:tcW w:w="1134" w:type="dxa"/>
            <w:noWrap/>
            <w:vAlign w:val="bottom"/>
          </w:tcPr>
          <w:p w14:paraId="4E17187B"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151.2</w:t>
            </w:r>
          </w:p>
        </w:tc>
        <w:tc>
          <w:tcPr>
            <w:tcW w:w="1134" w:type="dxa"/>
            <w:noWrap/>
            <w:vAlign w:val="bottom"/>
          </w:tcPr>
          <w:p w14:paraId="6712FB80"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135.4</w:t>
            </w:r>
          </w:p>
        </w:tc>
        <w:tc>
          <w:tcPr>
            <w:tcW w:w="1418" w:type="dxa"/>
            <w:vAlign w:val="bottom"/>
          </w:tcPr>
          <w:p w14:paraId="5E474F04"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89.6</w:t>
            </w:r>
          </w:p>
        </w:tc>
        <w:tc>
          <w:tcPr>
            <w:tcW w:w="1281" w:type="dxa"/>
            <w:noWrap/>
            <w:vAlign w:val="bottom"/>
          </w:tcPr>
          <w:p w14:paraId="70AF2D68"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138.6</w:t>
            </w:r>
          </w:p>
        </w:tc>
      </w:tr>
    </w:tbl>
    <w:p w14:paraId="13B54874" w14:textId="77777777" w:rsidR="000E7659" w:rsidRPr="00C921DE" w:rsidRDefault="000E7659" w:rsidP="000E7659">
      <w:pPr>
        <w:spacing w:line="360" w:lineRule="auto"/>
        <w:ind w:firstLine="567"/>
        <w:jc w:val="both"/>
        <w:rPr>
          <w:rFonts w:ascii="GHEA Grapalat" w:hAnsi="GHEA Grapalat" w:cs="GHEA Grapalat"/>
          <w:sz w:val="22"/>
          <w:szCs w:val="22"/>
        </w:rPr>
      </w:pPr>
    </w:p>
    <w:p w14:paraId="2CA93633" w14:textId="58B4D7BC" w:rsidR="000E7659" w:rsidRPr="00C921DE" w:rsidRDefault="000E7659" w:rsidP="000E7659">
      <w:pPr>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lastRenderedPageBreak/>
        <w:t xml:space="preserve">Ոչ ֆինանսական ակտիվների օտարումից հաշվետու ժամանակահատվածում ստացվել են </w:t>
      </w:r>
      <w:r w:rsidRPr="00C921DE">
        <w:rPr>
          <w:rFonts w:ascii="GHEA Grapalat" w:hAnsi="GHEA Grapalat" w:cs="GHEA Grapalat"/>
          <w:sz w:val="22"/>
          <w:szCs w:val="22"/>
          <w:lang w:val="en-US"/>
        </w:rPr>
        <w:t>21.8</w:t>
      </w:r>
      <w:r w:rsidRPr="00C921DE">
        <w:rPr>
          <w:rFonts w:ascii="Courier New" w:hAnsi="Courier New" w:cs="Courier New"/>
          <w:sz w:val="22"/>
          <w:szCs w:val="22"/>
          <w:lang w:val="en-US"/>
        </w:rPr>
        <w:t> </w:t>
      </w:r>
      <w:r w:rsidRPr="00C921DE">
        <w:rPr>
          <w:rFonts w:ascii="GHEA Grapalat" w:hAnsi="GHEA Grapalat" w:cs="GHEA Grapalat"/>
          <w:sz w:val="22"/>
          <w:szCs w:val="22"/>
        </w:rPr>
        <w:t xml:space="preserve">մլրդ դրամ մուտքեր՝ տարեկան ծրագրով նախատեսված </w:t>
      </w:r>
      <w:r w:rsidRPr="00C921DE">
        <w:rPr>
          <w:rFonts w:ascii="GHEA Grapalat" w:hAnsi="GHEA Grapalat" w:cs="GHEA Grapalat"/>
          <w:sz w:val="22"/>
          <w:szCs w:val="22"/>
          <w:lang w:val="en-US"/>
        </w:rPr>
        <w:t>24.2</w:t>
      </w:r>
      <w:r w:rsidRPr="00C921DE">
        <w:rPr>
          <w:rFonts w:ascii="Courier New" w:hAnsi="Courier New" w:cs="Courier New"/>
          <w:sz w:val="22"/>
          <w:szCs w:val="22"/>
        </w:rPr>
        <w:t> </w:t>
      </w:r>
      <w:r w:rsidRPr="00C921DE">
        <w:rPr>
          <w:rFonts w:ascii="GHEA Grapalat" w:hAnsi="GHEA Grapalat" w:cs="GHEA Grapalat"/>
          <w:sz w:val="22"/>
          <w:szCs w:val="22"/>
        </w:rPr>
        <w:t>մլրդ դրամի և 202</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թվականին ստացված </w:t>
      </w:r>
      <w:r w:rsidRPr="00C921DE">
        <w:rPr>
          <w:rFonts w:ascii="GHEA Grapalat" w:hAnsi="GHEA Grapalat" w:cs="GHEA Grapalat"/>
          <w:sz w:val="22"/>
          <w:szCs w:val="22"/>
          <w:lang w:val="en-US"/>
        </w:rPr>
        <w:t>8.7</w:t>
      </w:r>
      <w:r w:rsidRPr="00C921DE">
        <w:rPr>
          <w:rFonts w:ascii="Courier New" w:hAnsi="Courier New" w:cs="Courier New"/>
          <w:sz w:val="22"/>
          <w:szCs w:val="22"/>
        </w:rPr>
        <w:t> </w:t>
      </w:r>
      <w:r w:rsidRPr="00C921DE">
        <w:rPr>
          <w:rFonts w:ascii="GHEA Grapalat" w:hAnsi="GHEA Grapalat" w:cs="GHEA Grapalat"/>
          <w:sz w:val="22"/>
          <w:szCs w:val="22"/>
        </w:rPr>
        <w:t>մլրդ դրամի դիմաց:</w:t>
      </w:r>
      <w:r w:rsidR="00C06A81" w:rsidRPr="00C921DE">
        <w:rPr>
          <w:rFonts w:ascii="GHEA Grapalat" w:hAnsi="GHEA Grapalat" w:cs="GHEA Grapalat"/>
          <w:sz w:val="22"/>
          <w:szCs w:val="22"/>
          <w:lang w:val="en-US"/>
        </w:rPr>
        <w:t xml:space="preserve"> 2023 թվականի մուտքերից </w:t>
      </w:r>
      <w:r w:rsidR="00C06A81" w:rsidRPr="00C921DE">
        <w:rPr>
          <w:rFonts w:ascii="GHEA Grapalat" w:hAnsi="GHEA Grapalat"/>
          <w:sz w:val="22"/>
          <w:szCs w:val="22"/>
          <w:lang w:val="en-US"/>
        </w:rPr>
        <w:t>12.2 մլրդ դրամը ստացվել է</w:t>
      </w:r>
      <w:r w:rsidR="006B2B48" w:rsidRPr="00C921DE">
        <w:rPr>
          <w:rFonts w:ascii="GHEA Grapalat" w:hAnsi="GHEA Grapalat"/>
          <w:sz w:val="22"/>
          <w:szCs w:val="22"/>
          <w:lang w:val="en-US"/>
        </w:rPr>
        <w:t xml:space="preserve"> </w:t>
      </w:r>
      <w:r w:rsidR="006B2B48" w:rsidRPr="00C921DE">
        <w:rPr>
          <w:rFonts w:ascii="GHEA Grapalat" w:hAnsi="GHEA Grapalat"/>
          <w:sz w:val="22"/>
          <w:szCs w:val="22"/>
        </w:rPr>
        <w:t>ՀԲ աջակցությամբ իրականացված «Ոռոգման համակարգերի բարելավում» վարկային ծրագրի շրջանակներում կառուցված և վերականգնված հիդրոտեխնիկական կառուցվածքների օտարումից, որն ուղղվել է</w:t>
      </w:r>
      <w:r w:rsidR="00C06A81" w:rsidRPr="00C921DE">
        <w:rPr>
          <w:rFonts w:ascii="GHEA Grapalat" w:hAnsi="GHEA Grapalat"/>
          <w:sz w:val="22"/>
          <w:szCs w:val="22"/>
        </w:rPr>
        <w:t xml:space="preserve"> «Ջրառ» ՓԲԸ-ի կանոնադրական կապիտալի ավելացմանը</w:t>
      </w:r>
      <w:r w:rsidR="00D43536" w:rsidRPr="00C921DE">
        <w:rPr>
          <w:rFonts w:ascii="GHEA Grapalat" w:hAnsi="GHEA Grapalat"/>
          <w:sz w:val="22"/>
          <w:szCs w:val="22"/>
          <w:lang w:val="en-US"/>
        </w:rPr>
        <w:t>:</w:t>
      </w:r>
      <w:r w:rsidR="00583DF2" w:rsidRPr="00C921DE">
        <w:rPr>
          <w:rFonts w:ascii="GHEA Grapalat" w:hAnsi="GHEA Grapalat"/>
          <w:sz w:val="22"/>
          <w:szCs w:val="22"/>
          <w:lang w:val="en-US"/>
        </w:rPr>
        <w:t xml:space="preserve"> 6.3 մլրդ դրամ է ստացվել պետական սեփականություն հանդիսացող հողերի վաճառքից:</w:t>
      </w:r>
    </w:p>
    <w:p w14:paraId="729114DF" w14:textId="77777777" w:rsidR="000E7659" w:rsidRPr="00C921DE" w:rsidRDefault="000E7659" w:rsidP="00A605DF">
      <w:pPr>
        <w:ind w:firstLine="567"/>
        <w:jc w:val="both"/>
        <w:rPr>
          <w:rFonts w:ascii="GHEA Grapalat" w:hAnsi="GHEA Grapalat" w:cs="GHEA Grapalat"/>
          <w:sz w:val="22"/>
          <w:szCs w:val="22"/>
          <w:lang w:val="en-US"/>
        </w:rPr>
      </w:pPr>
    </w:p>
    <w:p w14:paraId="42DAA0C1" w14:textId="77777777" w:rsidR="000E7659" w:rsidRPr="00C921DE" w:rsidRDefault="000E7659" w:rsidP="000E7659">
      <w:pPr>
        <w:pStyle w:val="Caption"/>
        <w:keepNext/>
        <w:numPr>
          <w:ilvl w:val="0"/>
          <w:numId w:val="16"/>
        </w:numPr>
        <w:tabs>
          <w:tab w:val="left" w:pos="1134"/>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 ոչ ֆինանսական ակտիվների հետ գործառնությունները (մլրդ դրամ)</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4361"/>
        <w:gridCol w:w="1134"/>
        <w:gridCol w:w="1134"/>
        <w:gridCol w:w="1134"/>
        <w:gridCol w:w="1276"/>
        <w:gridCol w:w="1281"/>
      </w:tblGrid>
      <w:tr w:rsidR="000E7659" w:rsidRPr="00C921DE" w14:paraId="1F16F846" w14:textId="77777777" w:rsidTr="000E7659">
        <w:trPr>
          <w:trHeight w:val="1559"/>
        </w:trPr>
        <w:tc>
          <w:tcPr>
            <w:tcW w:w="4361" w:type="dxa"/>
            <w:noWrap/>
            <w:vAlign w:val="bottom"/>
          </w:tcPr>
          <w:p w14:paraId="5855DBC3" w14:textId="77777777" w:rsidR="000E7659" w:rsidRPr="00C921DE" w:rsidRDefault="000E7659" w:rsidP="000E7659">
            <w:pPr>
              <w:rPr>
                <w:rFonts w:ascii="GHEA Grapalat" w:hAnsi="GHEA Grapalat" w:cs="Calibri"/>
                <w:sz w:val="18"/>
                <w:szCs w:val="18"/>
              </w:rPr>
            </w:pPr>
            <w:r w:rsidRPr="00C921DE">
              <w:rPr>
                <w:rFonts w:ascii="Courier New" w:hAnsi="Courier New" w:cs="Courier New"/>
                <w:sz w:val="18"/>
                <w:szCs w:val="18"/>
              </w:rPr>
              <w:t> </w:t>
            </w:r>
          </w:p>
        </w:tc>
        <w:tc>
          <w:tcPr>
            <w:tcW w:w="1134" w:type="dxa"/>
            <w:shd w:val="clear" w:color="auto" w:fill="FFFFFF"/>
          </w:tcPr>
          <w:p w14:paraId="70DCA4E6"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134" w:type="dxa"/>
            <w:shd w:val="clear" w:color="auto" w:fill="FFFFFF"/>
          </w:tcPr>
          <w:p w14:paraId="5BAEFC52" w14:textId="23C020A9" w:rsidR="000E7659" w:rsidRPr="00C921DE" w:rsidRDefault="000E7659" w:rsidP="00B7454E">
            <w:pPr>
              <w:jc w:val="center"/>
              <w:rPr>
                <w:rFonts w:ascii="GHEA Grapalat" w:hAnsi="GHEA Grapalat" w:cs="Calibri"/>
                <w:b/>
                <w:bCs/>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 xml:space="preserve">թ. ճշտված </w:t>
            </w:r>
            <w:r w:rsidR="00B7454E" w:rsidRPr="00C921DE">
              <w:rPr>
                <w:rFonts w:ascii="GHEA Grapalat" w:hAnsi="GHEA Grapalat" w:cs="Calibri"/>
                <w:b/>
                <w:bCs/>
                <w:sz w:val="18"/>
                <w:szCs w:val="18"/>
                <w:lang w:val="en-US"/>
              </w:rPr>
              <w:t>ծրագիր</w:t>
            </w:r>
          </w:p>
        </w:tc>
        <w:tc>
          <w:tcPr>
            <w:tcW w:w="1134" w:type="dxa"/>
            <w:shd w:val="clear" w:color="auto" w:fill="FFFFFF"/>
          </w:tcPr>
          <w:p w14:paraId="6312BDDD" w14:textId="77777777"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փաստ</w:t>
            </w:r>
          </w:p>
        </w:tc>
        <w:tc>
          <w:tcPr>
            <w:tcW w:w="1276" w:type="dxa"/>
            <w:shd w:val="clear" w:color="auto" w:fill="FFFFFF"/>
          </w:tcPr>
          <w:p w14:paraId="610AAC96" w14:textId="2BF12212" w:rsidR="000E7659" w:rsidRPr="00C921DE" w:rsidRDefault="000E7659" w:rsidP="00B7454E">
            <w:pPr>
              <w:jc w:val="center"/>
              <w:rPr>
                <w:rFonts w:ascii="GHEA Grapalat" w:hAnsi="GHEA Grapalat" w:cs="Calibri"/>
                <w:b/>
                <w:bCs/>
                <w:sz w:val="18"/>
                <w:szCs w:val="18"/>
              </w:rPr>
            </w:pPr>
            <w:r w:rsidRPr="00C921DE">
              <w:rPr>
                <w:rFonts w:ascii="GHEA Grapalat" w:hAnsi="GHEA Grapalat" w:cs="Calibri"/>
                <w:b/>
                <w:bCs/>
                <w:sz w:val="18"/>
                <w:szCs w:val="18"/>
              </w:rPr>
              <w:t>Կատարո-ղական</w:t>
            </w:r>
            <w:r w:rsidRPr="00C921DE">
              <w:rPr>
                <w:rFonts w:ascii="GHEA Grapalat" w:hAnsi="GHEA Grapalat" w:cs="Calibri"/>
                <w:b/>
                <w:bCs/>
                <w:sz w:val="18"/>
                <w:szCs w:val="18"/>
                <w:lang w:val="en-US"/>
              </w:rPr>
              <w:t>ը</w:t>
            </w:r>
            <w:r w:rsidRPr="00C921DE">
              <w:rPr>
                <w:rFonts w:ascii="GHEA Grapalat" w:hAnsi="GHEA Grapalat" w:cs="Calibri"/>
                <w:b/>
                <w:bCs/>
                <w:sz w:val="18"/>
                <w:szCs w:val="18"/>
              </w:rPr>
              <w:t xml:space="preserve"> ճշտված </w:t>
            </w:r>
            <w:r w:rsidR="00B7454E"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281" w:type="dxa"/>
            <w:shd w:val="clear" w:color="auto" w:fill="FFFFFF"/>
          </w:tcPr>
          <w:p w14:paraId="718BE682" w14:textId="397213AF" w:rsidR="000E7659" w:rsidRPr="00C921DE" w:rsidRDefault="000E7659" w:rsidP="000E7659">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w:t>
            </w:r>
            <w:r w:rsidR="00B7454E" w:rsidRPr="00C921DE">
              <w:rPr>
                <w:rFonts w:ascii="GHEA Grapalat" w:hAnsi="GHEA Grapalat" w:cs="Calibri"/>
                <w:b/>
                <w:bCs/>
                <w:sz w:val="18"/>
                <w:szCs w:val="18"/>
                <w:lang w:val="en-US"/>
              </w:rPr>
              <w:t>.</w:t>
            </w:r>
            <w:r w:rsidRPr="00C921DE">
              <w:rPr>
                <w:rFonts w:ascii="GHEA Grapalat" w:hAnsi="GHEA Grapalat" w:cs="Calibri"/>
                <w:b/>
                <w:bCs/>
                <w:sz w:val="18"/>
                <w:szCs w:val="18"/>
              </w:rPr>
              <w:t xml:space="preserve">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7454E" w:rsidRPr="00C921DE">
              <w:rPr>
                <w:rFonts w:ascii="GHEA Grapalat" w:hAnsi="GHEA Grapalat" w:cs="Calibri"/>
                <w:b/>
                <w:bCs/>
                <w:sz w:val="18"/>
                <w:szCs w:val="18"/>
                <w:lang w:val="en-US"/>
              </w:rPr>
              <w:t>-ի</w:t>
            </w:r>
            <w:r w:rsidRPr="00C921DE">
              <w:rPr>
                <w:rFonts w:ascii="GHEA Grapalat" w:hAnsi="GHEA Grapalat" w:cs="Calibri"/>
                <w:b/>
                <w:bCs/>
                <w:sz w:val="18"/>
                <w:szCs w:val="18"/>
              </w:rPr>
              <w:t xml:space="preserve"> նկատմամբ (%)</w:t>
            </w:r>
          </w:p>
        </w:tc>
      </w:tr>
      <w:tr w:rsidR="000E7659" w:rsidRPr="00C921DE" w14:paraId="28E0B659" w14:textId="77777777" w:rsidTr="000E7659">
        <w:trPr>
          <w:trHeight w:val="471"/>
        </w:trPr>
        <w:tc>
          <w:tcPr>
            <w:tcW w:w="4361" w:type="dxa"/>
            <w:noWrap/>
            <w:vAlign w:val="bottom"/>
          </w:tcPr>
          <w:p w14:paraId="4F3F5066" w14:textId="77777777" w:rsidR="000E7659" w:rsidRPr="00C921DE" w:rsidRDefault="000E7659" w:rsidP="000E7659">
            <w:pPr>
              <w:rPr>
                <w:rFonts w:ascii="GHEA Grapalat" w:hAnsi="GHEA Grapalat" w:cs="Calibri"/>
                <w:b/>
                <w:bCs/>
                <w:sz w:val="18"/>
                <w:szCs w:val="18"/>
              </w:rPr>
            </w:pPr>
            <w:r w:rsidRPr="00C921DE">
              <w:rPr>
                <w:rFonts w:ascii="GHEA Grapalat" w:hAnsi="GHEA Grapalat" w:cs="Calibri"/>
                <w:b/>
                <w:bCs/>
                <w:sz w:val="18"/>
                <w:szCs w:val="18"/>
              </w:rPr>
              <w:t>Ոչ ֆինանսական ակտիվների հետ գործառնություններ</w:t>
            </w:r>
          </w:p>
        </w:tc>
        <w:tc>
          <w:tcPr>
            <w:tcW w:w="1134" w:type="dxa"/>
            <w:noWrap/>
            <w:vAlign w:val="bottom"/>
          </w:tcPr>
          <w:p w14:paraId="4AFC3105"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380.4</w:t>
            </w:r>
          </w:p>
        </w:tc>
        <w:tc>
          <w:tcPr>
            <w:tcW w:w="1134" w:type="dxa"/>
            <w:noWrap/>
            <w:vAlign w:val="bottom"/>
          </w:tcPr>
          <w:p w14:paraId="47F17019" w14:textId="77777777" w:rsidR="000E7659" w:rsidRPr="00C921DE" w:rsidRDefault="000E7659" w:rsidP="000E7659">
            <w:pPr>
              <w:jc w:val="right"/>
              <w:rPr>
                <w:rFonts w:ascii="GHEA Grapalat" w:hAnsi="GHEA Grapalat" w:cs="Calibri"/>
                <w:b/>
                <w:sz w:val="18"/>
                <w:szCs w:val="18"/>
              </w:rPr>
            </w:pPr>
            <w:r w:rsidRPr="00C921DE">
              <w:rPr>
                <w:rFonts w:ascii="GHEA Grapalat" w:hAnsi="GHEA Grapalat" w:cs="Calibri"/>
                <w:b/>
                <w:sz w:val="18"/>
                <w:szCs w:val="18"/>
              </w:rPr>
              <w:t>4</w:t>
            </w:r>
            <w:r w:rsidRPr="00C921DE">
              <w:rPr>
                <w:rFonts w:ascii="GHEA Grapalat" w:hAnsi="GHEA Grapalat" w:cs="Calibri"/>
                <w:b/>
                <w:sz w:val="18"/>
                <w:szCs w:val="18"/>
                <w:lang w:val="en-US"/>
              </w:rPr>
              <w:t>91.8</w:t>
            </w:r>
          </w:p>
        </w:tc>
        <w:tc>
          <w:tcPr>
            <w:tcW w:w="1134" w:type="dxa"/>
            <w:noWrap/>
            <w:vAlign w:val="bottom"/>
          </w:tcPr>
          <w:p w14:paraId="14663C69" w14:textId="77777777" w:rsidR="000E7659" w:rsidRPr="00C921DE" w:rsidRDefault="000E7659" w:rsidP="000E7659">
            <w:pPr>
              <w:jc w:val="right"/>
              <w:rPr>
                <w:rFonts w:ascii="GHEA Grapalat" w:hAnsi="GHEA Grapalat" w:cs="Calibri"/>
                <w:b/>
                <w:sz w:val="18"/>
                <w:szCs w:val="18"/>
                <w:lang w:val="en-US"/>
              </w:rPr>
            </w:pPr>
            <w:r w:rsidRPr="00C921DE">
              <w:rPr>
                <w:rFonts w:ascii="GHEA Grapalat" w:hAnsi="GHEA Grapalat" w:cs="Calibri"/>
                <w:b/>
                <w:sz w:val="18"/>
                <w:szCs w:val="18"/>
                <w:lang w:val="en-US"/>
              </w:rPr>
              <w:t>472.6</w:t>
            </w:r>
          </w:p>
        </w:tc>
        <w:tc>
          <w:tcPr>
            <w:tcW w:w="1276" w:type="dxa"/>
            <w:vAlign w:val="bottom"/>
          </w:tcPr>
          <w:p w14:paraId="31284D01" w14:textId="77777777" w:rsidR="000E7659" w:rsidRPr="00C921DE" w:rsidRDefault="000E7659" w:rsidP="000E7659">
            <w:pPr>
              <w:jc w:val="right"/>
              <w:rPr>
                <w:rFonts w:ascii="GHEA Grapalat" w:hAnsi="GHEA Grapalat" w:cs="Calibri"/>
                <w:b/>
                <w:bCs/>
                <w:sz w:val="18"/>
                <w:szCs w:val="18"/>
              </w:rPr>
            </w:pPr>
            <w:r w:rsidRPr="00C921DE">
              <w:rPr>
                <w:rFonts w:ascii="GHEA Grapalat" w:hAnsi="GHEA Grapalat" w:cs="Calibri"/>
                <w:b/>
                <w:bCs/>
                <w:sz w:val="18"/>
                <w:szCs w:val="18"/>
              </w:rPr>
              <w:t>9</w:t>
            </w:r>
            <w:r w:rsidRPr="00C921DE">
              <w:rPr>
                <w:rFonts w:ascii="GHEA Grapalat" w:hAnsi="GHEA Grapalat" w:cs="Calibri"/>
                <w:b/>
                <w:bCs/>
                <w:sz w:val="18"/>
                <w:szCs w:val="18"/>
                <w:lang w:val="en-US"/>
              </w:rPr>
              <w:t>6</w:t>
            </w:r>
            <w:r w:rsidRPr="00C921DE">
              <w:rPr>
                <w:rFonts w:ascii="GHEA Grapalat" w:hAnsi="GHEA Grapalat" w:cs="Calibri"/>
                <w:b/>
                <w:bCs/>
                <w:sz w:val="18"/>
                <w:szCs w:val="18"/>
              </w:rPr>
              <w:t>.1</w:t>
            </w:r>
          </w:p>
        </w:tc>
        <w:tc>
          <w:tcPr>
            <w:tcW w:w="1281" w:type="dxa"/>
            <w:noWrap/>
            <w:vAlign w:val="bottom"/>
          </w:tcPr>
          <w:p w14:paraId="721EF66D" w14:textId="77777777" w:rsidR="000E7659" w:rsidRPr="00C921DE" w:rsidRDefault="000E7659" w:rsidP="000E7659">
            <w:pPr>
              <w:jc w:val="right"/>
              <w:rPr>
                <w:rFonts w:ascii="GHEA Grapalat" w:hAnsi="GHEA Grapalat" w:cs="Calibri"/>
                <w:b/>
                <w:bCs/>
                <w:sz w:val="18"/>
                <w:szCs w:val="18"/>
              </w:rPr>
            </w:pPr>
            <w:r w:rsidRPr="00C921DE">
              <w:rPr>
                <w:rFonts w:ascii="GHEA Grapalat" w:hAnsi="GHEA Grapalat" w:cs="Calibri"/>
                <w:b/>
                <w:bCs/>
                <w:sz w:val="18"/>
                <w:szCs w:val="18"/>
              </w:rPr>
              <w:t>1</w:t>
            </w:r>
            <w:r w:rsidRPr="00C921DE">
              <w:rPr>
                <w:rFonts w:ascii="GHEA Grapalat" w:hAnsi="GHEA Grapalat" w:cs="Calibri"/>
                <w:b/>
                <w:bCs/>
                <w:sz w:val="18"/>
                <w:szCs w:val="18"/>
                <w:lang w:val="en-US"/>
              </w:rPr>
              <w:t>24.2</w:t>
            </w:r>
          </w:p>
        </w:tc>
      </w:tr>
      <w:tr w:rsidR="000E7659" w:rsidRPr="00C921DE" w14:paraId="3A84E7C3" w14:textId="77777777" w:rsidTr="000E7659">
        <w:trPr>
          <w:trHeight w:val="351"/>
        </w:trPr>
        <w:tc>
          <w:tcPr>
            <w:tcW w:w="4361" w:type="dxa"/>
            <w:vAlign w:val="bottom"/>
          </w:tcPr>
          <w:p w14:paraId="4FC04CD2"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Ոչ ֆինանսական ակտիվների գծով ծախսեր (կապիտալ ծախսեր), այդ թվում՝</w:t>
            </w:r>
          </w:p>
        </w:tc>
        <w:tc>
          <w:tcPr>
            <w:tcW w:w="1134" w:type="dxa"/>
            <w:noWrap/>
            <w:vAlign w:val="bottom"/>
          </w:tcPr>
          <w:p w14:paraId="1F5001F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389.1</w:t>
            </w:r>
          </w:p>
        </w:tc>
        <w:tc>
          <w:tcPr>
            <w:tcW w:w="1134" w:type="dxa"/>
            <w:noWrap/>
            <w:vAlign w:val="bottom"/>
          </w:tcPr>
          <w:p w14:paraId="5B68F763"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lang w:val="en-US"/>
              </w:rPr>
              <w:t>516.1</w:t>
            </w:r>
          </w:p>
        </w:tc>
        <w:tc>
          <w:tcPr>
            <w:tcW w:w="1134" w:type="dxa"/>
            <w:noWrap/>
            <w:vAlign w:val="bottom"/>
          </w:tcPr>
          <w:p w14:paraId="64E77ECF"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494.4</w:t>
            </w:r>
          </w:p>
        </w:tc>
        <w:tc>
          <w:tcPr>
            <w:tcW w:w="1276" w:type="dxa"/>
            <w:vAlign w:val="bottom"/>
          </w:tcPr>
          <w:p w14:paraId="1FF8AFF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w:t>
            </w:r>
            <w:r w:rsidRPr="00C921DE">
              <w:rPr>
                <w:rFonts w:ascii="GHEA Grapalat" w:hAnsi="GHEA Grapalat" w:cs="Calibri"/>
                <w:sz w:val="18"/>
                <w:szCs w:val="18"/>
                <w:lang w:val="en-US"/>
              </w:rPr>
              <w:t>5.8</w:t>
            </w:r>
          </w:p>
        </w:tc>
        <w:tc>
          <w:tcPr>
            <w:tcW w:w="1281" w:type="dxa"/>
            <w:noWrap/>
            <w:vAlign w:val="bottom"/>
          </w:tcPr>
          <w:p w14:paraId="2283EF6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w:t>
            </w:r>
            <w:r w:rsidRPr="00C921DE">
              <w:rPr>
                <w:rFonts w:ascii="GHEA Grapalat" w:hAnsi="GHEA Grapalat" w:cs="Calibri"/>
                <w:sz w:val="18"/>
                <w:szCs w:val="18"/>
                <w:lang w:val="en-US"/>
              </w:rPr>
              <w:t>27.0</w:t>
            </w:r>
          </w:p>
        </w:tc>
      </w:tr>
      <w:tr w:rsidR="000E7659" w:rsidRPr="00C921DE" w14:paraId="78CD77F7" w14:textId="77777777" w:rsidTr="000E7659">
        <w:trPr>
          <w:trHeight w:val="232"/>
        </w:trPr>
        <w:tc>
          <w:tcPr>
            <w:tcW w:w="4361" w:type="dxa"/>
            <w:vAlign w:val="bottom"/>
          </w:tcPr>
          <w:p w14:paraId="17BC0267" w14:textId="77777777" w:rsidR="000E7659" w:rsidRPr="00C921DE" w:rsidRDefault="000E7659" w:rsidP="000E7659">
            <w:pPr>
              <w:pStyle w:val="ListParagraph"/>
              <w:numPr>
                <w:ilvl w:val="0"/>
                <w:numId w:val="31"/>
              </w:numPr>
              <w:spacing w:after="0"/>
              <w:ind w:left="426" w:hanging="156"/>
              <w:rPr>
                <w:rFonts w:ascii="GHEA Grapalat" w:hAnsi="GHEA Grapalat"/>
                <w:sz w:val="18"/>
                <w:szCs w:val="18"/>
              </w:rPr>
            </w:pPr>
            <w:r w:rsidRPr="00C921DE">
              <w:rPr>
                <w:rFonts w:ascii="GHEA Grapalat" w:hAnsi="GHEA Grapalat"/>
                <w:sz w:val="18"/>
                <w:szCs w:val="18"/>
              </w:rPr>
              <w:t>շենքեր և շինություններ</w:t>
            </w:r>
          </w:p>
        </w:tc>
        <w:tc>
          <w:tcPr>
            <w:tcW w:w="1134" w:type="dxa"/>
            <w:noWrap/>
            <w:vAlign w:val="bottom"/>
          </w:tcPr>
          <w:p w14:paraId="22B4E5BD"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341.9</w:t>
            </w:r>
          </w:p>
        </w:tc>
        <w:tc>
          <w:tcPr>
            <w:tcW w:w="1134" w:type="dxa"/>
            <w:noWrap/>
            <w:vAlign w:val="bottom"/>
          </w:tcPr>
          <w:p w14:paraId="10DE3F9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462.2</w:t>
            </w:r>
          </w:p>
        </w:tc>
        <w:tc>
          <w:tcPr>
            <w:tcW w:w="1134" w:type="dxa"/>
            <w:noWrap/>
            <w:vAlign w:val="bottom"/>
          </w:tcPr>
          <w:p w14:paraId="393ADCC6"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446.6</w:t>
            </w:r>
          </w:p>
        </w:tc>
        <w:tc>
          <w:tcPr>
            <w:tcW w:w="1276" w:type="dxa"/>
            <w:vAlign w:val="bottom"/>
          </w:tcPr>
          <w:p w14:paraId="22346C00"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96.6</w:t>
            </w:r>
          </w:p>
        </w:tc>
        <w:tc>
          <w:tcPr>
            <w:tcW w:w="1281" w:type="dxa"/>
            <w:noWrap/>
            <w:vAlign w:val="bottom"/>
          </w:tcPr>
          <w:p w14:paraId="50200E32"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130.6</w:t>
            </w:r>
          </w:p>
        </w:tc>
      </w:tr>
      <w:tr w:rsidR="000E7659" w:rsidRPr="00C921DE" w14:paraId="1F68738A" w14:textId="77777777" w:rsidTr="000E7659">
        <w:trPr>
          <w:trHeight w:val="464"/>
        </w:trPr>
        <w:tc>
          <w:tcPr>
            <w:tcW w:w="4361" w:type="dxa"/>
            <w:vAlign w:val="bottom"/>
          </w:tcPr>
          <w:p w14:paraId="7D803CD5" w14:textId="77777777" w:rsidR="000E7659" w:rsidRPr="00C921DE" w:rsidRDefault="000E7659" w:rsidP="000E7659">
            <w:pPr>
              <w:pStyle w:val="ListParagraph"/>
              <w:numPr>
                <w:ilvl w:val="0"/>
                <w:numId w:val="31"/>
              </w:numPr>
              <w:spacing w:after="0"/>
              <w:ind w:left="426" w:hanging="156"/>
              <w:rPr>
                <w:rFonts w:ascii="GHEA Grapalat" w:hAnsi="GHEA Grapalat"/>
                <w:sz w:val="18"/>
                <w:szCs w:val="18"/>
              </w:rPr>
            </w:pPr>
            <w:r w:rsidRPr="00C921DE">
              <w:rPr>
                <w:rFonts w:ascii="GHEA Grapalat" w:hAnsi="GHEA Grapalat"/>
                <w:sz w:val="18"/>
                <w:szCs w:val="18"/>
              </w:rPr>
              <w:t>մեքենաների և սարքավորումների ձեռք բերում, պահպանում և հիմնանորոգում</w:t>
            </w:r>
          </w:p>
        </w:tc>
        <w:tc>
          <w:tcPr>
            <w:tcW w:w="1134" w:type="dxa"/>
            <w:noWrap/>
            <w:vAlign w:val="bottom"/>
          </w:tcPr>
          <w:p w14:paraId="3BAAAC31"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41.3</w:t>
            </w:r>
          </w:p>
        </w:tc>
        <w:tc>
          <w:tcPr>
            <w:tcW w:w="1134" w:type="dxa"/>
            <w:noWrap/>
            <w:vAlign w:val="bottom"/>
          </w:tcPr>
          <w:p w14:paraId="1D9CB489"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43.6</w:t>
            </w:r>
          </w:p>
        </w:tc>
        <w:tc>
          <w:tcPr>
            <w:tcW w:w="1134" w:type="dxa"/>
            <w:noWrap/>
            <w:vAlign w:val="bottom"/>
          </w:tcPr>
          <w:p w14:paraId="1FC6B25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lang w:val="en-US"/>
              </w:rPr>
              <w:t>39.2</w:t>
            </w:r>
          </w:p>
        </w:tc>
        <w:tc>
          <w:tcPr>
            <w:tcW w:w="1276" w:type="dxa"/>
            <w:vAlign w:val="bottom"/>
          </w:tcPr>
          <w:p w14:paraId="24B50495"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90.0</w:t>
            </w:r>
          </w:p>
        </w:tc>
        <w:tc>
          <w:tcPr>
            <w:tcW w:w="1281" w:type="dxa"/>
            <w:noWrap/>
            <w:vAlign w:val="bottom"/>
          </w:tcPr>
          <w:p w14:paraId="4F7D9275"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94.9</w:t>
            </w:r>
          </w:p>
        </w:tc>
      </w:tr>
      <w:tr w:rsidR="000E7659" w:rsidRPr="00C921DE" w14:paraId="10D1113F" w14:textId="77777777" w:rsidTr="000E7659">
        <w:trPr>
          <w:trHeight w:val="260"/>
        </w:trPr>
        <w:tc>
          <w:tcPr>
            <w:tcW w:w="4361" w:type="dxa"/>
            <w:vAlign w:val="bottom"/>
          </w:tcPr>
          <w:p w14:paraId="0525313B" w14:textId="77777777" w:rsidR="000E7659" w:rsidRPr="00C921DE" w:rsidRDefault="000E7659" w:rsidP="000E7659">
            <w:pPr>
              <w:pStyle w:val="ListParagraph"/>
              <w:numPr>
                <w:ilvl w:val="0"/>
                <w:numId w:val="31"/>
              </w:numPr>
              <w:spacing w:after="0"/>
              <w:ind w:left="426" w:hanging="156"/>
              <w:rPr>
                <w:rFonts w:ascii="GHEA Grapalat" w:hAnsi="GHEA Grapalat"/>
                <w:sz w:val="18"/>
                <w:szCs w:val="18"/>
              </w:rPr>
            </w:pPr>
            <w:r w:rsidRPr="00C921DE">
              <w:rPr>
                <w:rFonts w:ascii="GHEA Grapalat" w:hAnsi="GHEA Grapalat"/>
                <w:sz w:val="18"/>
                <w:szCs w:val="18"/>
              </w:rPr>
              <w:t>այլ հիմնական միջոցներ</w:t>
            </w:r>
          </w:p>
        </w:tc>
        <w:tc>
          <w:tcPr>
            <w:tcW w:w="1134" w:type="dxa"/>
            <w:noWrap/>
            <w:vAlign w:val="bottom"/>
          </w:tcPr>
          <w:p w14:paraId="7EDE4B78"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5.8</w:t>
            </w:r>
          </w:p>
        </w:tc>
        <w:tc>
          <w:tcPr>
            <w:tcW w:w="1134" w:type="dxa"/>
            <w:noWrap/>
            <w:vAlign w:val="bottom"/>
          </w:tcPr>
          <w:p w14:paraId="31022CC9"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10.1</w:t>
            </w:r>
          </w:p>
        </w:tc>
        <w:tc>
          <w:tcPr>
            <w:tcW w:w="1134" w:type="dxa"/>
            <w:noWrap/>
            <w:vAlign w:val="bottom"/>
          </w:tcPr>
          <w:p w14:paraId="3B7CEDF7"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8.4</w:t>
            </w:r>
          </w:p>
        </w:tc>
        <w:tc>
          <w:tcPr>
            <w:tcW w:w="1276" w:type="dxa"/>
            <w:vAlign w:val="bottom"/>
          </w:tcPr>
          <w:p w14:paraId="42C1F97E"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83.0</w:t>
            </w:r>
          </w:p>
        </w:tc>
        <w:tc>
          <w:tcPr>
            <w:tcW w:w="1281" w:type="dxa"/>
            <w:noWrap/>
            <w:vAlign w:val="bottom"/>
          </w:tcPr>
          <w:p w14:paraId="268D2BAB"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144.6</w:t>
            </w:r>
          </w:p>
        </w:tc>
      </w:tr>
      <w:tr w:rsidR="000E7659" w:rsidRPr="00C921DE" w14:paraId="72C8E0B5" w14:textId="77777777" w:rsidTr="000E7659">
        <w:trPr>
          <w:trHeight w:val="207"/>
        </w:trPr>
        <w:tc>
          <w:tcPr>
            <w:tcW w:w="4361" w:type="dxa"/>
            <w:vAlign w:val="bottom"/>
          </w:tcPr>
          <w:p w14:paraId="3F8F545C" w14:textId="77777777" w:rsidR="000E7659" w:rsidRPr="00C921DE" w:rsidRDefault="000E7659" w:rsidP="000E7659">
            <w:pPr>
              <w:rPr>
                <w:rFonts w:ascii="GHEA Grapalat" w:hAnsi="GHEA Grapalat" w:cs="Calibri"/>
                <w:sz w:val="18"/>
                <w:szCs w:val="18"/>
              </w:rPr>
            </w:pPr>
            <w:r w:rsidRPr="00C921DE">
              <w:rPr>
                <w:rFonts w:ascii="GHEA Grapalat" w:hAnsi="GHEA Grapalat" w:cs="Calibri"/>
                <w:sz w:val="18"/>
                <w:szCs w:val="18"/>
              </w:rPr>
              <w:t>Ոչ ֆինանսական ակտիվների օտարումից մուտքեր</w:t>
            </w:r>
          </w:p>
        </w:tc>
        <w:tc>
          <w:tcPr>
            <w:tcW w:w="1134" w:type="dxa"/>
            <w:noWrap/>
            <w:vAlign w:val="bottom"/>
          </w:tcPr>
          <w:p w14:paraId="78A42948"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(8.7)</w:t>
            </w:r>
          </w:p>
        </w:tc>
        <w:tc>
          <w:tcPr>
            <w:tcW w:w="1134" w:type="dxa"/>
            <w:noWrap/>
            <w:vAlign w:val="bottom"/>
          </w:tcPr>
          <w:p w14:paraId="4CD0A385"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w:t>
            </w:r>
            <w:r w:rsidRPr="00C921DE">
              <w:rPr>
                <w:rFonts w:ascii="GHEA Grapalat" w:hAnsi="GHEA Grapalat" w:cs="Calibri"/>
                <w:sz w:val="18"/>
                <w:szCs w:val="18"/>
                <w:lang w:val="en-US"/>
              </w:rPr>
              <w:t>24.2</w:t>
            </w:r>
            <w:r w:rsidRPr="00C921DE">
              <w:rPr>
                <w:rFonts w:ascii="GHEA Grapalat" w:hAnsi="GHEA Grapalat" w:cs="Calibri"/>
                <w:sz w:val="18"/>
                <w:szCs w:val="18"/>
              </w:rPr>
              <w:t>)</w:t>
            </w:r>
          </w:p>
        </w:tc>
        <w:tc>
          <w:tcPr>
            <w:tcW w:w="1134" w:type="dxa"/>
            <w:noWrap/>
            <w:vAlign w:val="bottom"/>
          </w:tcPr>
          <w:p w14:paraId="7B1E0299"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w:t>
            </w:r>
            <w:r w:rsidRPr="00C921DE">
              <w:rPr>
                <w:rFonts w:ascii="GHEA Grapalat" w:hAnsi="GHEA Grapalat" w:cs="Calibri"/>
                <w:sz w:val="18"/>
                <w:szCs w:val="18"/>
                <w:lang w:val="en-US"/>
              </w:rPr>
              <w:t>21.8</w:t>
            </w:r>
            <w:r w:rsidRPr="00C921DE">
              <w:rPr>
                <w:rFonts w:ascii="GHEA Grapalat" w:hAnsi="GHEA Grapalat" w:cs="Calibri"/>
                <w:sz w:val="18"/>
                <w:szCs w:val="18"/>
              </w:rPr>
              <w:t>)</w:t>
            </w:r>
          </w:p>
        </w:tc>
        <w:tc>
          <w:tcPr>
            <w:tcW w:w="1276" w:type="dxa"/>
            <w:vAlign w:val="bottom"/>
          </w:tcPr>
          <w:p w14:paraId="4956AD41" w14:textId="77777777" w:rsidR="000E7659" w:rsidRPr="00C921DE" w:rsidRDefault="000E7659" w:rsidP="000E7659">
            <w:pPr>
              <w:jc w:val="right"/>
              <w:rPr>
                <w:rFonts w:ascii="GHEA Grapalat" w:hAnsi="GHEA Grapalat" w:cs="Calibri"/>
                <w:sz w:val="18"/>
                <w:szCs w:val="18"/>
              </w:rPr>
            </w:pPr>
            <w:r w:rsidRPr="00C921DE">
              <w:rPr>
                <w:rFonts w:ascii="GHEA Grapalat" w:hAnsi="GHEA Grapalat" w:cs="Calibri"/>
                <w:sz w:val="18"/>
                <w:szCs w:val="18"/>
              </w:rPr>
              <w:t>8</w:t>
            </w:r>
            <w:r w:rsidRPr="00C921DE">
              <w:rPr>
                <w:rFonts w:ascii="GHEA Grapalat" w:hAnsi="GHEA Grapalat" w:cs="Calibri"/>
                <w:sz w:val="18"/>
                <w:szCs w:val="18"/>
                <w:lang w:val="en-US"/>
              </w:rPr>
              <w:t>9.8</w:t>
            </w:r>
          </w:p>
        </w:tc>
        <w:tc>
          <w:tcPr>
            <w:tcW w:w="1281" w:type="dxa"/>
            <w:noWrap/>
            <w:vAlign w:val="bottom"/>
          </w:tcPr>
          <w:p w14:paraId="1D417241" w14:textId="77777777" w:rsidR="000E7659" w:rsidRPr="00C921DE" w:rsidRDefault="000E7659" w:rsidP="000E7659">
            <w:pPr>
              <w:jc w:val="right"/>
              <w:rPr>
                <w:rFonts w:ascii="GHEA Grapalat" w:hAnsi="GHEA Grapalat" w:cs="Calibri"/>
                <w:sz w:val="18"/>
                <w:szCs w:val="18"/>
                <w:lang w:val="en-US"/>
              </w:rPr>
            </w:pPr>
            <w:r w:rsidRPr="00C921DE">
              <w:rPr>
                <w:rFonts w:ascii="GHEA Grapalat" w:hAnsi="GHEA Grapalat" w:cs="Calibri"/>
                <w:sz w:val="18"/>
                <w:szCs w:val="18"/>
                <w:lang w:val="en-US"/>
              </w:rPr>
              <w:t>249.4</w:t>
            </w:r>
          </w:p>
        </w:tc>
      </w:tr>
    </w:tbl>
    <w:p w14:paraId="559A651E" w14:textId="77777777" w:rsidR="00684FC7" w:rsidRPr="00C921DE" w:rsidRDefault="00684FC7" w:rsidP="00A605DF">
      <w:pPr>
        <w:autoSpaceDE w:val="0"/>
        <w:autoSpaceDN w:val="0"/>
        <w:adjustRightInd w:val="0"/>
        <w:ind w:firstLine="567"/>
        <w:jc w:val="both"/>
        <w:rPr>
          <w:rFonts w:ascii="GHEA Grapalat" w:hAnsi="GHEA Grapalat" w:cs="GHEA Grapalat"/>
          <w:sz w:val="22"/>
          <w:szCs w:val="22"/>
        </w:rPr>
      </w:pPr>
      <w:bookmarkStart w:id="231" w:name="_Toc69232235"/>
      <w:bookmarkEnd w:id="206"/>
    </w:p>
    <w:p w14:paraId="7D0AB2A0" w14:textId="367D92D8" w:rsidR="001C411D" w:rsidRPr="00C921DE" w:rsidRDefault="001C411D" w:rsidP="00825B2A">
      <w:pPr>
        <w:pStyle w:val="Heading2"/>
        <w:rPr>
          <w:bCs/>
        </w:rPr>
      </w:pPr>
      <w:bookmarkStart w:id="232" w:name="_Toc163745458"/>
      <w:r w:rsidRPr="00C921DE">
        <w:rPr>
          <w:bCs/>
        </w:rPr>
        <w:t>Ծրագրային դասակարգում</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31"/>
      <w:r w:rsidRPr="00C921DE">
        <w:rPr>
          <w:rStyle w:val="FootnoteReference"/>
          <w:bCs/>
        </w:rPr>
        <w:footnoteReference w:id="38"/>
      </w:r>
      <w:bookmarkEnd w:id="232"/>
    </w:p>
    <w:p w14:paraId="6E555022" w14:textId="66AAAB4A"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rPr>
      </w:pPr>
      <w:bookmarkStart w:id="233" w:name="_Toc417292113"/>
      <w:bookmarkStart w:id="234" w:name="_Toc448908392"/>
      <w:bookmarkStart w:id="235" w:name="_Toc448912569"/>
      <w:bookmarkStart w:id="236" w:name="_Toc448913298"/>
      <w:r w:rsidRPr="00C921DE">
        <w:rPr>
          <w:rFonts w:ascii="GHEA Grapalat" w:hAnsi="GHEA Grapalat" w:cs="GHEA Grapalat"/>
          <w:sz w:val="22"/>
          <w:szCs w:val="22"/>
        </w:rPr>
        <w:t>ՀՀ 20</w:t>
      </w:r>
      <w:r w:rsidR="00377041" w:rsidRPr="00C921DE">
        <w:rPr>
          <w:rFonts w:ascii="GHEA Grapalat" w:hAnsi="GHEA Grapalat" w:cs="GHEA Grapalat"/>
          <w:sz w:val="22"/>
          <w:szCs w:val="22"/>
          <w:lang w:val="de-AT"/>
        </w:rPr>
        <w:t>23</w:t>
      </w:r>
      <w:r w:rsidRPr="00C921DE">
        <w:rPr>
          <w:rFonts w:ascii="GHEA Grapalat" w:hAnsi="GHEA Grapalat" w:cs="GHEA Grapalat"/>
          <w:sz w:val="22"/>
          <w:szCs w:val="22"/>
        </w:rPr>
        <w:t xml:space="preserve"> թվականի</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rPr>
        <w:t>պետական բյուջեի</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մասին</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օրենքով</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rPr>
        <w:t>նախատեսվել էր</w:t>
      </w:r>
      <w:r w:rsidRPr="00C921DE">
        <w:rPr>
          <w:rFonts w:ascii="GHEA Grapalat" w:hAnsi="GHEA Grapalat" w:cs="GHEA Grapalat"/>
          <w:sz w:val="22"/>
          <w:szCs w:val="22"/>
          <w:lang w:val="de-AT"/>
        </w:rPr>
        <w:t xml:space="preserve"> </w:t>
      </w:r>
      <w:r w:rsidR="006F7CF3" w:rsidRPr="00C921DE">
        <w:rPr>
          <w:rFonts w:ascii="GHEA Grapalat" w:hAnsi="GHEA Grapalat" w:cs="GHEA Grapalat"/>
          <w:sz w:val="22"/>
          <w:szCs w:val="22"/>
          <w:lang w:val="de-AT"/>
        </w:rPr>
        <w:t>172</w:t>
      </w:r>
      <w:r w:rsidR="005257AB" w:rsidRPr="00C921DE">
        <w:rPr>
          <w:rFonts w:ascii="GHEA Grapalat" w:hAnsi="GHEA Grapalat" w:cs="GHEA Grapalat"/>
          <w:sz w:val="22"/>
          <w:szCs w:val="22"/>
        </w:rPr>
        <w:t xml:space="preserve"> ծրագրերի իրականացում 47</w:t>
      </w:r>
      <w:r w:rsidRPr="00C921DE">
        <w:rPr>
          <w:rFonts w:ascii="GHEA Grapalat" w:hAnsi="GHEA Grapalat" w:cs="GHEA Grapalat"/>
          <w:sz w:val="22"/>
          <w:szCs w:val="22"/>
        </w:rPr>
        <w:t xml:space="preserve"> պետական մարմինների և </w:t>
      </w:r>
      <w:r w:rsidRPr="00C921DE">
        <w:rPr>
          <w:rFonts w:ascii="GHEA Grapalat" w:hAnsi="GHEA Grapalat" w:cs="GHEA Grapalat"/>
          <w:sz w:val="22"/>
          <w:szCs w:val="22"/>
          <w:lang w:val="en-US"/>
        </w:rPr>
        <w:t>Կ</w:t>
      </w:r>
      <w:r w:rsidRPr="00C921DE">
        <w:rPr>
          <w:rFonts w:ascii="GHEA Grapalat" w:hAnsi="GHEA Grapalat" w:cs="GHEA Grapalat"/>
          <w:sz w:val="22"/>
          <w:szCs w:val="22"/>
        </w:rPr>
        <w:t xml:space="preserve">առավարության պատասխանատվության ներքո: </w:t>
      </w:r>
      <w:r w:rsidRPr="00C921DE">
        <w:rPr>
          <w:rFonts w:ascii="GHEA Grapalat" w:hAnsi="GHEA Grapalat" w:cs="GHEA Grapalat"/>
          <w:sz w:val="22"/>
          <w:szCs w:val="22"/>
          <w:lang w:val="en-US"/>
        </w:rPr>
        <w:t>Կառավարության</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կատարած</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ճշտումների</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արդյունքում</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նախատեսված</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ծրագրերի</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թիվը</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կազմել</w:t>
      </w:r>
      <w:r w:rsidRPr="00C921DE">
        <w:rPr>
          <w:rFonts w:ascii="GHEA Grapalat" w:hAnsi="GHEA Grapalat" w:cs="GHEA Grapalat"/>
          <w:sz w:val="22"/>
          <w:szCs w:val="22"/>
          <w:lang w:val="de-AT"/>
        </w:rPr>
        <w:t xml:space="preserve"> </w:t>
      </w:r>
      <w:r w:rsidRPr="00C921DE">
        <w:rPr>
          <w:rFonts w:ascii="GHEA Grapalat" w:hAnsi="GHEA Grapalat" w:cs="GHEA Grapalat"/>
          <w:sz w:val="22"/>
          <w:szCs w:val="22"/>
          <w:lang w:val="en-US"/>
        </w:rPr>
        <w:t>է</w:t>
      </w:r>
      <w:r w:rsidRPr="00C921DE">
        <w:rPr>
          <w:rFonts w:ascii="GHEA Grapalat" w:hAnsi="GHEA Grapalat" w:cs="GHEA Grapalat"/>
          <w:sz w:val="22"/>
          <w:szCs w:val="22"/>
          <w:lang w:val="de-AT"/>
        </w:rPr>
        <w:t xml:space="preserve"> 17</w:t>
      </w:r>
      <w:r w:rsidR="006F7CF3" w:rsidRPr="00C921DE">
        <w:rPr>
          <w:rFonts w:ascii="GHEA Grapalat" w:hAnsi="GHEA Grapalat" w:cs="GHEA Grapalat"/>
          <w:sz w:val="22"/>
          <w:szCs w:val="22"/>
          <w:lang w:val="de-AT"/>
        </w:rPr>
        <w:t>6</w:t>
      </w:r>
      <w:r w:rsidRPr="00C921DE">
        <w:rPr>
          <w:rFonts w:ascii="GHEA Grapalat" w:hAnsi="GHEA Grapalat" w:cs="GHEA Grapalat"/>
          <w:sz w:val="22"/>
          <w:szCs w:val="22"/>
          <w:lang w:val="de-AT"/>
        </w:rPr>
        <w:t>,</w:t>
      </w:r>
      <w:r w:rsidRPr="00C921DE">
        <w:rPr>
          <w:rFonts w:ascii="GHEA Grapalat" w:hAnsi="GHEA Grapalat" w:cs="GHEA Grapalat"/>
          <w:sz w:val="22"/>
          <w:szCs w:val="22"/>
        </w:rPr>
        <w:t xml:space="preserve"> որից փաստացի միջոցներ են օգտագործվել 1</w:t>
      </w:r>
      <w:r w:rsidRPr="00C921DE">
        <w:rPr>
          <w:rFonts w:ascii="GHEA Grapalat" w:hAnsi="GHEA Grapalat" w:cs="GHEA Grapalat"/>
          <w:sz w:val="22"/>
          <w:szCs w:val="22"/>
          <w:lang w:val="de-AT"/>
        </w:rPr>
        <w:t>71</w:t>
      </w:r>
      <w:r w:rsidRPr="00C921DE">
        <w:rPr>
          <w:rFonts w:ascii="GHEA Grapalat" w:hAnsi="GHEA Grapalat" w:cs="GHEA Grapalat"/>
          <w:sz w:val="22"/>
          <w:szCs w:val="22"/>
        </w:rPr>
        <w:t xml:space="preserve">-ի գծով, իսկ </w:t>
      </w:r>
      <w:r w:rsidRPr="00C921DE">
        <w:rPr>
          <w:rFonts w:ascii="GHEA Grapalat" w:hAnsi="GHEA Grapalat" w:cs="GHEA Grapalat"/>
          <w:sz w:val="22"/>
          <w:szCs w:val="22"/>
          <w:lang w:val="en-US"/>
        </w:rPr>
        <w:t>Կ</w:t>
      </w:r>
      <w:r w:rsidRPr="00C921DE">
        <w:rPr>
          <w:rFonts w:ascii="GHEA Grapalat" w:hAnsi="GHEA Grapalat" w:cs="GHEA Grapalat"/>
          <w:sz w:val="22"/>
          <w:szCs w:val="22"/>
        </w:rPr>
        <w:t xml:space="preserve">առավարության պատասխանատվությամբ 3 ծրագրերի շրջանակներում նախատեսված միջոցներն ըստ </w:t>
      </w:r>
      <w:r w:rsidRPr="00C921DE">
        <w:rPr>
          <w:rFonts w:ascii="GHEA Grapalat" w:hAnsi="GHEA Grapalat" w:cs="GHEA Grapalat"/>
          <w:sz w:val="22"/>
          <w:szCs w:val="22"/>
        </w:rPr>
        <w:lastRenderedPageBreak/>
        <w:t xml:space="preserve">անհրաժեշտության վերաբաշխվել են համապատասխան ծրագրերին և միջոցառումներին: Ծրագրերի շրջանակներում նախատեսված </w:t>
      </w:r>
      <w:r w:rsidR="009739BF" w:rsidRPr="00C921DE">
        <w:rPr>
          <w:rFonts w:ascii="GHEA Grapalat" w:hAnsi="GHEA Grapalat" w:cs="GHEA Grapalat"/>
          <w:sz w:val="22"/>
          <w:szCs w:val="22"/>
          <w:lang w:val="de-AT"/>
        </w:rPr>
        <w:t>1035</w:t>
      </w:r>
      <w:r w:rsidRPr="00C921DE">
        <w:rPr>
          <w:rFonts w:ascii="GHEA Grapalat" w:hAnsi="GHEA Grapalat" w:cs="GHEA Grapalat"/>
          <w:sz w:val="22"/>
          <w:szCs w:val="22"/>
        </w:rPr>
        <w:t xml:space="preserve"> միջոցառումներից ամբողջությամբ կամ մասնակիորեն կատարվել են </w:t>
      </w:r>
      <w:r w:rsidR="009739BF" w:rsidRPr="00C921DE">
        <w:rPr>
          <w:rFonts w:ascii="GHEA Grapalat" w:hAnsi="GHEA Grapalat" w:cs="GHEA Grapalat"/>
          <w:sz w:val="22"/>
          <w:szCs w:val="22"/>
          <w:lang w:val="de-AT"/>
        </w:rPr>
        <w:t>100</w:t>
      </w:r>
      <w:r w:rsidRPr="00C921DE">
        <w:rPr>
          <w:rFonts w:ascii="GHEA Grapalat" w:hAnsi="GHEA Grapalat" w:cs="GHEA Grapalat"/>
          <w:sz w:val="22"/>
          <w:szCs w:val="22"/>
          <w:lang w:val="de-AT"/>
        </w:rPr>
        <w:t>4-</w:t>
      </w:r>
      <w:r w:rsidRPr="00C921DE">
        <w:rPr>
          <w:rFonts w:ascii="GHEA Grapalat" w:hAnsi="GHEA Grapalat" w:cs="GHEA Grapalat"/>
          <w:sz w:val="22"/>
          <w:szCs w:val="22"/>
        </w:rPr>
        <w:t xml:space="preserve">ը կամ </w:t>
      </w:r>
      <w:r w:rsidR="009739BF" w:rsidRPr="00C921DE">
        <w:rPr>
          <w:rFonts w:ascii="GHEA Grapalat" w:hAnsi="GHEA Grapalat" w:cs="GHEA Grapalat"/>
          <w:sz w:val="22"/>
          <w:szCs w:val="22"/>
          <w:lang w:val="de-AT"/>
        </w:rPr>
        <w:t>97</w:t>
      </w:r>
      <w:r w:rsidRPr="00C921DE">
        <w:rPr>
          <w:rFonts w:ascii="GHEA Grapalat" w:hAnsi="GHEA Grapalat" w:cs="GHEA Grapalat"/>
          <w:sz w:val="22"/>
          <w:szCs w:val="22"/>
        </w:rPr>
        <w:t>%-ը:</w:t>
      </w:r>
    </w:p>
    <w:p w14:paraId="59F0270E" w14:textId="20362F51"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202</w:t>
      </w:r>
      <w:r w:rsidR="001C16BD"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թվականին ՀՀ պետական բյուջեի ծախսերը կազմել են 2,</w:t>
      </w:r>
      <w:r w:rsidR="001C16BD" w:rsidRPr="00C921DE">
        <w:rPr>
          <w:rFonts w:ascii="GHEA Grapalat" w:hAnsi="GHEA Grapalat" w:cs="GHEA Grapalat"/>
          <w:sz w:val="22"/>
          <w:szCs w:val="22"/>
          <w:lang w:val="en-US"/>
        </w:rPr>
        <w:t>547</w:t>
      </w:r>
      <w:r w:rsidRPr="00C921DE">
        <w:rPr>
          <w:rFonts w:ascii="GHEA Grapalat" w:hAnsi="GHEA Grapalat" w:cs="GHEA Grapalat"/>
          <w:sz w:val="22"/>
          <w:szCs w:val="22"/>
          <w:lang w:val="en-US"/>
        </w:rPr>
        <w:t>.6</w:t>
      </w:r>
      <w:r w:rsidRPr="00C921DE">
        <w:rPr>
          <w:rFonts w:ascii="GHEA Grapalat" w:hAnsi="GHEA Grapalat" w:cs="GHEA Grapalat"/>
          <w:sz w:val="22"/>
          <w:szCs w:val="22"/>
        </w:rPr>
        <w:t xml:space="preserve"> մլրդ դրամ կամ </w:t>
      </w:r>
      <w:r w:rsidRPr="00C921DE">
        <w:rPr>
          <w:rFonts w:ascii="GHEA Grapalat" w:hAnsi="GHEA Grapalat" w:cs="GHEA Grapalat"/>
          <w:sz w:val="22"/>
          <w:szCs w:val="22"/>
          <w:lang w:val="en-US"/>
        </w:rPr>
        <w:t xml:space="preserve">սկզբնական ծրագրով հաստատված ծախսերի </w:t>
      </w:r>
      <w:r w:rsidR="001C16BD" w:rsidRPr="00C921DE">
        <w:rPr>
          <w:rFonts w:ascii="GHEA Grapalat" w:hAnsi="GHEA Grapalat" w:cs="GHEA Grapalat"/>
          <w:sz w:val="22"/>
          <w:szCs w:val="22"/>
          <w:lang w:val="en-US"/>
        </w:rPr>
        <w:t>98.3</w:t>
      </w:r>
      <w:r w:rsidRPr="00C921DE">
        <w:rPr>
          <w:rFonts w:ascii="GHEA Grapalat" w:hAnsi="GHEA Grapalat" w:cs="GHEA Grapalat"/>
          <w:sz w:val="22"/>
          <w:szCs w:val="22"/>
          <w:lang w:val="en-US"/>
        </w:rPr>
        <w:t xml:space="preserve">%-ը: Կառավարության լիազորությունների շրջանակներում կատարված փոփոխությունների արդյունքում ճշտված ծրագրային ցուցանիշի նկատմամբ ծախսերի կատարողականը կազմել է </w:t>
      </w:r>
      <w:r w:rsidR="001C16BD" w:rsidRPr="00C921DE">
        <w:rPr>
          <w:rFonts w:ascii="GHEA Grapalat" w:hAnsi="GHEA Grapalat" w:cs="GHEA Grapalat"/>
          <w:sz w:val="22"/>
          <w:szCs w:val="22"/>
        </w:rPr>
        <w:t>9</w:t>
      </w:r>
      <w:r w:rsidR="001C16BD" w:rsidRPr="00C921DE">
        <w:rPr>
          <w:rFonts w:ascii="GHEA Grapalat" w:hAnsi="GHEA Grapalat" w:cs="GHEA Grapalat"/>
          <w:sz w:val="22"/>
          <w:szCs w:val="22"/>
          <w:lang w:val="en-US"/>
        </w:rPr>
        <w:t>7.1</w:t>
      </w:r>
      <w:r w:rsidRPr="00C921DE">
        <w:rPr>
          <w:rFonts w:ascii="GHEA Grapalat" w:hAnsi="GHEA Grapalat" w:cs="GHEA Grapalat"/>
          <w:sz w:val="22"/>
          <w:szCs w:val="22"/>
        </w:rPr>
        <w:t>%:</w:t>
      </w:r>
      <w:r w:rsidRPr="00C921DE">
        <w:rPr>
          <w:rFonts w:ascii="GHEA Grapalat" w:hAnsi="GHEA Grapalat" w:cs="GHEA Grapalat"/>
          <w:sz w:val="22"/>
          <w:szCs w:val="22"/>
          <w:lang w:val="en-US"/>
        </w:rPr>
        <w:t xml:space="preserve"> Ծրագրային ցուցանիշի ավելացում հիմնականում կատարվել է </w:t>
      </w:r>
      <w:r w:rsidRPr="00C921DE">
        <w:rPr>
          <w:rFonts w:ascii="GHEA Grapalat" w:hAnsi="GHEA Grapalat" w:cs="GHEA Grapalat"/>
          <w:sz w:val="22"/>
          <w:szCs w:val="22"/>
        </w:rPr>
        <w:t>ՀՀ աշխատանքի և սոցիալական հարցերի</w:t>
      </w:r>
      <w:r w:rsidR="000115C8" w:rsidRPr="00C921DE">
        <w:rPr>
          <w:rFonts w:ascii="GHEA Grapalat" w:hAnsi="GHEA Grapalat" w:cs="GHEA Grapalat"/>
          <w:sz w:val="22"/>
          <w:szCs w:val="22"/>
          <w:lang w:val="en-US"/>
        </w:rPr>
        <w:t xml:space="preserve">, ՀՀ պաշտպանության և </w:t>
      </w:r>
      <w:r w:rsidRPr="00C921DE">
        <w:rPr>
          <w:rFonts w:ascii="GHEA Grapalat" w:hAnsi="GHEA Grapalat" w:cs="GHEA Grapalat"/>
          <w:sz w:val="22"/>
          <w:szCs w:val="22"/>
          <w:lang w:val="en-US"/>
        </w:rPr>
        <w:t xml:space="preserve">ՀՀ </w:t>
      </w:r>
      <w:r w:rsidR="000115C8" w:rsidRPr="00C921DE">
        <w:rPr>
          <w:rFonts w:ascii="GHEA Grapalat" w:hAnsi="GHEA Grapalat" w:cs="GHEA Grapalat"/>
          <w:sz w:val="22"/>
          <w:szCs w:val="22"/>
          <w:lang w:val="en-US"/>
        </w:rPr>
        <w:t xml:space="preserve">արտաքին գործերի </w:t>
      </w:r>
      <w:r w:rsidRPr="00C921DE">
        <w:rPr>
          <w:rFonts w:ascii="GHEA Grapalat" w:hAnsi="GHEA Grapalat" w:cs="GHEA Grapalat"/>
          <w:sz w:val="22"/>
          <w:szCs w:val="22"/>
          <w:lang w:val="en-US"/>
        </w:rPr>
        <w:t xml:space="preserve">նախարարությունների ծախսերում, իսկ նվազեցումների հիմնական մասը կատարվել է </w:t>
      </w:r>
      <w:r w:rsidRPr="00C921DE">
        <w:rPr>
          <w:rFonts w:ascii="GHEA Grapalat" w:hAnsi="GHEA Grapalat" w:cs="GHEA Grapalat"/>
          <w:sz w:val="22"/>
          <w:szCs w:val="22"/>
        </w:rPr>
        <w:t>ՀՀ տարածքային կառավարման և ենթակառուցվածքների</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ՀՀ կրթության, գիտության, մշակույթի և սպորտի</w:t>
      </w:r>
      <w:r w:rsidRPr="00C921DE">
        <w:rPr>
          <w:rFonts w:ascii="GHEA Grapalat" w:hAnsi="GHEA Grapalat" w:cs="GHEA Grapalat"/>
          <w:sz w:val="22"/>
          <w:szCs w:val="22"/>
          <w:lang w:val="en-US"/>
        </w:rPr>
        <w:t xml:space="preserve"> և </w:t>
      </w:r>
      <w:r w:rsidRPr="00C921DE">
        <w:rPr>
          <w:rFonts w:ascii="GHEA Grapalat" w:hAnsi="GHEA Grapalat" w:cs="GHEA Grapalat"/>
          <w:sz w:val="22"/>
          <w:szCs w:val="22"/>
        </w:rPr>
        <w:t>ՀՀ ֆինանսների նախարարությ</w:t>
      </w:r>
      <w:r w:rsidRPr="00C921DE">
        <w:rPr>
          <w:rFonts w:ascii="GHEA Grapalat" w:hAnsi="GHEA Grapalat" w:cs="GHEA Grapalat"/>
          <w:sz w:val="22"/>
          <w:szCs w:val="22"/>
          <w:lang w:val="en-US"/>
        </w:rPr>
        <w:t>ունների</w:t>
      </w:r>
      <w:r w:rsidRPr="00C921DE">
        <w:rPr>
          <w:rFonts w:ascii="GHEA Grapalat" w:hAnsi="GHEA Grapalat" w:cs="GHEA Grapalat"/>
          <w:sz w:val="22"/>
          <w:szCs w:val="22"/>
        </w:rPr>
        <w:t xml:space="preserve"> ծախսե</w:t>
      </w:r>
      <w:r w:rsidRPr="00C921DE">
        <w:rPr>
          <w:rFonts w:ascii="GHEA Grapalat" w:hAnsi="GHEA Grapalat" w:cs="GHEA Grapalat"/>
          <w:sz w:val="22"/>
          <w:szCs w:val="22"/>
          <w:lang w:val="en-US"/>
        </w:rPr>
        <w:t xml:space="preserve">րում: </w:t>
      </w:r>
    </w:p>
    <w:p w14:paraId="2BC9D46D" w14:textId="299B0EE1"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ՀՀ աշխատանքի և սոցիալական հարցերի</w:t>
      </w:r>
      <w:r w:rsidRPr="00C921DE">
        <w:rPr>
          <w:rFonts w:ascii="GHEA Grapalat" w:hAnsi="GHEA Grapalat" w:cs="GHEA Grapalat"/>
          <w:sz w:val="22"/>
          <w:szCs w:val="22"/>
          <w:lang w:val="en-US"/>
        </w:rPr>
        <w:t xml:space="preserve"> նախարարությանը հատկացված լրացուցիչ միջոցները հիմնականում ուղղվել են </w:t>
      </w:r>
      <w:r w:rsidR="004B6619" w:rsidRPr="00C921DE">
        <w:rPr>
          <w:rFonts w:ascii="GHEA Grapalat" w:hAnsi="GHEA Grapalat" w:cs="GHEA Grapalat"/>
          <w:sz w:val="22"/>
          <w:szCs w:val="22"/>
          <w:lang w:val="en-US"/>
        </w:rPr>
        <w:t>Լեռնային Ղարաբաղից</w:t>
      </w:r>
      <w:r w:rsidR="003D6C1B" w:rsidRPr="00C921DE">
        <w:rPr>
          <w:rFonts w:ascii="GHEA Grapalat" w:hAnsi="GHEA Grapalat" w:cs="GHEA Grapalat"/>
          <w:sz w:val="22"/>
          <w:szCs w:val="22"/>
          <w:lang w:val="en-US"/>
        </w:rPr>
        <w:t xml:space="preserve"> </w:t>
      </w:r>
      <w:r w:rsidR="004B6619" w:rsidRPr="00C921DE">
        <w:rPr>
          <w:rFonts w:ascii="GHEA Grapalat" w:hAnsi="GHEA Grapalat" w:cs="GHEA Grapalat"/>
          <w:sz w:val="22"/>
          <w:szCs w:val="22"/>
          <w:lang w:val="en-US"/>
        </w:rPr>
        <w:t>բռնի տեղահանվածներին</w:t>
      </w:r>
      <w:r w:rsidR="003D6C1B" w:rsidRPr="00C921DE">
        <w:rPr>
          <w:rFonts w:ascii="GHEA Grapalat" w:hAnsi="GHEA Grapalat" w:cs="GHEA Grapalat"/>
          <w:sz w:val="22"/>
          <w:szCs w:val="22"/>
          <w:lang w:val="en-US"/>
        </w:rPr>
        <w:t xml:space="preserve"> </w:t>
      </w:r>
      <w:r w:rsidR="004B6619" w:rsidRPr="00C921DE">
        <w:rPr>
          <w:rFonts w:ascii="GHEA Grapalat" w:hAnsi="GHEA Grapalat" w:cs="GHEA Grapalat"/>
          <w:sz w:val="22"/>
          <w:szCs w:val="22"/>
          <w:lang w:val="en-US"/>
        </w:rPr>
        <w:t>աջակցության միջոցառումներին, կ</w:t>
      </w:r>
      <w:r w:rsidRPr="00C921DE">
        <w:rPr>
          <w:rFonts w:ascii="GHEA Grapalat" w:hAnsi="GHEA Grapalat" w:cs="GHEA Grapalat"/>
          <w:sz w:val="22"/>
          <w:szCs w:val="22"/>
          <w:lang w:val="en-US"/>
        </w:rPr>
        <w:t>ուտակային կենսաթոշակային հատկացումներին` պայմանավորված կուտակային կենսաթոշակային համակարգի մասնակիցների թվի</w:t>
      </w:r>
      <w:r w:rsidR="004B6619" w:rsidRPr="00C921DE">
        <w:rPr>
          <w:rFonts w:ascii="GHEA Grapalat" w:hAnsi="GHEA Grapalat" w:cs="GHEA Grapalat"/>
          <w:sz w:val="22"/>
          <w:szCs w:val="22"/>
          <w:lang w:val="en-US"/>
        </w:rPr>
        <w:t xml:space="preserve"> և աշխատավարձերի</w:t>
      </w:r>
      <w:r w:rsidRPr="00C921DE">
        <w:rPr>
          <w:rFonts w:ascii="GHEA Grapalat" w:hAnsi="GHEA Grapalat" w:cs="GHEA Grapalat"/>
          <w:sz w:val="22"/>
          <w:szCs w:val="22"/>
          <w:lang w:val="en-US"/>
        </w:rPr>
        <w:t xml:space="preserve"> աճով,</w:t>
      </w:r>
      <w:r w:rsidR="00B17167" w:rsidRPr="00C921DE">
        <w:rPr>
          <w:rFonts w:ascii="GHEA Grapalat" w:hAnsi="GHEA Grapalat" w:cs="GHEA Grapalat"/>
          <w:sz w:val="22"/>
          <w:szCs w:val="22"/>
          <w:lang w:val="en-US"/>
        </w:rPr>
        <w:t xml:space="preserve"> և ՀՀ պաշտպանության ժամանակ զինծառայողների կյանքին կամ առողջությանը պատճառված վնասների հատուցմանը</w:t>
      </w:r>
      <w:r w:rsidRPr="00C921DE">
        <w:rPr>
          <w:rFonts w:ascii="GHEA Grapalat" w:hAnsi="GHEA Grapalat" w:cs="GHEA Grapalat"/>
          <w:sz w:val="22"/>
          <w:szCs w:val="22"/>
          <w:lang w:val="en-US"/>
        </w:rPr>
        <w:t xml:space="preserve">: </w:t>
      </w:r>
    </w:p>
    <w:p w14:paraId="751E8487" w14:textId="6DF5FB38" w:rsidR="00DD56CA" w:rsidRPr="00C921DE" w:rsidRDefault="00DD56CA" w:rsidP="00DD56CA">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Պաշտպանության նախարարությանը լրացուցիչ հատկացված միջոցները հիմնականում ուղղվել են ՀՀ պաշտպանության ապահովման ծրագրի շրջանակներում ՊՆ շենքային պայմանների բարելավմանը և ռազմական կարիքների բավարարմանը:</w:t>
      </w:r>
    </w:p>
    <w:p w14:paraId="78E71C5B" w14:textId="6316AFAA"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 xml:space="preserve">ՀՀ </w:t>
      </w:r>
      <w:r w:rsidR="00DD56CA" w:rsidRPr="00C921DE">
        <w:rPr>
          <w:rFonts w:ascii="GHEA Grapalat" w:hAnsi="GHEA Grapalat" w:cs="GHEA Grapalat"/>
          <w:sz w:val="22"/>
          <w:szCs w:val="22"/>
          <w:lang w:val="en-US"/>
        </w:rPr>
        <w:t xml:space="preserve">արտաքին գործերի </w:t>
      </w:r>
      <w:r w:rsidRPr="00C921DE">
        <w:rPr>
          <w:rFonts w:ascii="GHEA Grapalat" w:hAnsi="GHEA Grapalat" w:cs="GHEA Grapalat"/>
          <w:sz w:val="22"/>
          <w:szCs w:val="22"/>
          <w:lang w:val="en-US"/>
        </w:rPr>
        <w:t>նախարարությանը հատկացված լրացուցիչ միջոցները հիմնականում ուղղվել են</w:t>
      </w:r>
      <w:r w:rsidR="004328E8" w:rsidRPr="00C921DE">
        <w:rPr>
          <w:rFonts w:ascii="GHEA Grapalat" w:hAnsi="GHEA Grapalat" w:cs="GHEA Grapalat"/>
          <w:sz w:val="22"/>
          <w:szCs w:val="22"/>
          <w:lang w:val="en-US"/>
        </w:rPr>
        <w:t xml:space="preserve"> Մեծ Բրիտանիայի և Հյուսիսային Իռլանդիայի Միացյալ Թագավորությունում ՀՀ դեսպանության համար շենքի ձեռքբերմանը</w:t>
      </w:r>
      <w:r w:rsidRPr="00C921DE">
        <w:rPr>
          <w:rFonts w:ascii="GHEA Grapalat" w:hAnsi="GHEA Grapalat" w:cs="GHEA Grapalat"/>
          <w:sz w:val="22"/>
          <w:szCs w:val="22"/>
          <w:lang w:val="en-US"/>
        </w:rPr>
        <w:t>:</w:t>
      </w:r>
    </w:p>
    <w:p w14:paraId="5537C931" w14:textId="1E76A84B"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ՀՀ տարածքային կառավարման և ենթակառուցվածքների</w:t>
      </w:r>
      <w:r w:rsidRPr="00C921DE">
        <w:rPr>
          <w:rFonts w:ascii="GHEA Grapalat" w:hAnsi="GHEA Grapalat" w:cs="GHEA Grapalat"/>
          <w:sz w:val="22"/>
          <w:szCs w:val="22"/>
          <w:lang w:val="en-US"/>
        </w:rPr>
        <w:t xml:space="preserve"> նախարարությանը հատկացված միջոցների նվազեցումը հիմնականում պայմանավորված է</w:t>
      </w:r>
      <w:r w:rsidR="001B7EC5" w:rsidRPr="00C921DE">
        <w:rPr>
          <w:rFonts w:ascii="GHEA Grapalat" w:hAnsi="GHEA Grapalat" w:cs="GHEA Grapalat"/>
          <w:sz w:val="22"/>
          <w:szCs w:val="22"/>
          <w:lang w:val="en-US"/>
        </w:rPr>
        <w:t xml:space="preserve"> ոչ ֆինանսական ակտիվներ</w:t>
      </w:r>
      <w:r w:rsidR="00747D27" w:rsidRPr="00C921DE">
        <w:rPr>
          <w:rFonts w:ascii="GHEA Grapalat" w:hAnsi="GHEA Grapalat" w:cs="GHEA Grapalat"/>
          <w:sz w:val="22"/>
          <w:szCs w:val="22"/>
          <w:lang w:val="en-US"/>
        </w:rPr>
        <w:t>ի օտարումից մուտքերի ավելացմամբ և Ճանապարհային ցանցի բարելավման ու</w:t>
      </w:r>
      <w:r w:rsidRPr="00C921DE">
        <w:rPr>
          <w:rFonts w:ascii="GHEA Grapalat" w:hAnsi="GHEA Grapalat" w:cs="GHEA Grapalat"/>
          <w:sz w:val="22"/>
          <w:szCs w:val="22"/>
          <w:lang w:val="en-US"/>
        </w:rPr>
        <w:t xml:space="preserve"> Ոռոգման համակարգի առողջացման ծրագրերի շրջանակներում նախատեսված արտաքին աջակցությամբ իրակ</w:t>
      </w:r>
      <w:r w:rsidR="00747D27" w:rsidRPr="00C921DE">
        <w:rPr>
          <w:rFonts w:ascii="GHEA Grapalat" w:hAnsi="GHEA Grapalat" w:cs="GHEA Grapalat"/>
          <w:sz w:val="22"/>
          <w:szCs w:val="22"/>
          <w:lang w:val="en-US"/>
        </w:rPr>
        <w:t>անացվող ծրագրերի կատարողականով:</w:t>
      </w:r>
    </w:p>
    <w:p w14:paraId="582E39A3" w14:textId="23189CBB"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ՀՀ կրթության, գիտության, մշակույթի և սպորտի</w:t>
      </w:r>
      <w:r w:rsidRPr="00C921DE">
        <w:rPr>
          <w:rFonts w:ascii="GHEA Grapalat" w:hAnsi="GHEA Grapalat" w:cs="GHEA Grapalat"/>
          <w:sz w:val="22"/>
          <w:szCs w:val="22"/>
          <w:lang w:val="en-US"/>
        </w:rPr>
        <w:t xml:space="preserve"> նախարարությանը հատկացված միջոցների նվազեցումը հիմնականում պայմանավորված է </w:t>
      </w:r>
      <w:r w:rsidR="002C0D59" w:rsidRPr="00C921DE">
        <w:rPr>
          <w:rFonts w:ascii="GHEA Grapalat" w:hAnsi="GHEA Grapalat" w:cs="GHEA Grapalat"/>
          <w:sz w:val="22"/>
          <w:szCs w:val="22"/>
          <w:lang w:val="en-US"/>
        </w:rPr>
        <w:t xml:space="preserve">կապիտալ ծախսերի ցածր </w:t>
      </w:r>
      <w:r w:rsidR="002B4EB1" w:rsidRPr="00C921DE">
        <w:rPr>
          <w:rFonts w:ascii="GHEA Grapalat" w:hAnsi="GHEA Grapalat" w:cs="GHEA Grapalat"/>
          <w:sz w:val="22"/>
          <w:szCs w:val="22"/>
          <w:lang w:val="en-US"/>
        </w:rPr>
        <w:t>կատարողականով</w:t>
      </w:r>
      <w:r w:rsidRPr="00C921DE">
        <w:rPr>
          <w:rFonts w:ascii="GHEA Grapalat" w:hAnsi="GHEA Grapalat" w:cs="GHEA Grapalat"/>
          <w:sz w:val="22"/>
          <w:szCs w:val="22"/>
          <w:lang w:val="en-US"/>
        </w:rPr>
        <w:t>:</w:t>
      </w:r>
    </w:p>
    <w:p w14:paraId="0065FE15" w14:textId="3DA27CA7"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ՀՀ </w:t>
      </w:r>
      <w:r w:rsidRPr="00C921DE">
        <w:rPr>
          <w:rFonts w:ascii="GHEA Grapalat" w:hAnsi="GHEA Grapalat" w:cs="GHEA Grapalat"/>
          <w:sz w:val="22"/>
          <w:szCs w:val="22"/>
          <w:lang w:val="en-US"/>
        </w:rPr>
        <w:t xml:space="preserve">ՖՆ ծախսերի կրճատումը կատարվել է հիմնականում Կառավարության պարտքի սպասարկման ծախսերի գծով՝ </w:t>
      </w:r>
      <w:r w:rsidR="005F7523" w:rsidRPr="00C921DE">
        <w:rPr>
          <w:rFonts w:ascii="GHEA Grapalat" w:hAnsi="GHEA Grapalat" w:cs="GHEA Grapalat"/>
          <w:sz w:val="22"/>
          <w:szCs w:val="22"/>
          <w:lang w:val="en-US"/>
        </w:rPr>
        <w:t>հիմնականում պայմանավորված դրամի արժևորմամբ</w:t>
      </w:r>
      <w:r w:rsidRPr="00C921DE">
        <w:rPr>
          <w:rFonts w:ascii="GHEA Grapalat" w:hAnsi="GHEA Grapalat" w:cs="GHEA Grapalat"/>
          <w:sz w:val="22"/>
          <w:szCs w:val="22"/>
          <w:lang w:val="en-US"/>
        </w:rPr>
        <w:t>:</w:t>
      </w:r>
    </w:p>
    <w:p w14:paraId="63D11344" w14:textId="35AE6633"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lastRenderedPageBreak/>
        <w:t>Ճշտված ծրագրի նկատմամբ փաստացի ծախսերի</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շ</w:t>
      </w:r>
      <w:r w:rsidRPr="00C921DE">
        <w:rPr>
          <w:rFonts w:ascii="GHEA Grapalat" w:hAnsi="GHEA Grapalat" w:cs="GHEA Grapalat"/>
          <w:sz w:val="22"/>
          <w:szCs w:val="22"/>
        </w:rPr>
        <w:t xml:space="preserve">եղումը կազմել է </w:t>
      </w:r>
      <w:r w:rsidR="00200388" w:rsidRPr="00C921DE">
        <w:rPr>
          <w:rFonts w:ascii="GHEA Grapalat" w:hAnsi="GHEA Grapalat" w:cs="GHEA Grapalat"/>
          <w:sz w:val="22"/>
          <w:szCs w:val="22"/>
          <w:lang w:val="en-US"/>
        </w:rPr>
        <w:t>77.1</w:t>
      </w:r>
      <w:r w:rsidRPr="00C921DE">
        <w:rPr>
          <w:rFonts w:ascii="GHEA Grapalat" w:hAnsi="GHEA Grapalat" w:cs="GHEA Grapalat"/>
          <w:sz w:val="22"/>
          <w:szCs w:val="22"/>
        </w:rPr>
        <w:t xml:space="preserve"> մլրդ դրամ, որը հիմնականում արձանագրվել է ՀՀ աշխատանքի և սոցիալական հարցերի (</w:t>
      </w:r>
      <w:r w:rsidR="008D7548" w:rsidRPr="00C921DE">
        <w:rPr>
          <w:rFonts w:ascii="GHEA Grapalat" w:hAnsi="GHEA Grapalat" w:cs="GHEA Grapalat"/>
          <w:sz w:val="22"/>
          <w:szCs w:val="22"/>
          <w:lang w:val="en-US"/>
        </w:rPr>
        <w:t>18.3</w:t>
      </w:r>
      <w:r w:rsidRPr="00C921DE">
        <w:rPr>
          <w:rFonts w:ascii="GHEA Grapalat" w:hAnsi="GHEA Grapalat" w:cs="GHEA Grapalat"/>
          <w:sz w:val="22"/>
          <w:szCs w:val="22"/>
        </w:rPr>
        <w:t xml:space="preserve"> մլրդ դրամ), ՀՀ կրթության, գիտության, մշակույթի և սպորտի (</w:t>
      </w:r>
      <w:r w:rsidR="008D7548" w:rsidRPr="00C921DE">
        <w:rPr>
          <w:rFonts w:ascii="GHEA Grapalat" w:hAnsi="GHEA Grapalat" w:cs="GHEA Grapalat"/>
          <w:sz w:val="22"/>
          <w:szCs w:val="22"/>
          <w:lang w:val="en-US"/>
        </w:rPr>
        <w:t>14.2</w:t>
      </w:r>
      <w:r w:rsidRPr="00C921DE">
        <w:rPr>
          <w:rFonts w:ascii="GHEA Grapalat" w:hAnsi="GHEA Grapalat" w:cs="GHEA Grapalat"/>
          <w:sz w:val="22"/>
          <w:szCs w:val="22"/>
        </w:rPr>
        <w:t xml:space="preserve"> մլրդ դրամ), </w:t>
      </w:r>
      <w:r w:rsidR="0075437B" w:rsidRPr="00C921DE">
        <w:rPr>
          <w:rFonts w:ascii="GHEA Grapalat" w:hAnsi="GHEA Grapalat" w:cs="GHEA Grapalat"/>
          <w:sz w:val="22"/>
          <w:szCs w:val="22"/>
        </w:rPr>
        <w:t>ՀՀ տարածքային կառավարման և ենթակառուցվածքների (</w:t>
      </w:r>
      <w:r w:rsidR="008D7548" w:rsidRPr="00C921DE">
        <w:rPr>
          <w:rFonts w:ascii="GHEA Grapalat" w:hAnsi="GHEA Grapalat" w:cs="GHEA Grapalat"/>
          <w:sz w:val="22"/>
          <w:szCs w:val="22"/>
          <w:lang w:val="en-US"/>
        </w:rPr>
        <w:t>5</w:t>
      </w:r>
      <w:r w:rsidR="0075437B" w:rsidRPr="00C921DE">
        <w:rPr>
          <w:rFonts w:ascii="GHEA Grapalat" w:hAnsi="GHEA Grapalat" w:cs="GHEA Grapalat"/>
          <w:sz w:val="22"/>
          <w:szCs w:val="22"/>
        </w:rPr>
        <w:t xml:space="preserve"> մլրդ դրամ),</w:t>
      </w:r>
      <w:r w:rsidR="0075437B" w:rsidRPr="00C921DE">
        <w:rPr>
          <w:rFonts w:ascii="GHEA Grapalat" w:hAnsi="GHEA Grapalat" w:cs="GHEA Grapalat"/>
          <w:sz w:val="22"/>
          <w:szCs w:val="22"/>
          <w:lang w:val="en-US"/>
        </w:rPr>
        <w:t xml:space="preserve"> </w:t>
      </w:r>
      <w:r w:rsidRPr="00C921DE">
        <w:rPr>
          <w:rFonts w:ascii="GHEA Grapalat" w:hAnsi="GHEA Grapalat" w:cs="GHEA Grapalat"/>
          <w:sz w:val="22"/>
          <w:szCs w:val="22"/>
          <w:lang w:val="en-US"/>
        </w:rPr>
        <w:t>ՀՀ առողջապահության (</w:t>
      </w:r>
      <w:r w:rsidR="008D7548" w:rsidRPr="00C921DE">
        <w:rPr>
          <w:rFonts w:ascii="GHEA Grapalat" w:hAnsi="GHEA Grapalat" w:cs="GHEA Grapalat"/>
          <w:sz w:val="22"/>
          <w:szCs w:val="22"/>
          <w:lang w:val="en-US"/>
        </w:rPr>
        <w:t>4.1</w:t>
      </w:r>
      <w:r w:rsidRPr="00C921DE">
        <w:rPr>
          <w:rFonts w:ascii="GHEA Grapalat" w:hAnsi="GHEA Grapalat" w:cs="GHEA Grapalat"/>
          <w:sz w:val="22"/>
          <w:szCs w:val="22"/>
          <w:lang w:val="en-US"/>
        </w:rPr>
        <w:t xml:space="preserve"> մլրդ դրամ), </w:t>
      </w:r>
      <w:r w:rsidRPr="00C921DE">
        <w:rPr>
          <w:rFonts w:ascii="GHEA Grapalat" w:hAnsi="GHEA Grapalat" w:cs="GHEA Grapalat"/>
          <w:sz w:val="22"/>
          <w:szCs w:val="22"/>
        </w:rPr>
        <w:t xml:space="preserve">ՀՀ </w:t>
      </w:r>
      <w:r w:rsidR="0075437B" w:rsidRPr="00C921DE">
        <w:rPr>
          <w:rFonts w:ascii="GHEA Grapalat" w:hAnsi="GHEA Grapalat" w:cs="GHEA Grapalat"/>
          <w:sz w:val="22"/>
          <w:szCs w:val="22"/>
          <w:lang w:val="en-US"/>
        </w:rPr>
        <w:t>ֆինանսների</w:t>
      </w:r>
      <w:r w:rsidRPr="00C921DE">
        <w:rPr>
          <w:rFonts w:ascii="GHEA Grapalat" w:hAnsi="GHEA Grapalat" w:cs="GHEA Grapalat"/>
          <w:sz w:val="22"/>
          <w:szCs w:val="22"/>
        </w:rPr>
        <w:t xml:space="preserve"> (</w:t>
      </w:r>
      <w:r w:rsidR="008D7548" w:rsidRPr="00C921DE">
        <w:rPr>
          <w:rFonts w:ascii="GHEA Grapalat" w:hAnsi="GHEA Grapalat" w:cs="GHEA Grapalat"/>
          <w:sz w:val="22"/>
          <w:szCs w:val="22"/>
          <w:lang w:val="en-US"/>
        </w:rPr>
        <w:t>3.6</w:t>
      </w:r>
      <w:r w:rsidR="008D7548" w:rsidRPr="00C921DE">
        <w:rPr>
          <w:rFonts w:ascii="Calibri" w:hAnsi="Calibri" w:cs="Calibri"/>
          <w:sz w:val="22"/>
          <w:szCs w:val="22"/>
          <w:lang w:val="en-US"/>
        </w:rPr>
        <w:t> </w:t>
      </w:r>
      <w:r w:rsidRPr="00C921DE">
        <w:rPr>
          <w:rFonts w:ascii="GHEA Grapalat" w:hAnsi="GHEA Grapalat" w:cs="GHEA Grapalat"/>
          <w:sz w:val="22"/>
          <w:szCs w:val="22"/>
        </w:rPr>
        <w:t>մլրդ դրամ)</w:t>
      </w:r>
      <w:r w:rsidR="008D7548" w:rsidRPr="00C921DE">
        <w:rPr>
          <w:rFonts w:ascii="GHEA Grapalat" w:hAnsi="GHEA Grapalat" w:cs="GHEA Grapalat"/>
          <w:sz w:val="22"/>
          <w:szCs w:val="22"/>
          <w:lang w:val="en-US"/>
        </w:rPr>
        <w:t>,</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 xml:space="preserve">ՀՀ բարձր տեխնոլոգիական արդյունաբերության </w:t>
      </w:r>
      <w:r w:rsidRPr="00C921DE">
        <w:rPr>
          <w:rFonts w:ascii="GHEA Grapalat" w:hAnsi="GHEA Grapalat" w:cs="GHEA Grapalat"/>
          <w:sz w:val="22"/>
          <w:szCs w:val="22"/>
        </w:rPr>
        <w:t>(</w:t>
      </w:r>
      <w:r w:rsidR="008D7548" w:rsidRPr="00C921DE">
        <w:rPr>
          <w:rFonts w:ascii="GHEA Grapalat" w:hAnsi="GHEA Grapalat" w:cs="GHEA Grapalat"/>
          <w:sz w:val="22"/>
          <w:szCs w:val="22"/>
          <w:lang w:val="en-US"/>
        </w:rPr>
        <w:t>3.3</w:t>
      </w:r>
      <w:r w:rsidRPr="00C921DE">
        <w:rPr>
          <w:rFonts w:ascii="GHEA Grapalat" w:hAnsi="GHEA Grapalat" w:cs="GHEA Grapalat"/>
          <w:sz w:val="22"/>
          <w:szCs w:val="22"/>
        </w:rPr>
        <w:t xml:space="preserve"> մլրդ դրամ) </w:t>
      </w:r>
      <w:r w:rsidR="0075437B" w:rsidRPr="00C921DE">
        <w:rPr>
          <w:rFonts w:ascii="GHEA Grapalat" w:hAnsi="GHEA Grapalat" w:cs="GHEA Grapalat"/>
          <w:sz w:val="22"/>
          <w:szCs w:val="22"/>
          <w:lang w:val="en-US"/>
        </w:rPr>
        <w:t xml:space="preserve">և </w:t>
      </w:r>
      <w:r w:rsidR="0075437B" w:rsidRPr="00C921DE">
        <w:rPr>
          <w:rFonts w:ascii="GHEA Grapalat" w:hAnsi="GHEA Grapalat" w:cs="GHEA Grapalat"/>
          <w:sz w:val="22"/>
          <w:szCs w:val="22"/>
        </w:rPr>
        <w:t>ՀՀ էկոնոմիկայի (2.</w:t>
      </w:r>
      <w:r w:rsidR="004F6EC8" w:rsidRPr="00C921DE">
        <w:rPr>
          <w:rFonts w:ascii="GHEA Grapalat" w:hAnsi="GHEA Grapalat" w:cs="GHEA Grapalat"/>
          <w:sz w:val="22"/>
          <w:szCs w:val="22"/>
          <w:lang w:val="en-US"/>
        </w:rPr>
        <w:t>7</w:t>
      </w:r>
      <w:r w:rsidR="00200388" w:rsidRPr="00C921DE">
        <w:rPr>
          <w:rFonts w:ascii="GHEA Grapalat" w:hAnsi="GHEA Grapalat" w:cs="GHEA Grapalat"/>
          <w:sz w:val="22"/>
          <w:szCs w:val="22"/>
        </w:rPr>
        <w:t xml:space="preserve"> մլրդ դրամ)</w:t>
      </w:r>
      <w:r w:rsidR="0075437B" w:rsidRPr="00C921DE">
        <w:rPr>
          <w:rFonts w:ascii="GHEA Grapalat" w:hAnsi="GHEA Grapalat" w:cs="GHEA Grapalat"/>
          <w:sz w:val="22"/>
          <w:szCs w:val="22"/>
        </w:rPr>
        <w:t xml:space="preserve"> </w:t>
      </w:r>
      <w:r w:rsidRPr="00C921DE">
        <w:rPr>
          <w:rFonts w:ascii="GHEA Grapalat" w:hAnsi="GHEA Grapalat" w:cs="GHEA Grapalat"/>
          <w:sz w:val="22"/>
          <w:szCs w:val="22"/>
        </w:rPr>
        <w:t>նախարարությունների</w:t>
      </w:r>
      <w:r w:rsidR="00200388"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պատասխանատվությամբ իրականացվող ծրագրերում:</w:t>
      </w:r>
    </w:p>
    <w:p w14:paraId="66DCF4EA" w14:textId="7968FF68"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Պետական բյուջեի փաստացի ծախսերում ամենամեծ տեսակարար կշիռները՝ </w:t>
      </w:r>
      <w:r w:rsidR="004F6EC8" w:rsidRPr="00C921DE">
        <w:rPr>
          <w:rFonts w:ascii="GHEA Grapalat" w:hAnsi="GHEA Grapalat" w:cs="GHEA Grapalat"/>
          <w:sz w:val="22"/>
          <w:szCs w:val="22"/>
          <w:lang w:val="en-US"/>
        </w:rPr>
        <w:t>27.7</w:t>
      </w:r>
      <w:r w:rsidRPr="00C921DE">
        <w:rPr>
          <w:rFonts w:ascii="GHEA Grapalat" w:hAnsi="GHEA Grapalat" w:cs="GHEA Grapalat"/>
          <w:sz w:val="22"/>
          <w:szCs w:val="22"/>
        </w:rPr>
        <w:t xml:space="preserve">% և </w:t>
      </w:r>
      <w:r w:rsidRPr="00C921DE">
        <w:rPr>
          <w:rFonts w:ascii="GHEA Grapalat" w:hAnsi="GHEA Grapalat" w:cs="GHEA Grapalat"/>
          <w:sz w:val="22"/>
          <w:szCs w:val="22"/>
          <w:lang w:val="en-US"/>
        </w:rPr>
        <w:t>2</w:t>
      </w:r>
      <w:r w:rsidR="004F6EC8" w:rsidRPr="00C921DE">
        <w:rPr>
          <w:rFonts w:ascii="GHEA Grapalat" w:hAnsi="GHEA Grapalat" w:cs="GHEA Grapalat"/>
          <w:sz w:val="22"/>
          <w:szCs w:val="22"/>
          <w:lang w:val="en-US"/>
        </w:rPr>
        <w:t>0.7</w:t>
      </w:r>
      <w:r w:rsidRPr="00C921DE">
        <w:rPr>
          <w:rFonts w:ascii="GHEA Grapalat" w:hAnsi="GHEA Grapalat" w:cs="GHEA Grapalat"/>
          <w:sz w:val="22"/>
          <w:szCs w:val="22"/>
        </w:rPr>
        <w:t xml:space="preserve">%, ունեցել են համապատասխանաբար ՀՀ աշխատանքի և սոցիալական հարցերի նախարարության </w:t>
      </w:r>
      <w:r w:rsidRPr="00C921DE">
        <w:rPr>
          <w:rFonts w:ascii="GHEA Grapalat" w:hAnsi="GHEA Grapalat" w:cs="GHEA Grapalat"/>
          <w:sz w:val="22"/>
          <w:szCs w:val="22"/>
          <w:lang w:val="en-US"/>
        </w:rPr>
        <w:t>ու</w:t>
      </w:r>
      <w:r w:rsidRPr="00C921DE">
        <w:rPr>
          <w:rFonts w:ascii="GHEA Grapalat" w:hAnsi="GHEA Grapalat" w:cs="GHEA Grapalat"/>
          <w:sz w:val="22"/>
          <w:szCs w:val="22"/>
        </w:rPr>
        <w:t xml:space="preserve"> ՀՀ պաշտպանության նախարարության պատասխանատվությամբ իրականացվող ծրագրերը:</w:t>
      </w:r>
    </w:p>
    <w:p w14:paraId="45AC9BBC" w14:textId="60EA945C" w:rsidR="00F71750" w:rsidRPr="00C921DE" w:rsidRDefault="00F71750" w:rsidP="00F7175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w:t>
      </w:r>
      <w:r w:rsidR="004F6EC8"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 համեմատ ՀՀ պետական բյուջեի ծախսերի աճը հիմնականում պայմանավորված է </w:t>
      </w:r>
      <w:r w:rsidR="006B642F" w:rsidRPr="00C921DE">
        <w:rPr>
          <w:rFonts w:ascii="GHEA Grapalat" w:hAnsi="GHEA Grapalat" w:cs="GHEA Grapalat"/>
          <w:sz w:val="22"/>
          <w:szCs w:val="22"/>
        </w:rPr>
        <w:t>ՀՀ աշխատանքի և սոցիալական հարցերի, ՀՀ ֆինանսների</w:t>
      </w:r>
      <w:r w:rsidR="006B642F" w:rsidRPr="00C921DE">
        <w:rPr>
          <w:rFonts w:ascii="GHEA Grapalat" w:hAnsi="GHEA Grapalat" w:cs="GHEA Grapalat"/>
          <w:sz w:val="22"/>
          <w:szCs w:val="22"/>
          <w:lang w:val="en-US"/>
        </w:rPr>
        <w:t>,</w:t>
      </w:r>
      <w:r w:rsidR="006B642F" w:rsidRPr="00C921DE">
        <w:rPr>
          <w:rFonts w:ascii="GHEA Grapalat" w:hAnsi="GHEA Grapalat" w:cs="GHEA Grapalat"/>
          <w:sz w:val="22"/>
          <w:szCs w:val="22"/>
        </w:rPr>
        <w:t xml:space="preserve"> </w:t>
      </w:r>
      <w:r w:rsidRPr="00C921DE">
        <w:rPr>
          <w:rFonts w:ascii="GHEA Grapalat" w:hAnsi="GHEA Grapalat" w:cs="GHEA Grapalat"/>
          <w:sz w:val="22"/>
          <w:szCs w:val="22"/>
          <w:lang w:val="en-US"/>
        </w:rPr>
        <w:t>ՀՀ պաշտպանության</w:t>
      </w:r>
      <w:r w:rsidR="006B642F" w:rsidRPr="00C921DE">
        <w:rPr>
          <w:rFonts w:ascii="GHEA Grapalat" w:hAnsi="GHEA Grapalat" w:cs="GHEA Grapalat"/>
          <w:sz w:val="22"/>
          <w:szCs w:val="22"/>
          <w:lang w:val="en-US"/>
        </w:rPr>
        <w:t xml:space="preserve"> և</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ՀՀ տարածքային կառավարման և ենթակառուցվածքների</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նախարարությ</w:t>
      </w:r>
      <w:r w:rsidRPr="00C921DE">
        <w:rPr>
          <w:rFonts w:ascii="GHEA Grapalat" w:hAnsi="GHEA Grapalat" w:cs="GHEA Grapalat"/>
          <w:sz w:val="22"/>
          <w:szCs w:val="22"/>
          <w:lang w:val="en-US"/>
        </w:rPr>
        <w:t>ունների</w:t>
      </w:r>
      <w:r w:rsidRPr="00C921DE">
        <w:rPr>
          <w:rFonts w:ascii="GHEA Grapalat" w:hAnsi="GHEA Grapalat" w:cs="GHEA Grapalat"/>
          <w:sz w:val="22"/>
          <w:szCs w:val="22"/>
        </w:rPr>
        <w:t xml:space="preserve"> ծախսերի աճով:</w:t>
      </w:r>
    </w:p>
    <w:p w14:paraId="09DF5643" w14:textId="77777777" w:rsidR="00F71750" w:rsidRPr="00C921DE" w:rsidRDefault="00F71750" w:rsidP="00A605DF">
      <w:pPr>
        <w:autoSpaceDE w:val="0"/>
        <w:autoSpaceDN w:val="0"/>
        <w:adjustRightInd w:val="0"/>
        <w:ind w:firstLine="567"/>
        <w:jc w:val="both"/>
        <w:rPr>
          <w:rFonts w:ascii="GHEA Grapalat" w:hAnsi="GHEA Grapalat" w:cs="GHEA Grapalat"/>
          <w:sz w:val="22"/>
          <w:szCs w:val="22"/>
        </w:rPr>
      </w:pPr>
    </w:p>
    <w:p w14:paraId="57FD0F72" w14:textId="77777777" w:rsidR="00F71750" w:rsidRPr="00C921DE" w:rsidRDefault="00F71750" w:rsidP="00F71750">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 ծախսերն ըստ պատասխանատու մարմինների (մլրդ դրամ)</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6"/>
        <w:gridCol w:w="1170"/>
        <w:gridCol w:w="1090"/>
        <w:gridCol w:w="1052"/>
        <w:gridCol w:w="1156"/>
        <w:gridCol w:w="1203"/>
        <w:gridCol w:w="847"/>
        <w:gridCol w:w="790"/>
      </w:tblGrid>
      <w:tr w:rsidR="00F71750" w:rsidRPr="00C921DE" w14:paraId="67228415" w14:textId="77777777" w:rsidTr="00E308E0">
        <w:trPr>
          <w:trHeight w:val="300"/>
          <w:jc w:val="center"/>
        </w:trPr>
        <w:tc>
          <w:tcPr>
            <w:tcW w:w="3116" w:type="dxa"/>
            <w:noWrap/>
            <w:vAlign w:val="bottom"/>
          </w:tcPr>
          <w:p w14:paraId="224670B7" w14:textId="77777777" w:rsidR="00F71750" w:rsidRPr="00C921DE" w:rsidRDefault="00F71750" w:rsidP="00066836">
            <w:pPr>
              <w:rPr>
                <w:rFonts w:ascii="GHEA Grapalat" w:hAnsi="GHEA Grapalat" w:cs="Calibri"/>
                <w:sz w:val="18"/>
                <w:szCs w:val="18"/>
              </w:rPr>
            </w:pPr>
          </w:p>
        </w:tc>
        <w:tc>
          <w:tcPr>
            <w:tcW w:w="1170" w:type="dxa"/>
          </w:tcPr>
          <w:p w14:paraId="035EF054" w14:textId="16C0D5C6" w:rsidR="00F71750" w:rsidRPr="00C921DE" w:rsidRDefault="00F71750" w:rsidP="00E308E0">
            <w:pPr>
              <w:jc w:val="center"/>
              <w:rPr>
                <w:rFonts w:ascii="GHEA Grapalat" w:hAnsi="GHEA Grapalat" w:cs="Calibri"/>
                <w:b/>
                <w:sz w:val="18"/>
                <w:szCs w:val="18"/>
              </w:rPr>
            </w:pPr>
            <w:r w:rsidRPr="00C921DE">
              <w:rPr>
                <w:rFonts w:ascii="GHEA Grapalat" w:hAnsi="GHEA Grapalat" w:cs="Calibri"/>
                <w:b/>
                <w:sz w:val="18"/>
                <w:szCs w:val="18"/>
              </w:rPr>
              <w:t>202</w:t>
            </w:r>
            <w:r w:rsidR="0095111A" w:rsidRPr="00C921DE">
              <w:rPr>
                <w:rFonts w:ascii="GHEA Grapalat" w:hAnsi="GHEA Grapalat" w:cs="Calibri"/>
                <w:b/>
                <w:sz w:val="18"/>
                <w:szCs w:val="18"/>
                <w:lang w:val="en-US"/>
              </w:rPr>
              <w:t>2</w:t>
            </w:r>
            <w:r w:rsidRPr="00C921DE">
              <w:rPr>
                <w:rFonts w:ascii="GHEA Grapalat" w:hAnsi="GHEA Grapalat" w:cs="Calibri"/>
                <w:b/>
                <w:sz w:val="18"/>
                <w:szCs w:val="18"/>
              </w:rPr>
              <w:t>թ. փաստացի</w:t>
            </w:r>
          </w:p>
        </w:tc>
        <w:tc>
          <w:tcPr>
            <w:tcW w:w="1090" w:type="dxa"/>
          </w:tcPr>
          <w:p w14:paraId="6C3683CE" w14:textId="7B0AE998" w:rsidR="00F71750" w:rsidRPr="00C921DE" w:rsidRDefault="00F71750" w:rsidP="00E308E0">
            <w:pPr>
              <w:jc w:val="center"/>
              <w:rPr>
                <w:rFonts w:ascii="GHEA Grapalat" w:hAnsi="GHEA Grapalat" w:cs="Calibri"/>
                <w:b/>
                <w:sz w:val="18"/>
                <w:szCs w:val="18"/>
                <w:lang w:val="en-US"/>
              </w:rPr>
            </w:pPr>
            <w:r w:rsidRPr="00C921DE">
              <w:rPr>
                <w:rFonts w:ascii="GHEA Grapalat" w:hAnsi="GHEA Grapalat" w:cs="Calibri"/>
                <w:b/>
                <w:sz w:val="18"/>
                <w:szCs w:val="18"/>
              </w:rPr>
              <w:t>202</w:t>
            </w:r>
            <w:r w:rsidR="0095111A" w:rsidRPr="00C921DE">
              <w:rPr>
                <w:rFonts w:ascii="GHEA Grapalat" w:hAnsi="GHEA Grapalat" w:cs="Calibri"/>
                <w:b/>
                <w:sz w:val="18"/>
                <w:szCs w:val="18"/>
                <w:lang w:val="en-US"/>
              </w:rPr>
              <w:t>3</w:t>
            </w:r>
            <w:r w:rsidRPr="00C921DE">
              <w:rPr>
                <w:rFonts w:ascii="GHEA Grapalat" w:hAnsi="GHEA Grapalat" w:cs="Calibri"/>
                <w:b/>
                <w:sz w:val="18"/>
                <w:szCs w:val="18"/>
              </w:rPr>
              <w:t>թ. ծրագիր</w:t>
            </w:r>
          </w:p>
        </w:tc>
        <w:tc>
          <w:tcPr>
            <w:tcW w:w="1052" w:type="dxa"/>
          </w:tcPr>
          <w:p w14:paraId="026B6602" w14:textId="28BB5432" w:rsidR="00F71750" w:rsidRPr="00C921DE" w:rsidRDefault="00F71750" w:rsidP="00E308E0">
            <w:pPr>
              <w:jc w:val="center"/>
              <w:rPr>
                <w:rFonts w:ascii="GHEA Grapalat" w:hAnsi="GHEA Grapalat" w:cs="Calibri"/>
                <w:b/>
                <w:sz w:val="18"/>
                <w:szCs w:val="18"/>
              </w:rPr>
            </w:pPr>
            <w:r w:rsidRPr="00C921DE">
              <w:rPr>
                <w:rFonts w:ascii="GHEA Grapalat" w:hAnsi="GHEA Grapalat" w:cs="Calibri"/>
                <w:b/>
                <w:sz w:val="18"/>
                <w:szCs w:val="18"/>
              </w:rPr>
              <w:t>202</w:t>
            </w:r>
            <w:r w:rsidR="0095111A" w:rsidRPr="00C921DE">
              <w:rPr>
                <w:rFonts w:ascii="GHEA Grapalat" w:hAnsi="GHEA Grapalat" w:cs="Calibri"/>
                <w:b/>
                <w:sz w:val="18"/>
                <w:szCs w:val="18"/>
                <w:lang w:val="en-US"/>
              </w:rPr>
              <w:t>3</w:t>
            </w:r>
            <w:r w:rsidRPr="00C921DE">
              <w:rPr>
                <w:rFonts w:ascii="GHEA Grapalat" w:hAnsi="GHEA Grapalat" w:cs="Calibri"/>
                <w:b/>
                <w:sz w:val="18"/>
                <w:szCs w:val="18"/>
              </w:rPr>
              <w:t>թ. ճշտված ծրագիր</w:t>
            </w:r>
          </w:p>
        </w:tc>
        <w:tc>
          <w:tcPr>
            <w:tcW w:w="1156" w:type="dxa"/>
            <w:noWrap/>
          </w:tcPr>
          <w:p w14:paraId="6D350B0E" w14:textId="75A24C20" w:rsidR="00F71750" w:rsidRPr="00C921DE" w:rsidRDefault="00F71750" w:rsidP="00E308E0">
            <w:pPr>
              <w:jc w:val="center"/>
              <w:rPr>
                <w:rFonts w:ascii="GHEA Grapalat" w:hAnsi="GHEA Grapalat" w:cs="Calibri"/>
                <w:b/>
                <w:sz w:val="18"/>
                <w:szCs w:val="18"/>
              </w:rPr>
            </w:pPr>
            <w:r w:rsidRPr="00C921DE">
              <w:rPr>
                <w:rFonts w:ascii="GHEA Grapalat" w:hAnsi="GHEA Grapalat" w:cs="Calibri"/>
                <w:b/>
                <w:sz w:val="18"/>
                <w:szCs w:val="18"/>
              </w:rPr>
              <w:t>202</w:t>
            </w:r>
            <w:r w:rsidR="0095111A" w:rsidRPr="00C921DE">
              <w:rPr>
                <w:rFonts w:ascii="GHEA Grapalat" w:hAnsi="GHEA Grapalat" w:cs="Calibri"/>
                <w:b/>
                <w:sz w:val="18"/>
                <w:szCs w:val="18"/>
                <w:lang w:val="en-US"/>
              </w:rPr>
              <w:t>3</w:t>
            </w:r>
            <w:r w:rsidRPr="00C921DE">
              <w:rPr>
                <w:rFonts w:ascii="GHEA Grapalat" w:hAnsi="GHEA Grapalat" w:cs="Calibri"/>
                <w:b/>
                <w:sz w:val="18"/>
                <w:szCs w:val="18"/>
              </w:rPr>
              <w:t>թ. փաստացի</w:t>
            </w:r>
          </w:p>
        </w:tc>
        <w:tc>
          <w:tcPr>
            <w:tcW w:w="1203" w:type="dxa"/>
          </w:tcPr>
          <w:p w14:paraId="26F5F800" w14:textId="77777777" w:rsidR="00F71750" w:rsidRPr="00C921DE" w:rsidRDefault="00F71750" w:rsidP="00E308E0">
            <w:pPr>
              <w:jc w:val="center"/>
              <w:rPr>
                <w:rFonts w:ascii="GHEA Grapalat" w:hAnsi="GHEA Grapalat" w:cs="Calibri"/>
                <w:b/>
                <w:sz w:val="18"/>
                <w:szCs w:val="18"/>
                <w:lang w:val="en-US"/>
              </w:rPr>
            </w:pPr>
            <w:r w:rsidRPr="00C921DE">
              <w:rPr>
                <w:rFonts w:ascii="GHEA Grapalat" w:hAnsi="GHEA Grapalat" w:cs="Calibri"/>
                <w:b/>
                <w:sz w:val="18"/>
                <w:szCs w:val="18"/>
              </w:rPr>
              <w:t>Կատարո-ղական</w:t>
            </w:r>
            <w:r w:rsidRPr="00C921DE">
              <w:rPr>
                <w:rFonts w:ascii="GHEA Grapalat" w:hAnsi="GHEA Grapalat" w:cs="Calibri"/>
                <w:b/>
                <w:sz w:val="18"/>
                <w:szCs w:val="18"/>
                <w:lang w:val="en-US"/>
              </w:rPr>
              <w:t xml:space="preserve"> ճշտված ծրագրի նկատմամբ</w:t>
            </w:r>
          </w:p>
          <w:p w14:paraId="4537CF5F" w14:textId="77777777" w:rsidR="00F71750" w:rsidRPr="00C921DE" w:rsidRDefault="00F71750" w:rsidP="00E308E0">
            <w:pPr>
              <w:jc w:val="center"/>
              <w:rPr>
                <w:rFonts w:ascii="GHEA Grapalat" w:hAnsi="GHEA Grapalat" w:cs="Calibri"/>
                <w:b/>
                <w:sz w:val="18"/>
                <w:szCs w:val="18"/>
              </w:rPr>
            </w:pPr>
            <w:r w:rsidRPr="00C921DE">
              <w:rPr>
                <w:rFonts w:ascii="GHEA Grapalat" w:hAnsi="GHEA Grapalat" w:cs="Calibri"/>
                <w:b/>
                <w:sz w:val="18"/>
                <w:szCs w:val="18"/>
              </w:rPr>
              <w:t>(%)</w:t>
            </w:r>
          </w:p>
        </w:tc>
        <w:tc>
          <w:tcPr>
            <w:tcW w:w="847" w:type="dxa"/>
          </w:tcPr>
          <w:p w14:paraId="091B5245" w14:textId="5FC1991F" w:rsidR="00F71750" w:rsidRPr="00C921DE" w:rsidRDefault="00F71750" w:rsidP="00E308E0">
            <w:pPr>
              <w:jc w:val="center"/>
              <w:rPr>
                <w:rFonts w:ascii="GHEA Grapalat" w:hAnsi="GHEA Grapalat" w:cs="Calibri"/>
                <w:b/>
                <w:sz w:val="18"/>
                <w:szCs w:val="18"/>
                <w:lang w:val="en-US"/>
              </w:rPr>
            </w:pPr>
            <w:r w:rsidRPr="00C921DE">
              <w:rPr>
                <w:rFonts w:ascii="GHEA Grapalat" w:hAnsi="GHEA Grapalat" w:cs="Calibri"/>
                <w:b/>
                <w:sz w:val="18"/>
                <w:szCs w:val="18"/>
              </w:rPr>
              <w:t>202</w:t>
            </w:r>
            <w:r w:rsidR="0095111A" w:rsidRPr="00C921DE">
              <w:rPr>
                <w:rFonts w:ascii="GHEA Grapalat" w:hAnsi="GHEA Grapalat" w:cs="Calibri"/>
                <w:b/>
                <w:sz w:val="18"/>
                <w:szCs w:val="18"/>
                <w:lang w:val="en-US"/>
              </w:rPr>
              <w:t>3</w:t>
            </w:r>
            <w:r w:rsidRPr="00C921DE">
              <w:rPr>
                <w:rFonts w:ascii="GHEA Grapalat" w:hAnsi="GHEA Grapalat" w:cs="Calibri"/>
                <w:b/>
                <w:sz w:val="18"/>
                <w:szCs w:val="18"/>
              </w:rPr>
              <w:t xml:space="preserve"> / 202</w:t>
            </w:r>
            <w:r w:rsidR="0095111A" w:rsidRPr="00C921DE">
              <w:rPr>
                <w:rFonts w:ascii="GHEA Grapalat" w:hAnsi="GHEA Grapalat" w:cs="Calibri"/>
                <w:b/>
                <w:sz w:val="18"/>
                <w:szCs w:val="18"/>
                <w:lang w:val="en-US"/>
              </w:rPr>
              <w:t>2</w:t>
            </w:r>
          </w:p>
          <w:p w14:paraId="782FE3F9" w14:textId="77777777" w:rsidR="00F71750" w:rsidRPr="00C921DE" w:rsidRDefault="00F71750" w:rsidP="00E308E0">
            <w:pPr>
              <w:jc w:val="center"/>
              <w:rPr>
                <w:rFonts w:ascii="GHEA Grapalat" w:hAnsi="GHEA Grapalat" w:cs="Calibri"/>
                <w:b/>
                <w:sz w:val="18"/>
                <w:szCs w:val="18"/>
              </w:rPr>
            </w:pPr>
            <w:r w:rsidRPr="00C921DE">
              <w:rPr>
                <w:rFonts w:ascii="GHEA Grapalat" w:hAnsi="GHEA Grapalat" w:cs="Calibri"/>
                <w:b/>
                <w:sz w:val="18"/>
                <w:szCs w:val="18"/>
              </w:rPr>
              <w:t>(%)</w:t>
            </w:r>
          </w:p>
        </w:tc>
        <w:tc>
          <w:tcPr>
            <w:tcW w:w="790" w:type="dxa"/>
          </w:tcPr>
          <w:p w14:paraId="6049CF86" w14:textId="62143176" w:rsidR="00F71750" w:rsidRPr="00C921DE" w:rsidRDefault="00F71750" w:rsidP="00E308E0">
            <w:pPr>
              <w:jc w:val="center"/>
              <w:rPr>
                <w:rFonts w:ascii="GHEA Grapalat" w:hAnsi="GHEA Grapalat" w:cs="Calibri"/>
                <w:b/>
                <w:sz w:val="18"/>
                <w:szCs w:val="18"/>
                <w:lang w:val="en-US"/>
              </w:rPr>
            </w:pPr>
            <w:r w:rsidRPr="00C921DE">
              <w:rPr>
                <w:rFonts w:ascii="GHEA Grapalat" w:hAnsi="GHEA Grapalat" w:cs="Calibri"/>
                <w:b/>
                <w:sz w:val="18"/>
                <w:szCs w:val="18"/>
              </w:rPr>
              <w:t>202</w:t>
            </w:r>
            <w:r w:rsidR="0095111A" w:rsidRPr="00C921DE">
              <w:rPr>
                <w:rFonts w:ascii="GHEA Grapalat" w:hAnsi="GHEA Grapalat" w:cs="Calibri"/>
                <w:b/>
                <w:sz w:val="18"/>
                <w:szCs w:val="18"/>
                <w:lang w:val="en-US"/>
              </w:rPr>
              <w:t>3</w:t>
            </w:r>
            <w:r w:rsidRPr="00C921DE">
              <w:rPr>
                <w:rFonts w:ascii="GHEA Grapalat" w:hAnsi="GHEA Grapalat" w:cs="Calibri"/>
                <w:b/>
                <w:sz w:val="18"/>
                <w:szCs w:val="18"/>
              </w:rPr>
              <w:t xml:space="preserve"> – 202</w:t>
            </w:r>
            <w:r w:rsidR="0095111A" w:rsidRPr="00C921DE">
              <w:rPr>
                <w:rFonts w:ascii="GHEA Grapalat" w:hAnsi="GHEA Grapalat" w:cs="Calibri"/>
                <w:b/>
                <w:sz w:val="18"/>
                <w:szCs w:val="18"/>
                <w:lang w:val="en-US"/>
              </w:rPr>
              <w:t>2</w:t>
            </w:r>
          </w:p>
          <w:p w14:paraId="0AAB427E" w14:textId="77777777" w:rsidR="00F71750" w:rsidRPr="00C921DE" w:rsidRDefault="00F71750" w:rsidP="00E308E0">
            <w:pPr>
              <w:jc w:val="center"/>
              <w:rPr>
                <w:rFonts w:ascii="GHEA Grapalat" w:hAnsi="GHEA Grapalat" w:cs="Calibri"/>
                <w:b/>
                <w:sz w:val="18"/>
                <w:szCs w:val="18"/>
              </w:rPr>
            </w:pPr>
          </w:p>
        </w:tc>
      </w:tr>
      <w:tr w:rsidR="00092B3A" w:rsidRPr="00C921DE" w14:paraId="601F48FE" w14:textId="77777777" w:rsidTr="00E308E0">
        <w:trPr>
          <w:trHeight w:val="331"/>
          <w:jc w:val="center"/>
        </w:trPr>
        <w:tc>
          <w:tcPr>
            <w:tcW w:w="3116" w:type="dxa"/>
            <w:vAlign w:val="bottom"/>
          </w:tcPr>
          <w:p w14:paraId="32320F31" w14:textId="77777777" w:rsidR="00092B3A" w:rsidRPr="00C921DE" w:rsidRDefault="00092B3A" w:rsidP="00092B3A">
            <w:pPr>
              <w:rPr>
                <w:rFonts w:ascii="GHEA Grapalat" w:hAnsi="GHEA Grapalat" w:cs="Calibri"/>
                <w:b/>
                <w:sz w:val="18"/>
                <w:szCs w:val="18"/>
              </w:rPr>
            </w:pPr>
            <w:r w:rsidRPr="00C921DE">
              <w:rPr>
                <w:rFonts w:ascii="GHEA Grapalat" w:hAnsi="GHEA Grapalat" w:cs="Calibri"/>
                <w:b/>
                <w:sz w:val="18"/>
                <w:szCs w:val="18"/>
              </w:rPr>
              <w:t>ԸՆԴԱՄԵՆԸ ԾԱԽՍԵՐ</w:t>
            </w:r>
          </w:p>
        </w:tc>
        <w:tc>
          <w:tcPr>
            <w:tcW w:w="1170" w:type="dxa"/>
            <w:vAlign w:val="bottom"/>
          </w:tcPr>
          <w:p w14:paraId="457DA46A" w14:textId="2D8DB5AE" w:rsidR="00092B3A" w:rsidRPr="00C921DE" w:rsidRDefault="00092B3A" w:rsidP="00092B3A">
            <w:pPr>
              <w:jc w:val="right"/>
              <w:rPr>
                <w:rFonts w:ascii="GHEA Grapalat" w:hAnsi="GHEA Grapalat" w:cs="Calibri"/>
                <w:b/>
                <w:sz w:val="18"/>
                <w:szCs w:val="18"/>
              </w:rPr>
            </w:pPr>
            <w:r w:rsidRPr="00C921DE">
              <w:rPr>
                <w:rFonts w:ascii="GHEA Grapalat" w:hAnsi="GHEA Grapalat" w:cs="Calibri"/>
                <w:b/>
                <w:bCs/>
                <w:sz w:val="18"/>
                <w:szCs w:val="18"/>
                <w:lang w:val="en-US"/>
              </w:rPr>
              <w:t>2,242.6</w:t>
            </w:r>
          </w:p>
        </w:tc>
        <w:tc>
          <w:tcPr>
            <w:tcW w:w="1090" w:type="dxa"/>
            <w:vAlign w:val="bottom"/>
          </w:tcPr>
          <w:p w14:paraId="001959A4" w14:textId="581307B7" w:rsidR="00092B3A" w:rsidRPr="00C921DE" w:rsidRDefault="00092B3A" w:rsidP="00092B3A">
            <w:pPr>
              <w:jc w:val="right"/>
              <w:rPr>
                <w:rFonts w:ascii="GHEA Grapalat" w:hAnsi="GHEA Grapalat" w:cs="Calibri"/>
                <w:b/>
                <w:bCs/>
                <w:sz w:val="18"/>
                <w:szCs w:val="18"/>
                <w:lang w:val="en-US"/>
              </w:rPr>
            </w:pPr>
            <w:r w:rsidRPr="00C921DE">
              <w:rPr>
                <w:rFonts w:ascii="GHEA Grapalat" w:hAnsi="GHEA Grapalat" w:cs="Calibri"/>
                <w:b/>
                <w:bCs/>
                <w:sz w:val="18"/>
                <w:szCs w:val="18"/>
                <w:lang w:val="en-US"/>
              </w:rPr>
              <w:t xml:space="preserve"> 2,591.0</w:t>
            </w:r>
          </w:p>
        </w:tc>
        <w:tc>
          <w:tcPr>
            <w:tcW w:w="1052" w:type="dxa"/>
            <w:vAlign w:val="bottom"/>
          </w:tcPr>
          <w:p w14:paraId="6790A7F7" w14:textId="6A81C1B2" w:rsidR="00092B3A" w:rsidRPr="00C921DE" w:rsidRDefault="00092B3A" w:rsidP="00092B3A">
            <w:pPr>
              <w:jc w:val="right"/>
              <w:rPr>
                <w:rFonts w:ascii="GHEA Grapalat" w:hAnsi="GHEA Grapalat" w:cs="Calibri"/>
                <w:b/>
                <w:bCs/>
                <w:sz w:val="18"/>
                <w:szCs w:val="18"/>
                <w:lang w:val="en-US"/>
              </w:rPr>
            </w:pPr>
            <w:r w:rsidRPr="00C921DE">
              <w:rPr>
                <w:rFonts w:ascii="GHEA Grapalat" w:hAnsi="GHEA Grapalat" w:cs="Calibri"/>
                <w:b/>
                <w:bCs/>
                <w:sz w:val="18"/>
                <w:szCs w:val="18"/>
                <w:lang w:val="en-US"/>
              </w:rPr>
              <w:t>2,624.7</w:t>
            </w:r>
          </w:p>
        </w:tc>
        <w:tc>
          <w:tcPr>
            <w:tcW w:w="1156" w:type="dxa"/>
            <w:vAlign w:val="bottom"/>
          </w:tcPr>
          <w:p w14:paraId="3388A233" w14:textId="393F1747" w:rsidR="00092B3A" w:rsidRPr="00C921DE" w:rsidRDefault="00092B3A" w:rsidP="00092B3A">
            <w:pPr>
              <w:jc w:val="right"/>
              <w:rPr>
                <w:rFonts w:ascii="GHEA Grapalat" w:hAnsi="GHEA Grapalat" w:cs="Calibri"/>
                <w:b/>
                <w:bCs/>
                <w:sz w:val="18"/>
                <w:szCs w:val="18"/>
                <w:lang w:val="en-US"/>
              </w:rPr>
            </w:pPr>
            <w:r w:rsidRPr="00C921DE">
              <w:rPr>
                <w:rFonts w:ascii="GHEA Grapalat" w:hAnsi="GHEA Grapalat" w:cs="Calibri"/>
                <w:b/>
                <w:bCs/>
                <w:sz w:val="18"/>
                <w:szCs w:val="18"/>
                <w:lang w:val="en-US"/>
              </w:rPr>
              <w:t>2,547.6</w:t>
            </w:r>
          </w:p>
        </w:tc>
        <w:tc>
          <w:tcPr>
            <w:tcW w:w="1203" w:type="dxa"/>
            <w:vAlign w:val="bottom"/>
          </w:tcPr>
          <w:p w14:paraId="1BC33C1F" w14:textId="617FC086" w:rsidR="00092B3A" w:rsidRPr="00C921DE" w:rsidRDefault="00092B3A" w:rsidP="00092B3A">
            <w:pPr>
              <w:jc w:val="right"/>
              <w:rPr>
                <w:rFonts w:ascii="GHEA Grapalat" w:hAnsi="GHEA Grapalat" w:cs="Calibri"/>
                <w:b/>
                <w:bCs/>
                <w:sz w:val="18"/>
                <w:szCs w:val="18"/>
                <w:lang w:val="en-US"/>
              </w:rPr>
            </w:pPr>
            <w:r w:rsidRPr="00C921DE">
              <w:rPr>
                <w:rFonts w:ascii="GHEA Grapalat" w:hAnsi="GHEA Grapalat" w:cs="Calibri"/>
                <w:b/>
                <w:bCs/>
                <w:sz w:val="18"/>
                <w:szCs w:val="18"/>
                <w:lang w:val="en-US"/>
              </w:rPr>
              <w:t>97.1</w:t>
            </w:r>
          </w:p>
        </w:tc>
        <w:tc>
          <w:tcPr>
            <w:tcW w:w="847" w:type="dxa"/>
            <w:vAlign w:val="bottom"/>
          </w:tcPr>
          <w:p w14:paraId="2BE63094" w14:textId="13A0E94B" w:rsidR="00092B3A" w:rsidRPr="00C921DE" w:rsidRDefault="00092B3A" w:rsidP="00092B3A">
            <w:pPr>
              <w:jc w:val="right"/>
              <w:rPr>
                <w:rFonts w:ascii="GHEA Grapalat" w:hAnsi="GHEA Grapalat" w:cs="Calibri"/>
                <w:b/>
                <w:bCs/>
                <w:sz w:val="18"/>
                <w:szCs w:val="18"/>
                <w:lang w:val="en-US"/>
              </w:rPr>
            </w:pPr>
            <w:r w:rsidRPr="00C921DE">
              <w:rPr>
                <w:rFonts w:ascii="GHEA Grapalat" w:hAnsi="GHEA Grapalat" w:cs="Calibri"/>
                <w:b/>
                <w:bCs/>
                <w:sz w:val="18"/>
                <w:szCs w:val="18"/>
                <w:lang w:val="en-US"/>
              </w:rPr>
              <w:t>113.6</w:t>
            </w:r>
          </w:p>
        </w:tc>
        <w:tc>
          <w:tcPr>
            <w:tcW w:w="790" w:type="dxa"/>
            <w:vAlign w:val="bottom"/>
          </w:tcPr>
          <w:p w14:paraId="38E263E6" w14:textId="4FA07674" w:rsidR="00092B3A" w:rsidRPr="00C921DE" w:rsidRDefault="00092B3A" w:rsidP="00092B3A">
            <w:pPr>
              <w:jc w:val="right"/>
              <w:rPr>
                <w:rFonts w:ascii="GHEA Grapalat" w:hAnsi="GHEA Grapalat" w:cs="Calibri"/>
                <w:b/>
                <w:bCs/>
                <w:sz w:val="18"/>
                <w:szCs w:val="18"/>
                <w:lang w:val="en-US"/>
              </w:rPr>
            </w:pPr>
            <w:r w:rsidRPr="00C921DE">
              <w:rPr>
                <w:rFonts w:ascii="GHEA Grapalat" w:hAnsi="GHEA Grapalat" w:cs="Calibri"/>
                <w:b/>
                <w:bCs/>
                <w:sz w:val="18"/>
                <w:szCs w:val="18"/>
                <w:lang w:val="en-US"/>
              </w:rPr>
              <w:t>305.0</w:t>
            </w:r>
          </w:p>
        </w:tc>
      </w:tr>
      <w:tr w:rsidR="00092B3A" w:rsidRPr="00C921DE" w14:paraId="229F538F" w14:textId="77777777" w:rsidTr="00E308E0">
        <w:trPr>
          <w:trHeight w:val="300"/>
          <w:jc w:val="center"/>
        </w:trPr>
        <w:tc>
          <w:tcPr>
            <w:tcW w:w="3116" w:type="dxa"/>
            <w:vAlign w:val="bottom"/>
          </w:tcPr>
          <w:p w14:paraId="2B401B55"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ՏԿԵՆ</w:t>
            </w:r>
          </w:p>
        </w:tc>
        <w:tc>
          <w:tcPr>
            <w:tcW w:w="1170" w:type="dxa"/>
            <w:vAlign w:val="bottom"/>
          </w:tcPr>
          <w:p w14:paraId="5565444D" w14:textId="2B848E92"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223.3</w:t>
            </w:r>
          </w:p>
        </w:tc>
        <w:tc>
          <w:tcPr>
            <w:tcW w:w="1090" w:type="dxa"/>
            <w:vAlign w:val="bottom"/>
          </w:tcPr>
          <w:p w14:paraId="28FA0F32" w14:textId="263EE431"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297.1</w:t>
            </w:r>
          </w:p>
        </w:tc>
        <w:tc>
          <w:tcPr>
            <w:tcW w:w="1052" w:type="dxa"/>
            <w:vAlign w:val="bottom"/>
          </w:tcPr>
          <w:p w14:paraId="1C25C71C" w14:textId="25AB4DF7"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275.0</w:t>
            </w:r>
          </w:p>
        </w:tc>
        <w:tc>
          <w:tcPr>
            <w:tcW w:w="1156" w:type="dxa"/>
            <w:vAlign w:val="bottom"/>
          </w:tcPr>
          <w:p w14:paraId="70543DC2" w14:textId="4AB7A3E7"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270.0</w:t>
            </w:r>
          </w:p>
        </w:tc>
        <w:tc>
          <w:tcPr>
            <w:tcW w:w="1203" w:type="dxa"/>
            <w:vAlign w:val="bottom"/>
          </w:tcPr>
          <w:p w14:paraId="6AD22B58" w14:textId="69D1CACE"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98.2</w:t>
            </w:r>
          </w:p>
        </w:tc>
        <w:tc>
          <w:tcPr>
            <w:tcW w:w="847" w:type="dxa"/>
            <w:vAlign w:val="bottom"/>
          </w:tcPr>
          <w:p w14:paraId="1BD5B027" w14:textId="21CB5012"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120.9</w:t>
            </w:r>
          </w:p>
        </w:tc>
        <w:tc>
          <w:tcPr>
            <w:tcW w:w="790" w:type="dxa"/>
            <w:vAlign w:val="bottom"/>
          </w:tcPr>
          <w:p w14:paraId="6FD39245" w14:textId="0F4370E9"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46.6</w:t>
            </w:r>
          </w:p>
        </w:tc>
      </w:tr>
      <w:tr w:rsidR="00092B3A" w:rsidRPr="00C921DE" w14:paraId="1449A05F" w14:textId="77777777" w:rsidTr="00E308E0">
        <w:trPr>
          <w:trHeight w:val="300"/>
          <w:jc w:val="center"/>
        </w:trPr>
        <w:tc>
          <w:tcPr>
            <w:tcW w:w="3116" w:type="dxa"/>
            <w:vAlign w:val="bottom"/>
          </w:tcPr>
          <w:p w14:paraId="55555D67"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առողջապահության նախարարություն</w:t>
            </w:r>
          </w:p>
        </w:tc>
        <w:tc>
          <w:tcPr>
            <w:tcW w:w="1170" w:type="dxa"/>
            <w:vAlign w:val="bottom"/>
          </w:tcPr>
          <w:p w14:paraId="46ED2B0F" w14:textId="16DBEA3A"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140.6</w:t>
            </w:r>
          </w:p>
        </w:tc>
        <w:tc>
          <w:tcPr>
            <w:tcW w:w="1090" w:type="dxa"/>
            <w:vAlign w:val="bottom"/>
          </w:tcPr>
          <w:p w14:paraId="1399B4D8" w14:textId="4D6E37A5"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146.3</w:t>
            </w:r>
          </w:p>
        </w:tc>
        <w:tc>
          <w:tcPr>
            <w:tcW w:w="1052" w:type="dxa"/>
            <w:vAlign w:val="bottom"/>
          </w:tcPr>
          <w:p w14:paraId="0ABB8682" w14:textId="17D1E4D5"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143.6</w:t>
            </w:r>
          </w:p>
        </w:tc>
        <w:tc>
          <w:tcPr>
            <w:tcW w:w="1156" w:type="dxa"/>
            <w:vAlign w:val="bottom"/>
          </w:tcPr>
          <w:p w14:paraId="5723DA01" w14:textId="076ADAA1"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139.5</w:t>
            </w:r>
          </w:p>
        </w:tc>
        <w:tc>
          <w:tcPr>
            <w:tcW w:w="1203" w:type="dxa"/>
            <w:vAlign w:val="bottom"/>
          </w:tcPr>
          <w:p w14:paraId="156F3BB9" w14:textId="04B9301F"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97.1</w:t>
            </w:r>
          </w:p>
        </w:tc>
        <w:tc>
          <w:tcPr>
            <w:tcW w:w="847" w:type="dxa"/>
            <w:vAlign w:val="bottom"/>
          </w:tcPr>
          <w:p w14:paraId="6752D623" w14:textId="0908FFA1"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99.2</w:t>
            </w:r>
          </w:p>
        </w:tc>
        <w:tc>
          <w:tcPr>
            <w:tcW w:w="790" w:type="dxa"/>
            <w:vAlign w:val="bottom"/>
          </w:tcPr>
          <w:p w14:paraId="6FEDE3D0" w14:textId="2E746FF2"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(1.1)</w:t>
            </w:r>
          </w:p>
        </w:tc>
      </w:tr>
      <w:tr w:rsidR="00092B3A" w:rsidRPr="00C921DE" w14:paraId="210684F7" w14:textId="77777777" w:rsidTr="00E308E0">
        <w:trPr>
          <w:trHeight w:val="300"/>
          <w:jc w:val="center"/>
        </w:trPr>
        <w:tc>
          <w:tcPr>
            <w:tcW w:w="3116" w:type="dxa"/>
            <w:vAlign w:val="bottom"/>
          </w:tcPr>
          <w:p w14:paraId="679A0F16"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էկոնոմիկայի նախարարություն</w:t>
            </w:r>
          </w:p>
        </w:tc>
        <w:tc>
          <w:tcPr>
            <w:tcW w:w="1170" w:type="dxa"/>
            <w:vAlign w:val="bottom"/>
          </w:tcPr>
          <w:p w14:paraId="1C41B023" w14:textId="02E6DDA4"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53.1</w:t>
            </w:r>
          </w:p>
        </w:tc>
        <w:tc>
          <w:tcPr>
            <w:tcW w:w="1090" w:type="dxa"/>
            <w:vAlign w:val="bottom"/>
          </w:tcPr>
          <w:p w14:paraId="1F0EECD5" w14:textId="4C75E108"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64.8</w:t>
            </w:r>
          </w:p>
        </w:tc>
        <w:tc>
          <w:tcPr>
            <w:tcW w:w="1052" w:type="dxa"/>
            <w:vAlign w:val="bottom"/>
          </w:tcPr>
          <w:p w14:paraId="1AA0711C" w14:textId="79D354A2"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65.4</w:t>
            </w:r>
          </w:p>
        </w:tc>
        <w:tc>
          <w:tcPr>
            <w:tcW w:w="1156" w:type="dxa"/>
            <w:vAlign w:val="bottom"/>
          </w:tcPr>
          <w:p w14:paraId="18200ED3" w14:textId="41E62CEB"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62.7</w:t>
            </w:r>
          </w:p>
        </w:tc>
        <w:tc>
          <w:tcPr>
            <w:tcW w:w="1203" w:type="dxa"/>
            <w:vAlign w:val="bottom"/>
          </w:tcPr>
          <w:p w14:paraId="20E56B5A" w14:textId="3D049A67"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95.9</w:t>
            </w:r>
          </w:p>
        </w:tc>
        <w:tc>
          <w:tcPr>
            <w:tcW w:w="847" w:type="dxa"/>
            <w:vAlign w:val="bottom"/>
          </w:tcPr>
          <w:p w14:paraId="1C54261A" w14:textId="2DF50345"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118.1</w:t>
            </w:r>
          </w:p>
        </w:tc>
        <w:tc>
          <w:tcPr>
            <w:tcW w:w="790" w:type="dxa"/>
            <w:vAlign w:val="bottom"/>
          </w:tcPr>
          <w:p w14:paraId="63467515" w14:textId="2460B03B" w:rsidR="00092B3A" w:rsidRPr="00C921DE" w:rsidRDefault="00092B3A" w:rsidP="00040EB0">
            <w:pPr>
              <w:jc w:val="right"/>
              <w:rPr>
                <w:rFonts w:ascii="GHEA Grapalat" w:hAnsi="GHEA Grapalat" w:cs="Calibri"/>
                <w:sz w:val="18"/>
                <w:szCs w:val="18"/>
                <w:lang w:val="en-US"/>
              </w:rPr>
            </w:pPr>
            <w:r w:rsidRPr="00C921DE">
              <w:rPr>
                <w:rFonts w:ascii="GHEA Grapalat" w:hAnsi="GHEA Grapalat" w:cs="Calibri"/>
                <w:sz w:val="18"/>
                <w:szCs w:val="18"/>
                <w:lang w:val="en-US"/>
              </w:rPr>
              <w:t>9.6</w:t>
            </w:r>
          </w:p>
        </w:tc>
      </w:tr>
      <w:tr w:rsidR="00092B3A" w:rsidRPr="00C921DE" w14:paraId="1784A5B0" w14:textId="77777777" w:rsidTr="00E308E0">
        <w:trPr>
          <w:trHeight w:val="300"/>
          <w:jc w:val="center"/>
        </w:trPr>
        <w:tc>
          <w:tcPr>
            <w:tcW w:w="3116" w:type="dxa"/>
            <w:vAlign w:val="bottom"/>
          </w:tcPr>
          <w:p w14:paraId="1227C582"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ԿԳՄՍՆ</w:t>
            </w:r>
          </w:p>
        </w:tc>
        <w:tc>
          <w:tcPr>
            <w:tcW w:w="1170" w:type="dxa"/>
            <w:vAlign w:val="bottom"/>
          </w:tcPr>
          <w:p w14:paraId="1AD0D489" w14:textId="19121779"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202.6</w:t>
            </w:r>
          </w:p>
        </w:tc>
        <w:tc>
          <w:tcPr>
            <w:tcW w:w="1090" w:type="dxa"/>
            <w:vAlign w:val="bottom"/>
          </w:tcPr>
          <w:p w14:paraId="58764A1C" w14:textId="586FDACB"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250.3</w:t>
            </w:r>
          </w:p>
        </w:tc>
        <w:tc>
          <w:tcPr>
            <w:tcW w:w="1052" w:type="dxa"/>
            <w:vAlign w:val="bottom"/>
          </w:tcPr>
          <w:p w14:paraId="4D05F2CE" w14:textId="538491C3"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233.0</w:t>
            </w:r>
          </w:p>
        </w:tc>
        <w:tc>
          <w:tcPr>
            <w:tcW w:w="1156" w:type="dxa"/>
            <w:vAlign w:val="bottom"/>
          </w:tcPr>
          <w:p w14:paraId="7840B27B" w14:textId="3D21CBF7"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218.8</w:t>
            </w:r>
          </w:p>
        </w:tc>
        <w:tc>
          <w:tcPr>
            <w:tcW w:w="1203" w:type="dxa"/>
            <w:vAlign w:val="bottom"/>
          </w:tcPr>
          <w:p w14:paraId="650C1D3B" w14:textId="511AE2A5"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93.9</w:t>
            </w:r>
          </w:p>
        </w:tc>
        <w:tc>
          <w:tcPr>
            <w:tcW w:w="847" w:type="dxa"/>
            <w:vAlign w:val="bottom"/>
          </w:tcPr>
          <w:p w14:paraId="1CCA46B7" w14:textId="0257C391"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108.0</w:t>
            </w:r>
          </w:p>
        </w:tc>
        <w:tc>
          <w:tcPr>
            <w:tcW w:w="790" w:type="dxa"/>
            <w:vAlign w:val="bottom"/>
          </w:tcPr>
          <w:p w14:paraId="17078BA3" w14:textId="2DE393B2" w:rsidR="00092B3A" w:rsidRPr="00C921DE" w:rsidRDefault="00092B3A" w:rsidP="00040EB0">
            <w:pPr>
              <w:jc w:val="right"/>
              <w:rPr>
                <w:rFonts w:ascii="GHEA Grapalat" w:hAnsi="GHEA Grapalat" w:cs="Calibri"/>
                <w:sz w:val="18"/>
                <w:szCs w:val="18"/>
                <w:lang w:val="en-US"/>
              </w:rPr>
            </w:pPr>
            <w:r w:rsidRPr="00C921DE">
              <w:rPr>
                <w:rFonts w:ascii="GHEA Grapalat" w:hAnsi="GHEA Grapalat" w:cs="Calibri"/>
                <w:sz w:val="18"/>
                <w:szCs w:val="18"/>
                <w:lang w:val="en-US"/>
              </w:rPr>
              <w:t>16.2</w:t>
            </w:r>
          </w:p>
        </w:tc>
      </w:tr>
      <w:tr w:rsidR="00092B3A" w:rsidRPr="00C921DE" w14:paraId="27BC4C23" w14:textId="77777777" w:rsidTr="00E308E0">
        <w:trPr>
          <w:trHeight w:val="300"/>
          <w:jc w:val="center"/>
        </w:trPr>
        <w:tc>
          <w:tcPr>
            <w:tcW w:w="3116" w:type="dxa"/>
            <w:vAlign w:val="bottom"/>
          </w:tcPr>
          <w:p w14:paraId="56D510A0"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պաշտպանության նախարարություն</w:t>
            </w:r>
          </w:p>
        </w:tc>
        <w:tc>
          <w:tcPr>
            <w:tcW w:w="1170" w:type="dxa"/>
            <w:vAlign w:val="bottom"/>
          </w:tcPr>
          <w:p w14:paraId="46EBB319" w14:textId="3EA1C707"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479.6</w:t>
            </w:r>
          </w:p>
        </w:tc>
        <w:tc>
          <w:tcPr>
            <w:tcW w:w="1090" w:type="dxa"/>
            <w:vAlign w:val="bottom"/>
          </w:tcPr>
          <w:p w14:paraId="5B42B247" w14:textId="0B00D27A"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517.3</w:t>
            </w:r>
          </w:p>
        </w:tc>
        <w:tc>
          <w:tcPr>
            <w:tcW w:w="1052" w:type="dxa"/>
            <w:vAlign w:val="bottom"/>
          </w:tcPr>
          <w:p w14:paraId="28BE32B9" w14:textId="4BEC3693"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528.0</w:t>
            </w:r>
          </w:p>
        </w:tc>
        <w:tc>
          <w:tcPr>
            <w:tcW w:w="1156" w:type="dxa"/>
            <w:vAlign w:val="bottom"/>
          </w:tcPr>
          <w:p w14:paraId="23ACB063" w14:textId="16D8439E"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527.3</w:t>
            </w:r>
          </w:p>
        </w:tc>
        <w:tc>
          <w:tcPr>
            <w:tcW w:w="1203" w:type="dxa"/>
            <w:vAlign w:val="bottom"/>
          </w:tcPr>
          <w:p w14:paraId="32F77CE3" w14:textId="1DFCF645"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99.9</w:t>
            </w:r>
          </w:p>
        </w:tc>
        <w:tc>
          <w:tcPr>
            <w:tcW w:w="847" w:type="dxa"/>
            <w:vAlign w:val="bottom"/>
          </w:tcPr>
          <w:p w14:paraId="5B7EEFC6" w14:textId="44A2FA48"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109.9</w:t>
            </w:r>
          </w:p>
        </w:tc>
        <w:tc>
          <w:tcPr>
            <w:tcW w:w="790" w:type="dxa"/>
            <w:vAlign w:val="bottom"/>
          </w:tcPr>
          <w:p w14:paraId="2FC15A91" w14:textId="0D2C0698" w:rsidR="00092B3A" w:rsidRPr="00C921DE" w:rsidRDefault="00092B3A" w:rsidP="00040EB0">
            <w:pPr>
              <w:jc w:val="right"/>
              <w:rPr>
                <w:rFonts w:ascii="GHEA Grapalat" w:hAnsi="GHEA Grapalat" w:cs="Calibri"/>
                <w:sz w:val="18"/>
                <w:szCs w:val="18"/>
                <w:lang w:val="en-US"/>
              </w:rPr>
            </w:pPr>
            <w:r w:rsidRPr="00C921DE">
              <w:rPr>
                <w:rFonts w:ascii="GHEA Grapalat" w:hAnsi="GHEA Grapalat" w:cs="Calibri"/>
                <w:sz w:val="18"/>
                <w:szCs w:val="18"/>
                <w:lang w:val="en-US"/>
              </w:rPr>
              <w:t>47.6</w:t>
            </w:r>
          </w:p>
        </w:tc>
      </w:tr>
      <w:tr w:rsidR="00092B3A" w:rsidRPr="00C921DE" w14:paraId="3C3DB986" w14:textId="77777777" w:rsidTr="00E308E0">
        <w:trPr>
          <w:trHeight w:val="300"/>
          <w:jc w:val="center"/>
        </w:trPr>
        <w:tc>
          <w:tcPr>
            <w:tcW w:w="3116" w:type="dxa"/>
            <w:vAlign w:val="bottom"/>
          </w:tcPr>
          <w:p w14:paraId="7DC19DEC"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աշխատանքի և սոցիալական հարցերի նախարարություն</w:t>
            </w:r>
          </w:p>
        </w:tc>
        <w:tc>
          <w:tcPr>
            <w:tcW w:w="1170" w:type="dxa"/>
            <w:vAlign w:val="bottom"/>
          </w:tcPr>
          <w:p w14:paraId="07D46451" w14:textId="14CF1331"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 xml:space="preserve"> 613.6</w:t>
            </w:r>
          </w:p>
        </w:tc>
        <w:tc>
          <w:tcPr>
            <w:tcW w:w="1090" w:type="dxa"/>
            <w:vAlign w:val="bottom"/>
          </w:tcPr>
          <w:p w14:paraId="7A193B62" w14:textId="691464D5"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653.8</w:t>
            </w:r>
          </w:p>
        </w:tc>
        <w:tc>
          <w:tcPr>
            <w:tcW w:w="1052" w:type="dxa"/>
            <w:vAlign w:val="bottom"/>
          </w:tcPr>
          <w:p w14:paraId="35081524" w14:textId="25959066"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723.9</w:t>
            </w:r>
          </w:p>
        </w:tc>
        <w:tc>
          <w:tcPr>
            <w:tcW w:w="1156" w:type="dxa"/>
            <w:vAlign w:val="bottom"/>
          </w:tcPr>
          <w:p w14:paraId="121FC758" w14:textId="38200B57"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705.6</w:t>
            </w:r>
          </w:p>
        </w:tc>
        <w:tc>
          <w:tcPr>
            <w:tcW w:w="1203" w:type="dxa"/>
            <w:vAlign w:val="bottom"/>
          </w:tcPr>
          <w:p w14:paraId="682F3676" w14:textId="5FA32FFC"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97.5</w:t>
            </w:r>
          </w:p>
        </w:tc>
        <w:tc>
          <w:tcPr>
            <w:tcW w:w="847" w:type="dxa"/>
            <w:vAlign w:val="bottom"/>
          </w:tcPr>
          <w:p w14:paraId="76492F3F" w14:textId="518640F2"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115.0</w:t>
            </w:r>
          </w:p>
        </w:tc>
        <w:tc>
          <w:tcPr>
            <w:tcW w:w="790" w:type="dxa"/>
            <w:vAlign w:val="bottom"/>
          </w:tcPr>
          <w:p w14:paraId="70A670AE" w14:textId="2104ADE8" w:rsidR="00092B3A" w:rsidRPr="00C921DE" w:rsidRDefault="00092B3A" w:rsidP="00040EB0">
            <w:pPr>
              <w:jc w:val="right"/>
              <w:rPr>
                <w:rFonts w:ascii="GHEA Grapalat" w:hAnsi="GHEA Grapalat" w:cs="Calibri"/>
                <w:sz w:val="18"/>
                <w:szCs w:val="18"/>
                <w:lang w:val="en-US"/>
              </w:rPr>
            </w:pPr>
            <w:r w:rsidRPr="00C921DE">
              <w:rPr>
                <w:rFonts w:ascii="GHEA Grapalat" w:hAnsi="GHEA Grapalat" w:cs="Calibri"/>
                <w:sz w:val="18"/>
                <w:szCs w:val="18"/>
                <w:lang w:val="en-US"/>
              </w:rPr>
              <w:t>92.0</w:t>
            </w:r>
          </w:p>
        </w:tc>
      </w:tr>
      <w:tr w:rsidR="00092B3A" w:rsidRPr="00C921DE" w14:paraId="4AEFFA42" w14:textId="77777777" w:rsidTr="00E308E0">
        <w:trPr>
          <w:trHeight w:val="267"/>
          <w:jc w:val="center"/>
        </w:trPr>
        <w:tc>
          <w:tcPr>
            <w:tcW w:w="3116" w:type="dxa"/>
            <w:vAlign w:val="bottom"/>
          </w:tcPr>
          <w:p w14:paraId="27031C54" w14:textId="77777777" w:rsidR="00092B3A" w:rsidRPr="00C921DE" w:rsidRDefault="00092B3A" w:rsidP="00092B3A">
            <w:pPr>
              <w:rPr>
                <w:rFonts w:ascii="GHEA Grapalat" w:hAnsi="GHEA Grapalat" w:cs="Calibri"/>
                <w:sz w:val="18"/>
                <w:szCs w:val="18"/>
              </w:rPr>
            </w:pPr>
            <w:r w:rsidRPr="00C921DE">
              <w:rPr>
                <w:rFonts w:ascii="GHEA Grapalat" w:hAnsi="GHEA Grapalat" w:cs="Calibri"/>
                <w:sz w:val="18"/>
                <w:szCs w:val="18"/>
              </w:rPr>
              <w:t>ՀՀ ֆինանսների նախարարություն</w:t>
            </w:r>
          </w:p>
        </w:tc>
        <w:tc>
          <w:tcPr>
            <w:tcW w:w="1170" w:type="dxa"/>
            <w:vAlign w:val="bottom"/>
          </w:tcPr>
          <w:p w14:paraId="3D628367" w14:textId="5005DACF"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201.6</w:t>
            </w:r>
          </w:p>
        </w:tc>
        <w:tc>
          <w:tcPr>
            <w:tcW w:w="1090" w:type="dxa"/>
            <w:vAlign w:val="bottom"/>
          </w:tcPr>
          <w:p w14:paraId="0757EBCD" w14:textId="737EA46B"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277.3</w:t>
            </w:r>
          </w:p>
        </w:tc>
        <w:tc>
          <w:tcPr>
            <w:tcW w:w="1052" w:type="dxa"/>
            <w:vAlign w:val="bottom"/>
          </w:tcPr>
          <w:p w14:paraId="52FDC1BB" w14:textId="71AEAFBB"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261.2</w:t>
            </w:r>
          </w:p>
        </w:tc>
        <w:tc>
          <w:tcPr>
            <w:tcW w:w="1156" w:type="dxa"/>
            <w:vAlign w:val="bottom"/>
          </w:tcPr>
          <w:p w14:paraId="6BFE0DDB" w14:textId="7FCF3DA4"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257.5</w:t>
            </w:r>
          </w:p>
        </w:tc>
        <w:tc>
          <w:tcPr>
            <w:tcW w:w="1203" w:type="dxa"/>
            <w:vAlign w:val="bottom"/>
          </w:tcPr>
          <w:p w14:paraId="0C666C1E" w14:textId="42FBE351"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98.6</w:t>
            </w:r>
          </w:p>
        </w:tc>
        <w:tc>
          <w:tcPr>
            <w:tcW w:w="847" w:type="dxa"/>
            <w:vAlign w:val="bottom"/>
          </w:tcPr>
          <w:p w14:paraId="504E818E" w14:textId="2D7A7010"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127.8</w:t>
            </w:r>
          </w:p>
        </w:tc>
        <w:tc>
          <w:tcPr>
            <w:tcW w:w="790" w:type="dxa"/>
            <w:vAlign w:val="bottom"/>
          </w:tcPr>
          <w:p w14:paraId="6ECD0970" w14:textId="0BA32650" w:rsidR="00092B3A" w:rsidRPr="00C921DE" w:rsidRDefault="00092B3A" w:rsidP="00040EB0">
            <w:pPr>
              <w:jc w:val="right"/>
              <w:rPr>
                <w:rFonts w:ascii="GHEA Grapalat" w:hAnsi="GHEA Grapalat" w:cs="Calibri"/>
                <w:sz w:val="18"/>
                <w:szCs w:val="18"/>
                <w:lang w:val="en-US"/>
              </w:rPr>
            </w:pPr>
            <w:r w:rsidRPr="00C921DE">
              <w:rPr>
                <w:rFonts w:ascii="GHEA Grapalat" w:hAnsi="GHEA Grapalat" w:cs="Calibri"/>
                <w:sz w:val="18"/>
                <w:szCs w:val="18"/>
                <w:lang w:val="en-US"/>
              </w:rPr>
              <w:t>56.0</w:t>
            </w:r>
          </w:p>
        </w:tc>
      </w:tr>
      <w:tr w:rsidR="00092B3A" w:rsidRPr="00C921DE" w14:paraId="7ACA1E3E" w14:textId="77777777" w:rsidTr="00E308E0">
        <w:trPr>
          <w:trHeight w:val="300"/>
          <w:jc w:val="center"/>
        </w:trPr>
        <w:tc>
          <w:tcPr>
            <w:tcW w:w="3116" w:type="dxa"/>
            <w:vAlign w:val="bottom"/>
          </w:tcPr>
          <w:p w14:paraId="73609775" w14:textId="77777777" w:rsidR="00092B3A" w:rsidRPr="00C921DE" w:rsidRDefault="00092B3A" w:rsidP="00092B3A">
            <w:pPr>
              <w:rPr>
                <w:rFonts w:ascii="GHEA Grapalat" w:hAnsi="GHEA Grapalat" w:cs="Calibri"/>
                <w:sz w:val="18"/>
                <w:szCs w:val="18"/>
                <w:lang w:val="en-US"/>
              </w:rPr>
            </w:pPr>
            <w:r w:rsidRPr="00C921DE">
              <w:rPr>
                <w:rFonts w:ascii="GHEA Grapalat" w:hAnsi="GHEA Grapalat" w:cs="Calibri"/>
                <w:sz w:val="18"/>
                <w:szCs w:val="18"/>
              </w:rPr>
              <w:t>ՀՀ ազգային անվտանգության ծառայություն</w:t>
            </w:r>
          </w:p>
        </w:tc>
        <w:tc>
          <w:tcPr>
            <w:tcW w:w="1170" w:type="dxa"/>
            <w:vAlign w:val="bottom"/>
          </w:tcPr>
          <w:p w14:paraId="5B9F4968" w14:textId="4A54B649"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50.3</w:t>
            </w:r>
          </w:p>
        </w:tc>
        <w:tc>
          <w:tcPr>
            <w:tcW w:w="1090" w:type="dxa"/>
            <w:vAlign w:val="bottom"/>
          </w:tcPr>
          <w:p w14:paraId="08CFF5D3" w14:textId="04945CEF"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48.9</w:t>
            </w:r>
          </w:p>
        </w:tc>
        <w:tc>
          <w:tcPr>
            <w:tcW w:w="1052" w:type="dxa"/>
            <w:vAlign w:val="bottom"/>
          </w:tcPr>
          <w:p w14:paraId="2D16475E" w14:textId="7A4ABC7C"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49.6</w:t>
            </w:r>
          </w:p>
        </w:tc>
        <w:tc>
          <w:tcPr>
            <w:tcW w:w="1156" w:type="dxa"/>
            <w:vAlign w:val="bottom"/>
          </w:tcPr>
          <w:p w14:paraId="4ABC9EF7" w14:textId="6B1EC6E5"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47.6</w:t>
            </w:r>
          </w:p>
        </w:tc>
        <w:tc>
          <w:tcPr>
            <w:tcW w:w="1203" w:type="dxa"/>
            <w:vAlign w:val="bottom"/>
          </w:tcPr>
          <w:p w14:paraId="412B3DF3" w14:textId="4FC828FB"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96.1</w:t>
            </w:r>
          </w:p>
        </w:tc>
        <w:tc>
          <w:tcPr>
            <w:tcW w:w="847" w:type="dxa"/>
            <w:vAlign w:val="bottom"/>
          </w:tcPr>
          <w:p w14:paraId="32F47369" w14:textId="614793C0"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94.8</w:t>
            </w:r>
          </w:p>
        </w:tc>
        <w:tc>
          <w:tcPr>
            <w:tcW w:w="790" w:type="dxa"/>
            <w:vAlign w:val="bottom"/>
          </w:tcPr>
          <w:p w14:paraId="66FC5EB4" w14:textId="2E4E2A52"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(2.6)</w:t>
            </w:r>
          </w:p>
        </w:tc>
      </w:tr>
      <w:tr w:rsidR="00092B3A" w:rsidRPr="00C921DE" w14:paraId="73EC0B3A" w14:textId="77777777" w:rsidTr="00E308E0">
        <w:trPr>
          <w:trHeight w:val="300"/>
          <w:jc w:val="center"/>
        </w:trPr>
        <w:tc>
          <w:tcPr>
            <w:tcW w:w="3116" w:type="dxa"/>
            <w:vAlign w:val="bottom"/>
          </w:tcPr>
          <w:p w14:paraId="36F71E38" w14:textId="77777777" w:rsidR="00092B3A" w:rsidRPr="00C921DE" w:rsidRDefault="00092B3A" w:rsidP="00092B3A">
            <w:pPr>
              <w:rPr>
                <w:rFonts w:ascii="GHEA Grapalat" w:hAnsi="GHEA Grapalat" w:cs="Calibri"/>
                <w:sz w:val="18"/>
                <w:szCs w:val="18"/>
                <w:lang w:val="en-US"/>
              </w:rPr>
            </w:pPr>
            <w:r w:rsidRPr="00C921DE">
              <w:rPr>
                <w:rFonts w:ascii="GHEA Grapalat" w:hAnsi="GHEA Grapalat" w:cs="Calibri"/>
                <w:sz w:val="18"/>
                <w:szCs w:val="18"/>
              </w:rPr>
              <w:t xml:space="preserve">ՀՀ </w:t>
            </w:r>
            <w:r w:rsidRPr="00C921DE">
              <w:rPr>
                <w:rFonts w:ascii="GHEA Grapalat" w:hAnsi="GHEA Grapalat" w:cs="Calibri"/>
                <w:sz w:val="18"/>
                <w:szCs w:val="18"/>
                <w:lang w:val="en-US"/>
              </w:rPr>
              <w:t>ոստիկանություն</w:t>
            </w:r>
          </w:p>
        </w:tc>
        <w:tc>
          <w:tcPr>
            <w:tcW w:w="1170" w:type="dxa"/>
            <w:vAlign w:val="bottom"/>
          </w:tcPr>
          <w:p w14:paraId="414F2130" w14:textId="2D7ECD5E"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80.0</w:t>
            </w:r>
          </w:p>
        </w:tc>
        <w:tc>
          <w:tcPr>
            <w:tcW w:w="1090" w:type="dxa"/>
            <w:vAlign w:val="bottom"/>
          </w:tcPr>
          <w:p w14:paraId="13B8F5EC" w14:textId="6F866415"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75.7</w:t>
            </w:r>
          </w:p>
        </w:tc>
        <w:tc>
          <w:tcPr>
            <w:tcW w:w="1052" w:type="dxa"/>
            <w:vAlign w:val="bottom"/>
          </w:tcPr>
          <w:p w14:paraId="39BF1D26" w14:textId="1B5181BA"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78.2</w:t>
            </w:r>
          </w:p>
        </w:tc>
        <w:tc>
          <w:tcPr>
            <w:tcW w:w="1156" w:type="dxa"/>
            <w:vAlign w:val="bottom"/>
          </w:tcPr>
          <w:p w14:paraId="73CE2068" w14:textId="402A6082"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77.5</w:t>
            </w:r>
          </w:p>
        </w:tc>
        <w:tc>
          <w:tcPr>
            <w:tcW w:w="1203" w:type="dxa"/>
            <w:vAlign w:val="bottom"/>
          </w:tcPr>
          <w:p w14:paraId="45BE1B4F" w14:textId="57474388"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99.1</w:t>
            </w:r>
          </w:p>
        </w:tc>
        <w:tc>
          <w:tcPr>
            <w:tcW w:w="847" w:type="dxa"/>
            <w:vAlign w:val="bottom"/>
          </w:tcPr>
          <w:p w14:paraId="292A8456" w14:textId="036F6F28"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96.9</w:t>
            </w:r>
          </w:p>
        </w:tc>
        <w:tc>
          <w:tcPr>
            <w:tcW w:w="790" w:type="dxa"/>
            <w:vAlign w:val="bottom"/>
          </w:tcPr>
          <w:p w14:paraId="5F239A87" w14:textId="3601DC92"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(2.5)</w:t>
            </w:r>
          </w:p>
        </w:tc>
      </w:tr>
      <w:tr w:rsidR="00092B3A" w:rsidRPr="00C921DE" w14:paraId="248736A2" w14:textId="77777777" w:rsidTr="00E308E0">
        <w:trPr>
          <w:trHeight w:val="300"/>
          <w:jc w:val="center"/>
        </w:trPr>
        <w:tc>
          <w:tcPr>
            <w:tcW w:w="3116" w:type="dxa"/>
            <w:vAlign w:val="bottom"/>
          </w:tcPr>
          <w:p w14:paraId="41779646" w14:textId="77777777" w:rsidR="00092B3A" w:rsidRPr="00C921DE" w:rsidRDefault="00092B3A" w:rsidP="00092B3A">
            <w:pPr>
              <w:rPr>
                <w:rFonts w:ascii="GHEA Grapalat" w:hAnsi="GHEA Grapalat" w:cs="Calibri"/>
                <w:sz w:val="18"/>
                <w:szCs w:val="18"/>
                <w:lang w:val="en-US"/>
              </w:rPr>
            </w:pPr>
            <w:r w:rsidRPr="00C921DE">
              <w:rPr>
                <w:rFonts w:ascii="GHEA Grapalat" w:hAnsi="GHEA Grapalat" w:cs="Calibri"/>
                <w:sz w:val="18"/>
                <w:szCs w:val="18"/>
              </w:rPr>
              <w:t>Այլ պետական մարմիններ</w:t>
            </w:r>
          </w:p>
        </w:tc>
        <w:tc>
          <w:tcPr>
            <w:tcW w:w="1170" w:type="dxa"/>
            <w:vAlign w:val="bottom"/>
          </w:tcPr>
          <w:p w14:paraId="23CCCBFB" w14:textId="3C074776"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 xml:space="preserve"> 197.9</w:t>
            </w:r>
          </w:p>
        </w:tc>
        <w:tc>
          <w:tcPr>
            <w:tcW w:w="1090" w:type="dxa"/>
            <w:vAlign w:val="bottom"/>
          </w:tcPr>
          <w:p w14:paraId="02BA19C7" w14:textId="65C1CA67"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259.6</w:t>
            </w:r>
          </w:p>
        </w:tc>
        <w:tc>
          <w:tcPr>
            <w:tcW w:w="1052" w:type="dxa"/>
            <w:vAlign w:val="bottom"/>
          </w:tcPr>
          <w:p w14:paraId="387BA69C" w14:textId="7DA5A43A"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266.9</w:t>
            </w:r>
          </w:p>
        </w:tc>
        <w:tc>
          <w:tcPr>
            <w:tcW w:w="1156" w:type="dxa"/>
            <w:vAlign w:val="bottom"/>
          </w:tcPr>
          <w:p w14:paraId="7AB374CE" w14:textId="2E989EB9"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241.1</w:t>
            </w:r>
          </w:p>
        </w:tc>
        <w:tc>
          <w:tcPr>
            <w:tcW w:w="1203" w:type="dxa"/>
            <w:vAlign w:val="bottom"/>
          </w:tcPr>
          <w:p w14:paraId="5194F447" w14:textId="2969C651" w:rsidR="00092B3A" w:rsidRPr="00C921DE" w:rsidRDefault="00092B3A" w:rsidP="00092B3A">
            <w:pPr>
              <w:jc w:val="right"/>
              <w:rPr>
                <w:rFonts w:ascii="GHEA Grapalat" w:hAnsi="GHEA Grapalat" w:cs="Calibri"/>
                <w:sz w:val="18"/>
                <w:szCs w:val="18"/>
                <w:lang w:val="en-US"/>
              </w:rPr>
            </w:pPr>
            <w:r w:rsidRPr="00C921DE">
              <w:rPr>
                <w:rFonts w:ascii="GHEA Grapalat" w:hAnsi="GHEA Grapalat" w:cs="Calibri"/>
                <w:sz w:val="18"/>
                <w:szCs w:val="18"/>
                <w:lang w:val="en-US"/>
              </w:rPr>
              <w:t>90.3</w:t>
            </w:r>
          </w:p>
        </w:tc>
        <w:tc>
          <w:tcPr>
            <w:tcW w:w="847" w:type="dxa"/>
            <w:vAlign w:val="bottom"/>
          </w:tcPr>
          <w:p w14:paraId="5A6C21EE" w14:textId="01041F73" w:rsidR="00092B3A" w:rsidRPr="00C921DE" w:rsidRDefault="00092B3A" w:rsidP="00E308E0">
            <w:pPr>
              <w:jc w:val="right"/>
              <w:rPr>
                <w:rFonts w:ascii="GHEA Grapalat" w:hAnsi="GHEA Grapalat" w:cs="Calibri"/>
                <w:sz w:val="18"/>
                <w:szCs w:val="18"/>
                <w:lang w:val="en-US"/>
              </w:rPr>
            </w:pPr>
            <w:r w:rsidRPr="00C921DE">
              <w:rPr>
                <w:rFonts w:ascii="GHEA Grapalat" w:hAnsi="GHEA Grapalat" w:cs="Calibri"/>
                <w:sz w:val="18"/>
                <w:szCs w:val="18"/>
                <w:lang w:val="en-US"/>
              </w:rPr>
              <w:t>121.8</w:t>
            </w:r>
          </w:p>
        </w:tc>
        <w:tc>
          <w:tcPr>
            <w:tcW w:w="790" w:type="dxa"/>
            <w:vAlign w:val="bottom"/>
          </w:tcPr>
          <w:p w14:paraId="015E9503" w14:textId="3B111F20" w:rsidR="00092B3A" w:rsidRPr="00C921DE" w:rsidRDefault="00092B3A" w:rsidP="00040EB0">
            <w:pPr>
              <w:jc w:val="right"/>
              <w:rPr>
                <w:rFonts w:ascii="GHEA Grapalat" w:hAnsi="GHEA Grapalat" w:cs="Calibri"/>
                <w:sz w:val="18"/>
                <w:szCs w:val="18"/>
                <w:lang w:val="en-US"/>
              </w:rPr>
            </w:pPr>
            <w:r w:rsidRPr="00C921DE">
              <w:rPr>
                <w:rFonts w:ascii="GHEA Grapalat" w:hAnsi="GHEA Grapalat" w:cs="Calibri"/>
                <w:sz w:val="18"/>
                <w:szCs w:val="18"/>
                <w:lang w:val="en-US"/>
              </w:rPr>
              <w:t>43.2</w:t>
            </w:r>
          </w:p>
        </w:tc>
      </w:tr>
    </w:tbl>
    <w:p w14:paraId="677A3C77" w14:textId="77777777" w:rsidR="00F71750" w:rsidRPr="00C921DE" w:rsidRDefault="00F71750" w:rsidP="00E87059">
      <w:pPr>
        <w:spacing w:line="360" w:lineRule="auto"/>
        <w:ind w:firstLine="561"/>
        <w:jc w:val="both"/>
        <w:rPr>
          <w:rFonts w:ascii="GHEA Grapalat" w:hAnsi="GHEA Grapalat" w:cs="GHEA Grapalat"/>
          <w:sz w:val="22"/>
          <w:szCs w:val="22"/>
        </w:rPr>
      </w:pPr>
    </w:p>
    <w:p w14:paraId="4750C30D" w14:textId="74A7E146" w:rsidR="00E87059" w:rsidRPr="00C921DE" w:rsidRDefault="00C56BD7" w:rsidP="00E87059">
      <w:pPr>
        <w:spacing w:line="360" w:lineRule="auto"/>
        <w:ind w:firstLine="561"/>
        <w:jc w:val="both"/>
        <w:rPr>
          <w:rFonts w:ascii="GHEA Grapalat" w:hAnsi="GHEA Grapalat" w:cs="Sylfaen"/>
          <w:sz w:val="22"/>
          <w:szCs w:val="22"/>
        </w:rPr>
      </w:pPr>
      <w:r w:rsidRPr="00C921DE">
        <w:rPr>
          <w:rFonts w:ascii="GHEA Grapalat" w:hAnsi="GHEA Grapalat" w:cs="Sylfaen"/>
          <w:i/>
          <w:sz w:val="22"/>
          <w:szCs w:val="22"/>
          <w:u w:val="single"/>
        </w:rPr>
        <w:t>Հանրապետության Նախագահի աշխատակազմի</w:t>
      </w:r>
      <w:r w:rsidRPr="00C921DE">
        <w:rPr>
          <w:rFonts w:ascii="GHEA Grapalat" w:hAnsi="GHEA Grapalat" w:cs="Sylfaen"/>
          <w:sz w:val="22"/>
          <w:szCs w:val="22"/>
        </w:rPr>
        <w:t xml:space="preserve"> </w:t>
      </w:r>
      <w:r w:rsidR="00E87059" w:rsidRPr="00C921DE">
        <w:rPr>
          <w:rFonts w:ascii="GHEA Grapalat" w:hAnsi="GHEA Grapalat" w:cs="GHEA Grapalat"/>
          <w:sz w:val="22"/>
          <w:szCs w:val="22"/>
        </w:rPr>
        <w:t xml:space="preserve">պատասխանատվությամբ </w:t>
      </w:r>
      <w:r w:rsidR="00E87059" w:rsidRPr="00C921DE">
        <w:rPr>
          <w:rFonts w:ascii="GHEA Grapalat" w:hAnsi="GHEA Grapalat" w:cs="GHEA Grapalat"/>
          <w:i/>
          <w:sz w:val="22"/>
          <w:szCs w:val="22"/>
        </w:rPr>
        <w:t>Հանրապետության նախագահի լիազորությունների իրականացման ապահովման</w:t>
      </w:r>
      <w:r w:rsidR="00E87059" w:rsidRPr="00C921DE">
        <w:rPr>
          <w:rFonts w:ascii="GHEA Grapalat" w:hAnsi="GHEA Grapalat" w:cs="GHEA Grapalat"/>
          <w:sz w:val="22"/>
          <w:szCs w:val="22"/>
        </w:rPr>
        <w:t xml:space="preserve"> ծախսերը 202</w:t>
      </w:r>
      <w:r w:rsidR="00E87059" w:rsidRPr="00C921DE">
        <w:rPr>
          <w:rFonts w:ascii="GHEA Grapalat" w:hAnsi="GHEA Grapalat" w:cs="GHEA Grapalat"/>
          <w:sz w:val="22"/>
          <w:szCs w:val="22"/>
          <w:lang w:val="en-US"/>
        </w:rPr>
        <w:t>3</w:t>
      </w:r>
      <w:r w:rsidR="00E87059" w:rsidRPr="00C921DE">
        <w:rPr>
          <w:rFonts w:ascii="GHEA Grapalat" w:hAnsi="GHEA Grapalat" w:cs="GHEA Grapalat"/>
          <w:sz w:val="22"/>
          <w:szCs w:val="22"/>
        </w:rPr>
        <w:t xml:space="preserve"> թվականին կատարվել են 9</w:t>
      </w:r>
      <w:r w:rsidR="00E87059" w:rsidRPr="00C921DE">
        <w:rPr>
          <w:rFonts w:ascii="GHEA Grapalat" w:hAnsi="GHEA Grapalat" w:cs="GHEA Grapalat"/>
          <w:sz w:val="22"/>
          <w:szCs w:val="22"/>
          <w:lang w:val="en-US"/>
        </w:rPr>
        <w:t>4.8</w:t>
      </w:r>
      <w:r w:rsidR="00E87059" w:rsidRPr="00C921DE">
        <w:rPr>
          <w:rFonts w:ascii="GHEA Grapalat" w:hAnsi="GHEA Grapalat" w:cs="GHEA Grapalat"/>
          <w:sz w:val="22"/>
          <w:szCs w:val="22"/>
        </w:rPr>
        <w:t>%</w:t>
      </w:r>
      <w:r w:rsidR="00E87059" w:rsidRPr="00C921DE">
        <w:rPr>
          <w:rFonts w:ascii="GHEA Grapalat" w:hAnsi="GHEA Grapalat" w:cs="GHEA Grapalat"/>
          <w:sz w:val="22"/>
          <w:szCs w:val="22"/>
        </w:rPr>
        <w:noBreakHyphen/>
        <w:t xml:space="preserve">ով՝ կազմելով </w:t>
      </w:r>
      <w:r w:rsidR="00E87059" w:rsidRPr="00C921DE">
        <w:rPr>
          <w:rFonts w:ascii="GHEA Grapalat" w:hAnsi="GHEA Grapalat" w:cs="GHEA Grapalat"/>
          <w:sz w:val="22"/>
          <w:szCs w:val="22"/>
          <w:lang w:val="en-US"/>
        </w:rPr>
        <w:t xml:space="preserve">շուրջ </w:t>
      </w:r>
      <w:r w:rsidR="00E87059" w:rsidRPr="00C921DE">
        <w:rPr>
          <w:rFonts w:ascii="GHEA Grapalat" w:hAnsi="GHEA Grapalat" w:cs="GHEA Grapalat"/>
          <w:sz w:val="22"/>
          <w:szCs w:val="22"/>
        </w:rPr>
        <w:t>1.</w:t>
      </w:r>
      <w:r w:rsidR="00E87059" w:rsidRPr="00C921DE">
        <w:rPr>
          <w:rFonts w:ascii="GHEA Grapalat" w:hAnsi="GHEA Grapalat" w:cs="GHEA Grapalat"/>
          <w:sz w:val="22"/>
          <w:szCs w:val="22"/>
          <w:lang w:val="en-US"/>
        </w:rPr>
        <w:t>5</w:t>
      </w:r>
      <w:r w:rsidR="00E87059" w:rsidRPr="00C921DE">
        <w:rPr>
          <w:rFonts w:ascii="GHEA Grapalat" w:hAnsi="GHEA Grapalat" w:cs="GHEA Grapalat"/>
          <w:sz w:val="22"/>
          <w:szCs w:val="22"/>
        </w:rPr>
        <w:t xml:space="preserve"> մլրդ դրամ: ՀՀ </w:t>
      </w:r>
      <w:r w:rsidR="00E87059" w:rsidRPr="00C921DE">
        <w:rPr>
          <w:rFonts w:ascii="GHEA Grapalat" w:hAnsi="GHEA Grapalat" w:cs="GHEA Grapalat"/>
          <w:sz w:val="22"/>
          <w:szCs w:val="22"/>
          <w:lang w:val="en-US"/>
        </w:rPr>
        <w:t>ն</w:t>
      </w:r>
      <w:r w:rsidR="00E87059" w:rsidRPr="00C921DE">
        <w:rPr>
          <w:rFonts w:ascii="GHEA Grapalat" w:hAnsi="GHEA Grapalat" w:cs="GHEA Grapalat"/>
          <w:sz w:val="22"/>
          <w:szCs w:val="22"/>
        </w:rPr>
        <w:t xml:space="preserve">ախագահի աշխատակազմին հատկացված միջոցների գերակշիռ մասն ուղղվել է Հանրապետության նախագահի գործունեության և </w:t>
      </w:r>
      <w:r w:rsidR="00E87059" w:rsidRPr="00C921DE">
        <w:rPr>
          <w:rFonts w:ascii="GHEA Grapalat" w:hAnsi="GHEA Grapalat" w:cs="GHEA Grapalat"/>
          <w:sz w:val="22"/>
          <w:szCs w:val="22"/>
        </w:rPr>
        <w:lastRenderedPageBreak/>
        <w:t>ներկայացուցչականության ապահովման միջոցառմանը, որի շրջանակներում օգտագործվել է 1.</w:t>
      </w:r>
      <w:r w:rsidR="00E87059" w:rsidRPr="00C921DE">
        <w:rPr>
          <w:rFonts w:ascii="GHEA Grapalat" w:hAnsi="GHEA Grapalat" w:cs="GHEA Grapalat"/>
          <w:sz w:val="22"/>
          <w:szCs w:val="22"/>
          <w:lang w:val="en-US"/>
        </w:rPr>
        <w:t>4</w:t>
      </w:r>
      <w:r w:rsidR="00E87059" w:rsidRPr="00C921DE">
        <w:rPr>
          <w:rFonts w:ascii="Courier New" w:hAnsi="Courier New" w:cs="Courier New"/>
          <w:sz w:val="22"/>
          <w:szCs w:val="22"/>
        </w:rPr>
        <w:t> </w:t>
      </w:r>
      <w:r w:rsidR="00E87059" w:rsidRPr="00C921DE">
        <w:rPr>
          <w:rFonts w:ascii="GHEA Grapalat" w:hAnsi="GHEA Grapalat" w:cs="GHEA Grapalat"/>
          <w:sz w:val="22"/>
          <w:szCs w:val="22"/>
        </w:rPr>
        <w:t>մլրդ դրամ՝ ապահովելով 9</w:t>
      </w:r>
      <w:r w:rsidR="00E87059" w:rsidRPr="00C921DE">
        <w:rPr>
          <w:rFonts w:ascii="GHEA Grapalat" w:hAnsi="GHEA Grapalat" w:cs="GHEA Grapalat"/>
          <w:sz w:val="22"/>
          <w:szCs w:val="22"/>
          <w:lang w:val="en-US"/>
        </w:rPr>
        <w:t>4.7</w:t>
      </w:r>
      <w:r w:rsidR="00E87059" w:rsidRPr="00C921DE">
        <w:rPr>
          <w:rFonts w:ascii="GHEA Grapalat" w:hAnsi="GHEA Grapalat" w:cs="GHEA Grapalat"/>
          <w:sz w:val="22"/>
          <w:szCs w:val="22"/>
        </w:rPr>
        <w:t>% կատարողական</w:t>
      </w:r>
      <w:r w:rsidR="00E87059" w:rsidRPr="00C921DE">
        <w:rPr>
          <w:rFonts w:ascii="GHEA Grapalat" w:hAnsi="GHEA Grapalat" w:cs="GHEA Grapalat"/>
          <w:sz w:val="22"/>
          <w:szCs w:val="22"/>
          <w:lang w:val="en-US"/>
        </w:rPr>
        <w:t>: Շեղում</w:t>
      </w:r>
      <w:r w:rsidR="00E87059" w:rsidRPr="00C921DE">
        <w:rPr>
          <w:rFonts w:ascii="GHEA Grapalat" w:hAnsi="GHEA Grapalat" w:cs="GHEA Grapalat"/>
          <w:sz w:val="22"/>
          <w:szCs w:val="22"/>
        </w:rPr>
        <w:t xml:space="preserve">ը պայմանավորված է որոշ ծախսային հոդվածների, հիմնականում՝ </w:t>
      </w:r>
      <w:r w:rsidR="00E87059" w:rsidRPr="00C921DE">
        <w:rPr>
          <w:rFonts w:ascii="GHEA Grapalat" w:hAnsi="GHEA Grapalat" w:cs="GHEA Grapalat"/>
          <w:sz w:val="22"/>
          <w:szCs w:val="22"/>
          <w:lang w:val="en-US"/>
        </w:rPr>
        <w:t>ծառայությունների և ապրանքների ձեռք բերման</w:t>
      </w:r>
      <w:r w:rsidR="00430BF2" w:rsidRPr="00C921DE">
        <w:rPr>
          <w:rFonts w:ascii="GHEA Grapalat" w:hAnsi="GHEA Grapalat" w:cs="GHEA Grapalat"/>
          <w:sz w:val="22"/>
          <w:szCs w:val="22"/>
          <w:lang w:val="en-US"/>
        </w:rPr>
        <w:t xml:space="preserve"> և</w:t>
      </w:r>
      <w:r w:rsidR="00E87059" w:rsidRPr="00C921DE">
        <w:rPr>
          <w:rFonts w:ascii="GHEA Grapalat" w:hAnsi="GHEA Grapalat" w:cs="GHEA Grapalat"/>
          <w:sz w:val="22"/>
          <w:szCs w:val="22"/>
          <w:lang w:val="en-US"/>
        </w:rPr>
        <w:t xml:space="preserve"> աշխատա</w:t>
      </w:r>
      <w:r w:rsidR="00430BF2" w:rsidRPr="00C921DE">
        <w:rPr>
          <w:rFonts w:ascii="GHEA Grapalat" w:hAnsi="GHEA Grapalat" w:cs="GHEA Grapalat"/>
          <w:sz w:val="22"/>
          <w:szCs w:val="22"/>
          <w:lang w:val="en-US"/>
        </w:rPr>
        <w:t xml:space="preserve">նքի </w:t>
      </w:r>
      <w:r w:rsidR="00E87059" w:rsidRPr="00C921DE">
        <w:rPr>
          <w:rFonts w:ascii="GHEA Grapalat" w:hAnsi="GHEA Grapalat" w:cs="GHEA Grapalat"/>
          <w:sz w:val="22"/>
          <w:szCs w:val="22"/>
          <w:lang w:val="en-US"/>
        </w:rPr>
        <w:t>վարձ</w:t>
      </w:r>
      <w:r w:rsidR="00430BF2" w:rsidRPr="00C921DE">
        <w:rPr>
          <w:rFonts w:ascii="GHEA Grapalat" w:hAnsi="GHEA Grapalat" w:cs="GHEA Grapalat"/>
          <w:sz w:val="22"/>
          <w:szCs w:val="22"/>
          <w:lang w:val="en-US"/>
        </w:rPr>
        <w:t>ատրության ծախսերի</w:t>
      </w:r>
      <w:r w:rsidR="00E87059" w:rsidRPr="00C921DE">
        <w:rPr>
          <w:rFonts w:ascii="GHEA Grapalat" w:hAnsi="GHEA Grapalat" w:cs="GHEA Grapalat"/>
          <w:sz w:val="22"/>
          <w:szCs w:val="22"/>
          <w:lang w:val="en-US"/>
        </w:rPr>
        <w:t xml:space="preserve"> </w:t>
      </w:r>
      <w:r w:rsidR="00E87059" w:rsidRPr="00C921DE">
        <w:rPr>
          <w:rFonts w:ascii="GHEA Grapalat" w:hAnsi="GHEA Grapalat" w:cs="GHEA Grapalat"/>
          <w:sz w:val="22"/>
          <w:szCs w:val="22"/>
        </w:rPr>
        <w:t xml:space="preserve">գծով առկա տնտեսումներով: Նախորդ տարվա համեմատ ՀՀ </w:t>
      </w:r>
      <w:r w:rsidR="00E87059" w:rsidRPr="00C921DE">
        <w:rPr>
          <w:rFonts w:ascii="GHEA Grapalat" w:hAnsi="GHEA Grapalat" w:cs="GHEA Grapalat"/>
          <w:sz w:val="22"/>
          <w:szCs w:val="22"/>
          <w:lang w:val="en-US"/>
        </w:rPr>
        <w:t>ն</w:t>
      </w:r>
      <w:r w:rsidR="00E87059" w:rsidRPr="00C921DE">
        <w:rPr>
          <w:rFonts w:ascii="GHEA Grapalat" w:hAnsi="GHEA Grapalat" w:cs="GHEA Grapalat"/>
          <w:sz w:val="22"/>
          <w:szCs w:val="22"/>
        </w:rPr>
        <w:t>ախագահի աշխատակազմի ծախսեր</w:t>
      </w:r>
      <w:r w:rsidR="0069209C" w:rsidRPr="00C921DE">
        <w:rPr>
          <w:rFonts w:ascii="GHEA Grapalat" w:hAnsi="GHEA Grapalat" w:cs="GHEA Grapalat"/>
          <w:sz w:val="22"/>
          <w:szCs w:val="22"/>
          <w:lang w:val="en-US"/>
        </w:rPr>
        <w:t>ն</w:t>
      </w:r>
      <w:r w:rsidR="00E87059" w:rsidRPr="00C921DE">
        <w:rPr>
          <w:rFonts w:ascii="GHEA Grapalat" w:hAnsi="GHEA Grapalat" w:cs="GHEA Grapalat"/>
          <w:sz w:val="22"/>
          <w:szCs w:val="22"/>
        </w:rPr>
        <w:t xml:space="preserve"> աճել են 1</w:t>
      </w:r>
      <w:r w:rsidR="00E87059" w:rsidRPr="00C921DE">
        <w:rPr>
          <w:rFonts w:ascii="GHEA Grapalat" w:hAnsi="GHEA Grapalat" w:cs="GHEA Grapalat"/>
          <w:sz w:val="22"/>
          <w:szCs w:val="22"/>
          <w:lang w:val="en-US"/>
        </w:rPr>
        <w:t>9.1</w:t>
      </w:r>
      <w:r w:rsidR="00E87059" w:rsidRPr="00C921DE">
        <w:rPr>
          <w:rFonts w:ascii="GHEA Grapalat" w:hAnsi="GHEA Grapalat" w:cs="GHEA Grapalat"/>
          <w:sz w:val="22"/>
          <w:szCs w:val="22"/>
        </w:rPr>
        <w:t>%-ով կամ 2</w:t>
      </w:r>
      <w:r w:rsidR="00E87059" w:rsidRPr="00C921DE">
        <w:rPr>
          <w:rFonts w:ascii="GHEA Grapalat" w:hAnsi="GHEA Grapalat" w:cs="GHEA Grapalat"/>
          <w:sz w:val="22"/>
          <w:szCs w:val="22"/>
          <w:lang w:val="en-US"/>
        </w:rPr>
        <w:t>34.9</w:t>
      </w:r>
      <w:r w:rsidR="00E87059" w:rsidRPr="00C921DE">
        <w:rPr>
          <w:rFonts w:ascii="GHEA Grapalat" w:hAnsi="GHEA Grapalat" w:cs="GHEA Grapalat"/>
          <w:sz w:val="22"/>
          <w:szCs w:val="22"/>
        </w:rPr>
        <w:t xml:space="preserve"> մլն դրամով, որը հիմնականում արձանագրվել է Հանրապետության նախագահի գործունեության և ներկայացուցչականության ապահովման ծախսերում: Վերջիններս աճել են 1</w:t>
      </w:r>
      <w:r w:rsidR="00E87059" w:rsidRPr="00C921DE">
        <w:rPr>
          <w:rFonts w:ascii="GHEA Grapalat" w:hAnsi="GHEA Grapalat" w:cs="GHEA Grapalat"/>
          <w:sz w:val="22"/>
          <w:szCs w:val="22"/>
          <w:lang w:val="en-US"/>
        </w:rPr>
        <w:t>9</w:t>
      </w:r>
      <w:r w:rsidR="00E87059" w:rsidRPr="00C921DE">
        <w:rPr>
          <w:rFonts w:ascii="GHEA Grapalat" w:hAnsi="GHEA Grapalat" w:cs="GHEA Grapalat"/>
          <w:sz w:val="22"/>
          <w:szCs w:val="22"/>
        </w:rPr>
        <w:t>%-ով (2</w:t>
      </w:r>
      <w:r w:rsidR="00E87059" w:rsidRPr="00C921DE">
        <w:rPr>
          <w:rFonts w:ascii="GHEA Grapalat" w:hAnsi="GHEA Grapalat" w:cs="GHEA Grapalat"/>
          <w:sz w:val="22"/>
          <w:szCs w:val="22"/>
          <w:lang w:val="en-US"/>
        </w:rPr>
        <w:t>28.1</w:t>
      </w:r>
      <w:r w:rsidR="00E87059" w:rsidRPr="00C921DE">
        <w:rPr>
          <w:rFonts w:ascii="GHEA Grapalat" w:hAnsi="GHEA Grapalat" w:cs="GHEA Grapalat"/>
          <w:sz w:val="22"/>
          <w:szCs w:val="22"/>
        </w:rPr>
        <w:t xml:space="preserve"> մլն դրամով)՝ հիմնականում պայմանավորված </w:t>
      </w:r>
      <w:r w:rsidR="00E87059" w:rsidRPr="00C921DE">
        <w:rPr>
          <w:rFonts w:ascii="GHEA Grapalat" w:hAnsi="GHEA Grapalat" w:cs="GHEA Grapalat"/>
          <w:sz w:val="22"/>
          <w:szCs w:val="22"/>
          <w:lang w:val="en-US"/>
        </w:rPr>
        <w:t>ա</w:t>
      </w:r>
      <w:r w:rsidR="00E87059" w:rsidRPr="00C921DE">
        <w:rPr>
          <w:rFonts w:ascii="GHEA Grapalat" w:hAnsi="GHEA Grapalat" w:cs="GHEA Grapalat"/>
          <w:sz w:val="22"/>
          <w:szCs w:val="22"/>
        </w:rPr>
        <w:t xml:space="preserve">րտասահմանյան գործուղումների </w:t>
      </w:r>
      <w:r w:rsidR="00E87059" w:rsidRPr="00C921DE">
        <w:rPr>
          <w:rFonts w:ascii="GHEA Grapalat" w:hAnsi="GHEA Grapalat" w:cs="GHEA Grapalat"/>
          <w:sz w:val="22"/>
          <w:szCs w:val="22"/>
          <w:lang w:val="en-US"/>
        </w:rPr>
        <w:t xml:space="preserve">և </w:t>
      </w:r>
      <w:r w:rsidR="00CF791B" w:rsidRPr="00C921DE">
        <w:rPr>
          <w:rFonts w:ascii="GHEA Grapalat" w:hAnsi="GHEA Grapalat" w:cs="GHEA Grapalat"/>
          <w:sz w:val="22"/>
          <w:szCs w:val="22"/>
        </w:rPr>
        <w:t>աշխատա</w:t>
      </w:r>
      <w:r w:rsidR="00CF791B" w:rsidRPr="00C921DE">
        <w:rPr>
          <w:rFonts w:ascii="GHEA Grapalat" w:hAnsi="GHEA Grapalat" w:cs="GHEA Grapalat"/>
          <w:sz w:val="22"/>
          <w:szCs w:val="22"/>
          <w:lang w:val="en-US"/>
        </w:rPr>
        <w:t xml:space="preserve">նքի վարձատրության </w:t>
      </w:r>
      <w:r w:rsidR="00E87059" w:rsidRPr="00C921DE">
        <w:rPr>
          <w:rFonts w:ascii="GHEA Grapalat" w:hAnsi="GHEA Grapalat" w:cs="GHEA Grapalat"/>
          <w:sz w:val="22"/>
          <w:szCs w:val="22"/>
        </w:rPr>
        <w:t>ծախսերի ավելացմամբ:</w:t>
      </w:r>
    </w:p>
    <w:p w14:paraId="0057AB6F" w14:textId="77777777" w:rsidR="00E87059" w:rsidRPr="00C921DE" w:rsidRDefault="00E87059" w:rsidP="00E87059">
      <w:pPr>
        <w:spacing w:line="360" w:lineRule="auto"/>
        <w:ind w:firstLine="561"/>
        <w:jc w:val="both"/>
        <w:rPr>
          <w:rFonts w:ascii="GHEA Grapalat" w:hAnsi="GHEA Grapalat" w:cs="Sylfaen"/>
          <w:sz w:val="22"/>
          <w:szCs w:val="22"/>
        </w:rPr>
      </w:pPr>
    </w:p>
    <w:p w14:paraId="3E586F68" w14:textId="2F2AA11F" w:rsidR="00E87059" w:rsidRPr="00C921DE" w:rsidRDefault="00E87059" w:rsidP="00E87059">
      <w:pPr>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Ազգային ժողովի</w:t>
      </w:r>
      <w:r w:rsidRPr="00C921DE">
        <w:rPr>
          <w:rFonts w:ascii="GHEA Grapalat" w:hAnsi="GHEA Grapalat" w:cs="GHEA Grapalat"/>
          <w:sz w:val="22"/>
          <w:szCs w:val="22"/>
        </w:rPr>
        <w:t xml:space="preserve"> ծախսերը 2023 թվականին կատարվել են 96.4%-ով՝ կազմելով ավելի քան 6.9 մլրդ դրամ: Մասնավորապես՝ 97% կամ շուրջ 6.1 մլրդ դրամ է կազմել ՀՀ Ազգային ժողովի գործունեության ապահովման, օրենսդրական, վերլուծական և ներկայացուցչական ծառայությունների </w:t>
      </w:r>
      <w:r w:rsidR="00CF791B" w:rsidRPr="00C921DE">
        <w:rPr>
          <w:rFonts w:ascii="GHEA Grapalat" w:hAnsi="GHEA Grapalat" w:cs="GHEA Grapalat"/>
          <w:sz w:val="22"/>
          <w:szCs w:val="22"/>
          <w:lang w:val="en-US"/>
        </w:rPr>
        <w:t>միջոցառման</w:t>
      </w:r>
      <w:r w:rsidRPr="00C921DE">
        <w:rPr>
          <w:rFonts w:ascii="GHEA Grapalat" w:hAnsi="GHEA Grapalat" w:cs="GHEA Grapalat"/>
          <w:sz w:val="22"/>
          <w:szCs w:val="22"/>
        </w:rPr>
        <w:t xml:space="preserve"> կատարողականը՝ պայմանավորված հիմնականում ծառայությունների և ապրանքների ձեռք բերման և աշ</w:t>
      </w:r>
      <w:r w:rsidR="00CF791B" w:rsidRPr="00C921DE">
        <w:rPr>
          <w:rFonts w:ascii="GHEA Grapalat" w:hAnsi="GHEA Grapalat" w:cs="GHEA Grapalat"/>
          <w:sz w:val="22"/>
          <w:szCs w:val="22"/>
        </w:rPr>
        <w:t>խատանքի վարձատրությանն ուղղված միջոցն</w:t>
      </w:r>
      <w:r w:rsidRPr="00C921DE">
        <w:rPr>
          <w:rFonts w:ascii="GHEA Grapalat" w:hAnsi="GHEA Grapalat" w:cs="GHEA Grapalat"/>
          <w:sz w:val="22"/>
          <w:szCs w:val="22"/>
        </w:rPr>
        <w:t>երի տնտեսմամբ: 2022 թվականի համեմատ ՀՀ Ազգային ժողովի ծախսերն աճել են 15.2%-ով կամ 914.8 մլն դրամով՝ հիմնականում պայմանավորված 2023</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թ</w:t>
      </w:r>
      <w:r w:rsidRPr="00C921DE">
        <w:rPr>
          <w:rFonts w:ascii="GHEA Grapalat" w:hAnsi="GHEA Grapalat" w:cs="GHEA Grapalat"/>
          <w:sz w:val="22"/>
          <w:szCs w:val="22"/>
          <w:lang w:val="en-US"/>
        </w:rPr>
        <w:t>վականի</w:t>
      </w:r>
      <w:r w:rsidR="00DD6836"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պետական պաշտոն և պետական ծառայության պաշտոն զբաղեցնող անձանց բազային աշխատավարձի </w:t>
      </w:r>
      <w:r w:rsidRPr="00C921DE">
        <w:rPr>
          <w:rFonts w:ascii="GHEA Grapalat" w:hAnsi="GHEA Grapalat" w:cs="GHEA Grapalat"/>
          <w:sz w:val="22"/>
          <w:szCs w:val="22"/>
          <w:lang w:val="en-US"/>
        </w:rPr>
        <w:t>բարձրաց</w:t>
      </w:r>
      <w:r w:rsidRPr="00C921DE">
        <w:rPr>
          <w:rFonts w:ascii="GHEA Grapalat" w:hAnsi="GHEA Grapalat" w:cs="GHEA Grapalat"/>
          <w:sz w:val="22"/>
          <w:szCs w:val="22"/>
        </w:rPr>
        <w:t>մամբ,</w:t>
      </w:r>
      <w:r w:rsidR="00DD6836" w:rsidRPr="00C921DE">
        <w:rPr>
          <w:rFonts w:ascii="GHEA Grapalat" w:hAnsi="GHEA Grapalat" w:cs="GHEA Grapalat"/>
          <w:sz w:val="22"/>
          <w:szCs w:val="22"/>
          <w:lang w:val="en-US"/>
        </w:rPr>
        <w:t xml:space="preserve"> ինչպես</w:t>
      </w:r>
      <w:r w:rsidRPr="00C921DE">
        <w:rPr>
          <w:rFonts w:ascii="GHEA Grapalat" w:hAnsi="GHEA Grapalat" w:cs="GHEA Grapalat"/>
          <w:sz w:val="22"/>
          <w:szCs w:val="22"/>
        </w:rPr>
        <w:t xml:space="preserve"> նաև ՀՀ ԱԺ շենքային պայմանների բարելավ</w:t>
      </w:r>
      <w:r w:rsidR="00DD6836" w:rsidRPr="00C921DE">
        <w:rPr>
          <w:rFonts w:ascii="GHEA Grapalat" w:hAnsi="GHEA Grapalat" w:cs="GHEA Grapalat"/>
          <w:sz w:val="22"/>
          <w:szCs w:val="22"/>
          <w:lang w:val="en-US"/>
        </w:rPr>
        <w:t>ման ծախսերով, որի գծով 2022 թվականին միջոցներ չէին հատկացվել</w:t>
      </w:r>
      <w:r w:rsidRPr="00C921DE">
        <w:rPr>
          <w:rFonts w:ascii="GHEA Grapalat" w:hAnsi="GHEA Grapalat" w:cs="GHEA Grapalat"/>
          <w:sz w:val="22"/>
          <w:szCs w:val="22"/>
          <w:lang w:val="en-US"/>
        </w:rPr>
        <w:t>:</w:t>
      </w:r>
    </w:p>
    <w:p w14:paraId="569C0F04" w14:textId="77777777" w:rsidR="00C56BD7" w:rsidRPr="00C921DE" w:rsidRDefault="00C56BD7" w:rsidP="00C56BD7">
      <w:pPr>
        <w:spacing w:line="360" w:lineRule="auto"/>
        <w:ind w:firstLine="561"/>
        <w:jc w:val="both"/>
        <w:rPr>
          <w:rFonts w:ascii="GHEA Grapalat" w:hAnsi="GHEA Grapalat" w:cs="Sylfaen"/>
          <w:sz w:val="22"/>
          <w:szCs w:val="22"/>
        </w:rPr>
      </w:pPr>
    </w:p>
    <w:p w14:paraId="5AB8216F" w14:textId="6063C101" w:rsidR="00391979" w:rsidRPr="00C921DE" w:rsidRDefault="00C56BD7" w:rsidP="0039197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i/>
          <w:sz w:val="22"/>
          <w:szCs w:val="22"/>
          <w:u w:val="single"/>
        </w:rPr>
        <w:t>ՀՀ Վարչապետի աշխատակազմի</w:t>
      </w:r>
      <w:r w:rsidRPr="00C921DE">
        <w:rPr>
          <w:rFonts w:ascii="GHEA Grapalat" w:hAnsi="GHEA Grapalat" w:cs="Sylfaen"/>
          <w:sz w:val="22"/>
          <w:szCs w:val="22"/>
        </w:rPr>
        <w:t xml:space="preserve"> </w:t>
      </w:r>
      <w:r w:rsidR="00391979" w:rsidRPr="00C921DE">
        <w:rPr>
          <w:rFonts w:ascii="GHEA Grapalat" w:hAnsi="GHEA Grapalat" w:cs="Times Armenian"/>
          <w:sz w:val="22"/>
          <w:szCs w:val="22"/>
        </w:rPr>
        <w:t>պատասխանատվությամբ 2023</w:t>
      </w:r>
      <w:r w:rsidR="00391979" w:rsidRPr="00C921DE">
        <w:rPr>
          <w:rFonts w:ascii="GHEA Grapalat" w:hAnsi="GHEA Grapalat" w:cs="GHEA Grapalat"/>
          <w:sz w:val="22"/>
          <w:szCs w:val="22"/>
        </w:rPr>
        <w:t xml:space="preserve"> թվականի </w:t>
      </w:r>
      <w:r w:rsidR="00391979" w:rsidRPr="00C921DE">
        <w:rPr>
          <w:rFonts w:ascii="GHEA Grapalat" w:hAnsi="GHEA Grapalat" w:cs="Sylfaen"/>
          <w:sz w:val="22"/>
          <w:szCs w:val="22"/>
        </w:rPr>
        <w:t>ընթացք</w:t>
      </w:r>
      <w:r w:rsidR="00391979" w:rsidRPr="00C921DE">
        <w:rPr>
          <w:rFonts w:ascii="GHEA Grapalat" w:hAnsi="GHEA Grapalat" w:cs="GHEA Grapalat"/>
          <w:sz w:val="22"/>
          <w:szCs w:val="22"/>
        </w:rPr>
        <w:t>ում կատարվել է պետական բյուջեի 1</w:t>
      </w:r>
      <w:r w:rsidR="00391979" w:rsidRPr="00C921DE">
        <w:rPr>
          <w:rFonts w:ascii="GHEA Grapalat" w:hAnsi="GHEA Grapalat" w:cs="GHEA Grapalat"/>
          <w:sz w:val="22"/>
          <w:szCs w:val="22"/>
          <w:lang w:val="en-US"/>
        </w:rPr>
        <w:t>1</w:t>
      </w:r>
      <w:r w:rsidR="00391979" w:rsidRPr="00C921DE">
        <w:rPr>
          <w:rFonts w:ascii="GHEA Grapalat" w:hAnsi="GHEA Grapalat" w:cs="GHEA Grapalat"/>
          <w:sz w:val="22"/>
          <w:szCs w:val="22"/>
        </w:rPr>
        <w:t xml:space="preserve"> ծրագիր: Ծախսերը կազմել են շուրջ 21.2 մլրդ դրամ կամ նախատեսվածի 95.3%</w:t>
      </w:r>
      <w:r w:rsidR="00391979" w:rsidRPr="00C921DE">
        <w:rPr>
          <w:rFonts w:ascii="GHEA Grapalat" w:hAnsi="GHEA Grapalat" w:cs="GHEA Grapalat"/>
          <w:sz w:val="22"/>
          <w:szCs w:val="22"/>
        </w:rPr>
        <w:noBreakHyphen/>
        <w:t>ը: Ծրագրված ցուցանիշից շեղումը հիմնականում պայմանավորված է ՀՀ Վարչապետի լիազորությունների իրականացման ապահովման և Տեսչական վերահսկողության ծրագրերի կատարողականով: Նախորդ տարվա համեմատ ՀՀ Վարչապետի աշխատակազմի պատասխանատվությամբ իրականացվող ծրագրերի գծով ծախսերն աճել են 1.9%</w:t>
      </w:r>
      <w:r w:rsidR="00391979" w:rsidRPr="00C921DE">
        <w:rPr>
          <w:rFonts w:ascii="GHEA Grapalat" w:hAnsi="GHEA Grapalat" w:cs="GHEA Grapalat"/>
          <w:sz w:val="22"/>
          <w:szCs w:val="22"/>
        </w:rPr>
        <w:noBreakHyphen/>
        <w:t>ով կամ շուրջ 399</w:t>
      </w:r>
      <w:r w:rsidR="00B5089D" w:rsidRPr="00C921DE">
        <w:rPr>
          <w:rFonts w:ascii="Calibri" w:hAnsi="Calibri" w:cs="Calibri"/>
          <w:sz w:val="22"/>
          <w:szCs w:val="22"/>
          <w:lang w:val="en-US"/>
        </w:rPr>
        <w:t> </w:t>
      </w:r>
      <w:r w:rsidR="00391979" w:rsidRPr="00C921DE">
        <w:rPr>
          <w:rFonts w:ascii="GHEA Grapalat" w:hAnsi="GHEA Grapalat" w:cs="GHEA Grapalat"/>
          <w:sz w:val="22"/>
          <w:szCs w:val="22"/>
        </w:rPr>
        <w:t xml:space="preserve">մլն դրամով: Հարկ է նշել, որ 2023 թվականից գյուղատնտեսական կենդանիների հիվանդությունների լաբորատոր ախտորոշման և կենդանական ծագում ունեցող հումքի և նյութի լաբորատոր փորձաքննության ու դաբաղ հիվանդության շճահետազոտության միջոցառումները ՀՀ Էկոնոմիկայի նախարարության Անասնաբուժական ծառայությունների ծրագրից փոխանցվել են ՀՀ վարչապետի աշխատակազմի Տեսչական վերահսկողության ծրագրին, իսկ </w:t>
      </w:r>
      <w:r w:rsidR="00391979" w:rsidRPr="00C921DE">
        <w:rPr>
          <w:rFonts w:ascii="GHEA Grapalat" w:hAnsi="GHEA Grapalat" w:cs="Sylfaen"/>
          <w:sz w:val="22"/>
          <w:szCs w:val="22"/>
        </w:rPr>
        <w:t xml:space="preserve">Հայաստանի Հանրապետությունում և արտերկրում ներդրումային և ՊՄԳ </w:t>
      </w:r>
      <w:r w:rsidR="00391979" w:rsidRPr="00C921DE">
        <w:rPr>
          <w:rFonts w:ascii="GHEA Grapalat" w:hAnsi="GHEA Grapalat" w:cs="GHEA Grapalat"/>
          <w:sz w:val="22"/>
          <w:szCs w:val="22"/>
        </w:rPr>
        <w:t xml:space="preserve">ծրագրերի իրականացմանը պետական </w:t>
      </w:r>
      <w:r w:rsidR="00391979" w:rsidRPr="00C921DE">
        <w:rPr>
          <w:rFonts w:ascii="GHEA Grapalat" w:hAnsi="GHEA Grapalat" w:cs="GHEA Grapalat"/>
          <w:sz w:val="22"/>
          <w:szCs w:val="22"/>
        </w:rPr>
        <w:lastRenderedPageBreak/>
        <w:t>աջակցության միջոցառումը ՀՀ Վարչապետի աշխատակազմի «ՀՀ Վարչապետի լիազորությունների իրականացման ապահովում» ծրագրից փոխանցվել է ՀՀ Էկոնոմիկայի նախարարությանը՝ Ներդրումների և արտահանման խթանման ծրագրին: 2022 թվականի համադրելի ցուցանիշի համեմատ ՀՀ Վարչապետի աշխատակազմի պատասխանատվությամբ իրականացվող ծրագրերի գծով ծախսերն աճել են 9.7%</w:t>
      </w:r>
      <w:r w:rsidR="00391979" w:rsidRPr="00C921DE">
        <w:rPr>
          <w:rFonts w:ascii="GHEA Grapalat" w:hAnsi="GHEA Grapalat" w:cs="GHEA Grapalat"/>
          <w:sz w:val="22"/>
          <w:szCs w:val="22"/>
        </w:rPr>
        <w:noBreakHyphen/>
        <w:t>ով կամ 1.9 մլրդ դրամով, որը</w:t>
      </w:r>
      <w:r w:rsidR="009B5652" w:rsidRPr="00C921DE">
        <w:rPr>
          <w:rFonts w:ascii="GHEA Grapalat" w:hAnsi="GHEA Grapalat" w:cs="GHEA Grapalat"/>
          <w:sz w:val="22"/>
          <w:szCs w:val="22"/>
          <w:lang w:val="en-US"/>
        </w:rPr>
        <w:t xml:space="preserve"> հիմնականում</w:t>
      </w:r>
      <w:r w:rsidR="00391979" w:rsidRPr="00C921DE">
        <w:rPr>
          <w:rFonts w:ascii="GHEA Grapalat" w:hAnsi="GHEA Grapalat" w:cs="GHEA Grapalat"/>
          <w:sz w:val="22"/>
          <w:szCs w:val="22"/>
        </w:rPr>
        <w:t xml:space="preserve"> ձևավորվել է ՀՀ Վարչապետի լիազորութ</w:t>
      </w:r>
      <w:r w:rsidR="009B5652" w:rsidRPr="00C921DE">
        <w:rPr>
          <w:rFonts w:ascii="GHEA Grapalat" w:hAnsi="GHEA Grapalat" w:cs="GHEA Grapalat"/>
          <w:sz w:val="22"/>
          <w:szCs w:val="22"/>
        </w:rPr>
        <w:t>յունների իրականացման ապահովման,</w:t>
      </w:r>
      <w:r w:rsidR="00391979" w:rsidRPr="00C921DE">
        <w:rPr>
          <w:rFonts w:ascii="GHEA Grapalat" w:hAnsi="GHEA Grapalat" w:cs="GHEA Grapalat"/>
          <w:sz w:val="22"/>
          <w:szCs w:val="22"/>
        </w:rPr>
        <w:t xml:space="preserve"> 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w:t>
      </w:r>
      <w:r w:rsidR="009B5652" w:rsidRPr="00C921DE">
        <w:rPr>
          <w:rFonts w:ascii="GHEA Grapalat" w:hAnsi="GHEA Grapalat" w:cs="GHEA Grapalat"/>
          <w:sz w:val="22"/>
          <w:szCs w:val="22"/>
          <w:lang w:val="en-US"/>
        </w:rPr>
        <w:t xml:space="preserve"> և </w:t>
      </w:r>
      <w:r w:rsidR="009B5652" w:rsidRPr="00C921DE">
        <w:rPr>
          <w:rFonts w:ascii="GHEA Grapalat" w:hAnsi="GHEA Grapalat" w:cs="GHEA Grapalat"/>
          <w:sz w:val="22"/>
          <w:szCs w:val="22"/>
        </w:rPr>
        <w:t>Տեսչական վերահսկողության</w:t>
      </w:r>
      <w:r w:rsidR="00391979" w:rsidRPr="00C921DE">
        <w:rPr>
          <w:rFonts w:ascii="GHEA Grapalat" w:hAnsi="GHEA Grapalat" w:cs="GHEA Grapalat"/>
          <w:sz w:val="22"/>
          <w:szCs w:val="22"/>
        </w:rPr>
        <w:t xml:space="preserve"> ծրագրերի շրջանակներում կատարված ծախսերի աճի և Պետական հատվածի արդիականացման ծրագրի շրջանակներում կատարված ծախսերի նվազման արդյունքում:</w:t>
      </w:r>
    </w:p>
    <w:p w14:paraId="64E7836D" w14:textId="77777777" w:rsidR="00391979" w:rsidRPr="00C921DE" w:rsidRDefault="00391979" w:rsidP="00A605DF">
      <w:pPr>
        <w:autoSpaceDE w:val="0"/>
        <w:autoSpaceDN w:val="0"/>
        <w:adjustRightInd w:val="0"/>
        <w:ind w:firstLine="567"/>
        <w:jc w:val="both"/>
        <w:rPr>
          <w:rFonts w:ascii="GHEA Grapalat" w:hAnsi="GHEA Grapalat" w:cs="GHEA Grapalat"/>
          <w:sz w:val="22"/>
          <w:szCs w:val="22"/>
        </w:rPr>
      </w:pPr>
    </w:p>
    <w:p w14:paraId="20A9E037" w14:textId="77777777" w:rsidR="00391979" w:rsidRPr="00C921DE" w:rsidRDefault="00391979" w:rsidP="00391979">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2023թ. ՀՀ վարչապետի աշխատակազմի կողմից իրականացված ծրագրերը (մլն դրամ)</w:t>
      </w: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1272"/>
        <w:gridCol w:w="996"/>
        <w:gridCol w:w="1087"/>
        <w:gridCol w:w="1203"/>
        <w:gridCol w:w="1203"/>
        <w:gridCol w:w="1048"/>
      </w:tblGrid>
      <w:tr w:rsidR="00391979" w:rsidRPr="00C921DE" w14:paraId="69017CFA" w14:textId="77777777" w:rsidTr="00CD04D2">
        <w:trPr>
          <w:trHeight w:val="300"/>
          <w:jc w:val="center"/>
        </w:trPr>
        <w:tc>
          <w:tcPr>
            <w:tcW w:w="3544" w:type="dxa"/>
            <w:noWrap/>
            <w:vAlign w:val="bottom"/>
          </w:tcPr>
          <w:p w14:paraId="300B5BDF" w14:textId="77777777" w:rsidR="00391979" w:rsidRPr="00C921DE" w:rsidRDefault="00391979" w:rsidP="00CD04D2">
            <w:pPr>
              <w:rPr>
                <w:sz w:val="20"/>
                <w:szCs w:val="20"/>
              </w:rPr>
            </w:pPr>
          </w:p>
        </w:tc>
        <w:tc>
          <w:tcPr>
            <w:tcW w:w="1272" w:type="dxa"/>
          </w:tcPr>
          <w:p w14:paraId="3ED05533" w14:textId="77777777" w:rsidR="00391979" w:rsidRPr="00C921DE" w:rsidRDefault="00391979" w:rsidP="00CD04D2">
            <w:pPr>
              <w:jc w:val="center"/>
              <w:rPr>
                <w:rFonts w:ascii="GHEA Grapalat" w:hAnsi="GHEA Grapalat" w:cs="Calibri"/>
                <w:b/>
                <w:sz w:val="18"/>
                <w:szCs w:val="18"/>
              </w:rPr>
            </w:pPr>
            <w:r w:rsidRPr="00C921DE">
              <w:rPr>
                <w:rFonts w:ascii="GHEA Grapalat" w:hAnsi="GHEA Grapalat" w:cs="Calibri"/>
                <w:b/>
                <w:sz w:val="18"/>
                <w:szCs w:val="18"/>
              </w:rPr>
              <w:t>2022թ. փաստ</w:t>
            </w:r>
          </w:p>
          <w:p w14:paraId="5961618A" w14:textId="77777777" w:rsidR="00391979" w:rsidRPr="00C921DE" w:rsidRDefault="00391979" w:rsidP="00CD04D2">
            <w:pPr>
              <w:jc w:val="center"/>
              <w:rPr>
                <w:rFonts w:ascii="GHEA Grapalat" w:hAnsi="GHEA Grapalat" w:cs="Calibri"/>
                <w:b/>
                <w:sz w:val="18"/>
                <w:szCs w:val="18"/>
              </w:rPr>
            </w:pPr>
            <w:r w:rsidRPr="00C921DE">
              <w:rPr>
                <w:rFonts w:ascii="GHEA Grapalat" w:hAnsi="GHEA Grapalat" w:cs="Calibri"/>
                <w:b/>
                <w:sz w:val="18"/>
                <w:szCs w:val="18"/>
              </w:rPr>
              <w:t>(2023թ. հետ համադրելի)</w:t>
            </w:r>
          </w:p>
        </w:tc>
        <w:tc>
          <w:tcPr>
            <w:tcW w:w="996" w:type="dxa"/>
          </w:tcPr>
          <w:p w14:paraId="07E7C713" w14:textId="2EBC050C" w:rsidR="00391979" w:rsidRPr="00C921DE" w:rsidRDefault="00391979" w:rsidP="00B7454E">
            <w:pPr>
              <w:jc w:val="center"/>
              <w:rPr>
                <w:rFonts w:ascii="GHEA Grapalat" w:hAnsi="GHEA Grapalat" w:cs="Calibri"/>
                <w:b/>
                <w:sz w:val="18"/>
                <w:szCs w:val="18"/>
                <w:lang w:val="en-US"/>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00B7454E" w:rsidRPr="00C921DE">
              <w:rPr>
                <w:rFonts w:ascii="GHEA Grapalat" w:hAnsi="GHEA Grapalat" w:cs="Calibri"/>
                <w:b/>
                <w:sz w:val="18"/>
                <w:szCs w:val="18"/>
                <w:lang w:val="en-US"/>
              </w:rPr>
              <w:t>ծրագիր</w:t>
            </w:r>
          </w:p>
        </w:tc>
        <w:tc>
          <w:tcPr>
            <w:tcW w:w="1087" w:type="dxa"/>
            <w:noWrap/>
          </w:tcPr>
          <w:p w14:paraId="61CCD282" w14:textId="77777777" w:rsidR="00391979" w:rsidRPr="00C921DE" w:rsidRDefault="00391979" w:rsidP="00CD04D2">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03" w:type="dxa"/>
          </w:tcPr>
          <w:p w14:paraId="09B49E52" w14:textId="4907FDE4" w:rsidR="00391979" w:rsidRPr="00C921DE" w:rsidRDefault="00391979" w:rsidP="00B7454E">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00B7454E"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03" w:type="dxa"/>
          </w:tcPr>
          <w:p w14:paraId="712A6223" w14:textId="5340B7E0" w:rsidR="00391979" w:rsidRPr="00C921DE" w:rsidRDefault="00391979" w:rsidP="00CD04D2">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00B7454E"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48" w:type="dxa"/>
          </w:tcPr>
          <w:p w14:paraId="0203DB52" w14:textId="77777777" w:rsidR="00391979" w:rsidRPr="00C921DE" w:rsidRDefault="00391979" w:rsidP="00CD04D2">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և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տարբե-րությունը</w:t>
            </w:r>
          </w:p>
        </w:tc>
      </w:tr>
      <w:tr w:rsidR="00391979" w:rsidRPr="00C921DE" w14:paraId="642315BD" w14:textId="77777777" w:rsidTr="00CD04D2">
        <w:trPr>
          <w:trHeight w:val="331"/>
          <w:jc w:val="center"/>
        </w:trPr>
        <w:tc>
          <w:tcPr>
            <w:tcW w:w="3544" w:type="dxa"/>
            <w:vAlign w:val="bottom"/>
          </w:tcPr>
          <w:p w14:paraId="792478C2" w14:textId="77777777" w:rsidR="00391979" w:rsidRPr="00C921DE" w:rsidRDefault="00391979" w:rsidP="00CD04D2">
            <w:pPr>
              <w:rPr>
                <w:rFonts w:ascii="GHEA Grapalat" w:hAnsi="GHEA Grapalat"/>
                <w:b/>
                <w:sz w:val="18"/>
                <w:szCs w:val="18"/>
              </w:rPr>
            </w:pPr>
            <w:r w:rsidRPr="00C921DE">
              <w:rPr>
                <w:rFonts w:ascii="GHEA Grapalat" w:hAnsi="GHEA Grapalat"/>
                <w:b/>
                <w:sz w:val="18"/>
                <w:szCs w:val="18"/>
                <w:lang w:val="en-US"/>
              </w:rPr>
              <w:t>ԸՆԴԱՄԵՆԸ</w:t>
            </w:r>
          </w:p>
        </w:tc>
        <w:tc>
          <w:tcPr>
            <w:tcW w:w="1272" w:type="dxa"/>
            <w:vAlign w:val="bottom"/>
          </w:tcPr>
          <w:p w14:paraId="07399793" w14:textId="77777777" w:rsidR="00391979" w:rsidRPr="00C921DE" w:rsidRDefault="00391979" w:rsidP="00CD04D2">
            <w:pPr>
              <w:jc w:val="right"/>
              <w:rPr>
                <w:rFonts w:ascii="GHEA Grapalat" w:hAnsi="GHEA Grapalat"/>
                <w:b/>
                <w:bCs/>
                <w:noProof w:val="0"/>
                <w:sz w:val="18"/>
                <w:szCs w:val="18"/>
                <w:lang w:val="en-US"/>
              </w:rPr>
            </w:pPr>
            <w:r w:rsidRPr="00C921DE">
              <w:rPr>
                <w:rFonts w:ascii="GHEA Grapalat" w:hAnsi="GHEA Grapalat"/>
                <w:b/>
                <w:bCs/>
                <w:sz w:val="18"/>
                <w:szCs w:val="18"/>
              </w:rPr>
              <w:t>1</w:t>
            </w:r>
            <w:r w:rsidRPr="00C921DE">
              <w:rPr>
                <w:rFonts w:ascii="GHEA Grapalat" w:hAnsi="GHEA Grapalat"/>
                <w:b/>
                <w:bCs/>
                <w:sz w:val="18"/>
                <w:szCs w:val="18"/>
                <w:lang w:val="en-US"/>
              </w:rPr>
              <w:t>9</w:t>
            </w:r>
            <w:r w:rsidRPr="00C921DE">
              <w:rPr>
                <w:rFonts w:ascii="GHEA Grapalat" w:hAnsi="GHEA Grapalat"/>
                <w:b/>
                <w:bCs/>
                <w:sz w:val="18"/>
                <w:szCs w:val="18"/>
              </w:rPr>
              <w:t>,</w:t>
            </w:r>
            <w:r w:rsidRPr="00C921DE">
              <w:rPr>
                <w:rFonts w:ascii="GHEA Grapalat" w:hAnsi="GHEA Grapalat"/>
                <w:b/>
                <w:bCs/>
                <w:sz w:val="18"/>
                <w:szCs w:val="18"/>
                <w:lang w:val="en-US"/>
              </w:rPr>
              <w:t>3</w:t>
            </w:r>
            <w:r w:rsidRPr="00C921DE">
              <w:rPr>
                <w:rFonts w:ascii="GHEA Grapalat" w:hAnsi="GHEA Grapalat"/>
                <w:b/>
                <w:bCs/>
                <w:sz w:val="18"/>
                <w:szCs w:val="18"/>
              </w:rPr>
              <w:t>15.7</w:t>
            </w:r>
          </w:p>
        </w:tc>
        <w:tc>
          <w:tcPr>
            <w:tcW w:w="996" w:type="dxa"/>
            <w:vAlign w:val="bottom"/>
          </w:tcPr>
          <w:p w14:paraId="4778A7DC" w14:textId="77777777" w:rsidR="00391979" w:rsidRPr="00C921DE" w:rsidRDefault="00391979" w:rsidP="00CD04D2">
            <w:pPr>
              <w:jc w:val="right"/>
              <w:rPr>
                <w:rFonts w:ascii="GHEA Grapalat" w:hAnsi="GHEA Grapalat"/>
                <w:b/>
                <w:bCs/>
                <w:sz w:val="18"/>
                <w:szCs w:val="18"/>
              </w:rPr>
            </w:pPr>
            <w:r w:rsidRPr="00C921DE">
              <w:rPr>
                <w:rFonts w:ascii="GHEA Grapalat" w:hAnsi="GHEA Grapalat"/>
                <w:b/>
                <w:bCs/>
                <w:sz w:val="18"/>
                <w:szCs w:val="18"/>
              </w:rPr>
              <w:t>22,235.8</w:t>
            </w:r>
          </w:p>
        </w:tc>
        <w:tc>
          <w:tcPr>
            <w:tcW w:w="1087" w:type="dxa"/>
            <w:vAlign w:val="bottom"/>
          </w:tcPr>
          <w:p w14:paraId="7ACC8B5E" w14:textId="77777777" w:rsidR="00391979" w:rsidRPr="00C921DE" w:rsidRDefault="00391979" w:rsidP="00CD04D2">
            <w:pPr>
              <w:jc w:val="right"/>
              <w:rPr>
                <w:rFonts w:ascii="GHEA Grapalat" w:hAnsi="GHEA Grapalat"/>
                <w:b/>
                <w:bCs/>
                <w:sz w:val="18"/>
                <w:szCs w:val="18"/>
              </w:rPr>
            </w:pPr>
            <w:r w:rsidRPr="00C921DE">
              <w:rPr>
                <w:rFonts w:ascii="GHEA Grapalat" w:hAnsi="GHEA Grapalat"/>
                <w:b/>
                <w:bCs/>
                <w:sz w:val="18"/>
                <w:szCs w:val="18"/>
              </w:rPr>
              <w:t>21,193.6</w:t>
            </w:r>
          </w:p>
        </w:tc>
        <w:tc>
          <w:tcPr>
            <w:tcW w:w="1203" w:type="dxa"/>
            <w:vAlign w:val="bottom"/>
          </w:tcPr>
          <w:p w14:paraId="140B9D4C" w14:textId="77777777" w:rsidR="00391979" w:rsidRPr="00C921DE" w:rsidRDefault="00391979" w:rsidP="00CD04D2">
            <w:pPr>
              <w:jc w:val="right"/>
              <w:rPr>
                <w:rFonts w:ascii="GHEA Grapalat" w:hAnsi="GHEA Grapalat"/>
                <w:b/>
                <w:bCs/>
                <w:sz w:val="18"/>
                <w:szCs w:val="18"/>
              </w:rPr>
            </w:pPr>
            <w:r w:rsidRPr="00C921DE">
              <w:rPr>
                <w:rFonts w:ascii="GHEA Grapalat" w:hAnsi="GHEA Grapalat"/>
                <w:b/>
                <w:bCs/>
                <w:sz w:val="18"/>
                <w:szCs w:val="18"/>
              </w:rPr>
              <w:t>95.3</w:t>
            </w:r>
          </w:p>
        </w:tc>
        <w:tc>
          <w:tcPr>
            <w:tcW w:w="1203" w:type="dxa"/>
            <w:vAlign w:val="bottom"/>
          </w:tcPr>
          <w:p w14:paraId="1C9E21BC" w14:textId="77777777" w:rsidR="00391979" w:rsidRPr="00C921DE" w:rsidRDefault="00391979" w:rsidP="00CD04D2">
            <w:pPr>
              <w:jc w:val="right"/>
              <w:rPr>
                <w:rFonts w:ascii="GHEA Grapalat" w:hAnsi="GHEA Grapalat"/>
                <w:b/>
                <w:bCs/>
                <w:sz w:val="18"/>
                <w:szCs w:val="18"/>
                <w:lang w:val="en-US"/>
              </w:rPr>
            </w:pPr>
            <w:r w:rsidRPr="00C921DE">
              <w:rPr>
                <w:rFonts w:ascii="GHEA Grapalat" w:hAnsi="GHEA Grapalat"/>
                <w:b/>
                <w:bCs/>
                <w:sz w:val="18"/>
                <w:szCs w:val="18"/>
              </w:rPr>
              <w:t>10</w:t>
            </w:r>
            <w:r w:rsidRPr="00C921DE">
              <w:rPr>
                <w:rFonts w:ascii="GHEA Grapalat" w:hAnsi="GHEA Grapalat"/>
                <w:b/>
                <w:bCs/>
                <w:sz w:val="18"/>
                <w:szCs w:val="18"/>
                <w:lang w:val="en-US"/>
              </w:rPr>
              <w:t>9</w:t>
            </w:r>
            <w:r w:rsidRPr="00C921DE">
              <w:rPr>
                <w:rFonts w:ascii="GHEA Grapalat" w:hAnsi="GHEA Grapalat"/>
                <w:b/>
                <w:bCs/>
                <w:sz w:val="18"/>
                <w:szCs w:val="18"/>
              </w:rPr>
              <w:t>.</w:t>
            </w:r>
            <w:r w:rsidRPr="00C921DE">
              <w:rPr>
                <w:rFonts w:ascii="GHEA Grapalat" w:hAnsi="GHEA Grapalat"/>
                <w:b/>
                <w:bCs/>
                <w:sz w:val="18"/>
                <w:szCs w:val="18"/>
                <w:lang w:val="en-US"/>
              </w:rPr>
              <w:t>7</w:t>
            </w:r>
          </w:p>
        </w:tc>
        <w:tc>
          <w:tcPr>
            <w:tcW w:w="1048" w:type="dxa"/>
            <w:vAlign w:val="bottom"/>
          </w:tcPr>
          <w:p w14:paraId="7980FAD1" w14:textId="77777777" w:rsidR="00391979" w:rsidRPr="00C921DE" w:rsidRDefault="00391979" w:rsidP="00CD04D2">
            <w:pPr>
              <w:jc w:val="right"/>
              <w:rPr>
                <w:rFonts w:ascii="GHEA Grapalat" w:hAnsi="GHEA Grapalat"/>
                <w:b/>
                <w:bCs/>
                <w:sz w:val="18"/>
                <w:szCs w:val="18"/>
              </w:rPr>
            </w:pPr>
            <w:r w:rsidRPr="00C921DE">
              <w:rPr>
                <w:rFonts w:ascii="GHEA Grapalat" w:hAnsi="GHEA Grapalat"/>
                <w:b/>
                <w:bCs/>
                <w:sz w:val="18"/>
                <w:szCs w:val="18"/>
                <w:lang w:val="en-US"/>
              </w:rPr>
              <w:t>1,87</w:t>
            </w:r>
            <w:r w:rsidRPr="00C921DE">
              <w:rPr>
                <w:rFonts w:ascii="GHEA Grapalat" w:hAnsi="GHEA Grapalat"/>
                <w:b/>
                <w:bCs/>
                <w:sz w:val="18"/>
                <w:szCs w:val="18"/>
              </w:rPr>
              <w:t>7.9</w:t>
            </w:r>
          </w:p>
        </w:tc>
      </w:tr>
      <w:tr w:rsidR="00391979" w:rsidRPr="00C921DE" w14:paraId="227CA8EC" w14:textId="77777777" w:rsidTr="00CD04D2">
        <w:trPr>
          <w:trHeight w:val="331"/>
          <w:jc w:val="center"/>
        </w:trPr>
        <w:tc>
          <w:tcPr>
            <w:tcW w:w="3544" w:type="dxa"/>
            <w:vAlign w:val="bottom"/>
          </w:tcPr>
          <w:p w14:paraId="3105F091" w14:textId="77777777" w:rsidR="00391979" w:rsidRPr="00C921DE" w:rsidRDefault="00391979" w:rsidP="00CD04D2">
            <w:pPr>
              <w:rPr>
                <w:rFonts w:ascii="GHEA Grapalat" w:hAnsi="GHEA Grapalat"/>
                <w:sz w:val="18"/>
                <w:szCs w:val="18"/>
              </w:rPr>
            </w:pPr>
            <w:r w:rsidRPr="00C921DE">
              <w:rPr>
                <w:rFonts w:ascii="GHEA Grapalat" w:hAnsi="GHEA Grapalat"/>
                <w:sz w:val="18"/>
                <w:szCs w:val="18"/>
              </w:rPr>
              <w:t>Պետական հատվածի արդիականացման ծրագիր</w:t>
            </w:r>
          </w:p>
        </w:tc>
        <w:tc>
          <w:tcPr>
            <w:tcW w:w="1272" w:type="dxa"/>
            <w:vAlign w:val="bottom"/>
          </w:tcPr>
          <w:p w14:paraId="4BEABCA6"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2,744.8</w:t>
            </w:r>
          </w:p>
        </w:tc>
        <w:tc>
          <w:tcPr>
            <w:tcW w:w="996" w:type="dxa"/>
            <w:vAlign w:val="bottom"/>
          </w:tcPr>
          <w:p w14:paraId="0753FB35"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300.7</w:t>
            </w:r>
          </w:p>
        </w:tc>
        <w:tc>
          <w:tcPr>
            <w:tcW w:w="1087" w:type="dxa"/>
            <w:vAlign w:val="bottom"/>
          </w:tcPr>
          <w:p w14:paraId="3BD8DDFF"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301.2</w:t>
            </w:r>
          </w:p>
        </w:tc>
        <w:tc>
          <w:tcPr>
            <w:tcW w:w="1203" w:type="dxa"/>
            <w:vAlign w:val="bottom"/>
          </w:tcPr>
          <w:p w14:paraId="09C94CE4"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100.2</w:t>
            </w:r>
          </w:p>
        </w:tc>
        <w:tc>
          <w:tcPr>
            <w:tcW w:w="1203" w:type="dxa"/>
            <w:vAlign w:val="bottom"/>
          </w:tcPr>
          <w:p w14:paraId="0A9784B9"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11.0</w:t>
            </w:r>
          </w:p>
        </w:tc>
        <w:tc>
          <w:tcPr>
            <w:tcW w:w="1048" w:type="dxa"/>
            <w:vAlign w:val="bottom"/>
          </w:tcPr>
          <w:p w14:paraId="71CB6207"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(2,443.6)</w:t>
            </w:r>
          </w:p>
        </w:tc>
      </w:tr>
      <w:tr w:rsidR="00391979" w:rsidRPr="00C921DE" w14:paraId="270DD2AF" w14:textId="77777777" w:rsidTr="00CD04D2">
        <w:trPr>
          <w:trHeight w:val="300"/>
          <w:jc w:val="center"/>
        </w:trPr>
        <w:tc>
          <w:tcPr>
            <w:tcW w:w="3544" w:type="dxa"/>
            <w:vAlign w:val="bottom"/>
          </w:tcPr>
          <w:p w14:paraId="23691B4F" w14:textId="77777777" w:rsidR="00391979" w:rsidRPr="00C921DE" w:rsidRDefault="00391979" w:rsidP="00CD04D2">
            <w:pPr>
              <w:rPr>
                <w:rFonts w:ascii="GHEA Grapalat" w:hAnsi="GHEA Grapalat"/>
                <w:sz w:val="18"/>
                <w:szCs w:val="18"/>
              </w:rPr>
            </w:pPr>
            <w:r w:rsidRPr="00C921DE">
              <w:rPr>
                <w:rFonts w:ascii="GHEA Grapalat" w:hAnsi="GHEA Grapalat"/>
                <w:sz w:val="18"/>
                <w:szCs w:val="18"/>
              </w:rPr>
              <w:t>Հանրային իրազեկում</w:t>
            </w:r>
          </w:p>
        </w:tc>
        <w:tc>
          <w:tcPr>
            <w:tcW w:w="1272" w:type="dxa"/>
            <w:vAlign w:val="bottom"/>
          </w:tcPr>
          <w:p w14:paraId="12497AAC"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1,048.8</w:t>
            </w:r>
          </w:p>
        </w:tc>
        <w:tc>
          <w:tcPr>
            <w:tcW w:w="996" w:type="dxa"/>
            <w:vAlign w:val="bottom"/>
          </w:tcPr>
          <w:p w14:paraId="27F3CB36"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1,288.2</w:t>
            </w:r>
          </w:p>
        </w:tc>
        <w:tc>
          <w:tcPr>
            <w:tcW w:w="1087" w:type="dxa"/>
            <w:vAlign w:val="bottom"/>
          </w:tcPr>
          <w:p w14:paraId="4EC7AF55"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1,280.6</w:t>
            </w:r>
          </w:p>
        </w:tc>
        <w:tc>
          <w:tcPr>
            <w:tcW w:w="1203" w:type="dxa"/>
            <w:vAlign w:val="bottom"/>
          </w:tcPr>
          <w:p w14:paraId="5D9E2C1D"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99.4</w:t>
            </w:r>
          </w:p>
        </w:tc>
        <w:tc>
          <w:tcPr>
            <w:tcW w:w="1203" w:type="dxa"/>
            <w:vAlign w:val="bottom"/>
          </w:tcPr>
          <w:p w14:paraId="180F4561"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122.1</w:t>
            </w:r>
          </w:p>
        </w:tc>
        <w:tc>
          <w:tcPr>
            <w:tcW w:w="1048" w:type="dxa"/>
            <w:vAlign w:val="bottom"/>
          </w:tcPr>
          <w:p w14:paraId="1CE562D9"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231.8</w:t>
            </w:r>
          </w:p>
        </w:tc>
      </w:tr>
      <w:tr w:rsidR="00391979" w:rsidRPr="00C921DE" w14:paraId="6EAEAB59" w14:textId="77777777" w:rsidTr="00CD04D2">
        <w:trPr>
          <w:trHeight w:val="300"/>
          <w:jc w:val="center"/>
        </w:trPr>
        <w:tc>
          <w:tcPr>
            <w:tcW w:w="3544" w:type="dxa"/>
            <w:vAlign w:val="bottom"/>
          </w:tcPr>
          <w:p w14:paraId="585851B9" w14:textId="77777777" w:rsidR="00391979" w:rsidRPr="00C921DE" w:rsidRDefault="00391979" w:rsidP="00CD04D2">
            <w:pPr>
              <w:rPr>
                <w:rFonts w:ascii="GHEA Grapalat" w:hAnsi="GHEA Grapalat"/>
                <w:sz w:val="18"/>
                <w:szCs w:val="18"/>
              </w:rPr>
            </w:pPr>
            <w:r w:rsidRPr="00C921DE">
              <w:rPr>
                <w:rFonts w:ascii="GHEA Grapalat" w:hAnsi="GHEA Grapalat"/>
                <w:sz w:val="18"/>
                <w:szCs w:val="18"/>
              </w:rPr>
              <w:t>ՀՀ Վարչապետի լիազորությունների իրականացման ապահովում</w:t>
            </w:r>
          </w:p>
        </w:tc>
        <w:tc>
          <w:tcPr>
            <w:tcW w:w="1272" w:type="dxa"/>
            <w:vAlign w:val="bottom"/>
          </w:tcPr>
          <w:p w14:paraId="4F44115B"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lang w:val="en-US"/>
              </w:rPr>
              <w:t>6</w:t>
            </w:r>
            <w:r w:rsidRPr="00C921DE">
              <w:rPr>
                <w:rFonts w:ascii="GHEA Grapalat" w:hAnsi="GHEA Grapalat"/>
                <w:sz w:val="18"/>
                <w:szCs w:val="18"/>
              </w:rPr>
              <w:t>,</w:t>
            </w:r>
            <w:r w:rsidRPr="00C921DE">
              <w:rPr>
                <w:rFonts w:ascii="GHEA Grapalat" w:hAnsi="GHEA Grapalat"/>
                <w:sz w:val="18"/>
                <w:szCs w:val="18"/>
                <w:lang w:val="en-US"/>
              </w:rPr>
              <w:t>4</w:t>
            </w:r>
            <w:r w:rsidRPr="00C921DE">
              <w:rPr>
                <w:rFonts w:ascii="GHEA Grapalat" w:hAnsi="GHEA Grapalat"/>
                <w:sz w:val="18"/>
                <w:szCs w:val="18"/>
              </w:rPr>
              <w:t>50.4</w:t>
            </w:r>
          </w:p>
        </w:tc>
        <w:tc>
          <w:tcPr>
            <w:tcW w:w="996" w:type="dxa"/>
            <w:vAlign w:val="bottom"/>
          </w:tcPr>
          <w:p w14:paraId="015AA029"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8,905.5</w:t>
            </w:r>
          </w:p>
        </w:tc>
        <w:tc>
          <w:tcPr>
            <w:tcW w:w="1087" w:type="dxa"/>
            <w:vAlign w:val="bottom"/>
          </w:tcPr>
          <w:p w14:paraId="0CBEFF0B"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8,314.4</w:t>
            </w:r>
          </w:p>
        </w:tc>
        <w:tc>
          <w:tcPr>
            <w:tcW w:w="1203" w:type="dxa"/>
            <w:vAlign w:val="bottom"/>
          </w:tcPr>
          <w:p w14:paraId="164AFAAD"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93.4</w:t>
            </w:r>
          </w:p>
        </w:tc>
        <w:tc>
          <w:tcPr>
            <w:tcW w:w="1203" w:type="dxa"/>
            <w:vAlign w:val="bottom"/>
          </w:tcPr>
          <w:p w14:paraId="557F8E3C" w14:textId="77777777" w:rsidR="00391979" w:rsidRPr="00C921DE" w:rsidRDefault="00391979" w:rsidP="00CD04D2">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28</w:t>
            </w:r>
            <w:r w:rsidRPr="00C921DE">
              <w:rPr>
                <w:rFonts w:ascii="GHEA Grapalat" w:hAnsi="GHEA Grapalat"/>
                <w:sz w:val="18"/>
                <w:szCs w:val="18"/>
              </w:rPr>
              <w:t>.</w:t>
            </w:r>
            <w:r w:rsidRPr="00C921DE">
              <w:rPr>
                <w:rFonts w:ascii="GHEA Grapalat" w:hAnsi="GHEA Grapalat"/>
                <w:sz w:val="18"/>
                <w:szCs w:val="18"/>
                <w:lang w:val="en-US"/>
              </w:rPr>
              <w:t>9</w:t>
            </w:r>
          </w:p>
        </w:tc>
        <w:tc>
          <w:tcPr>
            <w:tcW w:w="1048" w:type="dxa"/>
            <w:vAlign w:val="bottom"/>
          </w:tcPr>
          <w:p w14:paraId="19806BA7"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lang w:val="en-US"/>
              </w:rPr>
              <w:t>1,863</w:t>
            </w:r>
            <w:r w:rsidRPr="00C921DE">
              <w:rPr>
                <w:rFonts w:ascii="GHEA Grapalat" w:hAnsi="GHEA Grapalat"/>
                <w:sz w:val="18"/>
                <w:szCs w:val="18"/>
              </w:rPr>
              <w:t>.9</w:t>
            </w:r>
          </w:p>
        </w:tc>
      </w:tr>
      <w:tr w:rsidR="00391979" w:rsidRPr="00C921DE" w14:paraId="327C7DED" w14:textId="77777777" w:rsidTr="00CD04D2">
        <w:trPr>
          <w:trHeight w:val="300"/>
          <w:jc w:val="center"/>
        </w:trPr>
        <w:tc>
          <w:tcPr>
            <w:tcW w:w="3544" w:type="dxa"/>
            <w:vAlign w:val="bottom"/>
          </w:tcPr>
          <w:p w14:paraId="3DF072B0" w14:textId="77777777" w:rsidR="00391979" w:rsidRPr="00C921DE" w:rsidRDefault="00391979" w:rsidP="00CD04D2">
            <w:pPr>
              <w:rPr>
                <w:rFonts w:ascii="GHEA Grapalat" w:hAnsi="GHEA Grapalat"/>
                <w:sz w:val="18"/>
                <w:szCs w:val="18"/>
              </w:rPr>
            </w:pPr>
            <w:r w:rsidRPr="00C921DE">
              <w:rPr>
                <w:rFonts w:ascii="GHEA Grapalat" w:hAnsi="GHEA Grapalat"/>
                <w:sz w:val="18"/>
                <w:szCs w:val="18"/>
              </w:rPr>
              <w:t>Տեսչական վերահսկողության ծրագիր</w:t>
            </w:r>
          </w:p>
        </w:tc>
        <w:tc>
          <w:tcPr>
            <w:tcW w:w="1272" w:type="dxa"/>
            <w:vAlign w:val="bottom"/>
          </w:tcPr>
          <w:p w14:paraId="4C6C9F6E"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5,792.6</w:t>
            </w:r>
          </w:p>
        </w:tc>
        <w:tc>
          <w:tcPr>
            <w:tcW w:w="996" w:type="dxa"/>
            <w:vAlign w:val="bottom"/>
          </w:tcPr>
          <w:p w14:paraId="7E2D2276"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7,053.1</w:t>
            </w:r>
          </w:p>
        </w:tc>
        <w:tc>
          <w:tcPr>
            <w:tcW w:w="1087" w:type="dxa"/>
            <w:vAlign w:val="bottom"/>
          </w:tcPr>
          <w:p w14:paraId="24901177"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6,674.8</w:t>
            </w:r>
          </w:p>
        </w:tc>
        <w:tc>
          <w:tcPr>
            <w:tcW w:w="1203" w:type="dxa"/>
            <w:vAlign w:val="bottom"/>
          </w:tcPr>
          <w:p w14:paraId="45FABACD"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94.6</w:t>
            </w:r>
          </w:p>
        </w:tc>
        <w:tc>
          <w:tcPr>
            <w:tcW w:w="1203" w:type="dxa"/>
            <w:vAlign w:val="bottom"/>
          </w:tcPr>
          <w:p w14:paraId="3EDD29A2"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115.2</w:t>
            </w:r>
          </w:p>
        </w:tc>
        <w:tc>
          <w:tcPr>
            <w:tcW w:w="1048" w:type="dxa"/>
            <w:vAlign w:val="bottom"/>
          </w:tcPr>
          <w:p w14:paraId="4592F98D"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882.2</w:t>
            </w:r>
          </w:p>
        </w:tc>
      </w:tr>
      <w:tr w:rsidR="00391979" w:rsidRPr="00C921DE" w14:paraId="44FA2C44" w14:textId="77777777" w:rsidTr="00CD04D2">
        <w:trPr>
          <w:trHeight w:val="300"/>
          <w:jc w:val="center"/>
        </w:trPr>
        <w:tc>
          <w:tcPr>
            <w:tcW w:w="3544" w:type="dxa"/>
            <w:vAlign w:val="bottom"/>
          </w:tcPr>
          <w:p w14:paraId="6CF7AF8E" w14:textId="77777777" w:rsidR="00391979" w:rsidRPr="00C921DE" w:rsidRDefault="00391979" w:rsidP="00CD04D2">
            <w:pPr>
              <w:rPr>
                <w:rFonts w:ascii="GHEA Grapalat" w:hAnsi="GHEA Grapalat"/>
                <w:sz w:val="18"/>
                <w:szCs w:val="18"/>
              </w:rPr>
            </w:pPr>
            <w:r w:rsidRPr="00C921DE">
              <w:rPr>
                <w:rFonts w:ascii="GHEA Grapalat" w:hAnsi="GHEA Grapalat"/>
                <w:sz w:val="18"/>
                <w:szCs w:val="18"/>
              </w:rPr>
              <w:t>Միջազգային դատարաններում, միջազգային արբիտրաժներում և այլ միջազգային ատյաններում ՀՀ շահերի ներկայացում և պաշտպանություն, դրանց կողմից ընդունված վճիռների և որոշումների կատարման ապահովում</w:t>
            </w:r>
          </w:p>
        </w:tc>
        <w:tc>
          <w:tcPr>
            <w:tcW w:w="1272" w:type="dxa"/>
            <w:vAlign w:val="bottom"/>
          </w:tcPr>
          <w:p w14:paraId="7516DF35"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2,387.8</w:t>
            </w:r>
          </w:p>
        </w:tc>
        <w:tc>
          <w:tcPr>
            <w:tcW w:w="996" w:type="dxa"/>
            <w:vAlign w:val="bottom"/>
          </w:tcPr>
          <w:p w14:paraId="097DE194"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3,654.5</w:t>
            </w:r>
          </w:p>
        </w:tc>
        <w:tc>
          <w:tcPr>
            <w:tcW w:w="1087" w:type="dxa"/>
            <w:vAlign w:val="bottom"/>
          </w:tcPr>
          <w:p w14:paraId="3D439ED7"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3,645.5</w:t>
            </w:r>
          </w:p>
        </w:tc>
        <w:tc>
          <w:tcPr>
            <w:tcW w:w="1203" w:type="dxa"/>
            <w:vAlign w:val="bottom"/>
          </w:tcPr>
          <w:p w14:paraId="66318129"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99.8</w:t>
            </w:r>
          </w:p>
        </w:tc>
        <w:tc>
          <w:tcPr>
            <w:tcW w:w="1203" w:type="dxa"/>
            <w:vAlign w:val="bottom"/>
          </w:tcPr>
          <w:p w14:paraId="1434E0AF"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152.7</w:t>
            </w:r>
          </w:p>
        </w:tc>
        <w:tc>
          <w:tcPr>
            <w:tcW w:w="1048" w:type="dxa"/>
            <w:vAlign w:val="bottom"/>
          </w:tcPr>
          <w:p w14:paraId="4B9C446F"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1,257.6</w:t>
            </w:r>
          </w:p>
        </w:tc>
      </w:tr>
      <w:tr w:rsidR="00391979" w:rsidRPr="00C921DE" w14:paraId="49C1D15A" w14:textId="77777777" w:rsidTr="00CD04D2">
        <w:trPr>
          <w:trHeight w:val="300"/>
          <w:jc w:val="center"/>
        </w:trPr>
        <w:tc>
          <w:tcPr>
            <w:tcW w:w="3544" w:type="dxa"/>
            <w:vAlign w:val="bottom"/>
          </w:tcPr>
          <w:p w14:paraId="4C8113A7" w14:textId="77777777" w:rsidR="00391979" w:rsidRPr="00C921DE" w:rsidRDefault="00391979" w:rsidP="00CD04D2">
            <w:pPr>
              <w:rPr>
                <w:rFonts w:ascii="GHEA Grapalat" w:hAnsi="GHEA Grapalat"/>
                <w:sz w:val="18"/>
                <w:szCs w:val="18"/>
                <w:lang w:val="en-US"/>
              </w:rPr>
            </w:pPr>
            <w:r w:rsidRPr="00C921DE">
              <w:rPr>
                <w:rFonts w:ascii="GHEA Grapalat" w:hAnsi="GHEA Grapalat"/>
                <w:sz w:val="18"/>
                <w:szCs w:val="18"/>
              </w:rPr>
              <w:t>Այլ ծրագրեր</w:t>
            </w:r>
          </w:p>
        </w:tc>
        <w:tc>
          <w:tcPr>
            <w:tcW w:w="1272" w:type="dxa"/>
            <w:vAlign w:val="bottom"/>
          </w:tcPr>
          <w:p w14:paraId="0EDBDD8A"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891.3</w:t>
            </w:r>
          </w:p>
        </w:tc>
        <w:tc>
          <w:tcPr>
            <w:tcW w:w="996" w:type="dxa"/>
            <w:vAlign w:val="bottom"/>
          </w:tcPr>
          <w:p w14:paraId="23CEB1E1"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1,033.8</w:t>
            </w:r>
          </w:p>
        </w:tc>
        <w:tc>
          <w:tcPr>
            <w:tcW w:w="1087" w:type="dxa"/>
            <w:vAlign w:val="bottom"/>
          </w:tcPr>
          <w:p w14:paraId="4B8AC7CC"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977.2</w:t>
            </w:r>
          </w:p>
        </w:tc>
        <w:tc>
          <w:tcPr>
            <w:tcW w:w="1203" w:type="dxa"/>
            <w:vAlign w:val="bottom"/>
          </w:tcPr>
          <w:p w14:paraId="261FCCC1"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94.5</w:t>
            </w:r>
          </w:p>
        </w:tc>
        <w:tc>
          <w:tcPr>
            <w:tcW w:w="1203" w:type="dxa"/>
            <w:vAlign w:val="bottom"/>
          </w:tcPr>
          <w:p w14:paraId="2CFED451"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109.6</w:t>
            </w:r>
          </w:p>
        </w:tc>
        <w:tc>
          <w:tcPr>
            <w:tcW w:w="1048" w:type="dxa"/>
            <w:vAlign w:val="bottom"/>
          </w:tcPr>
          <w:p w14:paraId="4723F6DA" w14:textId="77777777" w:rsidR="00391979" w:rsidRPr="00C921DE" w:rsidRDefault="00391979" w:rsidP="00CD04D2">
            <w:pPr>
              <w:jc w:val="right"/>
              <w:rPr>
                <w:rFonts w:ascii="GHEA Grapalat" w:hAnsi="GHEA Grapalat"/>
                <w:sz w:val="18"/>
                <w:szCs w:val="18"/>
              </w:rPr>
            </w:pPr>
            <w:r w:rsidRPr="00C921DE">
              <w:rPr>
                <w:rFonts w:ascii="GHEA Grapalat" w:hAnsi="GHEA Grapalat"/>
                <w:sz w:val="18"/>
                <w:szCs w:val="18"/>
              </w:rPr>
              <w:t>85.9</w:t>
            </w:r>
          </w:p>
        </w:tc>
      </w:tr>
    </w:tbl>
    <w:p w14:paraId="2B894077" w14:textId="77777777" w:rsidR="00391979" w:rsidRPr="00C921DE" w:rsidRDefault="00391979" w:rsidP="00391979">
      <w:pPr>
        <w:autoSpaceDE w:val="0"/>
        <w:autoSpaceDN w:val="0"/>
        <w:adjustRightInd w:val="0"/>
        <w:spacing w:line="360" w:lineRule="auto"/>
        <w:ind w:firstLine="567"/>
        <w:jc w:val="both"/>
        <w:rPr>
          <w:rFonts w:ascii="GHEA Grapalat" w:hAnsi="GHEA Grapalat"/>
          <w:sz w:val="20"/>
          <w:szCs w:val="20"/>
        </w:rPr>
      </w:pPr>
    </w:p>
    <w:p w14:paraId="4B7AD5BE" w14:textId="28E73026"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sz w:val="22"/>
          <w:szCs w:val="22"/>
        </w:rPr>
        <w:t xml:space="preserve">2023 թվականի ընթացքում </w:t>
      </w:r>
      <w:r w:rsidRPr="00C921DE">
        <w:rPr>
          <w:rFonts w:ascii="GHEA Grapalat" w:hAnsi="GHEA Grapalat" w:cs="Sylfaen"/>
          <w:i/>
          <w:sz w:val="22"/>
          <w:szCs w:val="22"/>
        </w:rPr>
        <w:t>Հանրային իրազեկման ծրագրի</w:t>
      </w:r>
      <w:r w:rsidRPr="00C921DE">
        <w:rPr>
          <w:rFonts w:ascii="GHEA Grapalat" w:hAnsi="GHEA Grapalat" w:cs="Sylfaen"/>
          <w:sz w:val="22"/>
          <w:szCs w:val="22"/>
        </w:rPr>
        <w:t xml:space="preserve"> ծախսերը կազմել են շուրջ 1.3</w:t>
      </w:r>
      <w:r w:rsidRPr="00C921DE">
        <w:rPr>
          <w:rFonts w:ascii="Courier New" w:hAnsi="Courier New" w:cs="Courier New"/>
          <w:sz w:val="22"/>
          <w:szCs w:val="22"/>
        </w:rPr>
        <w:t> </w:t>
      </w:r>
      <w:r w:rsidRPr="00C921DE">
        <w:rPr>
          <w:rFonts w:ascii="GHEA Grapalat" w:hAnsi="GHEA Grapalat" w:cs="Sylfaen"/>
          <w:sz w:val="22"/>
          <w:szCs w:val="22"/>
        </w:rPr>
        <w:t xml:space="preserve">մլրդ դրամ և ապահովել 99.4% կատարողական, իսկ նախորդ տարվա համեմատ աճել են 22.1%-ով կամ 231.8 մլն դրամով, որը հիմնականում պայմանավորված է </w:t>
      </w:r>
      <w:r w:rsidR="00FE4BD0" w:rsidRPr="00C921DE">
        <w:rPr>
          <w:rFonts w:ascii="GHEA Grapalat" w:hAnsi="GHEA Grapalat" w:cs="Sylfaen"/>
          <w:sz w:val="22"/>
          <w:szCs w:val="22"/>
          <w:lang w:val="en-US"/>
        </w:rPr>
        <w:t>«Հ</w:t>
      </w:r>
      <w:r w:rsidRPr="00C921DE">
        <w:rPr>
          <w:rFonts w:ascii="GHEA Grapalat" w:hAnsi="GHEA Grapalat" w:cs="Sylfaen"/>
          <w:sz w:val="22"/>
          <w:szCs w:val="22"/>
        </w:rPr>
        <w:t>անրային իրազեկ</w:t>
      </w:r>
      <w:r w:rsidR="00FE4BD0" w:rsidRPr="00C921DE">
        <w:rPr>
          <w:rFonts w:ascii="GHEA Grapalat" w:hAnsi="GHEA Grapalat" w:cs="Sylfaen"/>
          <w:sz w:val="22"/>
          <w:szCs w:val="22"/>
          <w:lang w:val="en-US"/>
        </w:rPr>
        <w:t>ում և հասարակական-քաղաքագիտական հետազոտություններ»</w:t>
      </w:r>
      <w:r w:rsidRPr="00C921DE">
        <w:rPr>
          <w:rFonts w:ascii="GHEA Grapalat" w:hAnsi="GHEA Grapalat" w:cs="Sylfaen"/>
          <w:sz w:val="22"/>
          <w:szCs w:val="22"/>
        </w:rPr>
        <w:t xml:space="preserve"> միջոցառման ծախսերի աճով, ինչպես նաև 2023 թվականին «Հանրային կապերի և տեղեկատվության կենտրոն» ՊՈԱԿ-ի շենքային պայմանների բարելավման ապահովման նպատակով միջոցների հատկացմամբ:</w:t>
      </w:r>
    </w:p>
    <w:p w14:paraId="4266C2EC" w14:textId="5EA8B3E5"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Ծրագրի շրջանակներում իրականացվել են 7 միջոցառումներ, որոնցից </w:t>
      </w:r>
      <w:r w:rsidR="00E576B1" w:rsidRPr="00C921DE">
        <w:rPr>
          <w:rFonts w:ascii="GHEA Grapalat" w:hAnsi="GHEA Grapalat" w:cs="Sylfaen"/>
          <w:sz w:val="22"/>
          <w:szCs w:val="22"/>
          <w:lang w:val="en-US"/>
        </w:rPr>
        <w:t>5</w:t>
      </w:r>
      <w:r w:rsidRPr="00C921DE">
        <w:rPr>
          <w:rFonts w:ascii="GHEA Grapalat" w:hAnsi="GHEA Grapalat" w:cs="Sylfaen"/>
          <w:sz w:val="22"/>
          <w:szCs w:val="22"/>
        </w:rPr>
        <w:t xml:space="preserve">-ի գծով արձանագրվել է 100% կատարողական: </w:t>
      </w:r>
    </w:p>
    <w:p w14:paraId="7B50BCF6" w14:textId="461615AF"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lastRenderedPageBreak/>
        <w:t xml:space="preserve">Կառավարության գործունեության լուսաբանման, թեմատիկ վերլուծությունների և ԶԼՄ-ների ամենօրյա մշտադիտարկումների նպատակով </w:t>
      </w:r>
      <w:r w:rsidR="00FE4BD0" w:rsidRPr="00C921DE">
        <w:rPr>
          <w:rFonts w:ascii="GHEA Grapalat" w:hAnsi="GHEA Grapalat" w:cs="Sylfaen"/>
          <w:sz w:val="22"/>
          <w:szCs w:val="22"/>
          <w:lang w:val="en-US"/>
        </w:rPr>
        <w:t>«Հ</w:t>
      </w:r>
      <w:r w:rsidRPr="00C921DE">
        <w:rPr>
          <w:rFonts w:ascii="GHEA Grapalat" w:hAnsi="GHEA Grapalat" w:cs="Sylfaen"/>
          <w:sz w:val="22"/>
          <w:szCs w:val="22"/>
        </w:rPr>
        <w:t>անրային իրազեկ</w:t>
      </w:r>
      <w:r w:rsidR="00FE4BD0" w:rsidRPr="00C921DE">
        <w:rPr>
          <w:rFonts w:ascii="GHEA Grapalat" w:hAnsi="GHEA Grapalat" w:cs="Sylfaen"/>
          <w:sz w:val="22"/>
          <w:szCs w:val="22"/>
          <w:lang w:val="en-US"/>
        </w:rPr>
        <w:t>ում և հասարակական-քաղաքագիտական հետազոտություններ»</w:t>
      </w:r>
      <w:r w:rsidRPr="00C921DE">
        <w:rPr>
          <w:rFonts w:ascii="GHEA Grapalat" w:hAnsi="GHEA Grapalat" w:cs="Sylfaen"/>
          <w:sz w:val="22"/>
          <w:szCs w:val="22"/>
        </w:rPr>
        <w:t xml:space="preserve"> միջոցառման շրջանակներում «Հանրային կապերի և տեղեկատվության կենտրոն» ՊՈԱԿ-ի կողմից 2023 թվականին իրականացվել են հետևյալ աշխատանքները.</w:t>
      </w:r>
    </w:p>
    <w:p w14:paraId="636E126A" w14:textId="77777777"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 xml:space="preserve">Սոցիալական հարթակներում Կառավարության պաշտոնական էջերի կառավարում, տեսանյութերի պատրաստում և տեղադրում, ուղիղ եթեր հեռարձակումների իրականացում, </w:t>
      </w:r>
    </w:p>
    <w:p w14:paraId="10C55FD3" w14:textId="77777777" w:rsidR="00391979" w:rsidRPr="00C921DE" w:rsidRDefault="00391979" w:rsidP="00AF07CE">
      <w:pPr>
        <w:numPr>
          <w:ilvl w:val="0"/>
          <w:numId w:val="30"/>
        </w:numPr>
        <w:tabs>
          <w:tab w:val="left" w:pos="851"/>
        </w:tabs>
        <w:autoSpaceDE w:val="0"/>
        <w:autoSpaceDN w:val="0"/>
        <w:adjustRightInd w:val="0"/>
        <w:spacing w:line="360" w:lineRule="auto"/>
        <w:ind w:left="0" w:firstLine="567"/>
        <w:jc w:val="both"/>
        <w:rPr>
          <w:rFonts w:ascii="GHEA Grapalat" w:hAnsi="GHEA Grapalat"/>
          <w:sz w:val="22"/>
          <w:szCs w:val="22"/>
        </w:rPr>
      </w:pPr>
      <w:r w:rsidRPr="00C921DE">
        <w:rPr>
          <w:rFonts w:ascii="GHEA Grapalat" w:hAnsi="GHEA Grapalat"/>
          <w:sz w:val="22"/>
          <w:szCs w:val="22"/>
        </w:rPr>
        <w:t>Ներքաղաքական թեմաներով անհատական թեմատիկ տեղեկանքների, ուսումնասիրությունների և վերլուծական հոդվածների պատրաստում,</w:t>
      </w:r>
    </w:p>
    <w:p w14:paraId="7EF9EA08" w14:textId="77777777" w:rsidR="00391979" w:rsidRPr="00C921DE" w:rsidRDefault="00391979" w:rsidP="00AF07CE">
      <w:pPr>
        <w:numPr>
          <w:ilvl w:val="0"/>
          <w:numId w:val="30"/>
        </w:numPr>
        <w:tabs>
          <w:tab w:val="left" w:pos="851"/>
        </w:tabs>
        <w:autoSpaceDE w:val="0"/>
        <w:autoSpaceDN w:val="0"/>
        <w:adjustRightInd w:val="0"/>
        <w:spacing w:line="360" w:lineRule="auto"/>
        <w:ind w:left="0" w:firstLine="567"/>
        <w:jc w:val="both"/>
        <w:rPr>
          <w:rFonts w:ascii="GHEA Grapalat" w:hAnsi="GHEA Grapalat"/>
          <w:sz w:val="22"/>
          <w:szCs w:val="22"/>
        </w:rPr>
      </w:pPr>
      <w:r w:rsidRPr="00C921DE">
        <w:rPr>
          <w:rFonts w:ascii="GHEA Grapalat" w:hAnsi="GHEA Grapalat"/>
          <w:sz w:val="22"/>
          <w:szCs w:val="22"/>
        </w:rPr>
        <w:t>ՀՀ արտաքին քաղաքականության կարևոր գործընթացների և միջազգային թեմաների վերաբերյալ քաղաքական ամփոփագրերի և վերլուծությունների պատրաստում,</w:t>
      </w:r>
    </w:p>
    <w:p w14:paraId="54942094" w14:textId="77777777" w:rsidR="00391979" w:rsidRPr="00C921DE" w:rsidRDefault="00391979" w:rsidP="00AF07CE">
      <w:pPr>
        <w:numPr>
          <w:ilvl w:val="0"/>
          <w:numId w:val="30"/>
        </w:numPr>
        <w:tabs>
          <w:tab w:val="left" w:pos="851"/>
        </w:tabs>
        <w:autoSpaceDE w:val="0"/>
        <w:autoSpaceDN w:val="0"/>
        <w:adjustRightInd w:val="0"/>
        <w:spacing w:line="360" w:lineRule="auto"/>
        <w:ind w:left="0" w:firstLine="567"/>
        <w:jc w:val="both"/>
        <w:rPr>
          <w:rFonts w:ascii="GHEA Grapalat" w:hAnsi="GHEA Grapalat"/>
          <w:sz w:val="22"/>
          <w:szCs w:val="22"/>
        </w:rPr>
      </w:pPr>
      <w:r w:rsidRPr="00C921DE">
        <w:rPr>
          <w:rFonts w:ascii="GHEA Grapalat" w:hAnsi="GHEA Grapalat"/>
          <w:sz w:val="22"/>
          <w:szCs w:val="22"/>
        </w:rPr>
        <w:t>Տարածաշրջանային ընթացիկ զարգացումների վերաբերյալ թեմատիկ տեղեկանքների պատրաստում,</w:t>
      </w:r>
    </w:p>
    <w:p w14:paraId="51B2A85A" w14:textId="77777777"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Հայերեն, ռուսերեն և թուրքերեն լեզուներով լրատվական կայքերի վարում, տարածաշրջանային հիմնախնդիրների առնչությամբ հրապարակային գործունեության ծավալում,</w:t>
      </w:r>
    </w:p>
    <w:p w14:paraId="4DF175B0" w14:textId="3EAEF1E4"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Օրբելի վերլուծակա</w:t>
      </w:r>
      <w:r w:rsidR="00812EB9" w:rsidRPr="00C921DE">
        <w:rPr>
          <w:rFonts w:ascii="GHEA Grapalat" w:hAnsi="GHEA Grapalat"/>
          <w:sz w:val="22"/>
          <w:szCs w:val="22"/>
        </w:rPr>
        <w:t>ն ծառայության հետազոտություններ</w:t>
      </w:r>
      <w:r w:rsidR="00812EB9" w:rsidRPr="00C921DE">
        <w:rPr>
          <w:rFonts w:ascii="GHEA Grapalat" w:hAnsi="GHEA Grapalat"/>
          <w:sz w:val="22"/>
          <w:szCs w:val="22"/>
          <w:lang w:val="en-US"/>
        </w:rPr>
        <w:t>ի</w:t>
      </w:r>
      <w:r w:rsidRPr="00C921DE">
        <w:rPr>
          <w:rFonts w:ascii="GHEA Grapalat" w:hAnsi="GHEA Grapalat"/>
          <w:sz w:val="22"/>
          <w:szCs w:val="22"/>
        </w:rPr>
        <w:t xml:space="preserve"> հոդվածի պատրաստում, </w:t>
      </w:r>
    </w:p>
    <w:p w14:paraId="433CB77B" w14:textId="77777777"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Լեռնային Ղարաբաղի հիմնախնդրի, Ադրբեջանի հակահայկական քարոզչության վերաբերյալ կատարված վերլուծությունների ներկայացում, թեմատիկ տեղեկանքների, հարցազրույցների, հոդվածների և ասուլիսների պատրաստում,</w:t>
      </w:r>
    </w:p>
    <w:p w14:paraId="0B57BBA9" w14:textId="77777777"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Սփյուռքին առնչվող «Հայերն այսօր» էլեկտրոնային հարթակում հրապարակվող տեղեկատվական նյութերի պատրաստում,</w:t>
      </w:r>
    </w:p>
    <w:p w14:paraId="3FC6EAEE" w14:textId="77777777"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Հայկական պատմամշակութային ժառանգության վերաբերյալ ֆիլմերի պատրաստում,</w:t>
      </w:r>
    </w:p>
    <w:p w14:paraId="4D2F9091" w14:textId="77777777" w:rsidR="00391979" w:rsidRPr="00C921DE" w:rsidRDefault="00391979"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Միջազգային քաղաքագիտական, մեդիա համաժողովների և մեդիակոնֆերանսների կազմակերպում:</w:t>
      </w:r>
    </w:p>
    <w:p w14:paraId="34C9D7EE" w14:textId="1C094CA0" w:rsidR="00391979" w:rsidRPr="00C921DE" w:rsidRDefault="00BB3F9A"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lang w:val="en-US"/>
        </w:rPr>
        <w:t>«Հ</w:t>
      </w:r>
      <w:r w:rsidRPr="00C921DE">
        <w:rPr>
          <w:rFonts w:ascii="GHEA Grapalat" w:hAnsi="GHEA Grapalat" w:cs="Sylfaen"/>
          <w:sz w:val="22"/>
          <w:szCs w:val="22"/>
        </w:rPr>
        <w:t>անրային իրազեկ</w:t>
      </w:r>
      <w:r w:rsidRPr="00C921DE">
        <w:rPr>
          <w:rFonts w:ascii="GHEA Grapalat" w:hAnsi="GHEA Grapalat" w:cs="Sylfaen"/>
          <w:sz w:val="22"/>
          <w:szCs w:val="22"/>
          <w:lang w:val="en-US"/>
        </w:rPr>
        <w:t>ում և հասարակական-քաղաքագիտական հետազոտություններ»</w:t>
      </w:r>
      <w:r w:rsidRPr="00C921DE">
        <w:rPr>
          <w:rFonts w:ascii="GHEA Grapalat" w:hAnsi="GHEA Grapalat" w:cs="Sylfaen"/>
          <w:sz w:val="22"/>
          <w:szCs w:val="22"/>
        </w:rPr>
        <w:t xml:space="preserve"> միջոցառման </w:t>
      </w:r>
      <w:r w:rsidR="00391979" w:rsidRPr="00C921DE">
        <w:rPr>
          <w:rFonts w:ascii="GHEA Grapalat" w:hAnsi="GHEA Grapalat" w:cs="Sylfaen"/>
          <w:sz w:val="22"/>
          <w:szCs w:val="22"/>
        </w:rPr>
        <w:t>ծախսերը կազմել են 599.1 մլն դրամ՝ ապահովելով 100% կատարողական: Նախորդ տարվա համեմատ նշված ծախսերն աճել են 25.1%-ով կամ 120.2 մլն դրամով, որը պայմանավորված է աշխատանք</w:t>
      </w:r>
      <w:r w:rsidR="00601EF8" w:rsidRPr="00C921DE">
        <w:rPr>
          <w:rFonts w:ascii="GHEA Grapalat" w:hAnsi="GHEA Grapalat" w:cs="Sylfaen"/>
          <w:sz w:val="22"/>
          <w:szCs w:val="22"/>
          <w:lang w:val="en-US"/>
        </w:rPr>
        <w:t>ն</w:t>
      </w:r>
      <w:r w:rsidR="00391979" w:rsidRPr="00C921DE">
        <w:rPr>
          <w:rFonts w:ascii="GHEA Grapalat" w:hAnsi="GHEA Grapalat" w:cs="Sylfaen"/>
          <w:sz w:val="22"/>
          <w:szCs w:val="22"/>
        </w:rPr>
        <w:t xml:space="preserve">երի ծավալի ավելացմամբ, մասնավորապես` լրացուցիչ իրականացվել են պետական ծրագրերի, բարեփոխումների, օրենսդրական փոփոխությունների վերաբերյալ հանրային իրազեկման արշավների, հայ-ռուսական մեդիակոնֆերանսի, հայ-հնդկական փորձագիտական համաժողովի </w:t>
      </w:r>
      <w:r w:rsidR="00391979" w:rsidRPr="00C921DE">
        <w:rPr>
          <w:rFonts w:ascii="GHEA Grapalat" w:hAnsi="GHEA Grapalat"/>
          <w:sz w:val="22"/>
          <w:szCs w:val="22"/>
        </w:rPr>
        <w:t>կազմակերպման աշխատանքներ:</w:t>
      </w:r>
    </w:p>
    <w:p w14:paraId="3E6D835A" w14:textId="3C7A109F" w:rsidR="00391979" w:rsidRPr="00C921DE" w:rsidRDefault="00471A99" w:rsidP="00391979">
      <w:pPr>
        <w:autoSpaceDE w:val="0"/>
        <w:autoSpaceDN w:val="0"/>
        <w:adjustRightInd w:val="0"/>
        <w:spacing w:line="360" w:lineRule="auto"/>
        <w:ind w:firstLine="567"/>
        <w:jc w:val="both"/>
        <w:rPr>
          <w:rFonts w:ascii="GHEA Grapalat" w:hAnsi="GHEA Grapalat" w:cs="Sylfaen"/>
          <w:sz w:val="22"/>
          <w:szCs w:val="22"/>
          <w:lang w:val="en-US"/>
        </w:rPr>
      </w:pPr>
      <w:r w:rsidRPr="00C921DE">
        <w:rPr>
          <w:rFonts w:ascii="GHEA Grapalat" w:hAnsi="GHEA Grapalat" w:cs="Sylfaen"/>
          <w:sz w:val="22"/>
          <w:szCs w:val="22"/>
          <w:lang w:val="en-US"/>
        </w:rPr>
        <w:lastRenderedPageBreak/>
        <w:t>«</w:t>
      </w:r>
      <w:r w:rsidR="00391979" w:rsidRPr="00C921DE">
        <w:rPr>
          <w:rFonts w:ascii="GHEA Grapalat" w:hAnsi="GHEA Grapalat" w:cs="Sylfaen"/>
          <w:sz w:val="22"/>
          <w:szCs w:val="22"/>
        </w:rPr>
        <w:t>«Միր» միջպ</w:t>
      </w:r>
      <w:r w:rsidRPr="00C921DE">
        <w:rPr>
          <w:rFonts w:ascii="GHEA Grapalat" w:hAnsi="GHEA Grapalat" w:cs="Sylfaen"/>
          <w:sz w:val="22"/>
          <w:szCs w:val="22"/>
        </w:rPr>
        <w:t>ետական հեռուստառադիոընկերության</w:t>
      </w:r>
      <w:r w:rsidR="00391979" w:rsidRPr="00C921DE">
        <w:rPr>
          <w:rFonts w:ascii="GHEA Grapalat" w:hAnsi="GHEA Grapalat" w:cs="Sylfaen"/>
          <w:sz w:val="22"/>
          <w:szCs w:val="22"/>
        </w:rPr>
        <w:t xml:space="preserve"> ՀՀ մասնաբաժնի վճար</w:t>
      </w:r>
      <w:r w:rsidRPr="00C921DE">
        <w:rPr>
          <w:rFonts w:ascii="GHEA Grapalat" w:hAnsi="GHEA Grapalat" w:cs="Sylfaen"/>
          <w:sz w:val="22"/>
          <w:szCs w:val="22"/>
          <w:lang w:val="en-US"/>
        </w:rPr>
        <w:t>»</w:t>
      </w:r>
      <w:r w:rsidR="00391979" w:rsidRPr="00C921DE">
        <w:rPr>
          <w:rFonts w:ascii="GHEA Grapalat" w:hAnsi="GHEA Grapalat" w:cs="Sylfaen"/>
          <w:sz w:val="22"/>
          <w:szCs w:val="22"/>
        </w:rPr>
        <w:t xml:space="preserve"> միջոցառումը հնարավորություն է տալիս «Միր» միջպետական հեռուստառադիոընկերության միջոցով ԱՊՀ երկրներից ստանալ </w:t>
      </w:r>
      <w:r w:rsidRPr="00C921DE">
        <w:rPr>
          <w:rFonts w:ascii="GHEA Grapalat" w:hAnsi="GHEA Grapalat" w:cs="Sylfaen"/>
          <w:sz w:val="22"/>
          <w:szCs w:val="22"/>
        </w:rPr>
        <w:t xml:space="preserve">տեղեկատվություն </w:t>
      </w:r>
      <w:r w:rsidR="00391979" w:rsidRPr="00C921DE">
        <w:rPr>
          <w:rFonts w:ascii="GHEA Grapalat" w:hAnsi="GHEA Grapalat" w:cs="Sylfaen"/>
          <w:sz w:val="22"/>
          <w:szCs w:val="22"/>
        </w:rPr>
        <w:t>և այն տարածել ԱՊՀ երկրներում: «Միր» միջպետական հեռուստառադիոընկերությունը հայկական բաժնեմասով միակ օտարալեզու հեռուստառադիոընկե</w:t>
      </w:r>
      <w:r w:rsidRPr="00C921DE">
        <w:rPr>
          <w:rFonts w:ascii="GHEA Grapalat" w:hAnsi="GHEA Grapalat" w:cs="Sylfaen"/>
          <w:sz w:val="22"/>
          <w:szCs w:val="22"/>
          <w:lang w:val="en-US"/>
        </w:rPr>
        <w:t>-</w:t>
      </w:r>
      <w:r w:rsidR="00391979" w:rsidRPr="00C921DE">
        <w:rPr>
          <w:rFonts w:ascii="GHEA Grapalat" w:hAnsi="GHEA Grapalat" w:cs="Sylfaen"/>
          <w:sz w:val="22"/>
          <w:szCs w:val="22"/>
        </w:rPr>
        <w:t xml:space="preserve">րությունն է, որը հեռարձակվում է նաև </w:t>
      </w:r>
      <w:r w:rsidRPr="00C921DE">
        <w:rPr>
          <w:rFonts w:ascii="GHEA Grapalat" w:hAnsi="GHEA Grapalat" w:cs="Sylfaen"/>
          <w:sz w:val="22"/>
          <w:szCs w:val="22"/>
          <w:lang w:val="en-US"/>
        </w:rPr>
        <w:t>ՀՀ</w:t>
      </w:r>
      <w:r w:rsidR="00391979" w:rsidRPr="00C921DE">
        <w:rPr>
          <w:rFonts w:ascii="GHEA Grapalat" w:hAnsi="GHEA Grapalat" w:cs="Sylfaen"/>
          <w:sz w:val="22"/>
          <w:szCs w:val="22"/>
        </w:rPr>
        <w:t xml:space="preserve"> տարածքից դուրս և փոխադարձ հնարավորություն է տալիս ինչպես ԱՊՀ և մի շարք այլ երկրների բնակչությանը ծանոթանալ հայկական մշակույթին և մշակութային արժեքներին, այնպես էլ Հայաստանի բնակչությանը՝ ծանոթանալ ԱՊՀ մյուս պետությունների մշակույթին և մշակութային արժեքներին: Միջոցառման շրջանակներում օգտագործվել է </w:t>
      </w:r>
      <w:r w:rsidR="00391979" w:rsidRPr="00C921DE">
        <w:rPr>
          <w:rFonts w:ascii="GHEA Grapalat" w:hAnsi="GHEA Grapalat" w:cs="GHEA Grapalat"/>
          <w:sz w:val="22"/>
          <w:szCs w:val="22"/>
        </w:rPr>
        <w:t>ավելի քան 256.9 մլն դրամ</w:t>
      </w:r>
      <w:r w:rsidR="00391979" w:rsidRPr="00C921DE">
        <w:rPr>
          <w:rFonts w:ascii="GHEA Grapalat" w:hAnsi="GHEA Grapalat" w:cs="Sylfaen"/>
          <w:sz w:val="22"/>
          <w:szCs w:val="22"/>
        </w:rPr>
        <w:t>՝ ապահովելով 100</w:t>
      </w:r>
      <w:r w:rsidR="00391979" w:rsidRPr="00C921DE">
        <w:rPr>
          <w:rFonts w:ascii="GHEA Grapalat" w:hAnsi="GHEA Grapalat" w:cs="GHEA Grapalat"/>
          <w:sz w:val="22"/>
          <w:szCs w:val="22"/>
        </w:rPr>
        <w:t xml:space="preserve">% </w:t>
      </w:r>
      <w:r w:rsidR="00391979" w:rsidRPr="00C921DE">
        <w:rPr>
          <w:rFonts w:ascii="GHEA Grapalat" w:hAnsi="GHEA Grapalat" w:cs="Sylfaen"/>
          <w:sz w:val="22"/>
          <w:szCs w:val="22"/>
        </w:rPr>
        <w:t>կատարողական: 2022 թվականի համեմատ նշված ծախսերն աճել են 10%</w:t>
      </w:r>
      <w:r w:rsidR="00391979" w:rsidRPr="00C921DE">
        <w:rPr>
          <w:rFonts w:ascii="GHEA Grapalat" w:hAnsi="GHEA Grapalat" w:cs="Sylfaen"/>
          <w:sz w:val="22"/>
          <w:szCs w:val="22"/>
        </w:rPr>
        <w:noBreakHyphen/>
        <w:t xml:space="preserve">ով կամ 23.4 </w:t>
      </w:r>
      <w:r w:rsidR="000E0C65" w:rsidRPr="00C921DE">
        <w:rPr>
          <w:rFonts w:ascii="GHEA Grapalat" w:hAnsi="GHEA Grapalat" w:cs="Sylfaen"/>
          <w:sz w:val="22"/>
          <w:szCs w:val="22"/>
        </w:rPr>
        <w:t>մլն դրամով, ինչ</w:t>
      </w:r>
      <w:r w:rsidR="00391979" w:rsidRPr="00C921DE">
        <w:rPr>
          <w:rFonts w:ascii="GHEA Grapalat" w:hAnsi="GHEA Grapalat" w:cs="Sylfaen"/>
          <w:sz w:val="22"/>
          <w:szCs w:val="22"/>
        </w:rPr>
        <w:t>ը պայմանավորված է</w:t>
      </w:r>
      <w:r w:rsidR="004B4A15" w:rsidRPr="00C921DE">
        <w:rPr>
          <w:rFonts w:ascii="GHEA Grapalat" w:hAnsi="GHEA Grapalat" w:cs="Sylfaen"/>
          <w:sz w:val="22"/>
          <w:szCs w:val="22"/>
          <w:lang w:val="en-US"/>
        </w:rPr>
        <w:t xml:space="preserve"> նրանով, որ 2008 թվականից սկսած՝ ՀՀ </w:t>
      </w:r>
      <w:r w:rsidR="00586680" w:rsidRPr="00C921DE">
        <w:rPr>
          <w:rFonts w:ascii="GHEA Grapalat" w:hAnsi="GHEA Grapalat" w:cs="Sylfaen"/>
          <w:sz w:val="22"/>
          <w:szCs w:val="22"/>
          <w:lang w:val="en-US"/>
        </w:rPr>
        <w:t>Ն</w:t>
      </w:r>
      <w:r w:rsidR="004B4A15" w:rsidRPr="00C921DE">
        <w:rPr>
          <w:rFonts w:ascii="GHEA Grapalat" w:hAnsi="GHEA Grapalat" w:cs="Sylfaen"/>
          <w:sz w:val="22"/>
          <w:szCs w:val="22"/>
          <w:lang w:val="en-US"/>
        </w:rPr>
        <w:t>ախագահի հանձնարարականի համաձայն</w:t>
      </w:r>
      <w:r w:rsidR="00391979" w:rsidRPr="00C921DE">
        <w:rPr>
          <w:rFonts w:ascii="GHEA Grapalat" w:hAnsi="GHEA Grapalat" w:cs="Sylfaen"/>
          <w:sz w:val="22"/>
          <w:szCs w:val="22"/>
        </w:rPr>
        <w:t xml:space="preserve"> «Միր» միջպետական հեռուստառադիոընկերության գործունեության ծախսերում </w:t>
      </w:r>
      <w:r w:rsidR="00586680" w:rsidRPr="00C921DE">
        <w:rPr>
          <w:rFonts w:ascii="GHEA Grapalat" w:hAnsi="GHEA Grapalat" w:cs="Sylfaen"/>
          <w:sz w:val="22"/>
          <w:szCs w:val="22"/>
        </w:rPr>
        <w:t>ՀՀ մասնաբաժնի հատկացումներն ավելացվում են</w:t>
      </w:r>
      <w:r w:rsidR="00391979" w:rsidRPr="00C921DE">
        <w:rPr>
          <w:rFonts w:ascii="GHEA Grapalat" w:hAnsi="GHEA Grapalat" w:cs="Sylfaen"/>
          <w:sz w:val="22"/>
          <w:szCs w:val="22"/>
        </w:rPr>
        <w:t xml:space="preserve"> տարեկան 10%</w:t>
      </w:r>
      <w:r w:rsidR="00586680" w:rsidRPr="00C921DE">
        <w:rPr>
          <w:rFonts w:ascii="GHEA Grapalat" w:hAnsi="GHEA Grapalat" w:cs="Sylfaen"/>
          <w:sz w:val="22"/>
          <w:szCs w:val="22"/>
        </w:rPr>
        <w:t>-ով</w:t>
      </w:r>
      <w:r w:rsidR="00586680" w:rsidRPr="00C921DE">
        <w:rPr>
          <w:rFonts w:ascii="GHEA Grapalat" w:hAnsi="GHEA Grapalat" w:cs="Sylfaen"/>
          <w:sz w:val="22"/>
          <w:szCs w:val="22"/>
          <w:lang w:val="en-US"/>
        </w:rPr>
        <w:t>:</w:t>
      </w:r>
    </w:p>
    <w:p w14:paraId="775D301C" w14:textId="48FA76CD" w:rsidR="00391979" w:rsidRPr="00C921DE" w:rsidRDefault="00391979" w:rsidP="00EF7B8E">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Հաշվետու տարում </w:t>
      </w:r>
      <w:r w:rsidRPr="00C921DE">
        <w:rPr>
          <w:rFonts w:ascii="GHEA Grapalat" w:hAnsi="GHEA Grapalat" w:cs="Sylfaen"/>
          <w:i/>
          <w:sz w:val="22"/>
          <w:szCs w:val="22"/>
        </w:rPr>
        <w:t>ՀՀ Վարչապետի լիազորությունների իրականացման ապահովման ծրագրի</w:t>
      </w:r>
      <w:r w:rsidRPr="00C921DE">
        <w:rPr>
          <w:rFonts w:ascii="GHEA Grapalat" w:hAnsi="GHEA Grapalat" w:cs="Sylfaen"/>
          <w:sz w:val="22"/>
          <w:szCs w:val="22"/>
        </w:rPr>
        <w:t xml:space="preserve"> շրջանակներում օգտագործվել է 8.3</w:t>
      </w:r>
      <w:r w:rsidRPr="00C921DE">
        <w:rPr>
          <w:rFonts w:ascii="GHEA Grapalat" w:hAnsi="GHEA Grapalat" w:cs="Sylfaen"/>
          <w:sz w:val="20"/>
          <w:szCs w:val="20"/>
        </w:rPr>
        <w:t xml:space="preserve"> </w:t>
      </w:r>
      <w:r w:rsidRPr="00C921DE">
        <w:rPr>
          <w:rFonts w:ascii="GHEA Grapalat" w:hAnsi="GHEA Grapalat" w:cs="Sylfaen"/>
          <w:sz w:val="22"/>
          <w:szCs w:val="22"/>
        </w:rPr>
        <w:t>մլրդ դրամ՝ ապահովելով 93.4% կատարողական: Շեղումը հիմնականում պայմանավորված է տվյալ ծրագրում ընդգրկված՝ ծառայությունների, ծրագրերի համակարգման և պետական սեփականություն հանդիսացող կառույցների ու տարածքների պայմանների բարելավման ապահովման միջոցառումների կատարողականով: Նախորդ տարվա համադրելի ցուցանիշի համեմատ</w:t>
      </w:r>
      <w:r w:rsidR="00095E3B" w:rsidRPr="00C921DE">
        <w:rPr>
          <w:rFonts w:ascii="GHEA Grapalat" w:hAnsi="GHEA Grapalat" w:cs="Sylfaen"/>
          <w:sz w:val="22"/>
          <w:szCs w:val="22"/>
          <w:lang w:val="en-US"/>
        </w:rPr>
        <w:t xml:space="preserve"> (առանց 2022թ. «Պետական աջակցություն Հայաստանի Հանրապետությունում և արտերկրում ներդրումային և ՊՄԳ ծրագրերի իրականացմանը» միջոցառման)</w:t>
      </w:r>
      <w:r w:rsidRPr="00C921DE">
        <w:rPr>
          <w:rFonts w:ascii="GHEA Grapalat" w:hAnsi="GHEA Grapalat" w:cs="Sylfaen"/>
          <w:sz w:val="22"/>
          <w:szCs w:val="22"/>
        </w:rPr>
        <w:t xml:space="preserve"> ՀՀ Վարչապետի լիազորությունների իրականացման ապահովման ծրագրի գծով ծախսերն աճել</w:t>
      </w:r>
      <w:r w:rsidRPr="00C921DE">
        <w:rPr>
          <w:rFonts w:ascii="Calibri" w:hAnsi="Calibri" w:cs="Calibri"/>
          <w:sz w:val="22"/>
          <w:szCs w:val="22"/>
        </w:rPr>
        <w:t> </w:t>
      </w:r>
      <w:r w:rsidRPr="00C921DE">
        <w:rPr>
          <w:rFonts w:ascii="GHEA Grapalat" w:hAnsi="GHEA Grapalat" w:cs="GHEA Grapalat"/>
          <w:sz w:val="22"/>
          <w:szCs w:val="22"/>
        </w:rPr>
        <w:t>են</w:t>
      </w:r>
      <w:r w:rsidRPr="00C921DE">
        <w:rPr>
          <w:rFonts w:ascii="GHEA Grapalat" w:hAnsi="GHEA Grapalat" w:cs="Sylfaen"/>
          <w:sz w:val="22"/>
          <w:szCs w:val="22"/>
        </w:rPr>
        <w:t xml:space="preserve"> 28.9%</w:t>
      </w:r>
      <w:r w:rsidRPr="00C921DE">
        <w:rPr>
          <w:rFonts w:ascii="GHEA Grapalat" w:hAnsi="GHEA Grapalat" w:cs="Sylfaen"/>
          <w:sz w:val="22"/>
          <w:szCs w:val="22"/>
        </w:rPr>
        <w:noBreakHyphen/>
      </w:r>
      <w:r w:rsidRPr="00C921DE">
        <w:rPr>
          <w:rFonts w:ascii="GHEA Grapalat" w:hAnsi="GHEA Grapalat" w:cs="GHEA Grapalat"/>
          <w:sz w:val="22"/>
          <w:szCs w:val="22"/>
        </w:rPr>
        <w:t>ով</w:t>
      </w:r>
      <w:r w:rsidRPr="00C921DE">
        <w:rPr>
          <w:rFonts w:ascii="GHEA Grapalat" w:hAnsi="GHEA Grapalat" w:cs="Sylfaen"/>
          <w:sz w:val="22"/>
          <w:szCs w:val="22"/>
        </w:rPr>
        <w:t xml:space="preserve"> </w:t>
      </w:r>
      <w:r w:rsidRPr="00C921DE">
        <w:rPr>
          <w:rFonts w:ascii="GHEA Grapalat" w:hAnsi="GHEA Grapalat" w:cs="GHEA Grapalat"/>
          <w:sz w:val="22"/>
          <w:szCs w:val="22"/>
        </w:rPr>
        <w:t xml:space="preserve">կամ շուրջ </w:t>
      </w:r>
      <w:r w:rsidRPr="00C921DE">
        <w:rPr>
          <w:rFonts w:ascii="GHEA Grapalat" w:hAnsi="GHEA Grapalat" w:cs="Sylfaen"/>
          <w:sz w:val="22"/>
          <w:szCs w:val="22"/>
        </w:rPr>
        <w:t xml:space="preserve">1.9 </w:t>
      </w:r>
      <w:r w:rsidRPr="00C921DE">
        <w:rPr>
          <w:rFonts w:ascii="GHEA Grapalat" w:hAnsi="GHEA Grapalat" w:cs="GHEA Grapalat"/>
          <w:sz w:val="22"/>
          <w:szCs w:val="22"/>
        </w:rPr>
        <w:t>մլրդ</w:t>
      </w:r>
      <w:r w:rsidRPr="00C921DE">
        <w:rPr>
          <w:rFonts w:ascii="GHEA Grapalat" w:hAnsi="GHEA Grapalat" w:cs="Sylfaen"/>
          <w:sz w:val="22"/>
          <w:szCs w:val="22"/>
        </w:rPr>
        <w:t xml:space="preserve"> </w:t>
      </w:r>
      <w:r w:rsidRPr="00C921DE">
        <w:rPr>
          <w:rFonts w:ascii="GHEA Grapalat" w:hAnsi="GHEA Grapalat" w:cs="GHEA Grapalat"/>
          <w:sz w:val="22"/>
          <w:szCs w:val="22"/>
        </w:rPr>
        <w:t>դրամով</w:t>
      </w:r>
      <w:r w:rsidRPr="00C921DE">
        <w:rPr>
          <w:rFonts w:ascii="GHEA Grapalat" w:hAnsi="GHEA Grapalat" w:cs="Sylfaen"/>
          <w:sz w:val="22"/>
          <w:szCs w:val="22"/>
        </w:rPr>
        <w:t xml:space="preserve">, </w:t>
      </w:r>
      <w:r w:rsidRPr="00C921DE">
        <w:rPr>
          <w:rFonts w:ascii="GHEA Grapalat" w:hAnsi="GHEA Grapalat" w:cs="GHEA Grapalat"/>
          <w:sz w:val="22"/>
          <w:szCs w:val="22"/>
        </w:rPr>
        <w:t>որը</w:t>
      </w:r>
      <w:r w:rsidRPr="00C921DE">
        <w:rPr>
          <w:rFonts w:ascii="GHEA Grapalat" w:hAnsi="GHEA Grapalat" w:cs="Sylfaen"/>
          <w:sz w:val="22"/>
          <w:szCs w:val="22"/>
        </w:rPr>
        <w:t xml:space="preserve"> </w:t>
      </w:r>
      <w:r w:rsidRPr="00C921DE">
        <w:rPr>
          <w:rFonts w:ascii="GHEA Grapalat" w:hAnsi="GHEA Grapalat" w:cs="GHEA Grapalat"/>
          <w:sz w:val="22"/>
          <w:szCs w:val="22"/>
        </w:rPr>
        <w:t>հիմնականում</w:t>
      </w:r>
      <w:r w:rsidRPr="00C921DE">
        <w:rPr>
          <w:rFonts w:ascii="GHEA Grapalat" w:hAnsi="GHEA Grapalat" w:cs="Sylfaen"/>
          <w:sz w:val="22"/>
          <w:szCs w:val="22"/>
        </w:rPr>
        <w:t xml:space="preserve"> </w:t>
      </w:r>
      <w:r w:rsidRPr="00C921DE">
        <w:rPr>
          <w:rFonts w:ascii="GHEA Grapalat" w:hAnsi="GHEA Grapalat" w:cs="GHEA Grapalat"/>
          <w:sz w:val="22"/>
          <w:szCs w:val="22"/>
        </w:rPr>
        <w:t>պայմանավորված</w:t>
      </w:r>
      <w:r w:rsidRPr="00C921DE">
        <w:rPr>
          <w:rFonts w:ascii="GHEA Grapalat" w:hAnsi="GHEA Grapalat" w:cs="Sylfaen"/>
          <w:sz w:val="22"/>
          <w:szCs w:val="22"/>
        </w:rPr>
        <w:t xml:space="preserve"> </w:t>
      </w:r>
      <w:r w:rsidRPr="00C921DE">
        <w:rPr>
          <w:rFonts w:ascii="GHEA Grapalat" w:hAnsi="GHEA Grapalat" w:cs="GHEA Grapalat"/>
          <w:sz w:val="22"/>
          <w:szCs w:val="22"/>
        </w:rPr>
        <w:t xml:space="preserve">է 2023 թվականի պետական բյուջեից </w:t>
      </w:r>
      <w:r w:rsidR="00EF7B8E" w:rsidRPr="00C921DE">
        <w:rPr>
          <w:rFonts w:ascii="GHEA Grapalat" w:hAnsi="GHEA Grapalat" w:cs="GHEA Grapalat"/>
          <w:sz w:val="22"/>
          <w:szCs w:val="22"/>
          <w:lang w:val="en-US"/>
        </w:rPr>
        <w:t>«Ռ</w:t>
      </w:r>
      <w:r w:rsidRPr="00C921DE">
        <w:rPr>
          <w:rFonts w:ascii="GHEA Grapalat" w:hAnsi="GHEA Grapalat" w:cs="Sylfaen"/>
          <w:sz w:val="22"/>
          <w:szCs w:val="22"/>
        </w:rPr>
        <w:t>ազմավարական հետազոտությունների իրականաց</w:t>
      </w:r>
      <w:r w:rsidR="00EF7B8E" w:rsidRPr="00C921DE">
        <w:rPr>
          <w:rFonts w:ascii="GHEA Grapalat" w:hAnsi="GHEA Grapalat" w:cs="Sylfaen"/>
          <w:sz w:val="22"/>
          <w:szCs w:val="22"/>
          <w:lang w:val="en-US"/>
        </w:rPr>
        <w:t>ու</w:t>
      </w:r>
      <w:r w:rsidRPr="00C921DE">
        <w:rPr>
          <w:rFonts w:ascii="GHEA Grapalat" w:hAnsi="GHEA Grapalat" w:cs="Sylfaen"/>
          <w:sz w:val="22"/>
          <w:szCs w:val="22"/>
        </w:rPr>
        <w:t>մ</w:t>
      </w:r>
      <w:r w:rsidR="00EF7B8E" w:rsidRPr="00C921DE">
        <w:rPr>
          <w:rFonts w:ascii="GHEA Grapalat" w:hAnsi="GHEA Grapalat" w:cs="Sylfaen"/>
          <w:sz w:val="22"/>
          <w:szCs w:val="22"/>
        </w:rPr>
        <w:t xml:space="preserve"> և առաջարկությունների ներկայացում</w:t>
      </w:r>
      <w:r w:rsidR="00EF7B8E" w:rsidRPr="00C921DE">
        <w:rPr>
          <w:rFonts w:ascii="GHEA Grapalat" w:hAnsi="GHEA Grapalat" w:cs="Sylfaen"/>
          <w:sz w:val="22"/>
          <w:szCs w:val="22"/>
          <w:lang w:val="en-US"/>
        </w:rPr>
        <w:t>»</w:t>
      </w:r>
      <w:r w:rsidRPr="00C921DE">
        <w:rPr>
          <w:rFonts w:ascii="GHEA Grapalat" w:hAnsi="GHEA Grapalat" w:cs="Sylfaen"/>
          <w:sz w:val="22"/>
          <w:szCs w:val="22"/>
        </w:rPr>
        <w:t xml:space="preserve"> ու </w:t>
      </w:r>
      <w:r w:rsidR="00CD0F87" w:rsidRPr="00C921DE">
        <w:rPr>
          <w:rFonts w:ascii="GHEA Grapalat" w:hAnsi="GHEA Grapalat" w:cs="Sylfaen"/>
          <w:sz w:val="22"/>
          <w:szCs w:val="22"/>
          <w:lang w:val="en-US"/>
        </w:rPr>
        <w:t>«Խ</w:t>
      </w:r>
      <w:r w:rsidRPr="00C921DE">
        <w:rPr>
          <w:rFonts w:ascii="GHEA Grapalat" w:hAnsi="GHEA Grapalat" w:cs="Sylfaen"/>
          <w:sz w:val="22"/>
          <w:szCs w:val="22"/>
        </w:rPr>
        <w:t>որհրդատվական և վերլուծական ծառայություններ</w:t>
      </w:r>
      <w:r w:rsidR="00CD0F87" w:rsidRPr="00C921DE">
        <w:rPr>
          <w:rFonts w:ascii="GHEA Grapalat" w:hAnsi="GHEA Grapalat" w:cs="Sylfaen"/>
          <w:sz w:val="22"/>
          <w:szCs w:val="22"/>
          <w:lang w:val="en-US"/>
        </w:rPr>
        <w:t>»</w:t>
      </w:r>
      <w:r w:rsidRPr="00C921DE">
        <w:rPr>
          <w:rFonts w:ascii="GHEA Grapalat" w:hAnsi="GHEA Grapalat" w:cs="Sylfaen"/>
          <w:sz w:val="22"/>
          <w:szCs w:val="22"/>
        </w:rPr>
        <w:t xml:space="preserve"> միջոցառումների</w:t>
      </w:r>
      <w:r w:rsidR="00CD0F87" w:rsidRPr="00C921DE">
        <w:rPr>
          <w:rFonts w:ascii="GHEA Grapalat" w:hAnsi="GHEA Grapalat" w:cs="Sylfaen"/>
          <w:sz w:val="22"/>
          <w:szCs w:val="22"/>
          <w:lang w:val="en-US"/>
        </w:rPr>
        <w:t>ն կատարված</w:t>
      </w:r>
      <w:r w:rsidR="00CD0F87" w:rsidRPr="00C921DE">
        <w:rPr>
          <w:rFonts w:ascii="GHEA Grapalat" w:hAnsi="GHEA Grapalat" w:cs="Sylfaen"/>
          <w:sz w:val="22"/>
          <w:szCs w:val="22"/>
        </w:rPr>
        <w:t xml:space="preserve"> հատկաց</w:t>
      </w:r>
      <w:r w:rsidR="00CD0F87" w:rsidRPr="00C921DE">
        <w:rPr>
          <w:rFonts w:ascii="GHEA Grapalat" w:hAnsi="GHEA Grapalat" w:cs="Sylfaen"/>
          <w:sz w:val="22"/>
          <w:szCs w:val="22"/>
          <w:lang w:val="en-US"/>
        </w:rPr>
        <w:t>ումներով</w:t>
      </w:r>
      <w:r w:rsidRPr="00C921DE">
        <w:rPr>
          <w:rFonts w:ascii="GHEA Grapalat" w:hAnsi="GHEA Grapalat" w:cs="Sylfaen"/>
          <w:sz w:val="22"/>
          <w:szCs w:val="22"/>
        </w:rPr>
        <w:t>,</w:t>
      </w:r>
      <w:r w:rsidR="00501C2E" w:rsidRPr="00C921DE">
        <w:rPr>
          <w:rFonts w:ascii="GHEA Grapalat" w:hAnsi="GHEA Grapalat" w:cs="Sylfaen"/>
          <w:sz w:val="22"/>
          <w:szCs w:val="22"/>
          <w:lang w:val="en-US"/>
        </w:rPr>
        <w:t xml:space="preserve"> որոնք կազմել են համապատասխանաբար 895.5</w:t>
      </w:r>
      <w:r w:rsidR="00501C2E" w:rsidRPr="00C921DE">
        <w:rPr>
          <w:rFonts w:ascii="Calibri" w:hAnsi="Calibri" w:cs="Calibri"/>
          <w:sz w:val="22"/>
          <w:szCs w:val="22"/>
          <w:lang w:val="en-US"/>
        </w:rPr>
        <w:t> </w:t>
      </w:r>
      <w:r w:rsidR="00501C2E" w:rsidRPr="00C921DE">
        <w:rPr>
          <w:rFonts w:ascii="GHEA Grapalat" w:hAnsi="GHEA Grapalat" w:cs="Sylfaen"/>
          <w:sz w:val="22"/>
          <w:szCs w:val="22"/>
          <w:lang w:val="en-US"/>
        </w:rPr>
        <w:t>մլն դրամ և 227.2 մլն դրամ,</w:t>
      </w:r>
      <w:r w:rsidRPr="00C921DE">
        <w:rPr>
          <w:rFonts w:ascii="GHEA Grapalat" w:hAnsi="GHEA Grapalat" w:cs="Sylfaen"/>
          <w:sz w:val="22"/>
          <w:szCs w:val="22"/>
        </w:rPr>
        <w:t xml:space="preserve"> ինչպես նաև ծառայությունների</w:t>
      </w:r>
      <w:r w:rsidR="00CD0F87" w:rsidRPr="00C921DE">
        <w:rPr>
          <w:rFonts w:ascii="GHEA Grapalat" w:hAnsi="GHEA Grapalat" w:cs="Sylfaen"/>
          <w:sz w:val="22"/>
          <w:szCs w:val="22"/>
          <w:lang w:val="en-US"/>
        </w:rPr>
        <w:t xml:space="preserve"> ու</w:t>
      </w:r>
      <w:r w:rsidRPr="00C921DE">
        <w:rPr>
          <w:rFonts w:ascii="GHEA Grapalat" w:hAnsi="GHEA Grapalat" w:cs="Sylfaen"/>
          <w:sz w:val="22"/>
          <w:szCs w:val="22"/>
        </w:rPr>
        <w:t xml:space="preserve"> ծրագրերի համակարգման ծախսերի աճով:</w:t>
      </w:r>
    </w:p>
    <w:p w14:paraId="4D0BA479" w14:textId="729A70D0"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Հաշվետու տարում ծառայությունների և ծրագրերի համակարգման միջոցառման շրջանակներում իրականացվել են </w:t>
      </w:r>
      <w:r w:rsidR="00EF6622" w:rsidRPr="00C921DE">
        <w:rPr>
          <w:rFonts w:ascii="GHEA Grapalat" w:hAnsi="GHEA Grapalat" w:cs="Sylfaen"/>
          <w:sz w:val="22"/>
          <w:szCs w:val="22"/>
          <w:lang w:val="en-US"/>
        </w:rPr>
        <w:t>Կ</w:t>
      </w:r>
      <w:r w:rsidRPr="00C921DE">
        <w:rPr>
          <w:rFonts w:ascii="GHEA Grapalat" w:hAnsi="GHEA Grapalat" w:cs="Sylfaen"/>
          <w:sz w:val="22"/>
          <w:szCs w:val="22"/>
        </w:rPr>
        <w:t>առավարության, վարչապետի և փոխվարչապետների գործունեության</w:t>
      </w:r>
      <w:r w:rsidR="001967A5" w:rsidRPr="00C921DE">
        <w:rPr>
          <w:rFonts w:ascii="GHEA Grapalat" w:hAnsi="GHEA Grapalat" w:cs="Sylfaen"/>
          <w:sz w:val="22"/>
          <w:szCs w:val="22"/>
          <w:lang w:val="en-US"/>
        </w:rPr>
        <w:t>ն</w:t>
      </w:r>
      <w:r w:rsidRPr="00C921DE">
        <w:rPr>
          <w:rFonts w:ascii="GHEA Grapalat" w:hAnsi="GHEA Grapalat" w:cs="Sylfaen"/>
          <w:sz w:val="22"/>
          <w:szCs w:val="22"/>
        </w:rPr>
        <w:t xml:space="preserve"> աջակցության, ՀՀ կառավարության և վարչապետի որոշումների ու հանձնարարականների կատարման վերահսկողության ապահովման, 11 ծրագրերի և 67 միջոցառումների կատարման, աշխատակազմին վերապահված լիազորությունների շրջանակներում </w:t>
      </w:r>
      <w:r w:rsidRPr="00C921DE">
        <w:rPr>
          <w:rFonts w:ascii="GHEA Grapalat" w:hAnsi="GHEA Grapalat" w:cs="Sylfaen"/>
          <w:sz w:val="22"/>
          <w:szCs w:val="22"/>
        </w:rPr>
        <w:lastRenderedPageBreak/>
        <w:t>իրավական ակտերի մշակման աշխատանքներ։ Նշված միջոցառման ծախսերը կազմել են շուրջ 5.1</w:t>
      </w:r>
      <w:r w:rsidR="001967A5" w:rsidRPr="00C921DE">
        <w:rPr>
          <w:rFonts w:ascii="Calibri" w:hAnsi="Calibri" w:cs="Calibri"/>
          <w:sz w:val="22"/>
          <w:szCs w:val="22"/>
          <w:lang w:val="en-US"/>
        </w:rPr>
        <w:t> </w:t>
      </w:r>
      <w:r w:rsidRPr="00C921DE">
        <w:rPr>
          <w:rFonts w:ascii="GHEA Grapalat" w:hAnsi="GHEA Grapalat" w:cs="Sylfaen"/>
          <w:sz w:val="22"/>
          <w:szCs w:val="22"/>
        </w:rPr>
        <w:t>մլրդ</w:t>
      </w:r>
      <w:r w:rsidRPr="00C921DE">
        <w:rPr>
          <w:rFonts w:ascii="Courier New" w:hAnsi="Courier New" w:cs="Courier New"/>
          <w:sz w:val="22"/>
          <w:szCs w:val="22"/>
        </w:rPr>
        <w:t xml:space="preserve"> </w:t>
      </w:r>
      <w:r w:rsidRPr="00C921DE">
        <w:rPr>
          <w:rFonts w:ascii="GHEA Grapalat" w:hAnsi="GHEA Grapalat" w:cs="Sylfaen"/>
          <w:sz w:val="22"/>
          <w:szCs w:val="22"/>
        </w:rPr>
        <w:t xml:space="preserve">դրամ կամ ծրագրված ցուցանիշի 94%-ը: Շեղումը պայմանավորված է մրցույթների արդյունքում ապրանքների և ծառայությունների՝ նախատեսվածից ցածր գներով ձեռքբերմամբ, ինչպես նաև հաստիքների ոչ լրիվ համալրմամբ: Նախորդ տարվա համեմատ նշված ծախսերն աճել են 10.2%-ով կամ 468.7 մլն դրամով, որը հիմնականում պայմանավորված է </w:t>
      </w:r>
      <w:r w:rsidR="00C359AF" w:rsidRPr="00C921DE">
        <w:rPr>
          <w:rFonts w:ascii="GHEA Grapalat" w:hAnsi="GHEA Grapalat" w:cs="Sylfaen"/>
          <w:sz w:val="22"/>
          <w:szCs w:val="22"/>
        </w:rPr>
        <w:t xml:space="preserve">պետական պաշտոն և պետական ծառայության պաշտոն զբաղեցնող անձանց </w:t>
      </w:r>
      <w:r w:rsidRPr="00C921DE">
        <w:rPr>
          <w:rFonts w:ascii="GHEA Grapalat" w:hAnsi="GHEA Grapalat" w:cs="Sylfaen"/>
          <w:sz w:val="22"/>
          <w:szCs w:val="22"/>
        </w:rPr>
        <w:t xml:space="preserve">բազային աշխատավարձի </w:t>
      </w:r>
      <w:r w:rsidR="00264F58" w:rsidRPr="00C921DE">
        <w:rPr>
          <w:rFonts w:ascii="GHEA Grapalat" w:hAnsi="GHEA Grapalat" w:cs="Sylfaen"/>
          <w:sz w:val="22"/>
          <w:szCs w:val="22"/>
          <w:lang w:val="en-US"/>
        </w:rPr>
        <w:t>բարձրացման</w:t>
      </w:r>
      <w:r w:rsidRPr="00C921DE">
        <w:rPr>
          <w:rFonts w:ascii="GHEA Grapalat" w:hAnsi="GHEA Grapalat" w:cs="Sylfaen"/>
          <w:sz w:val="22"/>
          <w:szCs w:val="22"/>
        </w:rPr>
        <w:t xml:space="preserve"> արդյունքում աշխատանքի վարձատրության ծախսերի</w:t>
      </w:r>
      <w:r w:rsidR="00264F58" w:rsidRPr="00C921DE">
        <w:rPr>
          <w:rFonts w:ascii="GHEA Grapalat" w:hAnsi="GHEA Grapalat" w:cs="Sylfaen"/>
          <w:sz w:val="22"/>
          <w:szCs w:val="22"/>
          <w:lang w:val="en-US"/>
        </w:rPr>
        <w:t xml:space="preserve"> աճով</w:t>
      </w:r>
      <w:r w:rsidRPr="00C921DE">
        <w:rPr>
          <w:rFonts w:ascii="GHEA Grapalat" w:hAnsi="GHEA Grapalat" w:cs="Sylfaen"/>
          <w:sz w:val="22"/>
          <w:szCs w:val="22"/>
        </w:rPr>
        <w:t>,</w:t>
      </w:r>
      <w:r w:rsidR="00264F58" w:rsidRPr="00C921DE">
        <w:rPr>
          <w:rFonts w:ascii="GHEA Grapalat" w:hAnsi="GHEA Grapalat" w:cs="Sylfaen"/>
          <w:sz w:val="22"/>
          <w:szCs w:val="22"/>
          <w:lang w:val="en-US"/>
        </w:rPr>
        <w:t xml:space="preserve"> ինչպես նաև</w:t>
      </w:r>
      <w:r w:rsidRPr="00C921DE">
        <w:rPr>
          <w:rFonts w:ascii="GHEA Grapalat" w:hAnsi="GHEA Grapalat" w:cs="Sylfaen"/>
          <w:sz w:val="22"/>
          <w:szCs w:val="22"/>
        </w:rPr>
        <w:t xml:space="preserve"> կառավարչական ծառայությունների և արտասահմանյան գործուղումների</w:t>
      </w:r>
      <w:r w:rsidR="00264F58" w:rsidRPr="00C921DE">
        <w:rPr>
          <w:rFonts w:ascii="GHEA Grapalat" w:hAnsi="GHEA Grapalat" w:cs="Sylfaen"/>
          <w:sz w:val="22"/>
          <w:szCs w:val="22"/>
          <w:lang w:val="en-US"/>
        </w:rPr>
        <w:t xml:space="preserve"> գծով</w:t>
      </w:r>
      <w:r w:rsidRPr="00C921DE">
        <w:rPr>
          <w:rFonts w:ascii="GHEA Grapalat" w:hAnsi="GHEA Grapalat" w:cs="Sylfaen"/>
          <w:sz w:val="22"/>
          <w:szCs w:val="22"/>
        </w:rPr>
        <w:t xml:space="preserve"> ծախսերի աճով: </w:t>
      </w:r>
    </w:p>
    <w:p w14:paraId="002E5F10" w14:textId="522430DA"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sz w:val="22"/>
          <w:szCs w:val="22"/>
        </w:rPr>
        <w:t xml:space="preserve">2023 թվականին </w:t>
      </w:r>
      <w:r w:rsidRPr="00C921DE">
        <w:rPr>
          <w:rFonts w:ascii="GHEA Grapalat" w:hAnsi="GHEA Grapalat" w:cs="Sylfaen"/>
          <w:i/>
          <w:sz w:val="22"/>
          <w:szCs w:val="22"/>
        </w:rPr>
        <w:t>Տեսչական վերահսկողության</w:t>
      </w:r>
      <w:r w:rsidRPr="00C921DE">
        <w:rPr>
          <w:rFonts w:ascii="GHEA Grapalat" w:hAnsi="GHEA Grapalat" w:cs="Sylfaen"/>
          <w:sz w:val="22"/>
          <w:szCs w:val="22"/>
        </w:rPr>
        <w:t xml:space="preserve"> ծրագրի ծախսերը կազմել շուրջ 6.7 մլրդ դրամ կամ ծրագրային ցուցանիշի 94.6%-ը: Շեղումը հիմնականում պայմանավորված է </w:t>
      </w:r>
      <w:r w:rsidR="00AD447E" w:rsidRPr="00C921DE">
        <w:rPr>
          <w:rFonts w:ascii="GHEA Grapalat" w:hAnsi="GHEA Grapalat" w:cs="Sylfaen"/>
          <w:sz w:val="22"/>
          <w:szCs w:val="22"/>
        </w:rPr>
        <w:t>առողջապահության,</w:t>
      </w:r>
      <w:r w:rsidRPr="00C921DE">
        <w:rPr>
          <w:rFonts w:ascii="GHEA Grapalat" w:hAnsi="GHEA Grapalat" w:cs="Sylfaen"/>
          <w:sz w:val="22"/>
          <w:szCs w:val="22"/>
        </w:rPr>
        <w:t xml:space="preserve"> քաղաքաշինության և ճարտարապետության ոլորտների վերահսկողության</w:t>
      </w:r>
      <w:r w:rsidR="00AD447E" w:rsidRPr="00C921DE">
        <w:rPr>
          <w:rFonts w:ascii="GHEA Grapalat" w:hAnsi="GHEA Grapalat" w:cs="Sylfaen"/>
          <w:sz w:val="22"/>
          <w:szCs w:val="22"/>
          <w:lang w:val="en-US"/>
        </w:rPr>
        <w:t xml:space="preserve"> ծառայությունների</w:t>
      </w:r>
      <w:r w:rsidRPr="00C921DE">
        <w:rPr>
          <w:rFonts w:ascii="GHEA Grapalat" w:hAnsi="GHEA Grapalat" w:cs="Sylfaen"/>
          <w:sz w:val="22"/>
          <w:szCs w:val="22"/>
        </w:rPr>
        <w:t xml:space="preserve"> գծով ծախսերի կատարողականով: Նախորդ տարվա համեմատ Տեսչական վերահսկողության ծրագրի ծախսերն աճել են 15.2%-ով կամ 882.2 մլն դրամով, որը հիմնականում պայմանավորված է սննդամթերքի անվտանգության, բնապահպանության ու քաղաքաշինության և ճարտարապետության բնագավառներում վերահսկողության ծառայությունների գծով ծախսերի աճով: Տեսչական վերահսկողության ծրագրին հատկացված միջոցներն ուղղվել են տարբեր բնագավառներում տեսչական մարմինների պահպանմանը և կարողությունների զարգացմանն ու տեխնիկական հագեցվածության ապահովմանը:</w:t>
      </w:r>
    </w:p>
    <w:p w14:paraId="0E01970C" w14:textId="29E6D4A6"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Սննդամթերքի անվտանգության բնագավառում վերահսկողության իրականացման ծառայությունների միջոցառման շրջանակներում ՀՀ սննդամթերքի անվտանգության տեսչական մարմինը վերահսկողություն է իրականացրել սննդամթերքի, անասնաբուժության և բուսասանիտարիայի ոլորտներում, կատարել է պետությանը և հանրությանը սպառնացող վտանգների հայտնաբերման, ներթափանցման և տարածման կանխարգելման աշխատանքներ: 2023 թվականին տնտես</w:t>
      </w:r>
      <w:r w:rsidR="00B961DA" w:rsidRPr="00C921DE">
        <w:rPr>
          <w:rFonts w:ascii="GHEA Grapalat" w:hAnsi="GHEA Grapalat" w:cs="Sylfaen"/>
          <w:sz w:val="22"/>
          <w:szCs w:val="22"/>
          <w:lang w:val="en-US"/>
        </w:rPr>
        <w:t>ա</w:t>
      </w:r>
      <w:r w:rsidRPr="00C921DE">
        <w:rPr>
          <w:rFonts w:ascii="GHEA Grapalat" w:hAnsi="GHEA Grapalat" w:cs="Sylfaen"/>
          <w:sz w:val="22"/>
          <w:szCs w:val="22"/>
        </w:rPr>
        <w:t>վարող սուբյեկտներ</w:t>
      </w:r>
      <w:r w:rsidR="00B961DA" w:rsidRPr="00C921DE">
        <w:rPr>
          <w:rFonts w:ascii="GHEA Grapalat" w:hAnsi="GHEA Grapalat" w:cs="Sylfaen"/>
          <w:sz w:val="22"/>
          <w:szCs w:val="22"/>
          <w:lang w:val="en-US"/>
        </w:rPr>
        <w:t>ի մ</w:t>
      </w:r>
      <w:r w:rsidRPr="00C921DE">
        <w:rPr>
          <w:rFonts w:ascii="GHEA Grapalat" w:hAnsi="GHEA Grapalat" w:cs="Sylfaen"/>
          <w:sz w:val="22"/>
          <w:szCs w:val="22"/>
        </w:rPr>
        <w:t>ոտ իրականացվել են 837 ստուգումներ՝ նախորդ տարվա 773-ի դիմաց: Նշված միջոցառման ծախսերը կազմել են 1.7 մլրդ դրամ՝ ապահովելով 99% կատարողական: Նախորդ տարվա համեմատ նշված ծախսերն աճել են 13.2%</w:t>
      </w:r>
      <w:r w:rsidRPr="00C921DE">
        <w:rPr>
          <w:rFonts w:ascii="GHEA Grapalat" w:hAnsi="GHEA Grapalat" w:cs="Sylfaen"/>
          <w:sz w:val="22"/>
          <w:szCs w:val="22"/>
        </w:rPr>
        <w:noBreakHyphen/>
        <w:t>ով կամ 197.7 մլն դրամով, որը հիմնականում պայմանավորված է աշխատանքի վարձատրության ծախսերի, էլեկտրաէներգիայի, գործուղման, համակարգչային ծառայությունների և ընթացիկ նորոգման ծախսերի աճով։</w:t>
      </w:r>
    </w:p>
    <w:p w14:paraId="6E0C5D9B" w14:textId="77777777"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Առողջապահության ոլորտում վերահսկողության ծառայությունների միջոցառման շրջանակներում ՀՀ առողջապահական և աշխատանքի տեսչական մարմինն իրականացրել է վերահսկողություն առողջապահության՝ աշխատողների առողջության և անվտանգության </w:t>
      </w:r>
      <w:r w:rsidRPr="00C921DE">
        <w:rPr>
          <w:rFonts w:ascii="GHEA Grapalat" w:hAnsi="GHEA Grapalat" w:cs="Sylfaen"/>
          <w:sz w:val="22"/>
          <w:szCs w:val="22"/>
        </w:rPr>
        <w:lastRenderedPageBreak/>
        <w:t>ապահովման բնագավառում։ 2023 թվականին իրականացված ստուգումների քանակն ընդհանուր առմամբ կազմել է 961՝ նախորդ տարվա 899-ի դիմաց: Նշված միջոցառման ծախսերը կազմել են շուրջ 1.3 մլրդ դրամ կամ նախատեսված ցուցանիշի 87.8%-ը: Շեղումը պայմանավորված է թափուր հաստիքների առկայության հետևանքով աշխատանքի վարձատրության համար նախատեսված միջոցների տնտեսմամբ: Նախորդ տարվա համեմատ առողջապահության ոլորտում վերահսկողության ծառայությունների գծով ծախսերը նվազել են 5%-ով կամ 65.6 մլն դրամով, որը պայմանավորված է կադրերի հոսունության հետևանքով աշխատանքի վարձատրության գումարների տնտեսմամբ։</w:t>
      </w:r>
    </w:p>
    <w:p w14:paraId="6B6FFEFF" w14:textId="22424D4C"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Քաղաքաշինության և ճարտարապետության բնագավառում վերահսկողության ծառայությունների միջոցառման շրջանակներում ՀՀ քաղաքաշինության, տեխնիկական և հրդեհային անվտանգության տեսչական մարմինն իրականացրել է քաղաքաշինության, տեխնիկական և հրդեհային անվտանգության, տրանսպորտի, էներգետիկայի, պետական և տեղական նշանակության գեոդեզիական և քարտեզագրական աշխատանքների և հողօգտագործման բնագավառներում վերահսկողության աշխատանքներ։ 2023 թվականին տնտես</w:t>
      </w:r>
      <w:r w:rsidR="006E2E06" w:rsidRPr="00C921DE">
        <w:rPr>
          <w:rFonts w:ascii="GHEA Grapalat" w:hAnsi="GHEA Grapalat" w:cs="Sylfaen"/>
          <w:sz w:val="22"/>
          <w:szCs w:val="22"/>
          <w:lang w:val="en-US"/>
        </w:rPr>
        <w:t>ա</w:t>
      </w:r>
      <w:r w:rsidRPr="00C921DE">
        <w:rPr>
          <w:rFonts w:ascii="GHEA Grapalat" w:hAnsi="GHEA Grapalat" w:cs="Sylfaen"/>
          <w:sz w:val="22"/>
          <w:szCs w:val="22"/>
        </w:rPr>
        <w:t>վարող սուբյեկտների մոտ իրականացված ստուգումների քանակը կազմել է 932՝ նախորդ տարվա 1070-ի դիմաց: Նշված միջոցառման ծախսերը կազմել են շուրջ 1.2 մլրդ դրամ՝ ապահովելով 94.2% կատարողական: Շեղումը պայմանավորված է թափուր հաստիքների առկայության արդյունքում աշխատանքի վարձատրության համար նախատեսված միջոցների տնտեսմամբ, ինչպես նաև գնման գործընթացի արդյունքում ապրանքների և ծառայությունների՝ նախատեսվածից ցածր գներով ձեռքբերմա</w:t>
      </w:r>
      <w:r w:rsidR="00B961DA" w:rsidRPr="00C921DE">
        <w:rPr>
          <w:rFonts w:ascii="GHEA Grapalat" w:hAnsi="GHEA Grapalat" w:cs="Sylfaen"/>
          <w:sz w:val="22"/>
          <w:szCs w:val="22"/>
          <w:lang w:val="en-US"/>
        </w:rPr>
        <w:t>մբ</w:t>
      </w:r>
      <w:r w:rsidRPr="00C921DE">
        <w:rPr>
          <w:rFonts w:ascii="GHEA Grapalat" w:hAnsi="GHEA Grapalat" w:cs="Sylfaen"/>
          <w:sz w:val="22"/>
          <w:szCs w:val="22"/>
        </w:rPr>
        <w:t>: Նախորդ տարվա համեմատ նշված միջոցառման ծախսերն աճել են 15.4%-ով կամ 159.3 մլն դրամով, որը հիմնականում պայմանավորված է հաստիքների համալրման արդյունքում աշխատանքի վարձատրության, էլեկտրաէներգիայի, գործուղման և այլ ծախսերի աճով։</w:t>
      </w:r>
    </w:p>
    <w:p w14:paraId="42965A13" w14:textId="1FB0900D"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Բնապահպանության ոլորտում վերահսկողության ծառայությունների միջոցառման շրջանակներում ՀՀ բնապահպանության տեսչական մարմինն իրականացրել է շրջակա միջավայրի վրա վնասակար ներգործությունների և բնական ռեսուրսների գերշահագործման վերահսկողության աշխատանքներ։ 2023 թվականին իրականացվել են 277 ստուգումներ` նախորդ տարվա 267-ի դիմաց: Նշված միջոցառման ծախսերը կազմել են շուրջ 1.1 մլրդ դրամ կամ ծրագրված ցուցանիշի 99.3%</w:t>
      </w:r>
      <w:r w:rsidRPr="00C921DE">
        <w:rPr>
          <w:rFonts w:ascii="GHEA Grapalat" w:hAnsi="GHEA Grapalat" w:cs="Sylfaen"/>
          <w:sz w:val="22"/>
          <w:szCs w:val="22"/>
        </w:rPr>
        <w:noBreakHyphen/>
        <w:t>ը: Նախորդ տարվա համեմատ նշված միջոցառման ծախսերն աճել են 20.5%-ով կամ 179 մլն դրամով, որը պայմանավորված է հաստիքների համալրմամ</w:t>
      </w:r>
      <w:r w:rsidR="00E86D21" w:rsidRPr="00C921DE">
        <w:rPr>
          <w:rFonts w:ascii="GHEA Grapalat" w:hAnsi="GHEA Grapalat" w:cs="Sylfaen"/>
          <w:sz w:val="22"/>
          <w:szCs w:val="22"/>
          <w:lang w:val="en-US"/>
        </w:rPr>
        <w:t>բ,</w:t>
      </w:r>
      <w:r w:rsidRPr="00C921DE">
        <w:rPr>
          <w:rFonts w:ascii="GHEA Grapalat" w:hAnsi="GHEA Grapalat" w:cs="Sylfaen"/>
          <w:sz w:val="22"/>
          <w:szCs w:val="22"/>
        </w:rPr>
        <w:t xml:space="preserve"> վերահսկման նպատակով աշխատանքային գործունեության ծավալների և ստուգողական գործողությունների (ներքին գործուղումների</w:t>
      </w:r>
      <w:r w:rsidR="00E86D21" w:rsidRPr="00C921DE">
        <w:rPr>
          <w:rFonts w:ascii="GHEA Grapalat" w:hAnsi="GHEA Grapalat" w:cs="Sylfaen"/>
          <w:sz w:val="22"/>
          <w:szCs w:val="22"/>
          <w:lang w:val="en-US"/>
        </w:rPr>
        <w:t>)</w:t>
      </w:r>
      <w:r w:rsidRPr="00C921DE">
        <w:rPr>
          <w:rFonts w:ascii="GHEA Grapalat" w:hAnsi="GHEA Grapalat" w:cs="Sylfaen"/>
          <w:sz w:val="22"/>
          <w:szCs w:val="22"/>
        </w:rPr>
        <w:t xml:space="preserve"> և մի շարք այլ ծախսերի ավելացմամբ:</w:t>
      </w:r>
    </w:p>
    <w:p w14:paraId="1D0A51DD" w14:textId="00E5BAA0"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lastRenderedPageBreak/>
        <w:t>Շուկայի վերահսկողության ծառայությունների միջոցառման շրջանակներում ՀՀ շուկայի տեսչական մարմինն իրականացրել է ոչ պարենային արտադրանքի անվտանգության, չափումների միասնականության ապահովման, համապատասխանության գնահատման, նյութական պահուստի ոլորտներում պետական վերահսկողության աշխատանքներ՝ աշխատանքային ռեսուրսները նպատակաուղղելով դեպի առավել ռիսկային ոլորտներ ու տնտեսավարող սուբյեկտներ և ապահովելով խախտումների կանխարգելումը, անվտանգ ոչ պարենային արտադրանքների առկայությունը, ինչպես նաև ստուգաչափված չափման միջոցների շահագործումը շուկայում: 2023 թվականին տնտեսավարող սուբյեկտների մոտ իրականացվել են 694 ստուգումներ` նախորդ տարվա 568-ի դիմաց: Նշված միջոցառման ծախսերը կազմել են շուրջ 320.4 մլն դրամ կամ նախատեսվածի 93.4%-ը: Շեղումը հիմնականում պայմանավորված է թափուր հաստիքների առկայության հետևանքով աշխատանքի վարձատրության համար նախատեսված միջոցների, մասնագիտական, էներգետիկ և կապի ծառայությունների գծով ծախսերի տնտեսմամբ: Նախորդ տարվա համեմատ նշված միջոցառման ծախսերն աճել են 15.3%-ով կամ 42.5 մլն դրամով, որը հիմնականում պայմանավորված է հաստիքների համալրման հետևանքով աշխատանքի վարձատրության</w:t>
      </w:r>
      <w:r w:rsidR="00713786" w:rsidRPr="00C921DE">
        <w:rPr>
          <w:rFonts w:ascii="GHEA Grapalat" w:hAnsi="GHEA Grapalat" w:cs="Sylfaen"/>
          <w:sz w:val="22"/>
          <w:szCs w:val="22"/>
          <w:lang w:val="en-US"/>
        </w:rPr>
        <w:t xml:space="preserve"> ծախսերի</w:t>
      </w:r>
      <w:r w:rsidRPr="00C921DE">
        <w:rPr>
          <w:rFonts w:ascii="GHEA Grapalat" w:hAnsi="GHEA Grapalat" w:cs="Sylfaen"/>
          <w:sz w:val="22"/>
          <w:szCs w:val="22"/>
        </w:rPr>
        <w:t>,</w:t>
      </w:r>
      <w:r w:rsidR="00713786" w:rsidRPr="00C921DE">
        <w:rPr>
          <w:rFonts w:ascii="GHEA Grapalat" w:hAnsi="GHEA Grapalat" w:cs="Sylfaen"/>
          <w:sz w:val="22"/>
          <w:szCs w:val="22"/>
          <w:lang w:val="en-US"/>
        </w:rPr>
        <w:t xml:space="preserve"> ինչպես նաև</w:t>
      </w:r>
      <w:r w:rsidRPr="00C921DE">
        <w:rPr>
          <w:rFonts w:ascii="GHEA Grapalat" w:hAnsi="GHEA Grapalat" w:cs="Sylfaen"/>
          <w:sz w:val="22"/>
          <w:szCs w:val="22"/>
        </w:rPr>
        <w:t xml:space="preserve"> էլեկտրաէներգիայի, գործուղման և այլ ծախսերի աճով։</w:t>
      </w:r>
    </w:p>
    <w:p w14:paraId="2FF33F49" w14:textId="5CE9F425" w:rsidR="00391979" w:rsidRPr="00C921DE" w:rsidRDefault="00391979" w:rsidP="0039197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Կրթության ոլորտում վերահսկողության ծառայությունների միջոցառման շրջանակներում ՀՀ կրթության տեսչական մարմինն իրականացրել է նախադպրոցական կրթության, հանրակրթության, նախնական մասնագիտական (արհեստագործական) և միջին մասնագիտական կրթության ոլորտներում պետական վերահսկողության աշխատանքներ: 2023 թվականին իրականացված ստուգումների քանակն ընդհանուր առմամբ կազմել է 140</w:t>
      </w:r>
      <w:r w:rsidR="00713786" w:rsidRPr="00C921DE">
        <w:rPr>
          <w:rFonts w:ascii="GHEA Grapalat" w:hAnsi="GHEA Grapalat" w:cs="Sylfaen"/>
          <w:sz w:val="22"/>
          <w:szCs w:val="22"/>
          <w:lang w:val="en-US"/>
        </w:rPr>
        <w:t>՝</w:t>
      </w:r>
      <w:r w:rsidRPr="00C921DE">
        <w:rPr>
          <w:rFonts w:ascii="GHEA Grapalat" w:hAnsi="GHEA Grapalat" w:cs="Sylfaen"/>
          <w:sz w:val="22"/>
          <w:szCs w:val="22"/>
        </w:rPr>
        <w:t xml:space="preserve"> նախորդ տարվա 130-ի դիմաց: Նշված միջոցառման ծախսերը</w:t>
      </w:r>
      <w:r w:rsidRPr="00C921DE">
        <w:rPr>
          <w:rFonts w:ascii="GHEA Grapalat" w:hAnsi="GHEA Grapalat" w:cs="GHEA Grapalat"/>
          <w:sz w:val="22"/>
          <w:szCs w:val="22"/>
        </w:rPr>
        <w:t xml:space="preserve"> կազմել են շուրջ 276 մլն դրամ կամ նախատեսվածի 91.9%-ը: Շեղումը հիմնականում պայմանավորված է գործուղման, ինչպես նաև էներգետիկ և համակարգչային ծառայությունների ու տրանսպորտային նյ</w:t>
      </w:r>
      <w:r w:rsidR="006F1977" w:rsidRPr="00C921DE">
        <w:rPr>
          <w:rFonts w:ascii="GHEA Grapalat" w:hAnsi="GHEA Grapalat" w:cs="GHEA Grapalat"/>
          <w:sz w:val="22"/>
          <w:szCs w:val="22"/>
        </w:rPr>
        <w:t>ութերի ձեռքբերման ծախսերի տնտես</w:t>
      </w:r>
      <w:r w:rsidR="006F1977" w:rsidRPr="00C921DE">
        <w:rPr>
          <w:rFonts w:ascii="GHEA Grapalat" w:hAnsi="GHEA Grapalat" w:cs="GHEA Grapalat"/>
          <w:sz w:val="22"/>
          <w:szCs w:val="22"/>
          <w:lang w:val="en-US"/>
        </w:rPr>
        <w:t>մամբ</w:t>
      </w:r>
      <w:r w:rsidRPr="00C921DE">
        <w:rPr>
          <w:rFonts w:ascii="GHEA Grapalat" w:hAnsi="GHEA Grapalat" w:cs="GHEA Grapalat"/>
          <w:sz w:val="22"/>
          <w:szCs w:val="22"/>
        </w:rPr>
        <w:t xml:space="preserve">: </w:t>
      </w:r>
      <w:r w:rsidRPr="00C921DE">
        <w:rPr>
          <w:rFonts w:ascii="GHEA Grapalat" w:hAnsi="GHEA Grapalat" w:cs="Sylfaen"/>
          <w:sz w:val="22"/>
          <w:szCs w:val="22"/>
        </w:rPr>
        <w:t>Նախորդ տարվա համեմատ նշված միջոցառման ծախսերն աճել են 5.8%</w:t>
      </w:r>
      <w:r w:rsidRPr="00C921DE">
        <w:rPr>
          <w:rFonts w:ascii="GHEA Grapalat" w:hAnsi="GHEA Grapalat" w:cs="Sylfaen"/>
          <w:sz w:val="22"/>
          <w:szCs w:val="22"/>
        </w:rPr>
        <w:noBreakHyphen/>
        <w:t xml:space="preserve">ով կամ 15.2 մլն դրամով, որը հիմնականում պայմանավորված է </w:t>
      </w:r>
      <w:r w:rsidR="006F1977" w:rsidRPr="00C921DE">
        <w:rPr>
          <w:rFonts w:ascii="GHEA Grapalat" w:hAnsi="GHEA Grapalat" w:cs="Sylfaen"/>
          <w:sz w:val="22"/>
          <w:szCs w:val="22"/>
        </w:rPr>
        <w:t>գործուղ</w:t>
      </w:r>
      <w:r w:rsidR="006F1977" w:rsidRPr="00C921DE">
        <w:rPr>
          <w:rFonts w:ascii="GHEA Grapalat" w:hAnsi="GHEA Grapalat" w:cs="Sylfaen"/>
          <w:sz w:val="22"/>
          <w:szCs w:val="22"/>
          <w:lang w:val="en-US"/>
        </w:rPr>
        <w:t>ումների</w:t>
      </w:r>
      <w:r w:rsidRPr="00C921DE">
        <w:rPr>
          <w:rFonts w:ascii="GHEA Grapalat" w:hAnsi="GHEA Grapalat" w:cs="Sylfaen"/>
          <w:sz w:val="22"/>
          <w:szCs w:val="22"/>
        </w:rPr>
        <w:t>, տարածքի ընթացիկ նորոգման և այլ ծախսերի աճով։</w:t>
      </w:r>
    </w:p>
    <w:p w14:paraId="21CFAF9C" w14:textId="3F4EE3AF"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i/>
          <w:sz w:val="22"/>
          <w:szCs w:val="22"/>
        </w:rPr>
        <w:t>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w:t>
      </w:r>
      <w:r w:rsidRPr="00C921DE">
        <w:rPr>
          <w:rFonts w:ascii="GHEA Grapalat" w:hAnsi="GHEA Grapalat"/>
          <w:sz w:val="22"/>
          <w:szCs w:val="22"/>
        </w:rPr>
        <w:t xml:space="preserve"> ծրագրի ծախսերը</w:t>
      </w:r>
      <w:r w:rsidRPr="00C921DE">
        <w:rPr>
          <w:rFonts w:ascii="GHEA Grapalat" w:hAnsi="GHEA Grapalat" w:cs="Sylfaen"/>
          <w:sz w:val="22"/>
          <w:szCs w:val="22"/>
        </w:rPr>
        <w:t xml:space="preserve"> 2023 թվականին կազմել են </w:t>
      </w:r>
      <w:r w:rsidR="00A578D4" w:rsidRPr="00C921DE">
        <w:rPr>
          <w:rFonts w:ascii="GHEA Grapalat" w:hAnsi="GHEA Grapalat" w:cs="Sylfaen"/>
          <w:sz w:val="22"/>
          <w:szCs w:val="22"/>
          <w:lang w:val="en-US"/>
        </w:rPr>
        <w:t xml:space="preserve">ավելի քան </w:t>
      </w:r>
      <w:r w:rsidRPr="00C921DE">
        <w:rPr>
          <w:rFonts w:ascii="GHEA Grapalat" w:hAnsi="GHEA Grapalat" w:cs="Sylfaen"/>
          <w:sz w:val="22"/>
          <w:szCs w:val="22"/>
        </w:rPr>
        <w:t>3.6</w:t>
      </w:r>
      <w:r w:rsidRPr="00C921DE">
        <w:rPr>
          <w:rFonts w:ascii="Calibri" w:hAnsi="Calibri" w:cs="Calibri"/>
          <w:sz w:val="22"/>
          <w:szCs w:val="22"/>
        </w:rPr>
        <w:t> </w:t>
      </w:r>
      <w:r w:rsidRPr="00C921DE">
        <w:rPr>
          <w:rFonts w:ascii="GHEA Grapalat" w:hAnsi="GHEA Grapalat" w:cs="Sylfaen"/>
          <w:sz w:val="22"/>
          <w:szCs w:val="22"/>
        </w:rPr>
        <w:t xml:space="preserve">մլրդ դրամ կամ ծրագրային ցուցանիշի 99.8%-ը: Նախորդ տարվա համեմատ </w:t>
      </w:r>
      <w:r w:rsidR="00A578D4" w:rsidRPr="00C921DE">
        <w:rPr>
          <w:rFonts w:ascii="GHEA Grapalat" w:hAnsi="GHEA Grapalat" w:cs="Sylfaen"/>
          <w:sz w:val="22"/>
          <w:szCs w:val="22"/>
        </w:rPr>
        <w:t xml:space="preserve">ծրագրի </w:t>
      </w:r>
      <w:r w:rsidRPr="00C921DE">
        <w:rPr>
          <w:rFonts w:ascii="GHEA Grapalat" w:hAnsi="GHEA Grapalat" w:cs="Sylfaen"/>
          <w:sz w:val="22"/>
          <w:szCs w:val="22"/>
        </w:rPr>
        <w:t xml:space="preserve">ծախսերն աճել են 52.7%-ով կամ շուրջ 1.3 մլրդ դրամով, որը հիմնականում պայմանավորված է Հայաստանի </w:t>
      </w:r>
      <w:r w:rsidRPr="00C921DE">
        <w:rPr>
          <w:rFonts w:ascii="GHEA Grapalat" w:hAnsi="GHEA Grapalat" w:cs="Sylfaen"/>
          <w:sz w:val="22"/>
          <w:szCs w:val="22"/>
        </w:rPr>
        <w:lastRenderedPageBreak/>
        <w:t xml:space="preserve">Հանրապետության շահերի ներկայացմանն ու պաշտպանությանն ուղղված փաստաբանական, իրավաբանական ծառայությունների գծով ծախսերի աճով: </w:t>
      </w:r>
    </w:p>
    <w:p w14:paraId="3790B037" w14:textId="4A0043B9" w:rsidR="00391979" w:rsidRPr="00C921DE" w:rsidRDefault="00391979" w:rsidP="0039197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Հաշվետու տարում Հայաստանի Հանրապետության շահերի ներկայացմանն ու պաշտպանությանն ուղղված փաստաբանական, իրավաբանական ծառայությունների շրջանակներում իրականացվել են Միջազգային դատարաններում, միջազգային արբիտրաժներում և այլ միջազգային ատյաններում ՀՀ վերաբերյալ գործընթացներում մասնակցության, դրանց կողմից ընդունված ՀՀ վերաբերյալ վճիռների և որոշումների կատարման ապա</w:t>
      </w:r>
      <w:r w:rsidRPr="00C921DE">
        <w:rPr>
          <w:rFonts w:ascii="GHEA Grapalat" w:hAnsi="GHEA Grapalat" w:cs="Sylfaen"/>
          <w:sz w:val="22"/>
          <w:szCs w:val="22"/>
        </w:rPr>
        <w:softHyphen/>
        <w:t>հովման աշխատանքները։ Միջոցառման ծախսերը</w:t>
      </w:r>
      <w:r w:rsidR="00F271BB" w:rsidRPr="00C921DE">
        <w:rPr>
          <w:rFonts w:ascii="GHEA Grapalat" w:hAnsi="GHEA Grapalat" w:cs="Sylfaen"/>
          <w:sz w:val="22"/>
          <w:szCs w:val="22"/>
          <w:lang w:val="en-US"/>
        </w:rPr>
        <w:t xml:space="preserve"> կատարվել են 99.8%-ով և</w:t>
      </w:r>
      <w:r w:rsidRPr="00C921DE">
        <w:rPr>
          <w:rFonts w:ascii="GHEA Grapalat" w:hAnsi="GHEA Grapalat" w:cs="Sylfaen"/>
          <w:sz w:val="22"/>
          <w:szCs w:val="22"/>
        </w:rPr>
        <w:t xml:space="preserve"> կազմել 3.2 մլրդ դրամ: Նախորդ տարվա համեմատ միջոցառման ծախսերն աճել են 41.9%-ով կամ 955.4 մլն դրամով, որը պայմանավորված է ընդունված վճիռների և որոշումների քանակի աճով։</w:t>
      </w:r>
    </w:p>
    <w:p w14:paraId="44C4FED4" w14:textId="3FB9DAB0" w:rsidR="00391979" w:rsidRPr="00C921DE" w:rsidRDefault="00391979" w:rsidP="00391979">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Sylfaen"/>
          <w:sz w:val="22"/>
          <w:szCs w:val="22"/>
        </w:rPr>
        <w:t xml:space="preserve">Միջազգային արբիտրաժային տրիբունալի կամ օտարերկրյա ներպետական դատարանի ծախսերի վճարման համար միջոցառման </w:t>
      </w:r>
      <w:r w:rsidR="00B37F8C" w:rsidRPr="00C921DE">
        <w:rPr>
          <w:rFonts w:ascii="GHEA Grapalat" w:hAnsi="GHEA Grapalat" w:cs="Sylfaen"/>
          <w:sz w:val="22"/>
          <w:szCs w:val="22"/>
        </w:rPr>
        <w:t>շրջանակներում իրականացվել է</w:t>
      </w:r>
      <w:r w:rsidRPr="00C921DE">
        <w:rPr>
          <w:rFonts w:ascii="GHEA Grapalat" w:hAnsi="GHEA Grapalat" w:cs="Sylfaen"/>
          <w:sz w:val="22"/>
          <w:szCs w:val="22"/>
        </w:rPr>
        <w:t xml:space="preserve"> Միջազգային դատարաններում, միջազգային արբիտրաժներում և այլ միջազ</w:t>
      </w:r>
      <w:r w:rsidRPr="00C921DE">
        <w:rPr>
          <w:rFonts w:ascii="GHEA Grapalat" w:hAnsi="GHEA Grapalat" w:cs="Sylfaen"/>
          <w:sz w:val="22"/>
          <w:szCs w:val="22"/>
        </w:rPr>
        <w:softHyphen/>
        <w:t>գային ատյաններում ՀՀ վերաբերյալ գործընթացներում մասնակցության, դրանց կողմից ընդունված ՀՀ վերաբերյալ վճիռների և որոշումների կատարման ապա</w:t>
      </w:r>
      <w:r w:rsidRPr="00C921DE">
        <w:rPr>
          <w:rFonts w:ascii="GHEA Grapalat" w:hAnsi="GHEA Grapalat" w:cs="Sylfaen"/>
          <w:sz w:val="22"/>
          <w:szCs w:val="22"/>
        </w:rPr>
        <w:softHyphen/>
        <w:t>հով</w:t>
      </w:r>
      <w:r w:rsidR="00B37F8C" w:rsidRPr="00C921DE">
        <w:rPr>
          <w:rFonts w:ascii="GHEA Grapalat" w:hAnsi="GHEA Grapalat" w:cs="Sylfaen"/>
          <w:sz w:val="22"/>
          <w:szCs w:val="22"/>
          <w:lang w:val="en-US"/>
        </w:rPr>
        <w:t>ու</w:t>
      </w:r>
      <w:r w:rsidRPr="00C921DE">
        <w:rPr>
          <w:rFonts w:ascii="GHEA Grapalat" w:hAnsi="GHEA Grapalat" w:cs="Sylfaen"/>
          <w:sz w:val="22"/>
          <w:szCs w:val="22"/>
        </w:rPr>
        <w:t>մ</w:t>
      </w:r>
      <w:r w:rsidR="00B37F8C" w:rsidRPr="00C921DE">
        <w:rPr>
          <w:rFonts w:ascii="GHEA Grapalat" w:hAnsi="GHEA Grapalat" w:cs="Sylfaen"/>
          <w:sz w:val="22"/>
          <w:szCs w:val="22"/>
          <w:lang w:val="en-US"/>
        </w:rPr>
        <w:t>: 2023 թվականին</w:t>
      </w:r>
      <w:r w:rsidR="00213F49" w:rsidRPr="00C921DE">
        <w:rPr>
          <w:rFonts w:ascii="GHEA Grapalat" w:hAnsi="GHEA Grapalat" w:cs="Sylfaen"/>
          <w:sz w:val="22"/>
          <w:szCs w:val="22"/>
          <w:lang w:val="en-US"/>
        </w:rPr>
        <w:t xml:space="preserve"> վճարումներ են կատարվել</w:t>
      </w:r>
      <w:r w:rsidR="00B37F8C" w:rsidRPr="00C921DE">
        <w:rPr>
          <w:rFonts w:ascii="GHEA Grapalat" w:hAnsi="GHEA Grapalat" w:cs="Sylfaen"/>
          <w:sz w:val="22"/>
          <w:szCs w:val="22"/>
          <w:lang w:val="en-US"/>
        </w:rPr>
        <w:t xml:space="preserve"> միջազգային արբիտրաժային տրիբունալում կամ օտարերկրյա ներպետական դատարանում մուտքագրված 4 վարույթների </w:t>
      </w:r>
      <w:r w:rsidR="00213F49" w:rsidRPr="00C921DE">
        <w:rPr>
          <w:rFonts w:ascii="GHEA Grapalat" w:hAnsi="GHEA Grapalat" w:cs="Sylfaen"/>
          <w:sz w:val="22"/>
          <w:szCs w:val="22"/>
          <w:lang w:val="en-US"/>
        </w:rPr>
        <w:t>համար՝ նախատեսված 2-ի փոխարեն</w:t>
      </w:r>
      <w:r w:rsidRPr="00C921DE">
        <w:rPr>
          <w:rFonts w:ascii="GHEA Grapalat" w:hAnsi="GHEA Grapalat" w:cs="Sylfaen"/>
          <w:sz w:val="22"/>
          <w:szCs w:val="22"/>
        </w:rPr>
        <w:t>: Միջոցառմա</w:t>
      </w:r>
      <w:r w:rsidR="00213F49" w:rsidRPr="00C921DE">
        <w:rPr>
          <w:rFonts w:ascii="GHEA Grapalat" w:hAnsi="GHEA Grapalat" w:cs="Sylfaen"/>
          <w:sz w:val="22"/>
          <w:szCs w:val="22"/>
        </w:rPr>
        <w:t>ն ծախսերը կազմել են շուրջ 206.8</w:t>
      </w:r>
      <w:r w:rsidR="00213F49" w:rsidRPr="00C921DE">
        <w:rPr>
          <w:rFonts w:ascii="Calibri" w:hAnsi="Calibri" w:cs="Calibri"/>
          <w:sz w:val="22"/>
          <w:szCs w:val="22"/>
          <w:lang w:val="en-US"/>
        </w:rPr>
        <w:t> </w:t>
      </w:r>
      <w:r w:rsidRPr="00C921DE">
        <w:rPr>
          <w:rFonts w:ascii="GHEA Grapalat" w:hAnsi="GHEA Grapalat" w:cs="Sylfaen"/>
          <w:sz w:val="22"/>
          <w:szCs w:val="22"/>
        </w:rPr>
        <w:t xml:space="preserve">մլն դրամ կամ </w:t>
      </w:r>
      <w:r w:rsidR="00213F49" w:rsidRPr="00C921DE">
        <w:rPr>
          <w:rFonts w:ascii="GHEA Grapalat" w:hAnsi="GHEA Grapalat" w:cs="Sylfaen"/>
          <w:sz w:val="22"/>
          <w:szCs w:val="22"/>
          <w:lang w:val="en-US"/>
        </w:rPr>
        <w:t>ծրագրված ցուցանիշի</w:t>
      </w:r>
      <w:r w:rsidR="005A43CD" w:rsidRPr="00C921DE">
        <w:rPr>
          <w:rFonts w:ascii="GHEA Grapalat" w:hAnsi="GHEA Grapalat" w:cs="Sylfaen"/>
          <w:sz w:val="22"/>
          <w:szCs w:val="22"/>
        </w:rPr>
        <w:t xml:space="preserve"> 99.1%-ը:</w:t>
      </w:r>
      <w:r w:rsidRPr="00C921DE">
        <w:rPr>
          <w:rFonts w:ascii="GHEA Grapalat" w:hAnsi="GHEA Grapalat"/>
          <w:sz w:val="22"/>
          <w:szCs w:val="22"/>
        </w:rPr>
        <w:t xml:space="preserve"> </w:t>
      </w:r>
      <w:r w:rsidR="00213F49" w:rsidRPr="00C921DE">
        <w:rPr>
          <w:rFonts w:ascii="GHEA Grapalat" w:hAnsi="GHEA Grapalat"/>
          <w:sz w:val="22"/>
          <w:szCs w:val="22"/>
        </w:rPr>
        <w:t>202</w:t>
      </w:r>
      <w:r w:rsidR="00213F49" w:rsidRPr="00C921DE">
        <w:rPr>
          <w:rFonts w:ascii="GHEA Grapalat" w:hAnsi="GHEA Grapalat"/>
          <w:sz w:val="22"/>
          <w:szCs w:val="22"/>
          <w:lang w:val="en-US"/>
        </w:rPr>
        <w:t>2</w:t>
      </w:r>
      <w:r w:rsidRPr="00C921DE">
        <w:rPr>
          <w:rFonts w:ascii="GHEA Grapalat" w:hAnsi="GHEA Grapalat"/>
          <w:sz w:val="22"/>
          <w:szCs w:val="22"/>
        </w:rPr>
        <w:t xml:space="preserve"> թվականին</w:t>
      </w:r>
      <w:r w:rsidR="005A43CD" w:rsidRPr="00C921DE">
        <w:rPr>
          <w:rFonts w:ascii="GHEA Grapalat" w:hAnsi="GHEA Grapalat"/>
          <w:sz w:val="22"/>
          <w:szCs w:val="22"/>
          <w:lang w:val="en-US"/>
        </w:rPr>
        <w:t xml:space="preserve"> միջոցառումը չէր կատարվել</w:t>
      </w:r>
      <w:r w:rsidRPr="00C921DE">
        <w:rPr>
          <w:rFonts w:ascii="GHEA Grapalat" w:hAnsi="GHEA Grapalat"/>
          <w:sz w:val="22"/>
          <w:szCs w:val="22"/>
        </w:rPr>
        <w:t>:</w:t>
      </w:r>
    </w:p>
    <w:p w14:paraId="2E9760DF" w14:textId="77777777" w:rsidR="00C56BD7" w:rsidRPr="00C921DE" w:rsidRDefault="00C56BD7" w:rsidP="00C56BD7">
      <w:pPr>
        <w:spacing w:line="360" w:lineRule="auto"/>
        <w:ind w:firstLine="561"/>
        <w:jc w:val="both"/>
        <w:rPr>
          <w:rFonts w:ascii="GHEA Grapalat" w:hAnsi="GHEA Grapalat"/>
          <w:sz w:val="22"/>
          <w:szCs w:val="22"/>
        </w:rPr>
      </w:pPr>
    </w:p>
    <w:p w14:paraId="533D7DF9" w14:textId="51B8DDB0" w:rsidR="00F052AE" w:rsidRPr="00C921DE" w:rsidRDefault="00F052AE" w:rsidP="00F052AE">
      <w:pPr>
        <w:spacing w:line="360" w:lineRule="auto"/>
        <w:ind w:firstLine="561"/>
        <w:jc w:val="both"/>
        <w:rPr>
          <w:rFonts w:ascii="GHEA Grapalat" w:hAnsi="GHEA Grapalat" w:cs="Times Armenian"/>
          <w:sz w:val="22"/>
          <w:szCs w:val="22"/>
        </w:rPr>
      </w:pPr>
      <w:r w:rsidRPr="00C921DE">
        <w:rPr>
          <w:rFonts w:ascii="GHEA Grapalat" w:hAnsi="GHEA Grapalat" w:cs="Sylfaen"/>
          <w:i/>
          <w:sz w:val="22"/>
          <w:szCs w:val="22"/>
          <w:u w:val="single"/>
        </w:rPr>
        <w:t>ՀՀ սահմանադրական դատարանի</w:t>
      </w:r>
      <w:r w:rsidRPr="00C921DE">
        <w:rPr>
          <w:rFonts w:ascii="GHEA Grapalat" w:hAnsi="GHEA Grapalat" w:cs="Sylfaen"/>
          <w:sz w:val="22"/>
          <w:szCs w:val="22"/>
        </w:rPr>
        <w:t xml:space="preserve"> </w:t>
      </w:r>
      <w:r w:rsidRPr="00C921DE">
        <w:rPr>
          <w:rFonts w:ascii="GHEA Grapalat" w:hAnsi="GHEA Grapalat" w:cs="GHEA Grapalat"/>
          <w:i/>
          <w:sz w:val="22"/>
          <w:szCs w:val="22"/>
        </w:rPr>
        <w:t>գործունեության ապահովմանը</w:t>
      </w:r>
      <w:r w:rsidRPr="00C921DE">
        <w:rPr>
          <w:rFonts w:ascii="GHEA Grapalat" w:hAnsi="GHEA Grapalat" w:cs="GHEA Grapalat"/>
          <w:sz w:val="22"/>
          <w:szCs w:val="22"/>
        </w:rPr>
        <w:t xml:space="preserve"> 202</w:t>
      </w:r>
      <w:r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թվականին տրամադրվել է </w:t>
      </w:r>
      <w:r w:rsidRPr="00C921DE">
        <w:rPr>
          <w:rFonts w:ascii="GHEA Grapalat" w:hAnsi="GHEA Grapalat" w:cs="GHEA Grapalat"/>
          <w:sz w:val="22"/>
          <w:szCs w:val="22"/>
          <w:lang w:val="en-US"/>
        </w:rPr>
        <w:t>856.1</w:t>
      </w:r>
      <w:r w:rsidRPr="00C921DE">
        <w:rPr>
          <w:rFonts w:ascii="GHEA Grapalat" w:hAnsi="GHEA Grapalat" w:cs="GHEA Grapalat"/>
          <w:sz w:val="22"/>
          <w:szCs w:val="22"/>
        </w:rPr>
        <w:t xml:space="preserve"> մլն դրամ՝ ապահովելով 98.</w:t>
      </w:r>
      <w:r w:rsidRPr="00C921DE">
        <w:rPr>
          <w:rFonts w:ascii="GHEA Grapalat" w:hAnsi="GHEA Grapalat" w:cs="GHEA Grapalat"/>
          <w:sz w:val="22"/>
          <w:szCs w:val="22"/>
          <w:lang w:val="en-US"/>
        </w:rPr>
        <w:t>4</w:t>
      </w:r>
      <w:r w:rsidRPr="00C921DE">
        <w:rPr>
          <w:rFonts w:ascii="GHEA Grapalat" w:hAnsi="GHEA Grapalat" w:cs="GHEA Grapalat"/>
          <w:sz w:val="22"/>
          <w:szCs w:val="22"/>
        </w:rPr>
        <w:t xml:space="preserve">% կատարողական: Միջոցները հիմնականում ուղղվել են ՀՀ սահմանադրական դատարանի գործունեության և սահմանադրական արդարադատության ապահովման միջոցառմանը, որի ծախսերը կազմել են </w:t>
      </w:r>
      <w:r w:rsidRPr="00C921DE">
        <w:rPr>
          <w:rFonts w:ascii="GHEA Grapalat" w:hAnsi="GHEA Grapalat" w:cs="GHEA Grapalat"/>
          <w:sz w:val="22"/>
          <w:szCs w:val="22"/>
          <w:lang w:val="en-US"/>
        </w:rPr>
        <w:t>828.4</w:t>
      </w:r>
      <w:r w:rsidRPr="00C921DE">
        <w:rPr>
          <w:rFonts w:ascii="GHEA Grapalat" w:hAnsi="GHEA Grapalat" w:cs="GHEA Grapalat"/>
          <w:sz w:val="22"/>
          <w:szCs w:val="22"/>
        </w:rPr>
        <w:t xml:space="preserve"> մլն դրամ կամ ծրագրված ցուցանիշի 98.</w:t>
      </w:r>
      <w:r w:rsidRPr="00C921DE">
        <w:rPr>
          <w:rFonts w:ascii="GHEA Grapalat" w:hAnsi="GHEA Grapalat" w:cs="GHEA Grapalat"/>
          <w:sz w:val="22"/>
          <w:szCs w:val="22"/>
          <w:lang w:val="en-US"/>
        </w:rPr>
        <w:t>4</w:t>
      </w:r>
      <w:r w:rsidRPr="00C921DE">
        <w:rPr>
          <w:rFonts w:ascii="GHEA Grapalat" w:hAnsi="GHEA Grapalat" w:cs="GHEA Grapalat"/>
          <w:sz w:val="22"/>
          <w:szCs w:val="22"/>
        </w:rPr>
        <w:t>%-ը` պայմանավորված տնտեսումներով: 202</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 համեմատ ՀՀ սահմանադրական դատարանի ծախսերն աճել են </w:t>
      </w:r>
      <w:r w:rsidRPr="00C921DE">
        <w:rPr>
          <w:rFonts w:ascii="GHEA Grapalat" w:hAnsi="GHEA Grapalat" w:cs="GHEA Grapalat"/>
          <w:sz w:val="22"/>
          <w:szCs w:val="22"/>
          <w:lang w:val="en-US"/>
        </w:rPr>
        <w:t>16.7</w:t>
      </w:r>
      <w:r w:rsidRPr="00C921DE">
        <w:rPr>
          <w:rFonts w:ascii="GHEA Grapalat" w:hAnsi="GHEA Grapalat" w:cs="GHEA Grapalat"/>
          <w:sz w:val="22"/>
          <w:szCs w:val="22"/>
        </w:rPr>
        <w:t xml:space="preserve">%-ով կամ </w:t>
      </w:r>
      <w:r w:rsidRPr="00C921DE">
        <w:rPr>
          <w:rFonts w:ascii="GHEA Grapalat" w:hAnsi="GHEA Grapalat" w:cs="GHEA Grapalat"/>
          <w:sz w:val="22"/>
          <w:szCs w:val="22"/>
          <w:lang w:val="en-US"/>
        </w:rPr>
        <w:t>122.6</w:t>
      </w:r>
      <w:r w:rsidRPr="00C921DE">
        <w:rPr>
          <w:rFonts w:ascii="GHEA Grapalat" w:hAnsi="GHEA Grapalat" w:cs="GHEA Grapalat"/>
          <w:sz w:val="22"/>
          <w:szCs w:val="22"/>
        </w:rPr>
        <w:t xml:space="preserve"> մլն դրամով, որը մեծ մասամբ </w:t>
      </w:r>
      <w:r w:rsidRPr="00C921DE">
        <w:rPr>
          <w:rFonts w:ascii="GHEA Grapalat" w:hAnsi="GHEA Grapalat" w:cs="GHEA Grapalat"/>
          <w:sz w:val="22"/>
          <w:szCs w:val="22"/>
          <w:lang w:val="en-US"/>
        </w:rPr>
        <w:t>արձանագրվել</w:t>
      </w:r>
      <w:r w:rsidRPr="00C921DE">
        <w:rPr>
          <w:rFonts w:ascii="GHEA Grapalat" w:hAnsi="GHEA Grapalat" w:cs="GHEA Grapalat"/>
          <w:sz w:val="22"/>
          <w:szCs w:val="22"/>
        </w:rPr>
        <w:t xml:space="preserve"> է աշխատանքի վարձատրության ծախսեր</w:t>
      </w:r>
      <w:r w:rsidRPr="00C921DE">
        <w:rPr>
          <w:rFonts w:ascii="GHEA Grapalat" w:hAnsi="GHEA Grapalat" w:cs="GHEA Grapalat"/>
          <w:sz w:val="22"/>
          <w:szCs w:val="22"/>
          <w:lang w:val="en-US"/>
        </w:rPr>
        <w:t>ում</w:t>
      </w:r>
      <w:r w:rsidRPr="00C921DE">
        <w:rPr>
          <w:rFonts w:ascii="GHEA Grapalat" w:hAnsi="GHEA Grapalat" w:cs="GHEA Grapalat"/>
          <w:sz w:val="22"/>
          <w:szCs w:val="22"/>
        </w:rPr>
        <w:t>՝ հիմնականում պայմանավորված</w:t>
      </w:r>
      <w:r w:rsidRPr="00C921DE">
        <w:rPr>
          <w:rFonts w:ascii="GHEA Grapalat" w:hAnsi="GHEA Grapalat" w:cs="GHEA Grapalat"/>
          <w:sz w:val="22"/>
          <w:szCs w:val="22"/>
          <w:lang w:val="en-US"/>
        </w:rPr>
        <w:t xml:space="preserve"> </w:t>
      </w:r>
      <w:r w:rsidR="00C359AF" w:rsidRPr="00C921DE">
        <w:rPr>
          <w:rFonts w:ascii="GHEA Grapalat" w:hAnsi="GHEA Grapalat" w:cs="Sylfaen"/>
          <w:sz w:val="22"/>
          <w:szCs w:val="22"/>
        </w:rPr>
        <w:t>պետական պաշտոն և պետական ծառայության պաշտոն զբաղեցնող անձանց</w:t>
      </w:r>
      <w:r w:rsidR="00C359AF" w:rsidRPr="00C921DE">
        <w:rPr>
          <w:rFonts w:ascii="GHEA Grapalat" w:hAnsi="GHEA Grapalat" w:cs="GHEA Grapalat"/>
          <w:sz w:val="22"/>
          <w:szCs w:val="22"/>
          <w:lang w:val="en-US"/>
        </w:rPr>
        <w:t xml:space="preserve"> </w:t>
      </w:r>
      <w:r w:rsidRPr="00C921DE">
        <w:rPr>
          <w:rFonts w:ascii="GHEA Grapalat" w:hAnsi="GHEA Grapalat" w:cs="GHEA Grapalat"/>
          <w:sz w:val="22"/>
          <w:szCs w:val="22"/>
          <w:lang w:val="en-US"/>
        </w:rPr>
        <w:t>բազային աշխատավարձի բարձրացմամբ</w:t>
      </w:r>
      <w:r w:rsidR="00116A51" w:rsidRPr="00C921DE">
        <w:rPr>
          <w:rFonts w:ascii="GHEA Grapalat" w:hAnsi="GHEA Grapalat" w:cs="GHEA Grapalat"/>
          <w:sz w:val="22"/>
          <w:szCs w:val="22"/>
          <w:lang w:val="en-US"/>
        </w:rPr>
        <w:t xml:space="preserve"> և աշխատավարձերի բնականոն աճով, ինչպես նաև</w:t>
      </w:r>
      <w:r w:rsidRPr="00C921DE">
        <w:rPr>
          <w:rFonts w:ascii="GHEA Grapalat" w:hAnsi="GHEA Grapalat" w:cs="GHEA Grapalat"/>
          <w:sz w:val="22"/>
          <w:szCs w:val="22"/>
          <w:lang w:val="en-US"/>
        </w:rPr>
        <w:t xml:space="preserve"> ՍԴ շենքի ընթացիկ նորոգման ծախսերում</w:t>
      </w:r>
      <w:r w:rsidRPr="00C921DE">
        <w:rPr>
          <w:rFonts w:ascii="GHEA Grapalat" w:hAnsi="GHEA Grapalat" w:cs="GHEA Grapalat"/>
          <w:sz w:val="22"/>
          <w:szCs w:val="22"/>
        </w:rPr>
        <w:t>:</w:t>
      </w:r>
    </w:p>
    <w:p w14:paraId="7916A5E0" w14:textId="77777777" w:rsidR="00F052AE" w:rsidRPr="00C921DE" w:rsidRDefault="00F052AE" w:rsidP="00F052AE">
      <w:pPr>
        <w:spacing w:line="360" w:lineRule="auto"/>
        <w:ind w:firstLine="561"/>
        <w:jc w:val="both"/>
        <w:rPr>
          <w:rFonts w:ascii="GHEA Grapalat" w:hAnsi="GHEA Grapalat" w:cs="Times Armenian"/>
          <w:sz w:val="22"/>
          <w:szCs w:val="22"/>
        </w:rPr>
      </w:pPr>
    </w:p>
    <w:p w14:paraId="4937E494" w14:textId="0B515638" w:rsidR="00F052AE" w:rsidRPr="00C921DE" w:rsidRDefault="00F052AE" w:rsidP="002E18C3">
      <w:pPr>
        <w:spacing w:line="360" w:lineRule="auto"/>
        <w:ind w:firstLine="360"/>
        <w:jc w:val="both"/>
        <w:rPr>
          <w:rFonts w:ascii="GHEA Grapalat" w:hAnsi="GHEA Grapalat" w:cs="GHEA Grapalat"/>
          <w:sz w:val="22"/>
          <w:szCs w:val="22"/>
          <w:lang w:val="en-US"/>
        </w:rPr>
      </w:pPr>
      <w:r w:rsidRPr="00C921DE">
        <w:rPr>
          <w:rFonts w:ascii="GHEA Grapalat" w:hAnsi="GHEA Grapalat" w:cs="GHEA Grapalat"/>
          <w:i/>
          <w:sz w:val="22"/>
          <w:szCs w:val="22"/>
          <w:u w:val="single"/>
        </w:rPr>
        <w:t>Բարձրագույն դատական խորհրդին</w:t>
      </w:r>
      <w:r w:rsidRPr="00C921DE">
        <w:rPr>
          <w:rFonts w:ascii="GHEA Grapalat" w:hAnsi="GHEA Grapalat" w:cs="GHEA Grapalat"/>
          <w:sz w:val="22"/>
          <w:szCs w:val="22"/>
        </w:rPr>
        <w:t xml:space="preserve"> 202</w:t>
      </w:r>
      <w:r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թվականին ՀՀ պետական բյուջեից տրամադրվել է 17</w:t>
      </w:r>
      <w:r w:rsidR="007869BD" w:rsidRPr="00C921DE">
        <w:rPr>
          <w:rFonts w:ascii="Calibri" w:hAnsi="Calibri" w:cs="Calibri"/>
          <w:sz w:val="22"/>
          <w:szCs w:val="22"/>
        </w:rPr>
        <w:t> </w:t>
      </w:r>
      <w:r w:rsidRPr="00C921DE">
        <w:rPr>
          <w:rFonts w:ascii="GHEA Grapalat" w:hAnsi="GHEA Grapalat" w:cs="GHEA Grapalat"/>
          <w:sz w:val="22"/>
          <w:szCs w:val="22"/>
        </w:rPr>
        <w:t xml:space="preserve">մլրդ դրամ՝ ապահովելով տարեկան ծրագրի 99.8% կատարողական: Միջոցներն ուղղվել են </w:t>
      </w:r>
      <w:r w:rsidRPr="00C921DE">
        <w:rPr>
          <w:rFonts w:ascii="GHEA Grapalat" w:hAnsi="GHEA Grapalat" w:cs="GHEA Grapalat"/>
          <w:sz w:val="22"/>
          <w:szCs w:val="22"/>
        </w:rPr>
        <w:lastRenderedPageBreak/>
        <w:t>Դատական իշխանության գործունեության ապահովման և իրականացման ծրագրին</w:t>
      </w:r>
      <w:r w:rsidRPr="00C921DE">
        <w:rPr>
          <w:rFonts w:ascii="GHEA Grapalat" w:hAnsi="GHEA Grapalat" w:cs="GHEA Grapalat"/>
          <w:sz w:val="22"/>
          <w:szCs w:val="22"/>
          <w:lang w:val="en-US"/>
        </w:rPr>
        <w:t>, որի շրջանակներում իրականացվել են 24 միջոցառումներ</w:t>
      </w:r>
      <w:r w:rsidRPr="00C921DE">
        <w:rPr>
          <w:rFonts w:ascii="GHEA Grapalat" w:hAnsi="GHEA Grapalat" w:cs="GHEA Grapalat"/>
          <w:sz w:val="22"/>
          <w:szCs w:val="22"/>
        </w:rPr>
        <w:t>: 202</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 համեմատ Բարձրագույն դատական խորհրդի ծախսերն աճել են 17%-ով կամ 2.</w:t>
      </w:r>
      <w:r w:rsidR="00F71750" w:rsidRPr="00C921DE">
        <w:rPr>
          <w:rFonts w:ascii="GHEA Grapalat" w:hAnsi="GHEA Grapalat" w:cs="GHEA Grapalat"/>
          <w:sz w:val="22"/>
          <w:szCs w:val="22"/>
          <w:lang w:val="en-US"/>
        </w:rPr>
        <w:t>5</w:t>
      </w:r>
      <w:r w:rsidRPr="00C921DE">
        <w:rPr>
          <w:rFonts w:ascii="GHEA Grapalat" w:hAnsi="GHEA Grapalat" w:cs="GHEA Grapalat"/>
          <w:sz w:val="22"/>
          <w:szCs w:val="22"/>
        </w:rPr>
        <w:t xml:space="preserve"> մլրդ դրամով՝ հիմնականում պայմանավորված դատավորների հաստիքների ավելացմամբ</w:t>
      </w:r>
      <w:r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բազային աշխատավարձի բարձրացմամբ</w:t>
      </w:r>
      <w:r w:rsidRPr="00C921DE">
        <w:rPr>
          <w:rFonts w:ascii="GHEA Grapalat" w:hAnsi="GHEA Grapalat" w:cs="GHEA Grapalat"/>
          <w:sz w:val="22"/>
          <w:szCs w:val="22"/>
          <w:lang w:val="en-US"/>
        </w:rPr>
        <w:t xml:space="preserve"> և</w:t>
      </w:r>
      <w:r w:rsidR="00592F4F" w:rsidRPr="00C921DE">
        <w:rPr>
          <w:rFonts w:ascii="GHEA Grapalat" w:hAnsi="GHEA Grapalat" w:cs="GHEA Grapalat"/>
          <w:sz w:val="22"/>
          <w:szCs w:val="22"/>
          <w:lang w:val="en-US"/>
        </w:rPr>
        <w:t xml:space="preserve"> աշխատանքային </w:t>
      </w:r>
      <w:r w:rsidR="00592F4F" w:rsidRPr="00C921DE">
        <w:rPr>
          <w:rFonts w:ascii="GHEA Grapalat" w:hAnsi="GHEA Grapalat" w:cs="GHEA Grapalat"/>
          <w:sz w:val="22"/>
          <w:szCs w:val="22"/>
        </w:rPr>
        <w:t>ստաժի</w:t>
      </w:r>
      <w:r w:rsidR="00592F4F" w:rsidRPr="00C921DE">
        <w:rPr>
          <w:rFonts w:ascii="GHEA Grapalat" w:hAnsi="GHEA Grapalat" w:cs="GHEA Grapalat"/>
          <w:sz w:val="22"/>
          <w:szCs w:val="22"/>
          <w:lang w:val="en-US"/>
        </w:rPr>
        <w:t xml:space="preserve"> հետ կապված՝</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ԲԴԽ ծառայողների</w:t>
      </w:r>
      <w:r w:rsidR="00592F4F" w:rsidRPr="00C921DE">
        <w:rPr>
          <w:rFonts w:ascii="GHEA Grapalat" w:hAnsi="GHEA Grapalat" w:cs="GHEA Grapalat"/>
          <w:sz w:val="22"/>
          <w:szCs w:val="22"/>
          <w:lang w:val="en-US"/>
        </w:rPr>
        <w:t xml:space="preserve"> աշխատավարձերի</w:t>
      </w:r>
      <w:r w:rsidRPr="00C921DE">
        <w:rPr>
          <w:rFonts w:ascii="GHEA Grapalat" w:hAnsi="GHEA Grapalat" w:cs="GHEA Grapalat"/>
          <w:sz w:val="22"/>
          <w:szCs w:val="22"/>
        </w:rPr>
        <w:t xml:space="preserve"> բնականոն աճով</w:t>
      </w:r>
      <w:r w:rsidRPr="00C921DE">
        <w:rPr>
          <w:rFonts w:ascii="GHEA Grapalat" w:hAnsi="GHEA Grapalat" w:cs="GHEA Grapalat"/>
          <w:sz w:val="22"/>
          <w:szCs w:val="22"/>
          <w:lang w:val="en-US"/>
        </w:rPr>
        <w:t>:</w:t>
      </w:r>
      <w:r w:rsidR="002E18C3" w:rsidRPr="00C921DE">
        <w:rPr>
          <w:rFonts w:ascii="GHEA Grapalat" w:hAnsi="GHEA Grapalat" w:cs="GHEA Grapalat"/>
          <w:sz w:val="22"/>
          <w:szCs w:val="22"/>
          <w:lang w:val="en-US"/>
        </w:rPr>
        <w:t xml:space="preserve"> Ծախսերի աճը պայմանավորված է նաև</w:t>
      </w:r>
      <w:r w:rsidRPr="00C921DE">
        <w:rPr>
          <w:rFonts w:ascii="GHEA Grapalat" w:hAnsi="GHEA Grapalat" w:cs="GHEA Grapalat"/>
          <w:sz w:val="22"/>
          <w:szCs w:val="22"/>
        </w:rPr>
        <w:t xml:space="preserve"> «ՀՀ դատական օրենսգիրք</w:t>
      </w:r>
      <w:r w:rsidR="00592F4F"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սահմանադրական օրենք</w:t>
      </w:r>
      <w:r w:rsidR="002E18C3" w:rsidRPr="00C921DE">
        <w:rPr>
          <w:rFonts w:ascii="GHEA Grapalat" w:hAnsi="GHEA Grapalat" w:cs="GHEA Grapalat"/>
          <w:sz w:val="22"/>
          <w:szCs w:val="22"/>
          <w:lang w:val="en-US"/>
        </w:rPr>
        <w:t>ում կատարված</w:t>
      </w:r>
      <w:r w:rsidR="002E18C3" w:rsidRPr="00C921DE">
        <w:rPr>
          <w:rFonts w:ascii="GHEA Grapalat" w:hAnsi="GHEA Grapalat" w:cs="GHEA Grapalat"/>
          <w:sz w:val="22"/>
          <w:szCs w:val="22"/>
        </w:rPr>
        <w:t xml:space="preserve"> փոփոխության համաձայն</w:t>
      </w:r>
      <w:r w:rsidRPr="00C921DE">
        <w:rPr>
          <w:rFonts w:ascii="GHEA Grapalat" w:hAnsi="GHEA Grapalat" w:cs="GHEA Grapalat"/>
          <w:sz w:val="22"/>
          <w:szCs w:val="22"/>
        </w:rPr>
        <w:t>՝ 2023 թվականի ընթացքում Երևան քաղաքի առաջին ատյանի ընդհանուր իրավասության դատարանի փոխարեն երկու նոր դատարաններ</w:t>
      </w:r>
      <w:r w:rsidR="002E18C3" w:rsidRPr="00C921DE">
        <w:rPr>
          <w:rFonts w:ascii="GHEA Grapalat" w:hAnsi="GHEA Grapalat" w:cs="GHEA Grapalat"/>
          <w:sz w:val="22"/>
          <w:szCs w:val="22"/>
          <w:lang w:val="en-US"/>
        </w:rPr>
        <w:t>ի</w:t>
      </w:r>
      <w:r w:rsidRPr="00C921DE">
        <w:rPr>
          <w:rFonts w:ascii="GHEA Grapalat" w:hAnsi="GHEA Grapalat" w:cs="GHEA Grapalat"/>
          <w:sz w:val="22"/>
          <w:szCs w:val="22"/>
        </w:rPr>
        <w:t>՝ Երևան քաղաքի առաջին ատյանի ընդհանուր իրավասության քաղաքացիական դատարան</w:t>
      </w:r>
      <w:r w:rsidR="002E18C3" w:rsidRPr="00C921DE">
        <w:rPr>
          <w:rFonts w:ascii="GHEA Grapalat" w:hAnsi="GHEA Grapalat" w:cs="GHEA Grapalat"/>
          <w:sz w:val="22"/>
          <w:szCs w:val="22"/>
          <w:lang w:val="en-US"/>
        </w:rPr>
        <w:t>ի</w:t>
      </w:r>
      <w:r w:rsidRPr="00C921DE">
        <w:rPr>
          <w:rFonts w:ascii="GHEA Grapalat" w:hAnsi="GHEA Grapalat" w:cs="GHEA Grapalat"/>
          <w:sz w:val="22"/>
          <w:szCs w:val="22"/>
        </w:rPr>
        <w:t xml:space="preserve"> և Երևան քաղաքի առաջին ատյանի ընդհանուր իրավասության քրեական դատարան</w:t>
      </w:r>
      <w:r w:rsidR="002E18C3" w:rsidRPr="00C921DE">
        <w:rPr>
          <w:rFonts w:ascii="GHEA Grapalat" w:hAnsi="GHEA Grapalat" w:cs="GHEA Grapalat"/>
          <w:sz w:val="22"/>
          <w:szCs w:val="22"/>
          <w:lang w:val="en-US"/>
        </w:rPr>
        <w:t xml:space="preserve">ի </w:t>
      </w:r>
      <w:r w:rsidR="002E18C3" w:rsidRPr="00C921DE">
        <w:rPr>
          <w:rFonts w:ascii="GHEA Grapalat" w:hAnsi="GHEA Grapalat" w:cs="GHEA Grapalat"/>
          <w:sz w:val="22"/>
          <w:szCs w:val="22"/>
        </w:rPr>
        <w:t>ձևավորմամբ</w:t>
      </w:r>
      <w:r w:rsidR="002E18C3" w:rsidRPr="00C921DE">
        <w:rPr>
          <w:rFonts w:ascii="GHEA Grapalat" w:hAnsi="GHEA Grapalat" w:cs="GHEA Grapalat"/>
          <w:sz w:val="22"/>
          <w:szCs w:val="22"/>
          <w:lang w:val="en-US"/>
        </w:rPr>
        <w:t>:</w:t>
      </w:r>
    </w:p>
    <w:p w14:paraId="31C2CF40" w14:textId="77777777" w:rsidR="00F052AE" w:rsidRPr="00C921DE" w:rsidRDefault="00F052AE" w:rsidP="00F052AE">
      <w:pPr>
        <w:spacing w:line="360" w:lineRule="auto"/>
        <w:ind w:firstLine="561"/>
        <w:jc w:val="both"/>
        <w:rPr>
          <w:rFonts w:ascii="GHEA Grapalat" w:hAnsi="GHEA Grapalat" w:cs="GHEA Grapalat"/>
          <w:sz w:val="22"/>
          <w:szCs w:val="22"/>
        </w:rPr>
      </w:pPr>
    </w:p>
    <w:p w14:paraId="0048EE31" w14:textId="233FA085" w:rsidR="00F052AE" w:rsidRPr="00C921DE" w:rsidRDefault="00F052AE" w:rsidP="00F052AE">
      <w:pPr>
        <w:spacing w:line="360" w:lineRule="auto"/>
        <w:ind w:firstLine="561"/>
        <w:jc w:val="both"/>
        <w:rPr>
          <w:rFonts w:ascii="GHEA Grapalat" w:hAnsi="GHEA Grapalat" w:cs="GHEA Grapalat"/>
          <w:sz w:val="22"/>
          <w:szCs w:val="22"/>
        </w:rPr>
      </w:pPr>
      <w:r w:rsidRPr="00C921DE">
        <w:rPr>
          <w:rFonts w:ascii="GHEA Grapalat" w:hAnsi="GHEA Grapalat" w:cs="GHEA Grapalat"/>
          <w:i/>
          <w:sz w:val="22"/>
          <w:szCs w:val="22"/>
          <w:u w:val="single"/>
        </w:rPr>
        <w:t>ՀՀ դատախազությանը</w:t>
      </w:r>
      <w:r w:rsidRPr="00C921DE">
        <w:rPr>
          <w:rFonts w:ascii="GHEA Grapalat" w:hAnsi="GHEA Grapalat" w:cs="GHEA Grapalat"/>
          <w:i/>
          <w:sz w:val="22"/>
          <w:szCs w:val="22"/>
          <w:lang w:val="en-US"/>
        </w:rPr>
        <w:t xml:space="preserve"> </w:t>
      </w:r>
      <w:r w:rsidRPr="00C921DE">
        <w:rPr>
          <w:rFonts w:ascii="GHEA Grapalat" w:hAnsi="GHEA Grapalat" w:cs="GHEA Grapalat"/>
          <w:sz w:val="22"/>
          <w:szCs w:val="22"/>
        </w:rPr>
        <w:t xml:space="preserve">2023 թվականին տրամադրվել է 10.1 մլրդ դրամ՝ ապահովելով ծրագրված ցուցանիշի 99.5%-ը: Հատկացումների հաշվին իրականացվել են 3 ծրագրեր: Միջոցների գերակշիռ մասը՝ 9.3 մլրդ դրամը, տրամադրվել է </w:t>
      </w:r>
      <w:r w:rsidRPr="00C921DE">
        <w:rPr>
          <w:rFonts w:ascii="GHEA Grapalat" w:hAnsi="GHEA Grapalat" w:cs="GHEA Grapalat"/>
          <w:i/>
          <w:sz w:val="22"/>
          <w:szCs w:val="22"/>
        </w:rPr>
        <w:t>Դատական ղեկավարման և դատախազական հսկողության</w:t>
      </w:r>
      <w:r w:rsidRPr="00C921DE">
        <w:rPr>
          <w:rFonts w:ascii="GHEA Grapalat" w:hAnsi="GHEA Grapalat" w:cs="GHEA Grapalat"/>
          <w:sz w:val="22"/>
          <w:szCs w:val="22"/>
        </w:rPr>
        <w:t xml:space="preserve"> ծրագրին, որը կատարվել է 99.5%-ով: Նախորդ տարվա համեմատ ՀՀ դատախազության ծախսերն աճել են 39.3%</w:t>
      </w:r>
      <w:r w:rsidRPr="00C921DE">
        <w:rPr>
          <w:rFonts w:ascii="GHEA Grapalat" w:hAnsi="GHEA Grapalat" w:cs="GHEA Grapalat"/>
          <w:sz w:val="22"/>
          <w:szCs w:val="22"/>
        </w:rPr>
        <w:noBreakHyphen/>
        <w:t>ով կամ շուրջ 2.9 մլրդ դրամով՝ պայմանավորված քրեական հետապնդման, դատավարական ղեկավարման և դատախազական հսկողության ծառայությունների տրամադրման ծախսերի 43.5% (2.8 մլրդ դրամ) և փորձաքննության ծառայությունների տրամադրման ծախսերի՝ 15.5% (113.7 մլն դրամ) աճով: Նշված առաջին միջոցառման գծով ծախսերի աճը պայմանավորված է</w:t>
      </w:r>
      <w:r w:rsidR="002C7062" w:rsidRPr="00C921DE">
        <w:rPr>
          <w:rFonts w:ascii="GHEA Grapalat" w:hAnsi="GHEA Grapalat" w:cs="GHEA Grapalat"/>
          <w:sz w:val="22"/>
          <w:szCs w:val="22"/>
        </w:rPr>
        <w:t xml:space="preserve"> 2023</w:t>
      </w:r>
      <w:r w:rsidR="003D6C1B" w:rsidRPr="00C921DE">
        <w:rPr>
          <w:rFonts w:ascii="GHEA Grapalat" w:hAnsi="GHEA Grapalat" w:cs="GHEA Grapalat"/>
          <w:sz w:val="22"/>
          <w:szCs w:val="22"/>
        </w:rPr>
        <w:t xml:space="preserve"> </w:t>
      </w:r>
      <w:r w:rsidR="002C7062" w:rsidRPr="00C921DE">
        <w:rPr>
          <w:rFonts w:ascii="GHEA Grapalat" w:hAnsi="GHEA Grapalat" w:cs="GHEA Grapalat"/>
          <w:sz w:val="22"/>
          <w:szCs w:val="22"/>
        </w:rPr>
        <w:t>թվականի հունվարի 1-ից պետական պաշտոն և պետական ծառայության պաշտոն զբաղեցնող անձանց բազային աշխատավարձի բարձրացմամբ</w:t>
      </w:r>
      <w:r w:rsidRPr="00C921DE">
        <w:rPr>
          <w:rFonts w:ascii="GHEA Grapalat" w:hAnsi="GHEA Grapalat" w:cs="GHEA Grapalat"/>
          <w:sz w:val="22"/>
          <w:szCs w:val="22"/>
        </w:rPr>
        <w:t>:</w:t>
      </w:r>
    </w:p>
    <w:p w14:paraId="08E67AE9" w14:textId="5A5F91EB" w:rsidR="00F052AE" w:rsidRPr="00C921DE" w:rsidRDefault="00F052AE" w:rsidP="00F052AE">
      <w:pPr>
        <w:spacing w:line="360" w:lineRule="auto"/>
        <w:ind w:firstLine="561"/>
        <w:jc w:val="both"/>
        <w:rPr>
          <w:rFonts w:ascii="GHEA Grapalat" w:hAnsi="GHEA Grapalat" w:cs="GHEA Grapalat"/>
          <w:sz w:val="22"/>
          <w:szCs w:val="22"/>
        </w:rPr>
      </w:pPr>
      <w:r w:rsidRPr="00C921DE">
        <w:rPr>
          <w:rFonts w:ascii="GHEA Grapalat" w:hAnsi="GHEA Grapalat" w:cs="GHEA Grapalat"/>
          <w:sz w:val="22"/>
          <w:szCs w:val="22"/>
        </w:rPr>
        <w:t>Փորձաքննության ծառայությունների գծով ծախսեր</w:t>
      </w:r>
      <w:r w:rsidR="002F4308" w:rsidRPr="00C921DE">
        <w:rPr>
          <w:rFonts w:ascii="GHEA Grapalat" w:hAnsi="GHEA Grapalat" w:cs="GHEA Grapalat"/>
          <w:sz w:val="22"/>
          <w:szCs w:val="22"/>
        </w:rPr>
        <w:t xml:space="preserve">ը կազմել են 849.4 մլն դրամ՝ </w:t>
      </w:r>
      <w:r w:rsidR="00A01942" w:rsidRPr="00C921DE">
        <w:rPr>
          <w:rFonts w:ascii="GHEA Grapalat" w:hAnsi="GHEA Grapalat" w:cs="GHEA Grapalat"/>
          <w:sz w:val="22"/>
          <w:szCs w:val="22"/>
        </w:rPr>
        <w:t>ապահովելով</w:t>
      </w:r>
      <w:r w:rsidR="00A01942" w:rsidRPr="00C921DE">
        <w:rPr>
          <w:rFonts w:ascii="GHEA Grapalat" w:hAnsi="GHEA Grapalat" w:cs="GHEA Grapalat"/>
          <w:sz w:val="22"/>
          <w:szCs w:val="22"/>
          <w:lang w:val="en-US"/>
        </w:rPr>
        <w:t xml:space="preserve"> 100% կատարողական: Նախորդ տարվա համեմատ ծախսերի</w:t>
      </w:r>
      <w:r w:rsidRPr="00C921DE">
        <w:rPr>
          <w:rFonts w:ascii="GHEA Grapalat" w:hAnsi="GHEA Grapalat" w:cs="GHEA Grapalat"/>
          <w:sz w:val="22"/>
          <w:szCs w:val="22"/>
          <w:lang w:val="en-US"/>
        </w:rPr>
        <w:t xml:space="preserve"> աճը պայմանավորված է կատարված փորձաքննությունների թվի աճով: 2023 թվականին իրականացվել է 15052 փորձաքննություն՝ 2022 թվականի 14404-ի դիմաց:</w:t>
      </w:r>
    </w:p>
    <w:p w14:paraId="0F280275" w14:textId="77777777" w:rsidR="00C56BD7" w:rsidRPr="00C921DE" w:rsidRDefault="00C56BD7" w:rsidP="00C56BD7">
      <w:pPr>
        <w:spacing w:line="360" w:lineRule="auto"/>
        <w:ind w:firstLine="561"/>
        <w:jc w:val="both"/>
        <w:rPr>
          <w:rFonts w:ascii="GHEA Grapalat" w:hAnsi="GHEA Grapalat" w:cs="Times Armenian"/>
          <w:sz w:val="22"/>
          <w:szCs w:val="22"/>
        </w:rPr>
      </w:pPr>
    </w:p>
    <w:p w14:paraId="0CF2FB87" w14:textId="4BF6C8B1" w:rsidR="006A2C9F" w:rsidRPr="00C921DE" w:rsidRDefault="00C56BD7" w:rsidP="006A2C9F">
      <w:pPr>
        <w:autoSpaceDE w:val="0"/>
        <w:autoSpaceDN w:val="0"/>
        <w:adjustRightInd w:val="0"/>
        <w:spacing w:line="360" w:lineRule="auto"/>
        <w:ind w:firstLine="567"/>
        <w:jc w:val="both"/>
        <w:rPr>
          <w:rFonts w:ascii="GHEA Grapalat" w:hAnsi="GHEA Grapalat" w:cs="GHEA Grapalat"/>
          <w:sz w:val="22"/>
          <w:szCs w:val="22"/>
          <w:lang w:val="pt-BR"/>
        </w:rPr>
      </w:pPr>
      <w:r w:rsidRPr="00C921DE">
        <w:rPr>
          <w:rFonts w:ascii="GHEA Grapalat" w:hAnsi="GHEA Grapalat" w:cs="GHEA Grapalat"/>
          <w:i/>
          <w:sz w:val="22"/>
          <w:szCs w:val="22"/>
          <w:u w:val="single"/>
        </w:rPr>
        <w:t>ՀՀ տարածքային կառավարման և ենթակառուցվածքների նախարարությ</w:t>
      </w:r>
      <w:r w:rsidRPr="00C921DE">
        <w:rPr>
          <w:rFonts w:ascii="GHEA Grapalat" w:hAnsi="GHEA Grapalat" w:cs="GHEA Grapalat"/>
          <w:i/>
          <w:sz w:val="22"/>
          <w:szCs w:val="22"/>
          <w:u w:val="single"/>
          <w:lang w:val="ru-RU"/>
        </w:rPr>
        <w:t>ա</w:t>
      </w:r>
      <w:r w:rsidRPr="00C921DE">
        <w:rPr>
          <w:rFonts w:ascii="GHEA Grapalat" w:hAnsi="GHEA Grapalat" w:cs="GHEA Grapalat"/>
          <w:i/>
          <w:sz w:val="22"/>
          <w:szCs w:val="22"/>
          <w:u w:val="single"/>
        </w:rPr>
        <w:t>ն</w:t>
      </w:r>
      <w:r w:rsidRPr="00C921DE">
        <w:rPr>
          <w:rFonts w:ascii="GHEA Grapalat" w:hAnsi="GHEA Grapalat" w:cs="GHEA Grapalat"/>
          <w:sz w:val="22"/>
          <w:szCs w:val="22"/>
        </w:rPr>
        <w:t xml:space="preserve"> </w:t>
      </w:r>
      <w:r w:rsidR="006A2C9F" w:rsidRPr="00C921DE">
        <w:rPr>
          <w:rFonts w:ascii="GHEA Grapalat" w:hAnsi="GHEA Grapalat" w:cs="GHEA Grapalat"/>
          <w:sz w:val="22"/>
          <w:szCs w:val="22"/>
        </w:rPr>
        <w:t>պատասխանա-տվությամբ 202</w:t>
      </w:r>
      <w:r w:rsidR="006A2C9F" w:rsidRPr="00C921DE">
        <w:rPr>
          <w:rFonts w:ascii="GHEA Grapalat" w:hAnsi="GHEA Grapalat" w:cs="GHEA Grapalat"/>
          <w:sz w:val="22"/>
          <w:szCs w:val="22"/>
          <w:lang w:val="en-US"/>
        </w:rPr>
        <w:t>3</w:t>
      </w:r>
      <w:r w:rsidR="006A2C9F" w:rsidRPr="00C921DE">
        <w:rPr>
          <w:rFonts w:ascii="GHEA Grapalat" w:hAnsi="GHEA Grapalat" w:cs="GHEA Grapalat"/>
          <w:sz w:val="22"/>
          <w:szCs w:val="22"/>
        </w:rPr>
        <w:t xml:space="preserve"> թվականի ընթացքում կատարվել է պետական բյուջեի 2</w:t>
      </w:r>
      <w:r w:rsidR="006A2C9F" w:rsidRPr="00C921DE">
        <w:rPr>
          <w:rFonts w:ascii="GHEA Grapalat" w:hAnsi="GHEA Grapalat" w:cs="GHEA Grapalat"/>
          <w:sz w:val="22"/>
          <w:szCs w:val="22"/>
          <w:lang w:val="en-US"/>
        </w:rPr>
        <w:t>1</w:t>
      </w:r>
      <w:r w:rsidR="006A2C9F" w:rsidRPr="00C921DE">
        <w:rPr>
          <w:rFonts w:ascii="GHEA Grapalat" w:hAnsi="GHEA Grapalat" w:cs="GHEA Grapalat"/>
          <w:sz w:val="22"/>
          <w:szCs w:val="22"/>
        </w:rPr>
        <w:t xml:space="preserve"> ծրագիր, որոնց գծով ծախսերը կազմել են շուրջ 270 մլրդ դրամ կամ ծրագրված ցուցանիշի 98.2%-ը: Ծրագրից շեղումը հիմնականում պայմանավորված է Ճանապարհային ցանցի բարելավման և Քաղաքային զարգացման ծրագրերի կատարողականով: 2023 թվականին 2022 թվականի համեմատ ծախսերի 20.9%-ով </w:t>
      </w:r>
      <w:r w:rsidR="006A2C9F" w:rsidRPr="00C921DE">
        <w:rPr>
          <w:rFonts w:ascii="GHEA Grapalat" w:hAnsi="GHEA Grapalat" w:cs="GHEA Grapalat"/>
          <w:sz w:val="22"/>
          <w:szCs w:val="22"/>
        </w:rPr>
        <w:lastRenderedPageBreak/>
        <w:t>(46.6</w:t>
      </w:r>
      <w:r w:rsidR="00D60B45" w:rsidRPr="00C921DE">
        <w:rPr>
          <w:rFonts w:ascii="Calibri" w:hAnsi="Calibri" w:cs="Calibri"/>
          <w:sz w:val="22"/>
          <w:szCs w:val="22"/>
          <w:lang w:val="en-US"/>
        </w:rPr>
        <w:t> </w:t>
      </w:r>
      <w:r w:rsidR="006A2C9F" w:rsidRPr="00C921DE">
        <w:rPr>
          <w:rFonts w:ascii="GHEA Grapalat" w:hAnsi="GHEA Grapalat" w:cs="GHEA Grapalat"/>
          <w:sz w:val="22"/>
          <w:szCs w:val="22"/>
        </w:rPr>
        <w:t xml:space="preserve">մլրդ դրամով) աճը հիմնականում պայմանավորված է Տարածքային զարգացման և Ճանապարհային ցանցի բարելավման ծրագրերի շրջանակներում կատարված ծախսերի աճով: </w:t>
      </w:r>
      <w:r w:rsidR="00551499" w:rsidRPr="00C921DE">
        <w:rPr>
          <w:rFonts w:ascii="GHEA Grapalat" w:hAnsi="GHEA Grapalat" w:cs="GHEA Grapalat"/>
          <w:sz w:val="22"/>
          <w:szCs w:val="22"/>
        </w:rPr>
        <w:t xml:space="preserve">Միաժամանակ, նախարարության ընդհանուր ծախսերի աճի վրա զգալի բացասական ազդեցություն է ունեցել Պետական գույքի կառավարման ծրագրի շրջանակներում ոչ ֆինանսական ակտիվների օտարումից մուտքերի աճը: </w:t>
      </w:r>
      <w:r w:rsidR="006A2C9F" w:rsidRPr="00C921DE">
        <w:rPr>
          <w:rFonts w:ascii="GHEA Grapalat" w:hAnsi="GHEA Grapalat" w:cs="GHEA Grapalat"/>
          <w:sz w:val="22"/>
          <w:szCs w:val="22"/>
        </w:rPr>
        <w:t>Նշենք, որ 2023 թվականի հուլիսի 1-ից ՀՀ ՏԿԵՆ միգրացիոն ծառայությունը ներառվել է ՀՀ ներքին գործերի նախարարության համակարգում, ուստի նախկինում</w:t>
      </w:r>
      <w:r w:rsidR="006A2C9F" w:rsidRPr="00C921DE">
        <w:rPr>
          <w:rFonts w:ascii="GHEA Grapalat" w:hAnsi="GHEA Grapalat" w:cs="GHEA Grapalat"/>
          <w:sz w:val="22"/>
          <w:szCs w:val="22"/>
          <w:lang w:val="pt-BR"/>
        </w:rPr>
        <w:t xml:space="preserve"> ՀՀ ՏԿԵՆ պատասխանատվությամբ իրականացվող «Աջակցություն փախստականների ինտեգրմանը» և «Միգրացիոն բնագավառում պետական քաղաքականության մշակում և իրականացում» ծրագրերը ներառվել են ՀՀ ՆԳՆ պատասխանատվությամբ իրականացվող ծախսերում:</w:t>
      </w:r>
      <w:r w:rsidR="006A2C9F" w:rsidRPr="00C921DE">
        <w:rPr>
          <w:rFonts w:ascii="GHEA Grapalat" w:hAnsi="GHEA Grapalat" w:cs="GHEA Grapalat"/>
          <w:sz w:val="22"/>
          <w:szCs w:val="22"/>
        </w:rPr>
        <w:t xml:space="preserve"> Վերոնշյալից ելնելով՝ 2022 թվականի համադրելի ցուցանիշի համեմատ ՀՀ ՏԿԵՆ ծախսերի </w:t>
      </w:r>
      <w:r w:rsidR="00ED11F8" w:rsidRPr="00C921DE">
        <w:rPr>
          <w:rFonts w:ascii="GHEA Grapalat" w:hAnsi="GHEA Grapalat" w:cs="GHEA Grapalat"/>
          <w:sz w:val="22"/>
          <w:szCs w:val="22"/>
          <w:lang w:val="en-US"/>
        </w:rPr>
        <w:t>աճը կկազմի</w:t>
      </w:r>
      <w:r w:rsidR="006A2C9F" w:rsidRPr="00C921DE">
        <w:rPr>
          <w:rFonts w:ascii="GHEA Grapalat" w:hAnsi="GHEA Grapalat" w:cs="GHEA Grapalat"/>
          <w:sz w:val="22"/>
          <w:szCs w:val="22"/>
        </w:rPr>
        <w:t xml:space="preserve"> 21.5</w:t>
      </w:r>
      <w:r w:rsidR="006A2C9F" w:rsidRPr="00C921DE">
        <w:rPr>
          <w:rFonts w:ascii="GHEA Grapalat" w:hAnsi="GHEA Grapalat" w:cs="GHEA Grapalat"/>
          <w:sz w:val="22"/>
          <w:szCs w:val="22"/>
          <w:lang w:val="pt-BR"/>
        </w:rPr>
        <w:t>% (</w:t>
      </w:r>
      <w:r w:rsidR="006A2C9F" w:rsidRPr="00C921DE">
        <w:rPr>
          <w:rFonts w:ascii="GHEA Grapalat" w:hAnsi="GHEA Grapalat" w:cs="GHEA Grapalat"/>
          <w:sz w:val="22"/>
          <w:szCs w:val="22"/>
        </w:rPr>
        <w:t>47.8</w:t>
      </w:r>
      <w:r w:rsidR="006A2C9F" w:rsidRPr="00C921DE">
        <w:rPr>
          <w:rFonts w:ascii="Calibri" w:hAnsi="Calibri" w:cs="Calibri"/>
          <w:sz w:val="22"/>
          <w:szCs w:val="22"/>
          <w:lang w:val="pt-BR"/>
        </w:rPr>
        <w:t> </w:t>
      </w:r>
      <w:r w:rsidR="006A2C9F" w:rsidRPr="00C921DE">
        <w:rPr>
          <w:rFonts w:ascii="GHEA Grapalat" w:hAnsi="GHEA Grapalat" w:cs="GHEA Grapalat"/>
          <w:sz w:val="22"/>
          <w:szCs w:val="22"/>
          <w:lang w:val="pt-BR"/>
        </w:rPr>
        <w:t>մլրդ</w:t>
      </w:r>
      <w:r w:rsidR="00ED11F8" w:rsidRPr="00C921DE">
        <w:rPr>
          <w:rFonts w:ascii="GHEA Grapalat" w:hAnsi="GHEA Grapalat" w:cs="GHEA Grapalat"/>
          <w:sz w:val="22"/>
          <w:szCs w:val="22"/>
          <w:lang w:val="pt-BR"/>
        </w:rPr>
        <w:t xml:space="preserve"> դրամ)</w:t>
      </w:r>
      <w:r w:rsidR="006A2C9F" w:rsidRPr="00C921DE">
        <w:rPr>
          <w:rFonts w:ascii="GHEA Grapalat" w:hAnsi="GHEA Grapalat" w:cs="GHEA Grapalat"/>
          <w:sz w:val="22"/>
          <w:szCs w:val="22"/>
          <w:lang w:val="pt-BR"/>
        </w:rPr>
        <w:t>:</w:t>
      </w:r>
    </w:p>
    <w:p w14:paraId="557E0F42" w14:textId="77777777" w:rsidR="005A0AD6" w:rsidRPr="00C921DE" w:rsidRDefault="005A0AD6" w:rsidP="00A605DF">
      <w:pPr>
        <w:autoSpaceDE w:val="0"/>
        <w:autoSpaceDN w:val="0"/>
        <w:adjustRightInd w:val="0"/>
        <w:ind w:firstLine="567"/>
        <w:jc w:val="both"/>
        <w:rPr>
          <w:rFonts w:ascii="GHEA Grapalat" w:hAnsi="GHEA Grapalat" w:cs="GHEA Grapalat"/>
          <w:sz w:val="22"/>
          <w:szCs w:val="22"/>
        </w:rPr>
      </w:pPr>
    </w:p>
    <w:p w14:paraId="60A82649" w14:textId="77777777" w:rsidR="006A2C9F" w:rsidRPr="00C921DE" w:rsidRDefault="006A2C9F" w:rsidP="006A2C9F">
      <w:pPr>
        <w:keepNext/>
        <w:numPr>
          <w:ilvl w:val="0"/>
          <w:numId w:val="16"/>
        </w:numPr>
        <w:tabs>
          <w:tab w:val="left" w:pos="-90"/>
          <w:tab w:val="left" w:pos="990"/>
        </w:tabs>
        <w:spacing w:before="120" w:after="120"/>
        <w:ind w:left="-90" w:firstLine="0"/>
        <w:rPr>
          <w:rFonts w:ascii="GHEA Grapalat" w:hAnsi="GHEA Grapalat"/>
          <w:b/>
          <w:bCs/>
          <w:i/>
          <w:noProof w:val="0"/>
          <w:sz w:val="18"/>
          <w:szCs w:val="18"/>
        </w:rPr>
      </w:pPr>
      <w:r w:rsidRPr="00C921DE">
        <w:rPr>
          <w:rFonts w:ascii="GHEA Grapalat" w:hAnsi="GHEA Grapalat"/>
          <w:b/>
          <w:bCs/>
          <w:i/>
          <w:noProof w:val="0"/>
          <w:sz w:val="18"/>
          <w:szCs w:val="18"/>
        </w:rPr>
        <w:t>2023թ. ՀՀ տարածքային կառավարման և ենթակառուցվածքների նախարարության կողմից իրականացված ծրագրերը (մլն դրամ)</w:t>
      </w:r>
    </w:p>
    <w:p w14:paraId="2DD199DC" w14:textId="77777777" w:rsidR="006A2C9F" w:rsidRPr="00C921DE" w:rsidRDefault="006A2C9F" w:rsidP="006A2C9F">
      <w:pPr>
        <w:autoSpaceDE w:val="0"/>
        <w:autoSpaceDN w:val="0"/>
        <w:adjustRightInd w:val="0"/>
        <w:ind w:firstLine="567"/>
        <w:jc w:val="both"/>
        <w:rPr>
          <w:rFonts w:ascii="GHEA Grapalat" w:hAnsi="GHEA Grapalat" w:cs="GHEA Grapalat"/>
          <w:b/>
          <w:bCs/>
          <w:iCs/>
          <w:sz w:val="18"/>
          <w:szCs w:val="18"/>
        </w:rPr>
      </w:pPr>
    </w:p>
    <w:tbl>
      <w:tblPr>
        <w:tblW w:w="10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7"/>
        <w:gridCol w:w="1272"/>
        <w:gridCol w:w="1063"/>
        <w:gridCol w:w="1084"/>
        <w:gridCol w:w="1203"/>
        <w:gridCol w:w="1203"/>
        <w:gridCol w:w="1048"/>
      </w:tblGrid>
      <w:tr w:rsidR="00B7454E" w:rsidRPr="00C921DE" w14:paraId="1AA72A3E" w14:textId="77777777" w:rsidTr="00B7454E">
        <w:trPr>
          <w:trHeight w:val="300"/>
          <w:jc w:val="center"/>
        </w:trPr>
        <w:tc>
          <w:tcPr>
            <w:tcW w:w="3437" w:type="dxa"/>
            <w:noWrap/>
            <w:vAlign w:val="bottom"/>
          </w:tcPr>
          <w:p w14:paraId="5D085081" w14:textId="77777777" w:rsidR="00B7454E" w:rsidRPr="00C921DE" w:rsidRDefault="00B7454E" w:rsidP="00B7454E">
            <w:pPr>
              <w:rPr>
                <w:rFonts w:ascii="GHEA Grapalat" w:hAnsi="GHEA Grapalat" w:cs="Calibri"/>
                <w:sz w:val="18"/>
                <w:szCs w:val="18"/>
              </w:rPr>
            </w:pPr>
          </w:p>
        </w:tc>
        <w:tc>
          <w:tcPr>
            <w:tcW w:w="1272" w:type="dxa"/>
          </w:tcPr>
          <w:p w14:paraId="23055EEC" w14:textId="7777777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lang w:val="pt-BR"/>
              </w:rPr>
              <w:t>2022</w:t>
            </w:r>
            <w:r w:rsidRPr="00C921DE">
              <w:rPr>
                <w:rFonts w:ascii="GHEA Grapalat" w:hAnsi="GHEA Grapalat" w:cs="Calibri"/>
                <w:b/>
                <w:bCs/>
                <w:sz w:val="18"/>
                <w:szCs w:val="18"/>
              </w:rPr>
              <w:t>թ</w:t>
            </w:r>
            <w:r w:rsidRPr="00C921DE">
              <w:rPr>
                <w:rFonts w:ascii="GHEA Grapalat" w:hAnsi="GHEA Grapalat" w:cs="Calibri"/>
                <w:b/>
                <w:bCs/>
                <w:sz w:val="18"/>
                <w:szCs w:val="18"/>
                <w:lang w:val="pt-BR"/>
              </w:rPr>
              <w:t xml:space="preserve">. </w:t>
            </w:r>
            <w:r w:rsidRPr="00C921DE">
              <w:rPr>
                <w:rFonts w:ascii="GHEA Grapalat" w:hAnsi="GHEA Grapalat" w:cs="Calibri"/>
                <w:b/>
                <w:bCs/>
                <w:sz w:val="18"/>
                <w:szCs w:val="18"/>
              </w:rPr>
              <w:t>փաստ</w:t>
            </w:r>
            <w:r w:rsidRPr="00C921DE">
              <w:rPr>
                <w:rFonts w:ascii="GHEA Grapalat" w:hAnsi="GHEA Grapalat" w:cs="Calibri"/>
                <w:b/>
                <w:bCs/>
                <w:sz w:val="18"/>
                <w:szCs w:val="18"/>
                <w:lang w:val="pt-BR"/>
              </w:rPr>
              <w:t xml:space="preserve"> </w:t>
            </w:r>
            <w:r w:rsidRPr="00C921DE">
              <w:rPr>
                <w:rFonts w:ascii="GHEA Grapalat" w:hAnsi="GHEA Grapalat" w:cs="Calibri"/>
                <w:b/>
                <w:sz w:val="18"/>
                <w:szCs w:val="18"/>
              </w:rPr>
              <w:t>(202</w:t>
            </w:r>
            <w:r w:rsidRPr="00C921DE">
              <w:rPr>
                <w:rFonts w:ascii="GHEA Grapalat" w:hAnsi="GHEA Grapalat" w:cs="Calibri"/>
                <w:b/>
                <w:sz w:val="18"/>
                <w:szCs w:val="18"/>
                <w:lang w:val="pt-BR"/>
              </w:rPr>
              <w:t>3</w:t>
            </w:r>
            <w:r w:rsidRPr="00C921DE">
              <w:rPr>
                <w:rFonts w:ascii="GHEA Grapalat" w:hAnsi="GHEA Grapalat" w:cs="Calibri"/>
                <w:b/>
                <w:sz w:val="18"/>
                <w:szCs w:val="18"/>
              </w:rPr>
              <w:t>թ. հետ համադրելի)</w:t>
            </w:r>
          </w:p>
        </w:tc>
        <w:tc>
          <w:tcPr>
            <w:tcW w:w="1063" w:type="dxa"/>
          </w:tcPr>
          <w:p w14:paraId="20175974" w14:textId="7D7C41D1"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084" w:type="dxa"/>
            <w:noWrap/>
          </w:tcPr>
          <w:p w14:paraId="3ACF8930" w14:textId="4DAD5049"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03" w:type="dxa"/>
          </w:tcPr>
          <w:p w14:paraId="46CECC4E" w14:textId="1ED2CB15"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03" w:type="dxa"/>
          </w:tcPr>
          <w:p w14:paraId="0680AC53" w14:textId="16A4C4BA"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48" w:type="dxa"/>
          </w:tcPr>
          <w:p w14:paraId="115F936B" w14:textId="7777777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rPr>
              <w:t>2023թ. և 2022թ. տարբե-րությունը</w:t>
            </w:r>
          </w:p>
        </w:tc>
      </w:tr>
      <w:tr w:rsidR="006A2C9F" w:rsidRPr="00C921DE" w14:paraId="7AE446C2" w14:textId="77777777" w:rsidTr="00B7454E">
        <w:trPr>
          <w:trHeight w:val="331"/>
          <w:jc w:val="center"/>
        </w:trPr>
        <w:tc>
          <w:tcPr>
            <w:tcW w:w="3437" w:type="dxa"/>
            <w:vAlign w:val="bottom"/>
          </w:tcPr>
          <w:p w14:paraId="1A0C531C" w14:textId="77777777" w:rsidR="006A2C9F" w:rsidRPr="00C921DE" w:rsidRDefault="006A2C9F" w:rsidP="00866CDC">
            <w:pPr>
              <w:rPr>
                <w:rFonts w:ascii="GHEA Grapalat" w:hAnsi="GHEA Grapalat" w:cs="Calibri"/>
                <w:b/>
                <w:sz w:val="18"/>
                <w:szCs w:val="18"/>
              </w:rPr>
            </w:pPr>
            <w:r w:rsidRPr="00C921DE">
              <w:rPr>
                <w:rFonts w:ascii="GHEA Grapalat" w:hAnsi="GHEA Grapalat" w:cs="Calibri"/>
                <w:b/>
                <w:sz w:val="18"/>
                <w:szCs w:val="18"/>
              </w:rPr>
              <w:t>ԸՆԴԱՄԵՆԸ</w:t>
            </w:r>
          </w:p>
        </w:tc>
        <w:tc>
          <w:tcPr>
            <w:tcW w:w="1272" w:type="dxa"/>
            <w:vAlign w:val="bottom"/>
          </w:tcPr>
          <w:p w14:paraId="65DD10B1" w14:textId="77777777" w:rsidR="006A2C9F" w:rsidRPr="00C921DE" w:rsidRDefault="006A2C9F" w:rsidP="00866CDC">
            <w:pPr>
              <w:jc w:val="right"/>
              <w:rPr>
                <w:rFonts w:ascii="GHEA Grapalat" w:hAnsi="GHEA Grapalat" w:cs="Calibri"/>
                <w:b/>
                <w:sz w:val="18"/>
                <w:szCs w:val="18"/>
              </w:rPr>
            </w:pPr>
            <w:r w:rsidRPr="00C921DE">
              <w:rPr>
                <w:rFonts w:ascii="GHEA Grapalat" w:hAnsi="GHEA Grapalat" w:cs="Calibri"/>
                <w:b/>
                <w:sz w:val="18"/>
                <w:szCs w:val="18"/>
              </w:rPr>
              <w:t>222,143.6</w:t>
            </w:r>
          </w:p>
        </w:tc>
        <w:tc>
          <w:tcPr>
            <w:tcW w:w="1063" w:type="dxa"/>
            <w:vAlign w:val="bottom"/>
          </w:tcPr>
          <w:p w14:paraId="6CD646FE" w14:textId="77777777" w:rsidR="006A2C9F" w:rsidRPr="00C921DE" w:rsidRDefault="006A2C9F" w:rsidP="00866CDC">
            <w:pPr>
              <w:jc w:val="right"/>
              <w:rPr>
                <w:rFonts w:ascii="GHEA Grapalat" w:hAnsi="GHEA Grapalat" w:cs="Calibri"/>
                <w:b/>
                <w:sz w:val="18"/>
                <w:szCs w:val="18"/>
              </w:rPr>
            </w:pPr>
            <w:r w:rsidRPr="00C921DE">
              <w:rPr>
                <w:rFonts w:ascii="GHEA Grapalat" w:hAnsi="GHEA Grapalat" w:cs="Calibri"/>
                <w:b/>
                <w:sz w:val="18"/>
                <w:szCs w:val="18"/>
              </w:rPr>
              <w:t>274,975.0</w:t>
            </w:r>
          </w:p>
        </w:tc>
        <w:tc>
          <w:tcPr>
            <w:tcW w:w="1084" w:type="dxa"/>
            <w:vAlign w:val="bottom"/>
          </w:tcPr>
          <w:p w14:paraId="736E5F4E" w14:textId="77777777" w:rsidR="006A2C9F" w:rsidRPr="00C921DE" w:rsidRDefault="006A2C9F" w:rsidP="00866CDC">
            <w:pPr>
              <w:jc w:val="right"/>
              <w:rPr>
                <w:rFonts w:ascii="GHEA Grapalat" w:hAnsi="GHEA Grapalat" w:cs="Calibri"/>
                <w:b/>
                <w:sz w:val="18"/>
                <w:szCs w:val="18"/>
              </w:rPr>
            </w:pPr>
            <w:r w:rsidRPr="00C921DE">
              <w:rPr>
                <w:rFonts w:ascii="GHEA Grapalat" w:hAnsi="GHEA Grapalat" w:cs="Calibri"/>
                <w:b/>
                <w:sz w:val="18"/>
                <w:szCs w:val="18"/>
              </w:rPr>
              <w:t>269,953.5</w:t>
            </w:r>
          </w:p>
        </w:tc>
        <w:tc>
          <w:tcPr>
            <w:tcW w:w="1203" w:type="dxa"/>
            <w:vAlign w:val="bottom"/>
          </w:tcPr>
          <w:p w14:paraId="6C4B15DD" w14:textId="77777777" w:rsidR="006A2C9F" w:rsidRPr="00C921DE" w:rsidRDefault="006A2C9F" w:rsidP="00866CDC">
            <w:pPr>
              <w:jc w:val="right"/>
              <w:rPr>
                <w:rFonts w:ascii="GHEA Grapalat" w:hAnsi="GHEA Grapalat" w:cs="Calibri"/>
                <w:b/>
                <w:sz w:val="18"/>
                <w:szCs w:val="18"/>
              </w:rPr>
            </w:pPr>
            <w:r w:rsidRPr="00C921DE">
              <w:rPr>
                <w:rFonts w:ascii="GHEA Grapalat" w:hAnsi="GHEA Grapalat" w:cs="Calibri"/>
                <w:b/>
                <w:sz w:val="18"/>
                <w:szCs w:val="18"/>
              </w:rPr>
              <w:t>98.2</w:t>
            </w:r>
          </w:p>
        </w:tc>
        <w:tc>
          <w:tcPr>
            <w:tcW w:w="1203" w:type="dxa"/>
            <w:vAlign w:val="bottom"/>
          </w:tcPr>
          <w:p w14:paraId="1792BA18" w14:textId="77777777" w:rsidR="006A2C9F" w:rsidRPr="00C921DE" w:rsidRDefault="006A2C9F" w:rsidP="00866CDC">
            <w:pPr>
              <w:jc w:val="right"/>
              <w:rPr>
                <w:rFonts w:ascii="GHEA Grapalat" w:hAnsi="GHEA Grapalat" w:cs="Calibri"/>
                <w:b/>
                <w:sz w:val="18"/>
                <w:szCs w:val="18"/>
                <w:lang w:val="en-US"/>
              </w:rPr>
            </w:pPr>
            <w:r w:rsidRPr="00C921DE">
              <w:rPr>
                <w:rFonts w:ascii="GHEA Grapalat" w:hAnsi="GHEA Grapalat" w:cs="Calibri"/>
                <w:b/>
                <w:sz w:val="18"/>
                <w:szCs w:val="18"/>
              </w:rPr>
              <w:t>121.5</w:t>
            </w:r>
          </w:p>
        </w:tc>
        <w:tc>
          <w:tcPr>
            <w:tcW w:w="1048" w:type="dxa"/>
            <w:vAlign w:val="bottom"/>
          </w:tcPr>
          <w:p w14:paraId="72F9F977" w14:textId="77777777" w:rsidR="006A2C9F" w:rsidRPr="00C921DE" w:rsidRDefault="006A2C9F" w:rsidP="00866CDC">
            <w:pPr>
              <w:jc w:val="right"/>
              <w:rPr>
                <w:rFonts w:ascii="GHEA Grapalat" w:hAnsi="GHEA Grapalat" w:cs="Calibri"/>
                <w:b/>
                <w:sz w:val="18"/>
                <w:szCs w:val="18"/>
                <w:lang w:val="en-US"/>
              </w:rPr>
            </w:pPr>
            <w:r w:rsidRPr="00C921DE">
              <w:rPr>
                <w:rFonts w:ascii="GHEA Grapalat" w:hAnsi="GHEA Grapalat" w:cs="Calibri"/>
                <w:b/>
                <w:sz w:val="18"/>
                <w:szCs w:val="18"/>
              </w:rPr>
              <w:t>47,809.9</w:t>
            </w:r>
          </w:p>
        </w:tc>
      </w:tr>
      <w:tr w:rsidR="006A2C9F" w:rsidRPr="00C921DE" w14:paraId="793CDCA8" w14:textId="77777777" w:rsidTr="00B7454E">
        <w:trPr>
          <w:trHeight w:val="300"/>
          <w:jc w:val="center"/>
        </w:trPr>
        <w:tc>
          <w:tcPr>
            <w:tcW w:w="3437" w:type="dxa"/>
            <w:vAlign w:val="bottom"/>
          </w:tcPr>
          <w:p w14:paraId="227B7C7C"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Ոռոգման համակարգի առողջացում</w:t>
            </w:r>
          </w:p>
        </w:tc>
        <w:tc>
          <w:tcPr>
            <w:tcW w:w="1272" w:type="dxa"/>
            <w:vAlign w:val="bottom"/>
          </w:tcPr>
          <w:p w14:paraId="76636C32" w14:textId="77777777" w:rsidR="006A2C9F" w:rsidRPr="00C921DE" w:rsidRDefault="006A2C9F" w:rsidP="00866CDC">
            <w:pPr>
              <w:jc w:val="right"/>
              <w:rPr>
                <w:rFonts w:ascii="GHEA Grapalat" w:hAnsi="GHEA Grapalat" w:cs="Calibri"/>
                <w:sz w:val="18"/>
                <w:szCs w:val="18"/>
                <w:lang w:val="en-US"/>
              </w:rPr>
            </w:pPr>
            <w:r w:rsidRPr="00C921DE">
              <w:rPr>
                <w:rFonts w:ascii="GHEA Grapalat" w:hAnsi="GHEA Grapalat" w:cs="Calibri"/>
                <w:sz w:val="18"/>
                <w:szCs w:val="18"/>
                <w:lang w:val="en-US"/>
              </w:rPr>
              <w:t>21,049.3</w:t>
            </w:r>
          </w:p>
        </w:tc>
        <w:tc>
          <w:tcPr>
            <w:tcW w:w="1063" w:type="dxa"/>
            <w:vAlign w:val="bottom"/>
          </w:tcPr>
          <w:p w14:paraId="5F3AC17C"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25,642.9</w:t>
            </w:r>
          </w:p>
        </w:tc>
        <w:tc>
          <w:tcPr>
            <w:tcW w:w="1084" w:type="dxa"/>
            <w:vAlign w:val="bottom"/>
          </w:tcPr>
          <w:p w14:paraId="6C1D8DAF"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25,534.8</w:t>
            </w:r>
          </w:p>
        </w:tc>
        <w:tc>
          <w:tcPr>
            <w:tcW w:w="1203" w:type="dxa"/>
            <w:vAlign w:val="bottom"/>
          </w:tcPr>
          <w:p w14:paraId="44D15208"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99.6</w:t>
            </w:r>
          </w:p>
        </w:tc>
        <w:tc>
          <w:tcPr>
            <w:tcW w:w="1203" w:type="dxa"/>
            <w:vAlign w:val="bottom"/>
          </w:tcPr>
          <w:p w14:paraId="2D44E6A2"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121.3</w:t>
            </w:r>
          </w:p>
        </w:tc>
        <w:tc>
          <w:tcPr>
            <w:tcW w:w="1048" w:type="dxa"/>
            <w:vAlign w:val="bottom"/>
          </w:tcPr>
          <w:p w14:paraId="475093A4" w14:textId="77777777" w:rsidR="006A2C9F" w:rsidRPr="00C921DE" w:rsidRDefault="006A2C9F" w:rsidP="00866CDC">
            <w:pPr>
              <w:jc w:val="right"/>
              <w:rPr>
                <w:rFonts w:ascii="GHEA Grapalat" w:hAnsi="GHEA Grapalat" w:cs="Calibri"/>
                <w:sz w:val="18"/>
                <w:szCs w:val="18"/>
                <w:lang w:val="en-US"/>
              </w:rPr>
            </w:pPr>
            <w:r w:rsidRPr="00C921DE">
              <w:rPr>
                <w:rFonts w:ascii="GHEA Grapalat" w:hAnsi="GHEA Grapalat" w:cs="Calibri"/>
                <w:sz w:val="18"/>
                <w:szCs w:val="18"/>
              </w:rPr>
              <w:t>4,485.5</w:t>
            </w:r>
          </w:p>
        </w:tc>
      </w:tr>
      <w:tr w:rsidR="006A2C9F" w:rsidRPr="00C921DE" w14:paraId="46A7416D" w14:textId="77777777" w:rsidTr="00B7454E">
        <w:trPr>
          <w:trHeight w:val="300"/>
          <w:jc w:val="center"/>
        </w:trPr>
        <w:tc>
          <w:tcPr>
            <w:tcW w:w="3437" w:type="dxa"/>
            <w:vAlign w:val="bottom"/>
          </w:tcPr>
          <w:p w14:paraId="2EEA1052"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Ճանապարհային ցանցի բարելավում</w:t>
            </w:r>
          </w:p>
        </w:tc>
        <w:tc>
          <w:tcPr>
            <w:tcW w:w="1272" w:type="dxa"/>
            <w:vAlign w:val="bottom"/>
          </w:tcPr>
          <w:p w14:paraId="6480D3DB" w14:textId="77777777" w:rsidR="006A2C9F" w:rsidRPr="00C921DE" w:rsidRDefault="006A2C9F" w:rsidP="00866CDC">
            <w:pPr>
              <w:jc w:val="right"/>
              <w:rPr>
                <w:rFonts w:ascii="GHEA Grapalat" w:hAnsi="GHEA Grapalat" w:cs="Calibri"/>
                <w:sz w:val="18"/>
                <w:szCs w:val="18"/>
                <w:lang w:val="en-US"/>
              </w:rPr>
            </w:pPr>
            <w:r w:rsidRPr="00C921DE">
              <w:rPr>
                <w:rFonts w:ascii="GHEA Grapalat" w:hAnsi="GHEA Grapalat" w:cs="Calibri"/>
                <w:sz w:val="18"/>
                <w:szCs w:val="18"/>
                <w:lang w:val="en-US"/>
              </w:rPr>
              <w:t>83,122.7</w:t>
            </w:r>
          </w:p>
        </w:tc>
        <w:tc>
          <w:tcPr>
            <w:tcW w:w="1063" w:type="dxa"/>
            <w:vAlign w:val="bottom"/>
          </w:tcPr>
          <w:p w14:paraId="3D4C6FFF"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103,820.9</w:t>
            </w:r>
          </w:p>
        </w:tc>
        <w:tc>
          <w:tcPr>
            <w:tcW w:w="1084" w:type="dxa"/>
            <w:vAlign w:val="bottom"/>
          </w:tcPr>
          <w:p w14:paraId="387151A5"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100,442.1</w:t>
            </w:r>
          </w:p>
        </w:tc>
        <w:tc>
          <w:tcPr>
            <w:tcW w:w="1203" w:type="dxa"/>
            <w:vAlign w:val="bottom"/>
          </w:tcPr>
          <w:p w14:paraId="6E55EFC5"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96.7</w:t>
            </w:r>
          </w:p>
        </w:tc>
        <w:tc>
          <w:tcPr>
            <w:tcW w:w="1203" w:type="dxa"/>
            <w:vAlign w:val="bottom"/>
          </w:tcPr>
          <w:p w14:paraId="71DC47AF"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120.8</w:t>
            </w:r>
          </w:p>
        </w:tc>
        <w:tc>
          <w:tcPr>
            <w:tcW w:w="1048" w:type="dxa"/>
            <w:vAlign w:val="bottom"/>
          </w:tcPr>
          <w:p w14:paraId="2AB6ECCD"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17,319.4</w:t>
            </w:r>
          </w:p>
        </w:tc>
      </w:tr>
      <w:tr w:rsidR="006A2C9F" w:rsidRPr="00C921DE" w14:paraId="31F49DB1" w14:textId="77777777" w:rsidTr="00B7454E">
        <w:trPr>
          <w:trHeight w:val="300"/>
          <w:jc w:val="center"/>
        </w:trPr>
        <w:tc>
          <w:tcPr>
            <w:tcW w:w="3437" w:type="dxa"/>
            <w:vAlign w:val="bottom"/>
          </w:tcPr>
          <w:p w14:paraId="1985BAFB"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Ջրամատակարարման և ջրահեռացման բարելավում</w:t>
            </w:r>
          </w:p>
        </w:tc>
        <w:tc>
          <w:tcPr>
            <w:tcW w:w="1272" w:type="dxa"/>
            <w:vAlign w:val="bottom"/>
          </w:tcPr>
          <w:p w14:paraId="3A62F47E"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lang w:val="en-US"/>
              </w:rPr>
              <w:t>5,833.8</w:t>
            </w:r>
            <w:r w:rsidRPr="00C921DE">
              <w:rPr>
                <w:rFonts w:ascii="GHEA Grapalat" w:hAnsi="GHEA Grapalat" w:cs="Calibri"/>
                <w:sz w:val="18"/>
                <w:szCs w:val="18"/>
              </w:rPr>
              <w:t xml:space="preserve"> </w:t>
            </w:r>
          </w:p>
        </w:tc>
        <w:tc>
          <w:tcPr>
            <w:tcW w:w="1063" w:type="dxa"/>
            <w:vAlign w:val="bottom"/>
          </w:tcPr>
          <w:p w14:paraId="014A604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8,690.6</w:t>
            </w:r>
          </w:p>
        </w:tc>
        <w:tc>
          <w:tcPr>
            <w:tcW w:w="1084" w:type="dxa"/>
            <w:vAlign w:val="bottom"/>
          </w:tcPr>
          <w:p w14:paraId="1D5CBA8C"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 xml:space="preserve">8,280.7 </w:t>
            </w:r>
          </w:p>
        </w:tc>
        <w:tc>
          <w:tcPr>
            <w:tcW w:w="1203" w:type="dxa"/>
            <w:vAlign w:val="bottom"/>
          </w:tcPr>
          <w:p w14:paraId="096D412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95.3</w:t>
            </w:r>
          </w:p>
        </w:tc>
        <w:tc>
          <w:tcPr>
            <w:tcW w:w="1203" w:type="dxa"/>
            <w:vAlign w:val="bottom"/>
          </w:tcPr>
          <w:p w14:paraId="3F699EFE"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141.9</w:t>
            </w:r>
          </w:p>
        </w:tc>
        <w:tc>
          <w:tcPr>
            <w:tcW w:w="1048" w:type="dxa"/>
            <w:vAlign w:val="bottom"/>
          </w:tcPr>
          <w:p w14:paraId="52055758"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2,446.9</w:t>
            </w:r>
          </w:p>
        </w:tc>
      </w:tr>
      <w:tr w:rsidR="006A2C9F" w:rsidRPr="00C921DE" w14:paraId="16788B8F" w14:textId="77777777" w:rsidTr="00B7454E">
        <w:trPr>
          <w:trHeight w:val="300"/>
          <w:jc w:val="center"/>
        </w:trPr>
        <w:tc>
          <w:tcPr>
            <w:tcW w:w="3437" w:type="dxa"/>
            <w:vAlign w:val="bottom"/>
          </w:tcPr>
          <w:p w14:paraId="10525729"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Պետական գույքի կառավարում</w:t>
            </w:r>
          </w:p>
        </w:tc>
        <w:tc>
          <w:tcPr>
            <w:tcW w:w="1272" w:type="dxa"/>
            <w:vAlign w:val="bottom"/>
          </w:tcPr>
          <w:p w14:paraId="41E67AC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(7,356.7)</w:t>
            </w:r>
          </w:p>
        </w:tc>
        <w:tc>
          <w:tcPr>
            <w:tcW w:w="1063" w:type="dxa"/>
            <w:vAlign w:val="bottom"/>
          </w:tcPr>
          <w:p w14:paraId="42016861"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(22,580.7)</w:t>
            </w:r>
          </w:p>
        </w:tc>
        <w:tc>
          <w:tcPr>
            <w:tcW w:w="1084" w:type="dxa"/>
            <w:vAlign w:val="bottom"/>
          </w:tcPr>
          <w:p w14:paraId="4B0E38A4"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(20,175.4)</w:t>
            </w:r>
          </w:p>
        </w:tc>
        <w:tc>
          <w:tcPr>
            <w:tcW w:w="1203" w:type="dxa"/>
            <w:vAlign w:val="bottom"/>
          </w:tcPr>
          <w:p w14:paraId="7B9FB887"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89.3</w:t>
            </w:r>
          </w:p>
        </w:tc>
        <w:tc>
          <w:tcPr>
            <w:tcW w:w="1203" w:type="dxa"/>
            <w:vAlign w:val="bottom"/>
          </w:tcPr>
          <w:p w14:paraId="397701C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274.2</w:t>
            </w:r>
          </w:p>
        </w:tc>
        <w:tc>
          <w:tcPr>
            <w:tcW w:w="1048" w:type="dxa"/>
            <w:vAlign w:val="bottom"/>
          </w:tcPr>
          <w:p w14:paraId="258C67D8"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(12,818.7)</w:t>
            </w:r>
          </w:p>
        </w:tc>
      </w:tr>
      <w:tr w:rsidR="006A2C9F" w:rsidRPr="00C921DE" w14:paraId="06229333" w14:textId="77777777" w:rsidTr="00B7454E">
        <w:trPr>
          <w:trHeight w:val="300"/>
          <w:jc w:val="center"/>
        </w:trPr>
        <w:tc>
          <w:tcPr>
            <w:tcW w:w="3437" w:type="dxa"/>
            <w:vAlign w:val="bottom"/>
          </w:tcPr>
          <w:p w14:paraId="298EA85E" w14:textId="77777777" w:rsidR="006A2C9F" w:rsidRPr="00C921DE" w:rsidRDefault="006A2C9F" w:rsidP="00866CDC">
            <w:pPr>
              <w:rPr>
                <w:rFonts w:ascii="GHEA Grapalat" w:hAnsi="GHEA Grapalat" w:cs="Calibri"/>
                <w:sz w:val="18"/>
                <w:szCs w:val="18"/>
              </w:rPr>
            </w:pPr>
            <w:bookmarkStart w:id="237" w:name="_Hlk96598161"/>
            <w:r w:rsidRPr="00C921DE">
              <w:rPr>
                <w:rFonts w:ascii="GHEA Grapalat" w:hAnsi="GHEA Grapalat" w:cs="Calibri"/>
                <w:sz w:val="18"/>
                <w:szCs w:val="18"/>
              </w:rPr>
              <w:t>Քաղաքային զարգացում</w:t>
            </w:r>
          </w:p>
        </w:tc>
        <w:tc>
          <w:tcPr>
            <w:tcW w:w="1272" w:type="dxa"/>
            <w:vAlign w:val="bottom"/>
          </w:tcPr>
          <w:p w14:paraId="60DDF98F" w14:textId="77777777" w:rsidR="006A2C9F" w:rsidRPr="00C921DE" w:rsidRDefault="006A2C9F" w:rsidP="00866CDC">
            <w:pPr>
              <w:jc w:val="right"/>
              <w:rPr>
                <w:rFonts w:ascii="GHEA Grapalat" w:hAnsi="GHEA Grapalat" w:cs="Calibri"/>
                <w:sz w:val="18"/>
                <w:szCs w:val="18"/>
                <w:lang w:val="en-US"/>
              </w:rPr>
            </w:pPr>
            <w:r w:rsidRPr="00C921DE">
              <w:rPr>
                <w:rFonts w:ascii="GHEA Grapalat" w:hAnsi="GHEA Grapalat" w:cs="Calibri"/>
                <w:sz w:val="18"/>
                <w:szCs w:val="18"/>
              </w:rPr>
              <w:t>14,785</w:t>
            </w:r>
            <w:r w:rsidRPr="00C921DE">
              <w:rPr>
                <w:rFonts w:ascii="GHEA Grapalat" w:hAnsi="GHEA Grapalat" w:cs="Calibri"/>
                <w:sz w:val="18"/>
                <w:szCs w:val="18"/>
                <w:lang w:val="en-US"/>
              </w:rPr>
              <w:t>.7</w:t>
            </w:r>
          </w:p>
        </w:tc>
        <w:tc>
          <w:tcPr>
            <w:tcW w:w="1063" w:type="dxa"/>
            <w:vAlign w:val="bottom"/>
          </w:tcPr>
          <w:p w14:paraId="3EBBD3DE"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19,418.3</w:t>
            </w:r>
          </w:p>
        </w:tc>
        <w:tc>
          <w:tcPr>
            <w:tcW w:w="1084" w:type="dxa"/>
            <w:vAlign w:val="bottom"/>
          </w:tcPr>
          <w:p w14:paraId="46BBBB39"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17,212.8</w:t>
            </w:r>
          </w:p>
        </w:tc>
        <w:tc>
          <w:tcPr>
            <w:tcW w:w="1203" w:type="dxa"/>
            <w:vAlign w:val="bottom"/>
          </w:tcPr>
          <w:p w14:paraId="2B0A4FCD"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88.6</w:t>
            </w:r>
          </w:p>
        </w:tc>
        <w:tc>
          <w:tcPr>
            <w:tcW w:w="1203" w:type="dxa"/>
            <w:vAlign w:val="bottom"/>
          </w:tcPr>
          <w:p w14:paraId="45A439FF"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116.4</w:t>
            </w:r>
          </w:p>
        </w:tc>
        <w:tc>
          <w:tcPr>
            <w:tcW w:w="1048" w:type="dxa"/>
            <w:vAlign w:val="bottom"/>
          </w:tcPr>
          <w:p w14:paraId="4851D343"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2,427.1</w:t>
            </w:r>
          </w:p>
        </w:tc>
      </w:tr>
      <w:tr w:rsidR="006A2C9F" w:rsidRPr="00C921DE" w14:paraId="19A8DFF7" w14:textId="77777777" w:rsidTr="00B7454E">
        <w:trPr>
          <w:trHeight w:val="300"/>
          <w:jc w:val="center"/>
        </w:trPr>
        <w:tc>
          <w:tcPr>
            <w:tcW w:w="3437" w:type="dxa"/>
            <w:vAlign w:val="bottom"/>
          </w:tcPr>
          <w:p w14:paraId="7775C78B"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Դպրոցների սեյսմիկ անվտանգության մակարդակի բարձրացման ծրագիր</w:t>
            </w:r>
          </w:p>
        </w:tc>
        <w:tc>
          <w:tcPr>
            <w:tcW w:w="1272" w:type="dxa"/>
            <w:vAlign w:val="bottom"/>
          </w:tcPr>
          <w:p w14:paraId="7C750C4A" w14:textId="77777777" w:rsidR="006A2C9F" w:rsidRPr="00C921DE" w:rsidRDefault="006A2C9F" w:rsidP="00866CDC">
            <w:pPr>
              <w:jc w:val="right"/>
              <w:rPr>
                <w:rFonts w:ascii="GHEA Grapalat" w:hAnsi="GHEA Grapalat" w:cs="Calibri"/>
                <w:sz w:val="18"/>
                <w:szCs w:val="18"/>
                <w:lang w:val="en-US"/>
              </w:rPr>
            </w:pPr>
            <w:r w:rsidRPr="00C921DE">
              <w:rPr>
                <w:rFonts w:ascii="GHEA Grapalat" w:hAnsi="GHEA Grapalat" w:cs="Calibri"/>
                <w:sz w:val="18"/>
                <w:szCs w:val="18"/>
                <w:lang w:val="en-US"/>
              </w:rPr>
              <w:t>8,165.5</w:t>
            </w:r>
          </w:p>
        </w:tc>
        <w:tc>
          <w:tcPr>
            <w:tcW w:w="1063" w:type="dxa"/>
            <w:vAlign w:val="bottom"/>
          </w:tcPr>
          <w:p w14:paraId="31656932"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12,232.7</w:t>
            </w:r>
          </w:p>
        </w:tc>
        <w:tc>
          <w:tcPr>
            <w:tcW w:w="1084" w:type="dxa"/>
            <w:vAlign w:val="bottom"/>
          </w:tcPr>
          <w:p w14:paraId="1A8175D0"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12,210.7</w:t>
            </w:r>
          </w:p>
        </w:tc>
        <w:tc>
          <w:tcPr>
            <w:tcW w:w="1203" w:type="dxa"/>
            <w:vAlign w:val="bottom"/>
          </w:tcPr>
          <w:p w14:paraId="73916D73"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99.8</w:t>
            </w:r>
          </w:p>
        </w:tc>
        <w:tc>
          <w:tcPr>
            <w:tcW w:w="1203" w:type="dxa"/>
            <w:vAlign w:val="bottom"/>
          </w:tcPr>
          <w:p w14:paraId="2D20BA28"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lang w:val="en-US"/>
              </w:rPr>
              <w:t>14</w:t>
            </w:r>
            <w:r w:rsidRPr="00C921DE">
              <w:rPr>
                <w:rFonts w:ascii="GHEA Grapalat" w:hAnsi="GHEA Grapalat" w:cs="Calibri"/>
                <w:sz w:val="18"/>
                <w:szCs w:val="18"/>
              </w:rPr>
              <w:t>9</w:t>
            </w:r>
            <w:r w:rsidRPr="00C921DE">
              <w:rPr>
                <w:rFonts w:ascii="GHEA Grapalat" w:hAnsi="GHEA Grapalat" w:cs="Calibri"/>
                <w:sz w:val="18"/>
                <w:szCs w:val="18"/>
                <w:lang w:val="en-US"/>
              </w:rPr>
              <w:t>.</w:t>
            </w:r>
            <w:r w:rsidRPr="00C921DE">
              <w:rPr>
                <w:rFonts w:ascii="GHEA Grapalat" w:hAnsi="GHEA Grapalat" w:cs="Calibri"/>
                <w:sz w:val="18"/>
                <w:szCs w:val="18"/>
              </w:rPr>
              <w:t>5</w:t>
            </w:r>
          </w:p>
        </w:tc>
        <w:tc>
          <w:tcPr>
            <w:tcW w:w="1048" w:type="dxa"/>
            <w:vAlign w:val="bottom"/>
          </w:tcPr>
          <w:p w14:paraId="5B92613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4,045.3</w:t>
            </w:r>
          </w:p>
        </w:tc>
      </w:tr>
      <w:tr w:rsidR="006A2C9F" w:rsidRPr="00C921DE" w14:paraId="4E26C0E0" w14:textId="77777777" w:rsidTr="00B7454E">
        <w:trPr>
          <w:trHeight w:val="300"/>
          <w:jc w:val="center"/>
        </w:trPr>
        <w:tc>
          <w:tcPr>
            <w:tcW w:w="3437" w:type="dxa"/>
            <w:vAlign w:val="bottom"/>
          </w:tcPr>
          <w:p w14:paraId="7EA4BDCD"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Տարածքային զարգացում</w:t>
            </w:r>
          </w:p>
        </w:tc>
        <w:tc>
          <w:tcPr>
            <w:tcW w:w="1272" w:type="dxa"/>
            <w:vAlign w:val="bottom"/>
          </w:tcPr>
          <w:p w14:paraId="11124EB9"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lang w:val="en-US"/>
              </w:rPr>
              <w:t>86,456.2</w:t>
            </w:r>
            <w:r w:rsidRPr="00C921DE">
              <w:rPr>
                <w:rFonts w:ascii="GHEA Grapalat" w:hAnsi="GHEA Grapalat" w:cs="Calibri"/>
                <w:sz w:val="18"/>
                <w:szCs w:val="18"/>
              </w:rPr>
              <w:t xml:space="preserve"> </w:t>
            </w:r>
          </w:p>
        </w:tc>
        <w:tc>
          <w:tcPr>
            <w:tcW w:w="1063" w:type="dxa"/>
            <w:vAlign w:val="bottom"/>
          </w:tcPr>
          <w:p w14:paraId="0662BC65"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115,355.8</w:t>
            </w:r>
          </w:p>
        </w:tc>
        <w:tc>
          <w:tcPr>
            <w:tcW w:w="1084" w:type="dxa"/>
            <w:vAlign w:val="bottom"/>
          </w:tcPr>
          <w:p w14:paraId="14E2101D"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 xml:space="preserve">114,544.7 </w:t>
            </w:r>
          </w:p>
        </w:tc>
        <w:tc>
          <w:tcPr>
            <w:tcW w:w="1203" w:type="dxa"/>
            <w:vAlign w:val="bottom"/>
          </w:tcPr>
          <w:p w14:paraId="3F90DC76"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99.3</w:t>
            </w:r>
          </w:p>
        </w:tc>
        <w:tc>
          <w:tcPr>
            <w:tcW w:w="1203" w:type="dxa"/>
            <w:vAlign w:val="bottom"/>
          </w:tcPr>
          <w:p w14:paraId="33666FFD"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132.5</w:t>
            </w:r>
          </w:p>
        </w:tc>
        <w:tc>
          <w:tcPr>
            <w:tcW w:w="1048" w:type="dxa"/>
            <w:vAlign w:val="bottom"/>
          </w:tcPr>
          <w:p w14:paraId="7BE2FD92"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28,088.5</w:t>
            </w:r>
          </w:p>
        </w:tc>
      </w:tr>
      <w:bookmarkEnd w:id="237"/>
      <w:tr w:rsidR="006A2C9F" w:rsidRPr="00C921DE" w14:paraId="51656A89" w14:textId="77777777" w:rsidTr="00B7454E">
        <w:trPr>
          <w:trHeight w:val="300"/>
          <w:jc w:val="center"/>
        </w:trPr>
        <w:tc>
          <w:tcPr>
            <w:tcW w:w="3437" w:type="dxa"/>
            <w:vAlign w:val="bottom"/>
          </w:tcPr>
          <w:p w14:paraId="3FC22E83" w14:textId="77777777" w:rsidR="006A2C9F" w:rsidRPr="00C921DE" w:rsidRDefault="006A2C9F" w:rsidP="00866CDC">
            <w:pPr>
              <w:rPr>
                <w:rFonts w:ascii="GHEA Grapalat" w:hAnsi="GHEA Grapalat" w:cs="Calibri"/>
                <w:sz w:val="18"/>
                <w:szCs w:val="18"/>
              </w:rPr>
            </w:pPr>
            <w:r w:rsidRPr="00C921DE">
              <w:rPr>
                <w:rFonts w:ascii="GHEA Grapalat" w:hAnsi="GHEA Grapalat" w:cs="Calibri"/>
                <w:sz w:val="18"/>
                <w:szCs w:val="18"/>
              </w:rPr>
              <w:t>Այլ ծրագրեր</w:t>
            </w:r>
          </w:p>
        </w:tc>
        <w:tc>
          <w:tcPr>
            <w:tcW w:w="1272" w:type="dxa"/>
            <w:vAlign w:val="bottom"/>
          </w:tcPr>
          <w:p w14:paraId="177F28F7"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 xml:space="preserve">10,087.1 </w:t>
            </w:r>
          </w:p>
        </w:tc>
        <w:tc>
          <w:tcPr>
            <w:tcW w:w="1063" w:type="dxa"/>
            <w:vAlign w:val="bottom"/>
          </w:tcPr>
          <w:p w14:paraId="04534940"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12,394.5</w:t>
            </w:r>
          </w:p>
        </w:tc>
        <w:tc>
          <w:tcPr>
            <w:tcW w:w="1084" w:type="dxa"/>
            <w:vAlign w:val="bottom"/>
          </w:tcPr>
          <w:p w14:paraId="0A2DD49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 xml:space="preserve">11,903.1 </w:t>
            </w:r>
          </w:p>
        </w:tc>
        <w:tc>
          <w:tcPr>
            <w:tcW w:w="1203" w:type="dxa"/>
            <w:vAlign w:val="bottom"/>
          </w:tcPr>
          <w:p w14:paraId="1B41BBD7"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96.0</w:t>
            </w:r>
          </w:p>
        </w:tc>
        <w:tc>
          <w:tcPr>
            <w:tcW w:w="1203" w:type="dxa"/>
            <w:vAlign w:val="bottom"/>
          </w:tcPr>
          <w:p w14:paraId="43CFDACE"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118.0</w:t>
            </w:r>
          </w:p>
        </w:tc>
        <w:tc>
          <w:tcPr>
            <w:tcW w:w="1048" w:type="dxa"/>
            <w:vAlign w:val="bottom"/>
          </w:tcPr>
          <w:p w14:paraId="1809F76A" w14:textId="77777777" w:rsidR="006A2C9F" w:rsidRPr="00C921DE" w:rsidRDefault="006A2C9F" w:rsidP="00866CDC">
            <w:pPr>
              <w:jc w:val="right"/>
              <w:rPr>
                <w:rFonts w:ascii="GHEA Grapalat" w:hAnsi="GHEA Grapalat" w:cs="Calibri"/>
                <w:sz w:val="18"/>
                <w:szCs w:val="18"/>
              </w:rPr>
            </w:pPr>
            <w:r w:rsidRPr="00C921DE">
              <w:rPr>
                <w:rFonts w:ascii="GHEA Grapalat" w:hAnsi="GHEA Grapalat" w:cs="Calibri"/>
                <w:sz w:val="18"/>
                <w:szCs w:val="18"/>
              </w:rPr>
              <w:t>1,816.0</w:t>
            </w:r>
          </w:p>
        </w:tc>
      </w:tr>
    </w:tbl>
    <w:p w14:paraId="3AB4D91F"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p>
    <w:p w14:paraId="46FA3B73" w14:textId="47ECCF13"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2023 թվականին </w:t>
      </w:r>
      <w:r w:rsidRPr="00C921DE">
        <w:rPr>
          <w:rFonts w:ascii="GHEA Grapalat" w:hAnsi="GHEA Grapalat" w:cs="GHEA Grapalat"/>
          <w:i/>
          <w:sz w:val="22"/>
          <w:szCs w:val="22"/>
        </w:rPr>
        <w:t>Ոռոգման համակարգի առողջացման</w:t>
      </w:r>
      <w:r w:rsidRPr="00C921DE">
        <w:rPr>
          <w:rFonts w:ascii="GHEA Grapalat" w:hAnsi="GHEA Grapalat" w:cs="GHEA Grapalat"/>
          <w:sz w:val="22"/>
          <w:szCs w:val="22"/>
        </w:rPr>
        <w:t xml:space="preserve"> ծրագրի շրջանակներում օգտագործվել է նախատեսված միջոցների 99.6%-ը՝ ավելի քան 25.5 մլրդ դրամ: </w:t>
      </w:r>
      <w:r w:rsidR="00C076B3" w:rsidRPr="00C921DE">
        <w:rPr>
          <w:rFonts w:ascii="GHEA Grapalat" w:hAnsi="GHEA Grapalat" w:cs="GHEA Grapalat"/>
          <w:sz w:val="22"/>
          <w:szCs w:val="22"/>
          <w:lang w:val="en-US"/>
        </w:rPr>
        <w:t>Միջոցնե</w:t>
      </w:r>
      <w:r w:rsidR="00FA7539" w:rsidRPr="00C921DE">
        <w:rPr>
          <w:rFonts w:ascii="GHEA Grapalat" w:hAnsi="GHEA Grapalat" w:cs="GHEA Grapalat"/>
          <w:sz w:val="22"/>
          <w:szCs w:val="22"/>
          <w:lang w:val="en-US"/>
        </w:rPr>
        <w:t>ր</w:t>
      </w:r>
      <w:r w:rsidR="00C076B3" w:rsidRPr="00C921DE">
        <w:rPr>
          <w:rFonts w:ascii="GHEA Grapalat" w:hAnsi="GHEA Grapalat" w:cs="GHEA Grapalat"/>
          <w:sz w:val="22"/>
          <w:szCs w:val="22"/>
          <w:lang w:val="en-US"/>
        </w:rPr>
        <w:t>ը հիմնականում ուղղվել են</w:t>
      </w:r>
      <w:r w:rsidRPr="00C921DE">
        <w:rPr>
          <w:rFonts w:ascii="GHEA Grapalat" w:hAnsi="GHEA Grapalat" w:cs="GHEA Grapalat"/>
          <w:sz w:val="22"/>
          <w:szCs w:val="22"/>
        </w:rPr>
        <w:t xml:space="preserve"> </w:t>
      </w:r>
      <w:r w:rsidR="00E600BC" w:rsidRPr="00C921DE">
        <w:rPr>
          <w:rFonts w:ascii="GHEA Grapalat" w:hAnsi="GHEA Grapalat" w:cs="GHEA Grapalat"/>
          <w:sz w:val="22"/>
          <w:szCs w:val="22"/>
          <w:lang w:val="en-US"/>
        </w:rPr>
        <w:t>ա</w:t>
      </w:r>
      <w:r w:rsidRPr="00C921DE">
        <w:rPr>
          <w:rFonts w:ascii="GHEA Grapalat" w:hAnsi="GHEA Grapalat" w:cs="GHEA Grapalat"/>
          <w:sz w:val="22"/>
          <w:szCs w:val="22"/>
        </w:rPr>
        <w:t>րտաքին աջակցությամբ իրականացվող վարկային և դրամաշնորհային ծրագրերի</w:t>
      </w:r>
      <w:r w:rsidR="00C076B3" w:rsidRPr="00C921DE">
        <w:rPr>
          <w:rFonts w:ascii="GHEA Grapalat" w:hAnsi="GHEA Grapalat" w:cs="GHEA Grapalat"/>
          <w:sz w:val="22"/>
          <w:szCs w:val="22"/>
          <w:lang w:val="en-US"/>
        </w:rPr>
        <w:t>ն, ինչպես նաև ոռոգման ծառայություններ մատուցող ընկերություններին ֆինանսական աջակցության տրամադրմանը</w:t>
      </w:r>
      <w:r w:rsidR="00253C06" w:rsidRPr="00C921DE">
        <w:rPr>
          <w:rFonts w:ascii="GHEA Grapalat" w:hAnsi="GHEA Grapalat" w:cs="GHEA Grapalat"/>
          <w:sz w:val="22"/>
          <w:szCs w:val="22"/>
        </w:rPr>
        <w:t>:</w:t>
      </w:r>
    </w:p>
    <w:p w14:paraId="08C785AB" w14:textId="77777777" w:rsidR="006A2C9F" w:rsidRPr="00C921DE" w:rsidRDefault="0089134B"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Ա</w:t>
      </w:r>
      <w:r w:rsidR="006A2C9F" w:rsidRPr="00C921DE">
        <w:rPr>
          <w:rFonts w:ascii="GHEA Grapalat" w:hAnsi="GHEA Grapalat" w:cs="GHEA Grapalat"/>
          <w:sz w:val="22"/>
          <w:szCs w:val="22"/>
          <w:lang w:val="en-US"/>
        </w:rPr>
        <w:t>վարտվել են Ֆրանսիայի Հանրապետության կառավարության աջակցությամբ իրականացվող</w:t>
      </w:r>
      <w:r w:rsidR="006A2C9F" w:rsidRPr="00C921DE">
        <w:rPr>
          <w:rFonts w:ascii="GHEA Grapalat" w:hAnsi="GHEA Grapalat" w:cs="GHEA Grapalat"/>
          <w:sz w:val="22"/>
          <w:szCs w:val="22"/>
        </w:rPr>
        <w:t xml:space="preserve"> Վեդու ջրամբարի կառուցման վարկային ծրագրի շրջանակներում Վեդի և Խոսրով գետերի վրա </w:t>
      </w:r>
      <w:r w:rsidR="006A2C9F" w:rsidRPr="00C921DE">
        <w:rPr>
          <w:rFonts w:ascii="GHEA Grapalat" w:hAnsi="GHEA Grapalat" w:cs="GHEA Grapalat"/>
          <w:sz w:val="22"/>
          <w:szCs w:val="22"/>
        </w:rPr>
        <w:lastRenderedPageBreak/>
        <w:t xml:space="preserve">ջրընդունիչ հանգույցների ու ջրի փոխադրման համակարգի և Վեդի ջրամբարի ոռոգման ջրանցքից սկսվող և ընդհանուր շուրջ 36.2 կմ երկարությամբ ոռոգման համակարգի և 10.5 կմ երկարությամբ ջրի փոխադրման համակարգի կառուցման աշխատանքները։ 2023 թվականին շարունակվել են Վեդու երկու պատվարների կառուցման աշխատանքները, Վեդի ջրամբարի և Վեդի գետի իշխման տակ գտնվող փորձնական տարածքներում ոռոգման ներտնտեսային ցանցի կառուցման նպատակով նախագծային փաստաթղթերի լրամշակման և կապալառուների ընտրության մրցութային գործընթացները, մեկնարկել են շինարարական աշխատանքները, որոնց ավարտը նախատեսվում է 2024 թվականին։ Վարկային ծրագրի շրջանակներում </w:t>
      </w:r>
      <w:r w:rsidR="00B34129" w:rsidRPr="00C921DE">
        <w:rPr>
          <w:rFonts w:ascii="GHEA Grapalat" w:hAnsi="GHEA Grapalat" w:cs="GHEA Grapalat"/>
          <w:sz w:val="22"/>
          <w:szCs w:val="22"/>
          <w:lang w:val="en-US"/>
        </w:rPr>
        <w:t>կառուցվել է</w:t>
      </w:r>
      <w:r w:rsidR="006A2C9F" w:rsidRPr="00C921DE">
        <w:rPr>
          <w:rFonts w:ascii="GHEA Grapalat" w:hAnsi="GHEA Grapalat" w:cs="GHEA Grapalat"/>
          <w:sz w:val="22"/>
          <w:szCs w:val="22"/>
        </w:rPr>
        <w:t xml:space="preserve"> 12 մ</w:t>
      </w:r>
      <w:r w:rsidR="00595498" w:rsidRPr="00C921DE">
        <w:rPr>
          <w:rFonts w:ascii="GHEA Grapalat" w:hAnsi="GHEA Grapalat" w:cs="GHEA Grapalat"/>
          <w:sz w:val="22"/>
          <w:szCs w:val="22"/>
        </w:rPr>
        <w:t xml:space="preserve"> երկարությամբ պատվար</w:t>
      </w:r>
      <w:r w:rsidR="00B34129" w:rsidRPr="00C921DE">
        <w:rPr>
          <w:rFonts w:ascii="GHEA Grapalat" w:hAnsi="GHEA Grapalat" w:cs="GHEA Grapalat"/>
          <w:sz w:val="22"/>
          <w:szCs w:val="22"/>
          <w:lang w:val="en-US"/>
        </w:rPr>
        <w:t xml:space="preserve"> և նորոգվել 3 կմ ոռոգման ներտնտեսային ցանց</w:t>
      </w:r>
      <w:r w:rsidR="006A2C9F" w:rsidRPr="00C921DE">
        <w:rPr>
          <w:rFonts w:ascii="GHEA Grapalat" w:hAnsi="GHEA Grapalat" w:cs="GHEA Grapalat"/>
          <w:sz w:val="22"/>
          <w:szCs w:val="22"/>
        </w:rPr>
        <w:t>: Ֆրանսիայի Հանրապետության կառավարության աջակցությամբ իրականացվող Վեդու ջրամբարի կառուցման վարկային ծրագրի շրջանակներում օգտագործվել է</w:t>
      </w:r>
      <w:r w:rsidR="00823736" w:rsidRPr="00C921DE">
        <w:rPr>
          <w:rFonts w:ascii="GHEA Grapalat" w:hAnsi="GHEA Grapalat" w:cs="GHEA Grapalat"/>
          <w:sz w:val="22"/>
          <w:szCs w:val="22"/>
          <w:lang w:val="en-US"/>
        </w:rPr>
        <w:t xml:space="preserve"> </w:t>
      </w:r>
      <w:r w:rsidR="00823736" w:rsidRPr="00C921DE">
        <w:rPr>
          <w:rFonts w:ascii="GHEA Grapalat" w:hAnsi="GHEA Grapalat" w:cs="GHEA Grapalat"/>
          <w:sz w:val="22"/>
          <w:szCs w:val="22"/>
        </w:rPr>
        <w:t>2.1 մլրդ դրամ</w:t>
      </w:r>
      <w:r w:rsidR="005C26DE" w:rsidRPr="00C921DE">
        <w:rPr>
          <w:rFonts w:ascii="GHEA Grapalat" w:hAnsi="GHEA Grapalat" w:cs="GHEA Grapalat"/>
          <w:sz w:val="22"/>
          <w:szCs w:val="22"/>
          <w:lang w:val="en-US"/>
        </w:rPr>
        <w:t xml:space="preserve"> (նախատեսված միջոցների 100.8%-ը)</w:t>
      </w:r>
      <w:r w:rsidR="00253C06" w:rsidRPr="00C921DE">
        <w:rPr>
          <w:rFonts w:ascii="GHEA Grapalat" w:hAnsi="GHEA Grapalat" w:cs="GHEA Grapalat"/>
          <w:sz w:val="22"/>
          <w:szCs w:val="22"/>
        </w:rPr>
        <w:t>:</w:t>
      </w:r>
    </w:p>
    <w:p w14:paraId="695FB142"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Գերմանիայի զարգացման վարկերի բանկի աջակցությամբ իրականացվող Ախուրյան գետի ջրային ռեսուրսների ինտեգրված կառավարման ծրագրի շրջանակներում </w:t>
      </w:r>
      <w:r w:rsidR="00541766" w:rsidRPr="00C921DE">
        <w:rPr>
          <w:rFonts w:ascii="GHEA Grapalat" w:hAnsi="GHEA Grapalat" w:cs="GHEA Grapalat"/>
          <w:sz w:val="22"/>
          <w:szCs w:val="22"/>
        </w:rPr>
        <w:t xml:space="preserve">2023 թվականի </w:t>
      </w:r>
      <w:r w:rsidR="00406745" w:rsidRPr="00C921DE">
        <w:rPr>
          <w:rFonts w:ascii="GHEA Grapalat" w:hAnsi="GHEA Grapalat" w:cs="GHEA Grapalat"/>
          <w:sz w:val="22"/>
          <w:szCs w:val="22"/>
        </w:rPr>
        <w:t>հուլիսին սկ</w:t>
      </w:r>
      <w:r w:rsidR="00406745" w:rsidRPr="00C921DE">
        <w:rPr>
          <w:rFonts w:ascii="GHEA Grapalat" w:hAnsi="GHEA Grapalat" w:cs="GHEA Grapalat"/>
          <w:sz w:val="22"/>
          <w:szCs w:val="22"/>
          <w:lang w:val="en-US"/>
        </w:rPr>
        <w:t>ս</w:t>
      </w:r>
      <w:r w:rsidR="00406745" w:rsidRPr="00C921DE">
        <w:rPr>
          <w:rFonts w:ascii="GHEA Grapalat" w:hAnsi="GHEA Grapalat" w:cs="GHEA Grapalat"/>
          <w:sz w:val="22"/>
          <w:szCs w:val="22"/>
        </w:rPr>
        <w:t>վել են 25 մլն մ</w:t>
      </w:r>
      <w:r w:rsidR="00406745" w:rsidRPr="00C921DE">
        <w:rPr>
          <w:rFonts w:ascii="GHEA Grapalat" w:hAnsi="GHEA Grapalat" w:cs="GHEA Grapalat"/>
          <w:sz w:val="22"/>
          <w:szCs w:val="22"/>
          <w:vertAlign w:val="superscript"/>
        </w:rPr>
        <w:t>3</w:t>
      </w:r>
      <w:r w:rsidR="00406745" w:rsidRPr="00C921DE">
        <w:rPr>
          <w:rFonts w:ascii="GHEA Grapalat" w:hAnsi="GHEA Grapalat" w:cs="GHEA Grapalat"/>
          <w:sz w:val="22"/>
          <w:szCs w:val="22"/>
        </w:rPr>
        <w:t xml:space="preserve"> ծավալով</w:t>
      </w:r>
      <w:r w:rsidR="00406745" w:rsidRPr="00C921DE">
        <w:rPr>
          <w:rFonts w:ascii="GHEA Grapalat" w:hAnsi="GHEA Grapalat" w:cs="GHEA Grapalat"/>
          <w:sz w:val="22"/>
          <w:szCs w:val="22"/>
          <w:lang w:val="en-US"/>
        </w:rPr>
        <w:t xml:space="preserve"> Կապսի </w:t>
      </w:r>
      <w:r w:rsidR="00406745" w:rsidRPr="00C921DE">
        <w:rPr>
          <w:rFonts w:ascii="GHEA Grapalat" w:hAnsi="GHEA Grapalat" w:cs="GHEA Grapalat"/>
          <w:sz w:val="22"/>
          <w:szCs w:val="22"/>
        </w:rPr>
        <w:t>ջրամբարի և օժանդակ կառուցվածքների կառուցման աշխատանքները</w:t>
      </w:r>
      <w:r w:rsidR="00406745"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Ծրագրի շրջանակներում նախատեսված 5.6 մլրդ դրամն օգտագործվել է գրեթե ամբողջ ծավալով:</w:t>
      </w:r>
    </w:p>
    <w:p w14:paraId="17201D67"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Եվրասիական զարգացման բանկի աջակցությամբ իրականացվող ոռոգման համակարգերի զարգացման ծրագրի նպատակն է՝ փոխարինել մեխանիկական ոռոգումը ինքնահոսով, վերականգնել մայր և երկրորդ կարգի ջրանցքների, ներտնտեսային ցանցի առավել քայքայված և վթարային հատվածները։ Ծրագրի շրջանակներում 2023 թվականին շարունակվել և մեծ մասամբ ավարտվել են երկրորդ կարգի ջրանցքների և</w:t>
      </w:r>
      <w:r w:rsidR="001B345E" w:rsidRPr="00C921DE">
        <w:rPr>
          <w:rFonts w:ascii="GHEA Grapalat" w:hAnsi="GHEA Grapalat" w:cs="GHEA Grapalat"/>
          <w:sz w:val="22"/>
          <w:szCs w:val="22"/>
          <w:lang w:val="en-US"/>
        </w:rPr>
        <w:t xml:space="preserve"> ամբողջությամբ՝</w:t>
      </w:r>
      <w:r w:rsidRPr="00C921DE">
        <w:rPr>
          <w:rFonts w:ascii="GHEA Grapalat" w:hAnsi="GHEA Grapalat" w:cs="GHEA Grapalat"/>
          <w:sz w:val="22"/>
          <w:szCs w:val="22"/>
        </w:rPr>
        <w:t xml:space="preserve"> ներտնտեսային ոռոգման ցանցերի վերականգնման շինարարական աշխատանքները. </w:t>
      </w:r>
      <w:r w:rsidRPr="00C921DE">
        <w:rPr>
          <w:rFonts w:ascii="GHEA Grapalat" w:hAnsi="GHEA Grapalat" w:cs="GHEA Grapalat"/>
          <w:sz w:val="22"/>
          <w:szCs w:val="22"/>
          <w:lang w:val="af-ZA"/>
        </w:rPr>
        <w:t xml:space="preserve">շարունակվել են 2022 թվականի սեպտեմբերից մեկնարկած </w:t>
      </w:r>
      <w:r w:rsidR="002774E2" w:rsidRPr="00C921DE">
        <w:rPr>
          <w:rFonts w:ascii="GHEA Grapalat" w:hAnsi="GHEA Grapalat" w:cs="GHEA Grapalat"/>
          <w:sz w:val="22"/>
          <w:szCs w:val="22"/>
          <w:lang w:val="af-ZA"/>
        </w:rPr>
        <w:t xml:space="preserve">73.4 կմ </w:t>
      </w:r>
      <w:r w:rsidRPr="00C921DE">
        <w:rPr>
          <w:rFonts w:ascii="GHEA Grapalat" w:hAnsi="GHEA Grapalat" w:cs="GHEA Grapalat"/>
          <w:sz w:val="22"/>
          <w:szCs w:val="22"/>
          <w:lang w:val="af-ZA"/>
        </w:rPr>
        <w:t>երկրորդ կարգի 27 ջրանցքների շուրջ 65</w:t>
      </w:r>
      <w:r w:rsidRPr="00C921DE">
        <w:rPr>
          <w:rFonts w:ascii="GHEA Grapalat" w:hAnsi="GHEA Grapalat" w:cs="GHEA Grapalat"/>
          <w:sz w:val="22"/>
          <w:szCs w:val="22"/>
        </w:rPr>
        <w:t>.</w:t>
      </w:r>
      <w:r w:rsidRPr="00C921DE">
        <w:rPr>
          <w:rFonts w:ascii="GHEA Grapalat" w:hAnsi="GHEA Grapalat" w:cs="GHEA Grapalat"/>
          <w:sz w:val="22"/>
          <w:szCs w:val="22"/>
          <w:lang w:val="af-ZA"/>
        </w:rPr>
        <w:t>8 կմ ընդհանուր երկարությամբ վթարային հատվածների և շուրջ 16</w:t>
      </w:r>
      <w:r w:rsidRPr="00C921DE">
        <w:rPr>
          <w:rFonts w:ascii="GHEA Grapalat" w:hAnsi="GHEA Grapalat" w:cs="GHEA Grapalat"/>
          <w:sz w:val="22"/>
          <w:szCs w:val="22"/>
        </w:rPr>
        <w:t>.</w:t>
      </w:r>
      <w:r w:rsidRPr="00C921DE">
        <w:rPr>
          <w:rFonts w:ascii="GHEA Grapalat" w:hAnsi="GHEA Grapalat" w:cs="GHEA Grapalat"/>
          <w:sz w:val="22"/>
          <w:szCs w:val="22"/>
          <w:lang w:val="af-ZA"/>
        </w:rPr>
        <w:t>1 կմ ընդհանուր երկարությամբ ներտնտեսային ոռոգման 3 համակարգերի վերակ</w:t>
      </w:r>
      <w:r w:rsidR="001B345E" w:rsidRPr="00C921DE">
        <w:rPr>
          <w:rFonts w:ascii="GHEA Grapalat" w:hAnsi="GHEA Grapalat" w:cs="GHEA Grapalat"/>
          <w:sz w:val="22"/>
          <w:szCs w:val="22"/>
          <w:lang w:val="af-ZA"/>
        </w:rPr>
        <w:t>անգնման լրացուցիչ աշխատանքները, որից 2023 թվականին</w:t>
      </w:r>
      <w:r w:rsidRPr="00C921DE">
        <w:rPr>
          <w:rFonts w:ascii="GHEA Grapalat" w:hAnsi="GHEA Grapalat" w:cs="GHEA Grapalat"/>
          <w:sz w:val="22"/>
          <w:szCs w:val="22"/>
          <w:lang w:val="af-ZA"/>
        </w:rPr>
        <w:t xml:space="preserve"> վերականգնվել են երկրորդ կարգի ջրանցքների շուրջ 53.5 կմ ընդհանուր երկարությամբ հատվածներ և 15.4 կմ ներտնտեսային ոռոգման ցանց</w:t>
      </w:r>
      <w:r w:rsidR="00824CA8" w:rsidRPr="00C921DE">
        <w:rPr>
          <w:rFonts w:ascii="GHEA Grapalat" w:hAnsi="GHEA Grapalat" w:cs="GHEA Grapalat"/>
          <w:sz w:val="22"/>
          <w:szCs w:val="22"/>
          <w:lang w:val="af-ZA"/>
        </w:rPr>
        <w:t>եր</w:t>
      </w:r>
      <w:r w:rsidRPr="00C921DE">
        <w:rPr>
          <w:rFonts w:ascii="GHEA Grapalat" w:hAnsi="GHEA Grapalat" w:cs="GHEA Grapalat"/>
          <w:sz w:val="22"/>
          <w:szCs w:val="22"/>
          <w:lang w:val="af-ZA"/>
        </w:rPr>
        <w:t>։</w:t>
      </w:r>
      <w:r w:rsidRPr="00C921DE">
        <w:rPr>
          <w:rFonts w:ascii="GHEA Grapalat" w:hAnsi="GHEA Grapalat" w:cs="GHEA Grapalat"/>
          <w:sz w:val="22"/>
          <w:szCs w:val="22"/>
        </w:rPr>
        <w:t xml:space="preserve"> Ծրագրի շրջանակներում օգտագործվել է նախատեսված միջոցների 99.1%-ը՝ շուրջ 4 մլրդ դրամ՝ հիմնականում պայմանավորված արտարժույթի կանխատեսված ու փաստացի փոխարժեքների տարբերությամբ։</w:t>
      </w:r>
    </w:p>
    <w:p w14:paraId="4614A586"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Ոռոգում-ջրառ իրականացնող ՓԲԸ-ին նախատեսված աջակցության հիմնական նպատակն է կազմակերպության վնասների փոխհատուցման արդյունքում նրա տեխնիկական և ֆինանսական </w:t>
      </w:r>
      <w:r w:rsidRPr="00C921DE">
        <w:rPr>
          <w:rFonts w:ascii="GHEA Grapalat" w:hAnsi="GHEA Grapalat" w:cs="GHEA Grapalat"/>
          <w:sz w:val="22"/>
          <w:szCs w:val="22"/>
        </w:rPr>
        <w:lastRenderedPageBreak/>
        <w:t>գործունակության ու ֆինանսական կայունացման ապահովումը, որի համար նախատեսված 1.3 մլրդ դրամն օգտագործվել է ամբողջ ծավալով։</w:t>
      </w:r>
    </w:p>
    <w:p w14:paraId="211EECDC"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Ոռոգման ծառայություններ մատուցող ընկերություններին ֆինանսական աջակցության նպատակով նախատեսված 10.1 մլրդ դրամը նույնպես ամբողջությամբ օգտագործվել է: Միջոցներն ուղղվել են 15 ջրօգտագործողների ընկերություններին (ՋՕԸ): Ոռոգման համակարգին պետական ֆինանսական աջակցության շրջանակների հստակեցումը և տրամադրման մեխանիզմների բարեփոխումն էլ ավելի է կարևորվում աղքատության հաղթահարման միջոցառումների համատեքստում` հաշվի առնելով այն հանգամանքը, որ ոռոգման ջրի կանոնավոր հասանելիությունը զգալիորեն նվազեցնում է աղքատության ռիսկը գյուղական բնակավայրերում։ </w:t>
      </w:r>
    </w:p>
    <w:p w14:paraId="2C47DDD7"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2022 թվականի համեմատ Ոռոգման համակարգի առողջացման ծրագրի ծախսերն աճել են 21.3%-ով կամ 4.5 մլրդ դրամով՝ հիմնականում պայմանավորված Գերմանիայի զարգացման վարկերի բանկի աջակցությամբ իրականացվող Ախուրյան գետի ջրային ռեսուրսների ինտեգրված կառավարման ծրագրի շրջանակներում </w:t>
      </w:r>
      <w:r w:rsidR="00FA4FFC" w:rsidRPr="00C921DE">
        <w:rPr>
          <w:rFonts w:ascii="GHEA Grapalat" w:hAnsi="GHEA Grapalat" w:cs="GHEA Grapalat"/>
          <w:sz w:val="22"/>
          <w:szCs w:val="22"/>
          <w:lang w:val="en-US"/>
        </w:rPr>
        <w:t xml:space="preserve">կատարված </w:t>
      </w:r>
      <w:r w:rsidRPr="00C921DE">
        <w:rPr>
          <w:rFonts w:ascii="GHEA Grapalat" w:hAnsi="GHEA Grapalat" w:cs="GHEA Grapalat"/>
          <w:sz w:val="22"/>
          <w:szCs w:val="22"/>
        </w:rPr>
        <w:t>հատկացումների աճով:</w:t>
      </w:r>
    </w:p>
    <w:p w14:paraId="5C16454A"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Հաշվետու ժամանակահատվածում </w:t>
      </w:r>
      <w:r w:rsidRPr="00C921DE">
        <w:rPr>
          <w:rFonts w:ascii="GHEA Grapalat" w:hAnsi="GHEA Grapalat" w:cs="GHEA Grapalat"/>
          <w:i/>
          <w:sz w:val="22"/>
          <w:szCs w:val="22"/>
        </w:rPr>
        <w:t>Ճանապարհային ցանցի բարելավման</w:t>
      </w:r>
      <w:r w:rsidRPr="00C921DE">
        <w:rPr>
          <w:rFonts w:ascii="GHEA Grapalat" w:hAnsi="GHEA Grapalat" w:cs="GHEA Grapalat"/>
          <w:sz w:val="22"/>
          <w:szCs w:val="22"/>
        </w:rPr>
        <w:t xml:space="preserve"> ծրագրին ուղղվել է 100.4 մլրդ դրամ՝ կազմելով ծրագրված ցուցանիշի 96.7%-ը: Շեղումը հիմնականում պայմանավորված է պետական նշանակության ավտոճանապարհների հիմնանորոգման միջոցառման կատարողականով: </w:t>
      </w:r>
    </w:p>
    <w:p w14:paraId="5D6D0CF6" w14:textId="1273575E"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Պետական նշանակության ավտոճանապարհների հիմնանորոգման միջոցառման շրջանակներում 2023 թվականին իրականացվել են առաջնահերթ վերականգնման կարիք ունեցող 355.7 կմ ընդհանուր երկարությամբ ճանապարհահատվածների հիմնանորոգման, կառուցման և վերակառուցման աշխատանքներ, որից 305.7 կմ (միջպետական՝ 105 կմ, հանրապետական՝ 103 կմ, մարզային՝ 97.7 կմ) ճանապարհային պատվածք</w:t>
      </w:r>
      <w:r w:rsidR="003173DF"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ամբողջությամբ իրականացված է, իսկ 50 կմ–ը՝ իրականացված է ասֆալտբետոնե ներքին շերտով: Ընդհանուր առմամբ միջոցառման շրջանակներում օգտագործվել է նախատեսված միջոցների 95.8%-ը՝ 59.7 մլրդ դրամ: Տարբերությունը պայմանավորված է նրանով, որ դեկտեմբերին անբարենպաստ եղանակային պայմանների պատճառով որոշ ճանապարհահատվածների շինարարական աշխատանքների ընթացքը դանդաղել է</w:t>
      </w:r>
      <w:r w:rsidR="00F30323" w:rsidRPr="00C921DE">
        <w:rPr>
          <w:rFonts w:ascii="GHEA Grapalat" w:hAnsi="GHEA Grapalat" w:cs="GHEA Grapalat"/>
          <w:sz w:val="22"/>
          <w:szCs w:val="22"/>
          <w:lang w:val="en-US"/>
        </w:rPr>
        <w:t>,</w:t>
      </w:r>
      <w:r w:rsidRPr="00C921DE">
        <w:rPr>
          <w:rFonts w:ascii="GHEA Grapalat" w:hAnsi="GHEA Grapalat" w:cs="GHEA Grapalat"/>
          <w:sz w:val="22"/>
          <w:szCs w:val="22"/>
        </w:rPr>
        <w:t xml:space="preserve"> և նախատեսված աշխատանքները սահմանված ժամկետում չեն ավարտվել։ Աշխատանքների կատարման ժամկետների ձգձգման հետևանքով չեն վճարվել նաև այդ աշխատանքների նկատմամբ տեխնիկական և հեղինակային հսկողության ծառայությունների մատուցման համար նախատեսված գումարները, կատարված աշխատանքները շահագործման չընդունվելու հետևանքով չ</w:t>
      </w:r>
      <w:r w:rsidR="00BB31F6" w:rsidRPr="00C921DE">
        <w:rPr>
          <w:rFonts w:ascii="GHEA Grapalat" w:hAnsi="GHEA Grapalat" w:cs="GHEA Grapalat"/>
          <w:sz w:val="22"/>
          <w:szCs w:val="22"/>
          <w:lang w:val="en-US"/>
        </w:rPr>
        <w:t>ի</w:t>
      </w:r>
      <w:r w:rsidRPr="00C921DE">
        <w:rPr>
          <w:rFonts w:ascii="GHEA Grapalat" w:hAnsi="GHEA Grapalat" w:cs="GHEA Grapalat"/>
          <w:sz w:val="22"/>
          <w:szCs w:val="22"/>
        </w:rPr>
        <w:t xml:space="preserve"> վճարվել որոշ օբյեկտների</w:t>
      </w:r>
      <w:r w:rsidR="00BB31F6" w:rsidRPr="00C921DE">
        <w:rPr>
          <w:rFonts w:ascii="GHEA Grapalat" w:hAnsi="GHEA Grapalat" w:cs="GHEA Grapalat"/>
          <w:sz w:val="22"/>
          <w:szCs w:val="22"/>
        </w:rPr>
        <w:t xml:space="preserve"> պայմանագրային գումարի 5 տոկոսը</w:t>
      </w:r>
      <w:r w:rsidR="00BB31F6" w:rsidRPr="00C921DE">
        <w:rPr>
          <w:rFonts w:ascii="GHEA Grapalat" w:hAnsi="GHEA Grapalat" w:cs="GHEA Grapalat"/>
          <w:sz w:val="22"/>
          <w:szCs w:val="22"/>
          <w:lang w:val="en-US"/>
        </w:rPr>
        <w:t xml:space="preserve">, ինչպես նաև </w:t>
      </w:r>
      <w:r w:rsidRPr="00C921DE">
        <w:rPr>
          <w:rFonts w:ascii="GHEA Grapalat" w:hAnsi="GHEA Grapalat" w:cs="GHEA Grapalat"/>
          <w:sz w:val="22"/>
          <w:szCs w:val="22"/>
        </w:rPr>
        <w:t xml:space="preserve">որոշ ճանապարհահատվածների հիմնանորոգման համար պատվիրված նախագծանախահաշվային փաստաթղթերի ձեռքբերման </w:t>
      </w:r>
      <w:r w:rsidRPr="00C921DE">
        <w:rPr>
          <w:rFonts w:ascii="GHEA Grapalat" w:hAnsi="GHEA Grapalat" w:cs="GHEA Grapalat"/>
          <w:sz w:val="22"/>
          <w:szCs w:val="22"/>
        </w:rPr>
        <w:lastRenderedPageBreak/>
        <w:t>ծառայությունների համար նախատեսված միջոցների 30 տոկոսը:</w:t>
      </w:r>
      <w:r w:rsidR="009D3F64" w:rsidRPr="00C921DE">
        <w:rPr>
          <w:rFonts w:ascii="GHEA Grapalat" w:hAnsi="GHEA Grapalat" w:cs="GHEA Grapalat"/>
          <w:sz w:val="22"/>
          <w:szCs w:val="22"/>
        </w:rPr>
        <w:t xml:space="preserve"> 2022</w:t>
      </w:r>
      <w:r w:rsidR="009D3F64" w:rsidRPr="00C921DE">
        <w:rPr>
          <w:rFonts w:ascii="GHEA Grapalat" w:hAnsi="GHEA Grapalat" w:cs="GHEA Grapalat"/>
          <w:sz w:val="22"/>
          <w:szCs w:val="22"/>
          <w:lang w:val="en-US"/>
        </w:rPr>
        <w:t xml:space="preserve"> </w:t>
      </w:r>
      <w:r w:rsidR="009D3F64" w:rsidRPr="00C921DE">
        <w:rPr>
          <w:rFonts w:ascii="GHEA Grapalat" w:hAnsi="GHEA Grapalat" w:cs="GHEA Grapalat"/>
          <w:sz w:val="22"/>
          <w:szCs w:val="22"/>
        </w:rPr>
        <w:t>թ</w:t>
      </w:r>
      <w:r w:rsidR="009D3F64" w:rsidRPr="00C921DE">
        <w:rPr>
          <w:rFonts w:ascii="GHEA Grapalat" w:hAnsi="GHEA Grapalat" w:cs="GHEA Grapalat"/>
          <w:sz w:val="22"/>
          <w:szCs w:val="22"/>
          <w:lang w:val="en-US"/>
        </w:rPr>
        <w:t>վականի</w:t>
      </w:r>
      <w:r w:rsidR="009D3F64" w:rsidRPr="00C921DE">
        <w:rPr>
          <w:rFonts w:ascii="GHEA Grapalat" w:hAnsi="GHEA Grapalat" w:cs="GHEA Grapalat"/>
          <w:sz w:val="22"/>
          <w:szCs w:val="22"/>
        </w:rPr>
        <w:t xml:space="preserve"> համեմատ </w:t>
      </w:r>
      <w:r w:rsidR="009D3F64" w:rsidRPr="00C921DE">
        <w:rPr>
          <w:rFonts w:ascii="GHEA Grapalat" w:hAnsi="GHEA Grapalat" w:cs="GHEA Grapalat"/>
          <w:sz w:val="22"/>
          <w:szCs w:val="22"/>
          <w:lang w:val="en-US"/>
        </w:rPr>
        <w:t xml:space="preserve">նշված </w:t>
      </w:r>
      <w:r w:rsidR="009D3F64" w:rsidRPr="00C921DE">
        <w:rPr>
          <w:rFonts w:ascii="GHEA Grapalat" w:hAnsi="GHEA Grapalat" w:cs="GHEA Grapalat"/>
          <w:sz w:val="22"/>
          <w:szCs w:val="22"/>
        </w:rPr>
        <w:t>ծախսերն աճել են 24</w:t>
      </w:r>
      <w:r w:rsidR="009D3F64" w:rsidRPr="00C921DE">
        <w:rPr>
          <w:rFonts w:ascii="Cambria Math" w:hAnsi="Cambria Math" w:cs="Cambria Math"/>
          <w:sz w:val="22"/>
          <w:szCs w:val="22"/>
        </w:rPr>
        <w:t>․</w:t>
      </w:r>
      <w:r w:rsidR="009D3F64" w:rsidRPr="00C921DE">
        <w:rPr>
          <w:rFonts w:ascii="GHEA Grapalat" w:hAnsi="GHEA Grapalat" w:cs="GHEA Grapalat"/>
          <w:sz w:val="22"/>
          <w:szCs w:val="22"/>
        </w:rPr>
        <w:t>9%-ով</w:t>
      </w:r>
      <w:r w:rsidR="009D3F64" w:rsidRPr="00C921DE">
        <w:rPr>
          <w:rFonts w:ascii="GHEA Grapalat" w:hAnsi="GHEA Grapalat" w:cs="GHEA Grapalat"/>
          <w:sz w:val="22"/>
          <w:szCs w:val="22"/>
          <w:lang w:val="en-US"/>
        </w:rPr>
        <w:t xml:space="preserve"> (11.9 մլրդ դրամով)</w:t>
      </w:r>
      <w:r w:rsidR="009D3F64" w:rsidRPr="00C921DE">
        <w:rPr>
          <w:rFonts w:ascii="GHEA Grapalat" w:hAnsi="GHEA Grapalat" w:cs="GHEA Grapalat"/>
          <w:sz w:val="22"/>
          <w:szCs w:val="22"/>
        </w:rPr>
        <w:t>, ինչը պայմանավորված է</w:t>
      </w:r>
      <w:r w:rsidR="00997998" w:rsidRPr="00C921DE">
        <w:rPr>
          <w:rFonts w:ascii="GHEA Grapalat" w:hAnsi="GHEA Grapalat" w:cs="GHEA Grapalat"/>
          <w:sz w:val="22"/>
          <w:szCs w:val="22"/>
        </w:rPr>
        <w:t xml:space="preserve"> </w:t>
      </w:r>
      <w:r w:rsidR="009D3F64" w:rsidRPr="00C921DE">
        <w:rPr>
          <w:rFonts w:ascii="GHEA Grapalat" w:hAnsi="GHEA Grapalat" w:cs="GHEA Grapalat"/>
          <w:sz w:val="22"/>
          <w:szCs w:val="22"/>
        </w:rPr>
        <w:t>ճանապարհահատվածների հիմնանորոգման աշխատանքների ծավալների աճով</w:t>
      </w:r>
      <w:r w:rsidR="009D3F64" w:rsidRPr="00C921DE">
        <w:rPr>
          <w:rFonts w:ascii="GHEA Grapalat" w:hAnsi="GHEA Grapalat" w:cs="GHEA Grapalat"/>
          <w:sz w:val="22"/>
          <w:szCs w:val="22"/>
          <w:lang w:val="en-US"/>
        </w:rPr>
        <w:t>:</w:t>
      </w:r>
    </w:p>
    <w:p w14:paraId="3B97147B" w14:textId="1C9AE32B" w:rsidR="006A2C9F" w:rsidRPr="00C921DE" w:rsidRDefault="006A2C9F" w:rsidP="003737BF">
      <w:pPr>
        <w:autoSpaceDE w:val="0"/>
        <w:autoSpaceDN w:val="0"/>
        <w:adjustRightInd w:val="0"/>
        <w:spacing w:line="360" w:lineRule="auto"/>
        <w:ind w:firstLine="567"/>
        <w:jc w:val="both"/>
        <w:rPr>
          <w:rFonts w:ascii="GHEA Grapalat" w:hAnsi="GHEA Grapalat" w:cs="GHEA Grapalat"/>
          <w:bCs/>
          <w:sz w:val="22"/>
          <w:szCs w:val="22"/>
          <w:lang w:val="en-US"/>
        </w:rPr>
      </w:pPr>
      <w:r w:rsidRPr="00C921DE">
        <w:rPr>
          <w:rFonts w:ascii="GHEA Grapalat" w:hAnsi="GHEA Grapalat" w:cs="GHEA Grapalat"/>
          <w:sz w:val="22"/>
          <w:szCs w:val="22"/>
        </w:rPr>
        <w:t xml:space="preserve">Հյուսիս-հարավ միջանցքի զարգացման ծրագրի՝ ԱԶԲ աջակցության Տրանշ 2-ի շրջանակներում </w:t>
      </w:r>
      <w:r w:rsidR="003737BF" w:rsidRPr="00C921DE">
        <w:rPr>
          <w:rFonts w:ascii="GHEA Grapalat" w:hAnsi="GHEA Grapalat" w:cs="GHEA Grapalat"/>
          <w:sz w:val="22"/>
          <w:szCs w:val="22"/>
          <w:lang w:val="en-US"/>
        </w:rPr>
        <w:t xml:space="preserve">շարունակվել են </w:t>
      </w:r>
      <w:r w:rsidRPr="00C921DE">
        <w:rPr>
          <w:rFonts w:ascii="GHEA Grapalat" w:hAnsi="GHEA Grapalat" w:cs="GHEA Grapalat"/>
          <w:bCs/>
          <w:sz w:val="22"/>
          <w:szCs w:val="22"/>
        </w:rPr>
        <w:t>Հյուսիս-հարավ ճանապարհային միջանցքի մաս հանդիսացող Ա</w:t>
      </w:r>
      <w:r w:rsidR="003737BF" w:rsidRPr="00C921DE">
        <w:rPr>
          <w:rFonts w:ascii="GHEA Grapalat" w:hAnsi="GHEA Grapalat" w:cs="GHEA Grapalat"/>
          <w:bCs/>
          <w:sz w:val="22"/>
          <w:szCs w:val="22"/>
        </w:rPr>
        <w:t>շտարակ-Թալին 42</w:t>
      </w:r>
      <w:r w:rsidR="003737BF" w:rsidRPr="00C921DE">
        <w:rPr>
          <w:rFonts w:ascii="Calibri" w:hAnsi="Calibri" w:cs="Calibri"/>
          <w:bCs/>
          <w:sz w:val="22"/>
          <w:szCs w:val="22"/>
          <w:lang w:val="en-US"/>
        </w:rPr>
        <w:t> </w:t>
      </w:r>
      <w:r w:rsidRPr="00C921DE">
        <w:rPr>
          <w:rFonts w:ascii="GHEA Grapalat" w:hAnsi="GHEA Grapalat" w:cs="GHEA Grapalat"/>
          <w:bCs/>
          <w:sz w:val="22"/>
          <w:szCs w:val="22"/>
        </w:rPr>
        <w:t>կմ ընդհանուր երկարությամբ հատվածի կառուց</w:t>
      </w:r>
      <w:r w:rsidR="003737BF" w:rsidRPr="00C921DE">
        <w:rPr>
          <w:rFonts w:ascii="GHEA Grapalat" w:hAnsi="GHEA Grapalat" w:cs="GHEA Grapalat"/>
          <w:bCs/>
          <w:sz w:val="22"/>
          <w:szCs w:val="22"/>
        </w:rPr>
        <w:t>ման աշխատանքները</w:t>
      </w:r>
      <w:r w:rsidR="009D6B89" w:rsidRPr="00C921DE">
        <w:rPr>
          <w:rFonts w:ascii="GHEA Grapalat" w:hAnsi="GHEA Grapalat" w:cs="GHEA Grapalat"/>
          <w:bCs/>
          <w:sz w:val="22"/>
          <w:szCs w:val="22"/>
          <w:lang w:val="en-US"/>
        </w:rPr>
        <w:t>, որոնց տրամադրվել է 6.7</w:t>
      </w:r>
      <w:r w:rsidR="009D6B89" w:rsidRPr="00C921DE">
        <w:rPr>
          <w:rFonts w:ascii="Calibri" w:hAnsi="Calibri" w:cs="Calibri"/>
          <w:bCs/>
          <w:sz w:val="22"/>
          <w:szCs w:val="22"/>
          <w:lang w:val="en-US"/>
        </w:rPr>
        <w:t> </w:t>
      </w:r>
      <w:r w:rsidR="00D33E42" w:rsidRPr="00C921DE">
        <w:rPr>
          <w:rFonts w:ascii="GHEA Grapalat" w:hAnsi="GHEA Grapalat" w:cs="GHEA Grapalat"/>
          <w:bCs/>
          <w:sz w:val="22"/>
          <w:szCs w:val="22"/>
          <w:lang w:val="en-US"/>
        </w:rPr>
        <w:t xml:space="preserve">մլրդ դրամ </w:t>
      </w:r>
      <w:r w:rsidR="009D6B89" w:rsidRPr="00C921DE">
        <w:rPr>
          <w:rFonts w:ascii="GHEA Grapalat" w:hAnsi="GHEA Grapalat" w:cs="GHEA Grapalat"/>
          <w:bCs/>
          <w:sz w:val="22"/>
          <w:szCs w:val="22"/>
          <w:lang w:val="en-US"/>
        </w:rPr>
        <w:t>կամ նախատեսված միջոցների 100.8%-ը</w:t>
      </w:r>
      <w:r w:rsidR="003737BF" w:rsidRPr="00C921DE">
        <w:rPr>
          <w:rFonts w:ascii="GHEA Grapalat" w:hAnsi="GHEA Grapalat" w:cs="GHEA Grapalat"/>
          <w:bCs/>
          <w:sz w:val="22"/>
          <w:szCs w:val="22"/>
          <w:lang w:val="en-US"/>
        </w:rPr>
        <w:t>: Շ</w:t>
      </w:r>
      <w:r w:rsidRPr="00C921DE">
        <w:rPr>
          <w:rFonts w:ascii="GHEA Grapalat" w:hAnsi="GHEA Grapalat" w:cs="GHEA Grapalat"/>
          <w:sz w:val="22"/>
          <w:szCs w:val="22"/>
        </w:rPr>
        <w:t xml:space="preserve">ինարարական աշխատանքները մեկնարկել են Աշտարակ-Թալին ճանապարհահատվածի </w:t>
      </w:r>
      <w:r w:rsidR="00F6057C" w:rsidRPr="00C921DE">
        <w:rPr>
          <w:rFonts w:ascii="GHEA Grapalat" w:hAnsi="GHEA Grapalat" w:cs="GHEA Grapalat"/>
          <w:sz w:val="22"/>
          <w:szCs w:val="22"/>
          <w:lang w:val="en-US"/>
        </w:rPr>
        <w:t>կմ</w:t>
      </w:r>
      <w:r w:rsidRPr="00C921DE">
        <w:rPr>
          <w:rFonts w:ascii="GHEA Grapalat" w:hAnsi="GHEA Grapalat" w:cs="GHEA Grapalat"/>
          <w:sz w:val="22"/>
          <w:szCs w:val="22"/>
        </w:rPr>
        <w:t>59+980–</w:t>
      </w:r>
      <w:r w:rsidR="00F6057C" w:rsidRPr="00C921DE">
        <w:rPr>
          <w:rFonts w:ascii="GHEA Grapalat" w:hAnsi="GHEA Grapalat" w:cs="GHEA Grapalat"/>
          <w:sz w:val="22"/>
          <w:szCs w:val="22"/>
          <w:lang w:val="en-US"/>
        </w:rPr>
        <w:t>կմ</w:t>
      </w:r>
      <w:r w:rsidRPr="00C921DE">
        <w:rPr>
          <w:rFonts w:ascii="GHEA Grapalat" w:hAnsi="GHEA Grapalat" w:cs="GHEA Grapalat"/>
          <w:sz w:val="22"/>
          <w:szCs w:val="22"/>
        </w:rPr>
        <w:t xml:space="preserve">68+820 հատվածում։ Նշված հատվածը միակողմանի </w:t>
      </w:r>
      <w:r w:rsidRPr="00C921DE">
        <w:rPr>
          <w:rFonts w:ascii="GHEA Grapalat" w:hAnsi="GHEA Grapalat" w:cs="GHEA Grapalat"/>
          <w:bCs/>
          <w:sz w:val="22"/>
          <w:szCs w:val="22"/>
        </w:rPr>
        <w:t>կառուցվել և կահավորվել է անվտանգության համապատասխան տարրերով և 2023 թվականի դեկտեմբերի 15-ից բաց է երթևեկության համար։ Ամբողջությամբ իրականացվել են այս հատվածի հողային պաստառի նախապատրաստման և ավազակոպճային ենթահիմքի</w:t>
      </w:r>
      <w:r w:rsidRPr="00C921DE">
        <w:rPr>
          <w:rFonts w:ascii="GHEA Grapalat" w:hAnsi="GHEA Grapalat" w:cs="GHEA Grapalat"/>
          <w:sz w:val="22"/>
          <w:szCs w:val="22"/>
        </w:rPr>
        <w:t xml:space="preserve"> տեղադրման, երկաթբետոնե ջրթող խողովակների տեղադրման, ինչպես նաև մոտ 1 կմ հատվածի երկշերտ ասֆալտապատման աշխատանքները։ Ընթացքի մեջ են հանույթի, լիցքի և հիմքի շերտի աշխատանքները մյուս հատվածներում։ Տրանշ 3-ի շրջանակներում իրականացվել են </w:t>
      </w:r>
      <w:r w:rsidR="0071158C" w:rsidRPr="00C921DE">
        <w:rPr>
          <w:rFonts w:ascii="GHEA Grapalat" w:hAnsi="GHEA Grapalat" w:cs="GHEA Grapalat"/>
          <w:sz w:val="22"/>
          <w:szCs w:val="22"/>
          <w:lang w:val="en-US"/>
        </w:rPr>
        <w:t xml:space="preserve">2022 թվականին շահագործման հանձնված </w:t>
      </w:r>
      <w:r w:rsidRPr="00C921DE">
        <w:rPr>
          <w:rFonts w:ascii="GHEA Grapalat" w:hAnsi="GHEA Grapalat" w:cs="GHEA Grapalat"/>
          <w:sz w:val="22"/>
          <w:szCs w:val="22"/>
        </w:rPr>
        <w:t xml:space="preserve">Թալին-Լանջիկ ճանապարհահատվածի կահավորման </w:t>
      </w:r>
      <w:r w:rsidR="0071158C" w:rsidRPr="00C921DE">
        <w:rPr>
          <w:rFonts w:ascii="GHEA Grapalat" w:hAnsi="GHEA Grapalat" w:cs="GHEA Grapalat"/>
          <w:sz w:val="22"/>
          <w:szCs w:val="22"/>
          <w:lang w:val="en-US"/>
        </w:rPr>
        <w:t>աշխատանքները</w:t>
      </w:r>
      <w:r w:rsidR="004E514F" w:rsidRPr="00C921DE">
        <w:rPr>
          <w:rFonts w:ascii="GHEA Grapalat" w:hAnsi="GHEA Grapalat" w:cs="GHEA Grapalat"/>
          <w:sz w:val="22"/>
          <w:szCs w:val="22"/>
          <w:lang w:val="en-US"/>
        </w:rPr>
        <w:t>, ինչպես նաև նշված</w:t>
      </w:r>
      <w:r w:rsidRPr="00C921DE">
        <w:rPr>
          <w:rFonts w:ascii="GHEA Grapalat" w:hAnsi="GHEA Grapalat" w:cs="GHEA Grapalat"/>
          <w:sz w:val="22"/>
          <w:szCs w:val="22"/>
        </w:rPr>
        <w:t xml:space="preserve"> ճանապարհահատվածի կառուցման շինարարական աշխատանքների տեխնիկական հսկողության, Հողերի օտարման և տարաբնակեցման ծրագրի (ՀՕՏԾ) խորհրդատվական ծառայություններ, արտաքին մոնիտորինգի ծառայություններ, հաղորդակցուղիների տեղափոխման տեխնիկական, ինչպես նաև հեղինակա</w:t>
      </w:r>
      <w:r w:rsidR="004E514F" w:rsidRPr="00C921DE">
        <w:rPr>
          <w:rFonts w:ascii="GHEA Grapalat" w:hAnsi="GHEA Grapalat" w:cs="GHEA Grapalat"/>
          <w:sz w:val="22"/>
          <w:szCs w:val="22"/>
        </w:rPr>
        <w:t>յին հսկողության ծառայություններ</w:t>
      </w:r>
      <w:r w:rsidRPr="00C921DE">
        <w:rPr>
          <w:rFonts w:ascii="GHEA Grapalat" w:hAnsi="GHEA Grapalat" w:cs="GHEA Grapalat"/>
          <w:sz w:val="22"/>
          <w:szCs w:val="22"/>
        </w:rPr>
        <w:t>:</w:t>
      </w:r>
    </w:p>
    <w:p w14:paraId="2DF987BB" w14:textId="7D09A9A8" w:rsidR="00D93141" w:rsidRPr="00C921DE" w:rsidRDefault="006A2C9F" w:rsidP="00484187">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Հյուսիս-հարավ միջանցքի զարգացման ծրագրի՝ Եվրասիական զարգացման բանկի աջակցության շրջանակներում նախատեսվում է վերակառուցել 32 կմ ընդհանուր երկարությամբ՝ Ագարակ (ԻԻՀ-ի սահման)-Վարդանիձոր-Քաջարանի թունելի ելք հատվածը։ </w:t>
      </w:r>
      <w:r w:rsidR="00ED63C4" w:rsidRPr="00C921DE">
        <w:rPr>
          <w:rFonts w:ascii="GHEA Grapalat" w:hAnsi="GHEA Grapalat" w:cs="GHEA Grapalat"/>
          <w:sz w:val="22"/>
          <w:szCs w:val="22"/>
        </w:rPr>
        <w:t>Շինարարական աշխատանքները ն</w:t>
      </w:r>
      <w:r w:rsidR="0071158C" w:rsidRPr="00C921DE">
        <w:rPr>
          <w:rFonts w:ascii="GHEA Grapalat" w:hAnsi="GHEA Grapalat" w:cs="GHEA Grapalat"/>
          <w:sz w:val="22"/>
          <w:szCs w:val="22"/>
        </w:rPr>
        <w:t>ախատեսվում է սկսել 2024 թվականի</w:t>
      </w:r>
      <w:r w:rsidR="00ED63C4" w:rsidRPr="00C921DE">
        <w:rPr>
          <w:rFonts w:ascii="GHEA Grapalat" w:hAnsi="GHEA Grapalat" w:cs="GHEA Grapalat"/>
          <w:sz w:val="22"/>
          <w:szCs w:val="22"/>
        </w:rPr>
        <w:t xml:space="preserve">ն և ավարտել 2026 թվականի վերջին: </w:t>
      </w:r>
      <w:r w:rsidRPr="00C921DE">
        <w:rPr>
          <w:rFonts w:ascii="GHEA Grapalat" w:hAnsi="GHEA Grapalat" w:cs="GHEA Grapalat"/>
          <w:sz w:val="22"/>
          <w:szCs w:val="22"/>
        </w:rPr>
        <w:t xml:space="preserve">2023 </w:t>
      </w:r>
      <w:r w:rsidR="00ED63C4" w:rsidRPr="00C921DE">
        <w:rPr>
          <w:rFonts w:ascii="GHEA Grapalat" w:hAnsi="GHEA Grapalat" w:cs="GHEA Grapalat"/>
          <w:sz w:val="22"/>
          <w:szCs w:val="22"/>
        </w:rPr>
        <w:t>թվականին</w:t>
      </w:r>
      <w:r w:rsidR="00F247D0" w:rsidRPr="00C921DE">
        <w:rPr>
          <w:rFonts w:ascii="GHEA Grapalat" w:hAnsi="GHEA Grapalat" w:cs="GHEA Grapalat"/>
          <w:sz w:val="22"/>
          <w:szCs w:val="22"/>
          <w:lang w:val="en-US"/>
        </w:rPr>
        <w:t xml:space="preserve"> նշված աշխատանքներին</w:t>
      </w:r>
      <w:r w:rsidR="00ED63C4" w:rsidRPr="00C921DE">
        <w:rPr>
          <w:rFonts w:ascii="GHEA Grapalat" w:hAnsi="GHEA Grapalat" w:cs="GHEA Grapalat"/>
          <w:sz w:val="22"/>
          <w:szCs w:val="22"/>
        </w:rPr>
        <w:t xml:space="preserve"> հատկացվել է</w:t>
      </w:r>
      <w:r w:rsidR="00D93141" w:rsidRPr="00C921DE">
        <w:rPr>
          <w:rFonts w:ascii="GHEA Grapalat" w:hAnsi="GHEA Grapalat" w:cs="GHEA Grapalat"/>
          <w:sz w:val="22"/>
          <w:szCs w:val="22"/>
          <w:lang w:val="en-US"/>
        </w:rPr>
        <w:t xml:space="preserve"> շուրջ 5.3 մլրդ դրամ</w:t>
      </w:r>
      <w:r w:rsidRPr="00C921DE">
        <w:rPr>
          <w:rFonts w:ascii="GHEA Grapalat" w:hAnsi="GHEA Grapalat" w:cs="GHEA Grapalat"/>
          <w:sz w:val="22"/>
          <w:szCs w:val="22"/>
        </w:rPr>
        <w:t xml:space="preserve">: </w:t>
      </w:r>
      <w:r w:rsidR="00F34D80" w:rsidRPr="00C921DE">
        <w:rPr>
          <w:rFonts w:ascii="GHEA Grapalat" w:hAnsi="GHEA Grapalat" w:cs="GHEA Grapalat"/>
          <w:sz w:val="22"/>
          <w:szCs w:val="22"/>
          <w:lang w:val="en-US"/>
        </w:rPr>
        <w:t>Ծ</w:t>
      </w:r>
      <w:r w:rsidR="00F34D80" w:rsidRPr="00C921DE">
        <w:rPr>
          <w:rFonts w:ascii="GHEA Grapalat" w:hAnsi="GHEA Grapalat" w:cs="GHEA Grapalat"/>
          <w:sz w:val="22"/>
          <w:szCs w:val="22"/>
        </w:rPr>
        <w:t>րագրի պահպանման</w:t>
      </w:r>
      <w:r w:rsidR="00D93141" w:rsidRPr="00C921DE">
        <w:rPr>
          <w:rFonts w:ascii="GHEA Grapalat" w:hAnsi="GHEA Grapalat" w:cs="GHEA Grapalat"/>
          <w:sz w:val="22"/>
          <w:szCs w:val="22"/>
        </w:rPr>
        <w:t>, ՀՕՏԾ-ի գծով օտարումների, գրանցումների և այլ պարտադիր վճարներ</w:t>
      </w:r>
      <w:r w:rsidR="00F247D0" w:rsidRPr="00C921DE">
        <w:rPr>
          <w:rFonts w:ascii="GHEA Grapalat" w:hAnsi="GHEA Grapalat" w:cs="GHEA Grapalat"/>
          <w:sz w:val="22"/>
          <w:szCs w:val="22"/>
          <w:lang w:val="en-US"/>
        </w:rPr>
        <w:t>ի</w:t>
      </w:r>
      <w:r w:rsidR="00D93141" w:rsidRPr="00C921DE">
        <w:rPr>
          <w:rFonts w:ascii="GHEA Grapalat" w:hAnsi="GHEA Grapalat" w:cs="GHEA Grapalat"/>
          <w:sz w:val="22"/>
          <w:szCs w:val="22"/>
        </w:rPr>
        <w:t>, ինչպես նաև</w:t>
      </w:r>
      <w:r w:rsidR="00997998" w:rsidRPr="00C921DE">
        <w:rPr>
          <w:rFonts w:ascii="GHEA Grapalat" w:hAnsi="GHEA Grapalat" w:cs="GHEA Grapalat"/>
          <w:sz w:val="22"/>
          <w:szCs w:val="22"/>
        </w:rPr>
        <w:t xml:space="preserve"> </w:t>
      </w:r>
      <w:r w:rsidR="00D93141" w:rsidRPr="00C921DE">
        <w:rPr>
          <w:rFonts w:ascii="GHEA Grapalat" w:hAnsi="GHEA Grapalat" w:cs="GHEA Grapalat"/>
          <w:sz w:val="22"/>
          <w:szCs w:val="22"/>
        </w:rPr>
        <w:t>տարեկան ֆինանսական աուդիտի ծառայությ</w:t>
      </w:r>
      <w:r w:rsidR="00F247D0" w:rsidRPr="00C921DE">
        <w:rPr>
          <w:rFonts w:ascii="GHEA Grapalat" w:hAnsi="GHEA Grapalat" w:cs="GHEA Grapalat"/>
          <w:sz w:val="22"/>
          <w:szCs w:val="22"/>
          <w:lang w:val="en-US"/>
        </w:rPr>
        <w:t>ան համար օգտագործվել է ավելի քան 2.9 մլրդ դրամ, որից 2.8 մլրդ դրամը տրամադրվել է</w:t>
      </w:r>
      <w:r w:rsidR="00997998" w:rsidRPr="00C921DE">
        <w:rPr>
          <w:rFonts w:ascii="GHEA Grapalat" w:hAnsi="GHEA Grapalat" w:cs="GHEA Grapalat"/>
          <w:sz w:val="22"/>
          <w:szCs w:val="22"/>
          <w:lang w:val="en-US"/>
        </w:rPr>
        <w:t xml:space="preserve"> </w:t>
      </w:r>
      <w:r w:rsidR="00484187" w:rsidRPr="00C921DE">
        <w:rPr>
          <w:rFonts w:ascii="GHEA Grapalat" w:hAnsi="GHEA Grapalat" w:cs="GHEA Grapalat"/>
          <w:sz w:val="22"/>
          <w:szCs w:val="22"/>
          <w:lang w:val="en-US"/>
        </w:rPr>
        <w:t xml:space="preserve">2023 թվականին </w:t>
      </w:r>
      <w:r w:rsidR="00484187" w:rsidRPr="00C921DE">
        <w:rPr>
          <w:rFonts w:ascii="GHEA Grapalat" w:hAnsi="GHEA Grapalat" w:cs="GHEA Grapalat"/>
          <w:sz w:val="22"/>
          <w:szCs w:val="22"/>
        </w:rPr>
        <w:t>օտարված</w:t>
      </w:r>
      <w:r w:rsidR="00D93141" w:rsidRPr="00C921DE">
        <w:rPr>
          <w:rFonts w:ascii="GHEA Grapalat" w:hAnsi="GHEA Grapalat" w:cs="GHEA Grapalat"/>
          <w:sz w:val="22"/>
          <w:szCs w:val="22"/>
        </w:rPr>
        <w:t xml:space="preserve"> 452 հատ հողակտոր</w:t>
      </w:r>
      <w:r w:rsidR="006D2CFE" w:rsidRPr="00C921DE">
        <w:rPr>
          <w:rFonts w:ascii="GHEA Grapalat" w:hAnsi="GHEA Grapalat" w:cs="GHEA Grapalat"/>
          <w:sz w:val="22"/>
          <w:szCs w:val="22"/>
          <w:lang w:val="en-US"/>
        </w:rPr>
        <w:t>ների ձեռք</w:t>
      </w:r>
      <w:r w:rsidR="00484187" w:rsidRPr="00C921DE">
        <w:rPr>
          <w:rFonts w:ascii="GHEA Grapalat" w:hAnsi="GHEA Grapalat" w:cs="GHEA Grapalat"/>
          <w:sz w:val="22"/>
          <w:szCs w:val="22"/>
          <w:lang w:val="en-US"/>
        </w:rPr>
        <w:t>բերմանը:</w:t>
      </w:r>
      <w:r w:rsidR="00D93141" w:rsidRPr="00C921DE">
        <w:rPr>
          <w:rFonts w:ascii="GHEA Grapalat" w:hAnsi="GHEA Grapalat" w:cs="GHEA Grapalat"/>
          <w:sz w:val="22"/>
          <w:szCs w:val="22"/>
        </w:rPr>
        <w:t xml:space="preserve"> </w:t>
      </w:r>
    </w:p>
    <w:p w14:paraId="58D8CAA1" w14:textId="16569DF4"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Հյուսիս-հարավ միջանցքի զարգացման ծրագրի՝ ԵՆԲ աջակցության Տրանշ 3-ի շրջանակներում 2023 թվականին իրականացման ընթացքում է գտնվել Լանջիկ-Գյումրի շուրջ 27.5 կմ ճանապարհահատվածի կառուցումը</w:t>
      </w:r>
      <w:r w:rsidR="00594808" w:rsidRPr="00C921DE">
        <w:rPr>
          <w:rFonts w:ascii="GHEA Grapalat" w:hAnsi="GHEA Grapalat" w:cs="GHEA Grapalat"/>
          <w:sz w:val="22"/>
          <w:szCs w:val="22"/>
          <w:lang w:val="en-US"/>
        </w:rPr>
        <w:t>, որի համար օգտագործվել է 3.6 մլրդ դրամ</w:t>
      </w:r>
      <w:r w:rsidR="008F2DD4" w:rsidRPr="00C921DE">
        <w:rPr>
          <w:rFonts w:ascii="GHEA Grapalat" w:hAnsi="GHEA Grapalat" w:cs="GHEA Grapalat"/>
          <w:sz w:val="22"/>
          <w:szCs w:val="22"/>
          <w:lang w:val="en-US"/>
        </w:rPr>
        <w:t xml:space="preserve"> (104.9%)</w:t>
      </w:r>
      <w:r w:rsidRPr="00C921DE">
        <w:rPr>
          <w:rFonts w:ascii="GHEA Grapalat" w:hAnsi="GHEA Grapalat" w:cs="GHEA Grapalat"/>
          <w:sz w:val="22"/>
          <w:szCs w:val="22"/>
        </w:rPr>
        <w:t>:</w:t>
      </w:r>
    </w:p>
    <w:p w14:paraId="0FE25716"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Հյուսիս-հարավ միջանցքի զարգացման ծրագրի՝ տարբեր դոնորների աջակցությամբ իրականացվող միջոցառումների շրջանակներում նախատեսված 20.8 մլրդ դրամ</w:t>
      </w:r>
      <w:r w:rsidR="006D2CFE" w:rsidRPr="00C921DE">
        <w:rPr>
          <w:rFonts w:ascii="GHEA Grapalat" w:hAnsi="GHEA Grapalat" w:cs="GHEA Grapalat"/>
          <w:sz w:val="22"/>
          <w:szCs w:val="22"/>
        </w:rPr>
        <w:t>ը գրեթե ամբողջ</w:t>
      </w:r>
      <w:r w:rsidR="00B46255" w:rsidRPr="00C921DE">
        <w:rPr>
          <w:rFonts w:ascii="GHEA Grapalat" w:hAnsi="GHEA Grapalat" w:cs="GHEA Grapalat"/>
          <w:sz w:val="22"/>
          <w:szCs w:val="22"/>
          <w:lang w:val="en-US"/>
        </w:rPr>
        <w:t>ությամբ</w:t>
      </w:r>
      <w:r w:rsidRPr="00C921DE">
        <w:rPr>
          <w:rFonts w:ascii="GHEA Grapalat" w:hAnsi="GHEA Grapalat" w:cs="GHEA Grapalat"/>
          <w:sz w:val="22"/>
          <w:szCs w:val="22"/>
        </w:rPr>
        <w:t xml:space="preserve"> օգտագործվել է:</w:t>
      </w:r>
    </w:p>
    <w:p w14:paraId="79339D3D" w14:textId="0D3259E9"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Միջպետական և հանրապետական նշանակության ավտոճանապարհների պահպանման և անվտանգ երթևեկության ծառայությունների շրջանակներում 2023 թվականին իրականացվել են ՀՀ պետական նշանակության ավտոճանապարհների պահպանում, ընդհանուր օգտագործման ավտոմոբիլային ճանապարհների և տրանսպորտային օբյեկտների ընթացիկ ամառային (2853.3 կմ) և ընթացիկ ձմեռային (3229.6 կմ), մետաղական արգելափակոցների պահպանման և վերականգնման (765.31 կմ), ընդհանուր օգտագործման ավտոմոբիլային ճանապարհների վրա գտնվող և առանձին պահպանման հանձնվող տրանսպորտային օբյեկտների ընթացիկ պահպանման (8 հատ), այդ թվում՝ թունելների (3 հատ), կամուրջների (5 հատ) պահպանման աշխատանքներ: Միջոցառման ծախսերը կատարվել են 93.6%-ով՝ կազմելով 6.5 մլրդ դրամ: Շեղումը պայմանավորված է </w:t>
      </w:r>
      <w:r w:rsidR="00260172" w:rsidRPr="00C921DE">
        <w:rPr>
          <w:rFonts w:ascii="GHEA Grapalat" w:hAnsi="GHEA Grapalat" w:cs="GHEA Grapalat"/>
          <w:sz w:val="22"/>
          <w:szCs w:val="22"/>
        </w:rPr>
        <w:t xml:space="preserve">տույժերի և տուգանքների կիրառման արդյունքում </w:t>
      </w:r>
      <w:r w:rsidRPr="00C921DE">
        <w:rPr>
          <w:rFonts w:ascii="GHEA Grapalat" w:hAnsi="GHEA Grapalat" w:cs="GHEA Grapalat"/>
          <w:sz w:val="22"/>
          <w:szCs w:val="22"/>
        </w:rPr>
        <w:t>պայմանագրերի գումարների նվազեցումներով, ինչպես նաև</w:t>
      </w:r>
      <w:r w:rsidR="00D071BB" w:rsidRPr="00C921DE">
        <w:rPr>
          <w:rFonts w:ascii="GHEA Grapalat" w:hAnsi="GHEA Grapalat" w:cs="GHEA Grapalat"/>
          <w:sz w:val="22"/>
          <w:szCs w:val="22"/>
          <w:lang w:val="en-US"/>
        </w:rPr>
        <w:t xml:space="preserve"> այն հանգամանքով, որ</w:t>
      </w:r>
      <w:r w:rsidRPr="00C921DE">
        <w:rPr>
          <w:rFonts w:ascii="GHEA Grapalat" w:hAnsi="GHEA Grapalat" w:cs="GHEA Grapalat"/>
          <w:sz w:val="22"/>
          <w:szCs w:val="22"/>
        </w:rPr>
        <w:t xml:space="preserve"> որոշ ճանապարհա</w:t>
      </w:r>
      <w:r w:rsidR="002A10CA" w:rsidRPr="00C921DE">
        <w:rPr>
          <w:rFonts w:ascii="GHEA Grapalat" w:hAnsi="GHEA Grapalat" w:cs="GHEA Grapalat"/>
          <w:sz w:val="22"/>
          <w:szCs w:val="22"/>
          <w:lang w:val="en-US"/>
        </w:rPr>
        <w:t>հա</w:t>
      </w:r>
      <w:r w:rsidRPr="00C921DE">
        <w:rPr>
          <w:rFonts w:ascii="GHEA Grapalat" w:hAnsi="GHEA Grapalat" w:cs="GHEA Grapalat"/>
          <w:sz w:val="22"/>
          <w:szCs w:val="22"/>
        </w:rPr>
        <w:t xml:space="preserve">տվածներ չեն ընդունվել շահագործման: 2022 թվականի համեմատ միջոցառմանն ուղղված ծախսերը նվազել են 51.4%-ով կամ 6.9 մլրդ դրամով, քանի որ միջին նորոգման համար հատկացված գումարները </w:t>
      </w:r>
      <w:r w:rsidR="003E286F" w:rsidRPr="00C921DE">
        <w:rPr>
          <w:rFonts w:ascii="GHEA Grapalat" w:hAnsi="GHEA Grapalat" w:cs="GHEA Grapalat"/>
          <w:sz w:val="22"/>
          <w:szCs w:val="22"/>
          <w:lang w:val="en-US"/>
        </w:rPr>
        <w:t>նվազեցվել են</w:t>
      </w:r>
      <w:r w:rsidRPr="00C921DE">
        <w:rPr>
          <w:rFonts w:ascii="GHEA Grapalat" w:hAnsi="GHEA Grapalat" w:cs="GHEA Grapalat"/>
          <w:sz w:val="22"/>
          <w:szCs w:val="22"/>
        </w:rPr>
        <w:t xml:space="preserve"> և ներառվել հիմնանոր</w:t>
      </w:r>
      <w:r w:rsidR="004C0ECA" w:rsidRPr="00C921DE">
        <w:rPr>
          <w:rFonts w:ascii="GHEA Grapalat" w:hAnsi="GHEA Grapalat" w:cs="GHEA Grapalat"/>
          <w:sz w:val="22"/>
          <w:szCs w:val="22"/>
          <w:lang w:val="en-US"/>
        </w:rPr>
        <w:t>ո</w:t>
      </w:r>
      <w:r w:rsidRPr="00C921DE">
        <w:rPr>
          <w:rFonts w:ascii="GHEA Grapalat" w:hAnsi="GHEA Grapalat" w:cs="GHEA Grapalat"/>
          <w:sz w:val="22"/>
          <w:szCs w:val="22"/>
        </w:rPr>
        <w:t xml:space="preserve">գման ծրագրերում։ </w:t>
      </w:r>
    </w:p>
    <w:p w14:paraId="4C241A7B" w14:textId="76BE8558"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Միջպետական և հանրապետական նշանակության ավտոճանապարհների միջին նորոգման </w:t>
      </w:r>
      <w:r w:rsidR="0042085E" w:rsidRPr="00C921DE">
        <w:rPr>
          <w:rFonts w:ascii="GHEA Grapalat" w:hAnsi="GHEA Grapalat" w:cs="GHEA Grapalat"/>
          <w:sz w:val="22"/>
          <w:szCs w:val="22"/>
          <w:lang w:val="en-US"/>
        </w:rPr>
        <w:t>միջո</w:t>
      </w:r>
      <w:r w:rsidR="004A1972" w:rsidRPr="00C921DE">
        <w:rPr>
          <w:rFonts w:ascii="GHEA Grapalat" w:hAnsi="GHEA Grapalat" w:cs="GHEA Grapalat"/>
          <w:sz w:val="22"/>
          <w:szCs w:val="22"/>
          <w:lang w:val="en-US"/>
        </w:rPr>
        <w:t>ց</w:t>
      </w:r>
      <w:r w:rsidR="0042085E" w:rsidRPr="00C921DE">
        <w:rPr>
          <w:rFonts w:ascii="GHEA Grapalat" w:hAnsi="GHEA Grapalat" w:cs="GHEA Grapalat"/>
          <w:sz w:val="22"/>
          <w:szCs w:val="22"/>
          <w:lang w:val="en-US"/>
        </w:rPr>
        <w:t xml:space="preserve">առման </w:t>
      </w:r>
      <w:r w:rsidRPr="00C921DE">
        <w:rPr>
          <w:rFonts w:ascii="GHEA Grapalat" w:hAnsi="GHEA Grapalat" w:cs="GHEA Grapalat"/>
          <w:sz w:val="22"/>
          <w:szCs w:val="22"/>
        </w:rPr>
        <w:t>շրջանակներում</w:t>
      </w:r>
      <w:r w:rsidRPr="00C921DE">
        <w:rPr>
          <w:rFonts w:ascii="GHEA Grapalat" w:hAnsi="GHEA Grapalat"/>
          <w:noProof w:val="0"/>
          <w:color w:val="00B050"/>
          <w:lang w:eastAsia="ru-RU"/>
        </w:rPr>
        <w:t xml:space="preserve"> </w:t>
      </w:r>
      <w:r w:rsidRPr="00C921DE">
        <w:rPr>
          <w:rFonts w:ascii="GHEA Grapalat" w:hAnsi="GHEA Grapalat" w:cs="GHEA Grapalat"/>
          <w:sz w:val="22"/>
          <w:szCs w:val="22"/>
        </w:rPr>
        <w:t xml:space="preserve">ՀՀ կառավարության </w:t>
      </w:r>
      <w:r w:rsidR="0042085E" w:rsidRPr="00C921DE">
        <w:rPr>
          <w:rFonts w:ascii="GHEA Grapalat" w:hAnsi="GHEA Grapalat" w:cs="GHEA Grapalat"/>
          <w:sz w:val="22"/>
          <w:szCs w:val="22"/>
        </w:rPr>
        <w:t>2021-2026</w:t>
      </w:r>
      <w:r w:rsidRPr="00C921DE">
        <w:rPr>
          <w:rFonts w:ascii="GHEA Grapalat" w:hAnsi="GHEA Grapalat" w:cs="GHEA Grapalat"/>
          <w:sz w:val="22"/>
          <w:szCs w:val="22"/>
        </w:rPr>
        <w:t>թթ</w:t>
      </w:r>
      <w:r w:rsidR="0042085E"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ռազմավարության ծրագրով նախատեսված ճանապարհաշինության զարգացման ոլորտում իրականացվող միջպետական, հանրապետական նշանակության ավտոմոբիլային ճանապարհային ցանցի որակի շարունակական բարձրացման նպատակով ՀՀ 8 մարզերում միջին նորոգման ծրագրերով իրականացվել են ճանապարհի պատվածքի մաշված վերին շերտ</w:t>
      </w:r>
      <w:r w:rsidR="009D3C45" w:rsidRPr="00C921DE">
        <w:rPr>
          <w:rFonts w:ascii="GHEA Grapalat" w:hAnsi="GHEA Grapalat" w:cs="GHEA Grapalat"/>
          <w:sz w:val="22"/>
          <w:szCs w:val="22"/>
          <w:lang w:val="en-US"/>
        </w:rPr>
        <w:t>ի</w:t>
      </w:r>
      <w:r w:rsidR="009D3C45" w:rsidRPr="00C921DE">
        <w:rPr>
          <w:rFonts w:ascii="GHEA Grapalat" w:hAnsi="GHEA Grapalat" w:cs="GHEA Grapalat"/>
          <w:sz w:val="22"/>
          <w:szCs w:val="22"/>
        </w:rPr>
        <w:t xml:space="preserve"> վերականգն</w:t>
      </w:r>
      <w:r w:rsidR="009D3C45" w:rsidRPr="00C921DE">
        <w:rPr>
          <w:rFonts w:ascii="GHEA Grapalat" w:hAnsi="GHEA Grapalat" w:cs="GHEA Grapalat"/>
          <w:sz w:val="22"/>
          <w:szCs w:val="22"/>
          <w:lang w:val="en-US"/>
        </w:rPr>
        <w:t>ման</w:t>
      </w:r>
      <w:r w:rsidRPr="00C921DE">
        <w:rPr>
          <w:rFonts w:ascii="GHEA Grapalat" w:hAnsi="GHEA Grapalat" w:cs="GHEA Grapalat"/>
          <w:sz w:val="22"/>
          <w:szCs w:val="22"/>
        </w:rPr>
        <w:t>, արհեստական կառույցների, ինչպես նաև ճանապարհային կահավորանքի շինարարական նորմերով նախատեսված սկզբնական որակական ցուցանիշների ապահովման ն</w:t>
      </w:r>
      <w:r w:rsidR="009D3C45" w:rsidRPr="00C921DE">
        <w:rPr>
          <w:rFonts w:ascii="GHEA Grapalat" w:hAnsi="GHEA Grapalat" w:cs="GHEA Grapalat"/>
          <w:sz w:val="22"/>
          <w:szCs w:val="22"/>
        </w:rPr>
        <w:t>պատակով իրականացված աշխատանքներ</w:t>
      </w:r>
      <w:r w:rsidRPr="00C921DE">
        <w:rPr>
          <w:rFonts w:ascii="GHEA Grapalat" w:hAnsi="GHEA Grapalat" w:cs="GHEA Grapalat"/>
          <w:sz w:val="22"/>
          <w:szCs w:val="22"/>
        </w:rPr>
        <w:t xml:space="preserve"> </w:t>
      </w:r>
      <w:r w:rsidR="009D3C45" w:rsidRPr="00C921DE">
        <w:rPr>
          <w:rFonts w:ascii="GHEA Grapalat" w:hAnsi="GHEA Grapalat" w:cs="GHEA Grapalat"/>
          <w:sz w:val="22"/>
          <w:szCs w:val="22"/>
          <w:lang w:val="en-US"/>
        </w:rPr>
        <w:t>(</w:t>
      </w:r>
      <w:r w:rsidRPr="00C921DE">
        <w:rPr>
          <w:rFonts w:ascii="GHEA Grapalat" w:hAnsi="GHEA Grapalat" w:cs="GHEA Grapalat"/>
          <w:sz w:val="22"/>
          <w:szCs w:val="22"/>
        </w:rPr>
        <w:t>ՀՀ Կոտայքի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55.9 կմ, ՀՀ Սյունիքի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24.5 կմ, ՀՀ Վայոց Ձորի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3.9 կմ, ՀՀ Արարատի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22.6 կմ, ՀՀ Լոռու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3.9 կմ, ՀՀ Արմավիրի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18.5 կմ, ՀՀ Արագածոտնի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9.2 կմ, ՀՀ Գեղարքունիքի մարզ</w:t>
      </w:r>
      <w:r w:rsidR="009D3C45" w:rsidRPr="00C921DE">
        <w:rPr>
          <w:rFonts w:ascii="GHEA Grapalat" w:hAnsi="GHEA Grapalat" w:cs="GHEA Grapalat"/>
          <w:sz w:val="22"/>
          <w:szCs w:val="22"/>
          <w:lang w:val="en-US"/>
        </w:rPr>
        <w:t>ում՝</w:t>
      </w:r>
      <w:r w:rsidRPr="00C921DE">
        <w:rPr>
          <w:rFonts w:ascii="GHEA Grapalat" w:hAnsi="GHEA Grapalat" w:cs="GHEA Grapalat"/>
          <w:sz w:val="22"/>
          <w:szCs w:val="22"/>
        </w:rPr>
        <w:t xml:space="preserve"> 10.1 կմ</w:t>
      </w:r>
      <w:r w:rsidR="009D3C45" w:rsidRPr="00C921DE">
        <w:rPr>
          <w:rFonts w:ascii="GHEA Grapalat" w:hAnsi="GHEA Grapalat" w:cs="GHEA Grapalat"/>
          <w:sz w:val="22"/>
          <w:szCs w:val="22"/>
          <w:lang w:val="en-US"/>
        </w:rPr>
        <w:t>)</w:t>
      </w:r>
      <w:r w:rsidRPr="00C921DE">
        <w:rPr>
          <w:rFonts w:ascii="GHEA Grapalat" w:hAnsi="GHEA Grapalat" w:cs="GHEA Grapalat"/>
          <w:sz w:val="22"/>
          <w:szCs w:val="22"/>
        </w:rPr>
        <w:t>։</w:t>
      </w:r>
      <w:r w:rsidRPr="00C921DE">
        <w:rPr>
          <w:rFonts w:ascii="GHEA Grapalat" w:hAnsi="GHEA Grapalat"/>
          <w:noProof w:val="0"/>
          <w:color w:val="FF0000"/>
          <w:lang w:eastAsia="ru-RU"/>
        </w:rPr>
        <w:t xml:space="preserve"> </w:t>
      </w:r>
      <w:r w:rsidRPr="00C921DE">
        <w:rPr>
          <w:rFonts w:ascii="GHEA Grapalat" w:hAnsi="GHEA Grapalat" w:cs="GHEA Grapalat"/>
          <w:sz w:val="22"/>
          <w:szCs w:val="22"/>
        </w:rPr>
        <w:t>Ընդհանուր առմամբ</w:t>
      </w:r>
      <w:r w:rsidR="009D3C45" w:rsidRPr="00C921DE">
        <w:rPr>
          <w:rFonts w:ascii="GHEA Grapalat" w:hAnsi="GHEA Grapalat" w:cs="GHEA Grapalat"/>
          <w:sz w:val="22"/>
          <w:szCs w:val="22"/>
          <w:lang w:val="en-US"/>
        </w:rPr>
        <w:t>,</w:t>
      </w:r>
      <w:r w:rsidRPr="00C921DE">
        <w:rPr>
          <w:rFonts w:ascii="GHEA Grapalat" w:hAnsi="GHEA Grapalat" w:cs="GHEA Grapalat"/>
          <w:sz w:val="22"/>
          <w:szCs w:val="22"/>
        </w:rPr>
        <w:t xml:space="preserve"> 2023 թվականին իրականացվել են 148.7 կմ ընդհանուր երկարությամբ պետական նշանակության ավտոճանապարհների միջին նորոգման աշխատանքներ, որից 70.2 կմ՝ միջպետական, 78.5 կմ</w:t>
      </w:r>
      <w:r w:rsidR="004A1972"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հանրապետական նշանակության։ Միջոցառման ծախսերը կատարվել են 97.4</w:t>
      </w:r>
      <w:r w:rsidR="0088444E" w:rsidRPr="00C921DE">
        <w:rPr>
          <w:rFonts w:ascii="GHEA Grapalat" w:hAnsi="GHEA Grapalat" w:cs="GHEA Grapalat"/>
          <w:sz w:val="22"/>
          <w:szCs w:val="22"/>
        </w:rPr>
        <w:t>%-ով՝ կազմելով 6.5</w:t>
      </w:r>
      <w:r w:rsidR="0088444E" w:rsidRPr="00C921DE">
        <w:rPr>
          <w:rFonts w:ascii="Calibri" w:hAnsi="Calibri" w:cs="Calibri"/>
          <w:sz w:val="22"/>
          <w:szCs w:val="22"/>
          <w:lang w:val="en-US"/>
        </w:rPr>
        <w:t> </w:t>
      </w:r>
      <w:r w:rsidRPr="00C921DE">
        <w:rPr>
          <w:rFonts w:ascii="GHEA Grapalat" w:hAnsi="GHEA Grapalat" w:cs="GHEA Grapalat"/>
          <w:sz w:val="22"/>
          <w:szCs w:val="22"/>
        </w:rPr>
        <w:t xml:space="preserve">մլրդ դրամ: Շեղումը պայմանավորված է </w:t>
      </w:r>
      <w:r w:rsidR="00DC2350" w:rsidRPr="00C921DE">
        <w:rPr>
          <w:rFonts w:ascii="GHEA Grapalat" w:hAnsi="GHEA Grapalat" w:cs="GHEA Grapalat"/>
          <w:sz w:val="22"/>
          <w:szCs w:val="22"/>
        </w:rPr>
        <w:t>խնայողություններո</w:t>
      </w:r>
      <w:r w:rsidR="00DC2350" w:rsidRPr="00C921DE">
        <w:rPr>
          <w:rFonts w:ascii="GHEA Grapalat" w:hAnsi="GHEA Grapalat" w:cs="GHEA Grapalat"/>
          <w:sz w:val="22"/>
          <w:szCs w:val="22"/>
          <w:lang w:val="en-US"/>
        </w:rPr>
        <w:t>վ,</w:t>
      </w:r>
      <w:r w:rsidRPr="00C921DE">
        <w:rPr>
          <w:rFonts w:ascii="GHEA Grapalat" w:hAnsi="GHEA Grapalat" w:cs="GHEA Grapalat"/>
          <w:sz w:val="22"/>
          <w:szCs w:val="22"/>
        </w:rPr>
        <w:t xml:space="preserve"> շահագործման չընդունվելու </w:t>
      </w:r>
      <w:r w:rsidRPr="00C921DE">
        <w:rPr>
          <w:rFonts w:ascii="GHEA Grapalat" w:hAnsi="GHEA Grapalat" w:cs="GHEA Grapalat"/>
          <w:sz w:val="22"/>
          <w:szCs w:val="22"/>
        </w:rPr>
        <w:lastRenderedPageBreak/>
        <w:t>հետևանքով որոշ օբյեկտների պայմանագրային գումարի 5 տոկոս</w:t>
      </w:r>
      <w:r w:rsidR="0019362F" w:rsidRPr="00C921DE">
        <w:rPr>
          <w:rFonts w:ascii="GHEA Grapalat" w:hAnsi="GHEA Grapalat" w:cs="GHEA Grapalat"/>
          <w:sz w:val="22"/>
          <w:szCs w:val="22"/>
          <w:lang w:val="en-US"/>
        </w:rPr>
        <w:t>ը չվճարելու</w:t>
      </w:r>
      <w:r w:rsidR="00DC2350" w:rsidRPr="00C921DE">
        <w:rPr>
          <w:rFonts w:ascii="GHEA Grapalat" w:hAnsi="GHEA Grapalat" w:cs="GHEA Grapalat"/>
          <w:sz w:val="22"/>
          <w:szCs w:val="22"/>
          <w:lang w:val="en-US"/>
        </w:rPr>
        <w:t xml:space="preserve">, ինչպես նաև </w:t>
      </w:r>
      <w:r w:rsidR="0019362F" w:rsidRPr="00C921DE">
        <w:rPr>
          <w:rFonts w:ascii="GHEA Grapalat" w:hAnsi="GHEA Grapalat" w:cs="GHEA Grapalat"/>
          <w:sz w:val="22"/>
          <w:szCs w:val="22"/>
          <w:lang w:val="en-US"/>
        </w:rPr>
        <w:t>մեկ ճանապարհահատվածի մասով, եղանակային պայմաններից ելնելով, աշխատանքները չավարտվելու հանգամանքներով:</w:t>
      </w:r>
      <w:r w:rsidRPr="00C921DE">
        <w:rPr>
          <w:rFonts w:ascii="GHEA Grapalat" w:hAnsi="GHEA Grapalat" w:cs="GHEA Grapalat"/>
          <w:sz w:val="22"/>
          <w:szCs w:val="22"/>
        </w:rPr>
        <w:t xml:space="preserve"> </w:t>
      </w:r>
    </w:p>
    <w:p w14:paraId="2018BB20" w14:textId="305DEFEC"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Հայաստան-Վրաստան սահմանային տարածաշրջանային ճանապարհի (Մ6 Վանաձոր-Բագրատաշեն) բարելավման ծրագրի՝ ԱԶԲ աջակցության շրջանակներում նախատեսված է</w:t>
      </w:r>
      <w:r w:rsidR="0060496F" w:rsidRPr="00C921DE">
        <w:rPr>
          <w:rFonts w:ascii="GHEA Grapalat" w:hAnsi="GHEA Grapalat" w:cs="GHEA Grapalat"/>
          <w:sz w:val="22"/>
          <w:szCs w:val="22"/>
        </w:rPr>
        <w:t>ր</w:t>
      </w:r>
      <w:r w:rsidRPr="00C921DE">
        <w:rPr>
          <w:rFonts w:ascii="GHEA Grapalat" w:hAnsi="GHEA Grapalat" w:cs="GHEA Grapalat"/>
          <w:sz w:val="22"/>
          <w:szCs w:val="22"/>
        </w:rPr>
        <w:t xml:space="preserve"> հիմնանորոգել Մ6 Վանաձոր-Ալավերդի-Վրաստանի սահման միջպետական նշանակության ճանապարհի կմ38+450-կմ90+191 (Թումանյան-Բագրատաշենի սահմանային անցակետ) հատվածը։ Ճանապարհահատվածի երկարությունը 51.74</w:t>
      </w:r>
      <w:r w:rsidR="00AF2A97" w:rsidRPr="00C921DE">
        <w:rPr>
          <w:rFonts w:ascii="GHEA Grapalat" w:hAnsi="GHEA Grapalat" w:cs="GHEA Grapalat"/>
          <w:sz w:val="22"/>
          <w:szCs w:val="22"/>
        </w:rPr>
        <w:t xml:space="preserve"> </w:t>
      </w:r>
      <w:r w:rsidR="00157FF6" w:rsidRPr="00C921DE">
        <w:rPr>
          <w:rFonts w:ascii="GHEA Grapalat" w:hAnsi="GHEA Grapalat" w:cs="GHEA Grapalat"/>
          <w:sz w:val="22"/>
          <w:szCs w:val="22"/>
        </w:rPr>
        <w:t xml:space="preserve">կմ է, սակայն միջոցառման </w:t>
      </w:r>
      <w:r w:rsidRPr="00C921DE">
        <w:rPr>
          <w:rFonts w:ascii="GHEA Grapalat" w:hAnsi="GHEA Grapalat" w:cs="GHEA Grapalat"/>
          <w:sz w:val="22"/>
          <w:szCs w:val="22"/>
        </w:rPr>
        <w:t>շրջանակներում հիմնանորոգվում է 51.13 կմ</w:t>
      </w:r>
      <w:r w:rsidR="00157FF6" w:rsidRPr="00C921DE">
        <w:rPr>
          <w:rFonts w:ascii="GHEA Grapalat" w:hAnsi="GHEA Grapalat" w:cs="GHEA Grapalat"/>
          <w:sz w:val="22"/>
          <w:szCs w:val="22"/>
        </w:rPr>
        <w:t>-ը</w:t>
      </w:r>
      <w:r w:rsidRPr="00C921DE">
        <w:rPr>
          <w:rFonts w:ascii="GHEA Grapalat" w:hAnsi="GHEA Grapalat" w:cs="GHEA Grapalat"/>
          <w:sz w:val="22"/>
          <w:szCs w:val="22"/>
        </w:rPr>
        <w:t xml:space="preserve"> (610</w:t>
      </w:r>
      <w:r w:rsidR="00420964"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մ երկարությամբ տեղամասում ՀՀ պետական բյուջեի միջոցներով կառուցվելու է Օձունի տրանսպորտային հանգույցը)։ </w:t>
      </w:r>
      <w:r w:rsidR="0060496F" w:rsidRPr="00C921DE">
        <w:rPr>
          <w:rFonts w:ascii="GHEA Grapalat" w:hAnsi="GHEA Grapalat" w:cs="GHEA Grapalat"/>
          <w:sz w:val="22"/>
          <w:szCs w:val="22"/>
        </w:rPr>
        <w:t>Շինարարական աշխատանքները մեկնարկել են 2018 թվականի մայիսի 29-ին և հիմնականում ավարտվել են 2022 թվականի տարեվերջին, սակայն քարաթափումներից պաշտպանության և երթևեկության ա</w:t>
      </w:r>
      <w:r w:rsidR="00A77A81" w:rsidRPr="00C921DE">
        <w:rPr>
          <w:rFonts w:ascii="GHEA Grapalat" w:hAnsi="GHEA Grapalat" w:cs="GHEA Grapalat"/>
          <w:sz w:val="22"/>
          <w:szCs w:val="22"/>
          <w:lang w:val="en-US"/>
        </w:rPr>
        <w:t>ն</w:t>
      </w:r>
      <w:r w:rsidR="0060496F" w:rsidRPr="00C921DE">
        <w:rPr>
          <w:rFonts w:ascii="GHEA Grapalat" w:hAnsi="GHEA Grapalat" w:cs="GHEA Grapalat"/>
          <w:sz w:val="22"/>
          <w:szCs w:val="22"/>
        </w:rPr>
        <w:t xml:space="preserve">վտանգության ապահովման լրացուցիչ միջոցառումների անհրաժեշտությամբ պայմանավորված՝ ամբողջությամբ ավարտվել են 2023 թվականին։ </w:t>
      </w:r>
      <w:r w:rsidRPr="00C921DE">
        <w:rPr>
          <w:rFonts w:ascii="GHEA Grapalat" w:hAnsi="GHEA Grapalat" w:cs="GHEA Grapalat"/>
          <w:sz w:val="22"/>
          <w:szCs w:val="22"/>
        </w:rPr>
        <w:t>Քարաթափումներից պաշտպանության նպատակով 2023 թվականի ընթացքում կառուցվել են 748 գմ մինչև 2 մ բարձրությամբ խամքարաբետոնե պատեր, վտանգավոր շեպերին ամրացվել են 21495 քմ մինչև 48 մ բարձրությամբ մետաղացանցեր։ 2023 թվականին տեղադրվել են նաև 3328 գմ մետաղական արգելափակոցներ, 650</w:t>
      </w:r>
      <w:r w:rsidR="00420964" w:rsidRPr="00C921DE">
        <w:rPr>
          <w:rFonts w:ascii="Calibri" w:hAnsi="Calibri" w:cs="Calibri"/>
          <w:sz w:val="22"/>
          <w:szCs w:val="22"/>
        </w:rPr>
        <w:t> </w:t>
      </w:r>
      <w:r w:rsidRPr="00C921DE">
        <w:rPr>
          <w:rFonts w:ascii="GHEA Grapalat" w:hAnsi="GHEA Grapalat" w:cs="GHEA Grapalat"/>
          <w:sz w:val="22"/>
          <w:szCs w:val="22"/>
        </w:rPr>
        <w:t xml:space="preserve">գմ հետիոտնային բազրիքներ և 166 ճանապարհային նշաններ։ 2023 թվականի նոյեմբերին </w:t>
      </w:r>
      <w:r w:rsidR="00420964" w:rsidRPr="00C921DE">
        <w:rPr>
          <w:rFonts w:ascii="GHEA Grapalat" w:hAnsi="GHEA Grapalat" w:cs="GHEA Grapalat"/>
          <w:sz w:val="22"/>
          <w:szCs w:val="22"/>
        </w:rPr>
        <w:t>ծ</w:t>
      </w:r>
      <w:r w:rsidRPr="00C921DE">
        <w:rPr>
          <w:rFonts w:ascii="GHEA Grapalat" w:hAnsi="GHEA Grapalat" w:cs="GHEA Grapalat"/>
          <w:sz w:val="22"/>
          <w:szCs w:val="22"/>
        </w:rPr>
        <w:t xml:space="preserve">րագրում ընդգրկվել են նաև Դիլիջանի և Պուշկինի ճանապարհային թունելների վերականգնման մանրամասն նախագծի պատրաստման աշխատանքները։ </w:t>
      </w:r>
      <w:r w:rsidR="00C655D0" w:rsidRPr="00C921DE">
        <w:rPr>
          <w:rFonts w:ascii="GHEA Grapalat" w:hAnsi="GHEA Grapalat" w:cs="GHEA Grapalat"/>
          <w:sz w:val="22"/>
          <w:szCs w:val="22"/>
        </w:rPr>
        <w:t>2023</w:t>
      </w:r>
      <w:r w:rsidR="00C655D0" w:rsidRPr="00C921DE">
        <w:rPr>
          <w:rFonts w:ascii="GHEA Grapalat" w:hAnsi="GHEA Grapalat" w:cs="GHEA Grapalat"/>
          <w:sz w:val="22"/>
          <w:szCs w:val="22"/>
          <w:lang w:val="en-US"/>
        </w:rPr>
        <w:t xml:space="preserve"> </w:t>
      </w:r>
      <w:r w:rsidR="00C655D0" w:rsidRPr="00C921DE">
        <w:rPr>
          <w:rFonts w:ascii="GHEA Grapalat" w:hAnsi="GHEA Grapalat" w:cs="GHEA Grapalat"/>
          <w:sz w:val="22"/>
          <w:szCs w:val="22"/>
        </w:rPr>
        <w:t>թ</w:t>
      </w:r>
      <w:r w:rsidR="00C655D0" w:rsidRPr="00C921DE">
        <w:rPr>
          <w:rFonts w:ascii="GHEA Grapalat" w:hAnsi="GHEA Grapalat" w:cs="GHEA Grapalat"/>
          <w:sz w:val="22"/>
          <w:szCs w:val="22"/>
          <w:lang w:val="en-US"/>
        </w:rPr>
        <w:t>վականից</w:t>
      </w:r>
      <w:r w:rsidR="00C655D0" w:rsidRPr="00C921DE">
        <w:rPr>
          <w:rFonts w:ascii="GHEA Grapalat" w:hAnsi="GHEA Grapalat" w:cs="GHEA Grapalat"/>
          <w:sz w:val="22"/>
          <w:szCs w:val="22"/>
        </w:rPr>
        <w:t xml:space="preserve"> միջոցառ</w:t>
      </w:r>
      <w:r w:rsidR="00C655D0" w:rsidRPr="00C921DE">
        <w:rPr>
          <w:rFonts w:ascii="GHEA Grapalat" w:hAnsi="GHEA Grapalat" w:cs="GHEA Grapalat"/>
          <w:sz w:val="22"/>
          <w:szCs w:val="22"/>
          <w:lang w:val="en-US"/>
        </w:rPr>
        <w:t xml:space="preserve">ման շրջանակներում </w:t>
      </w:r>
      <w:r w:rsidR="00C655D0" w:rsidRPr="00C921DE">
        <w:rPr>
          <w:rFonts w:ascii="GHEA Grapalat" w:hAnsi="GHEA Grapalat" w:cs="GHEA Grapalat"/>
          <w:sz w:val="22"/>
          <w:szCs w:val="22"/>
        </w:rPr>
        <w:t>իրականաց</w:t>
      </w:r>
      <w:r w:rsidR="00C655D0" w:rsidRPr="00C921DE">
        <w:rPr>
          <w:rFonts w:ascii="GHEA Grapalat" w:hAnsi="GHEA Grapalat" w:cs="GHEA Grapalat"/>
          <w:sz w:val="22"/>
          <w:szCs w:val="22"/>
          <w:lang w:val="en-US"/>
        </w:rPr>
        <w:t xml:space="preserve">վել են նաև </w:t>
      </w:r>
      <w:r w:rsidR="00C655D0" w:rsidRPr="00C921DE">
        <w:rPr>
          <w:rFonts w:ascii="GHEA Grapalat" w:hAnsi="GHEA Grapalat" w:cs="GHEA Grapalat"/>
          <w:sz w:val="22"/>
          <w:szCs w:val="22"/>
        </w:rPr>
        <w:t>տեխնիկական հսկողության, հաղորդակցուղիների տեղափոխման, աշխատանքների հեղինակային հսկողության, նախագծային փոփոխությունների և արդիականացման, ՀՕՏԾ-ի իրականացման ծառայությունների դիմաց վճարումները:</w:t>
      </w:r>
      <w:r w:rsidR="00C655D0"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Ծրագրի համակարգման և կառավարման միջոցառման շրջանակներում 2023 թվականին իրականացվել են ծրագրի պահպանման ծախսերը, ՀՕՏԾ-ի իրագործման և ծրագրի ֆինանսական աուդիտի խորհրդատվական ծառայություններ։</w:t>
      </w:r>
    </w:p>
    <w:p w14:paraId="6FCF7750"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Հայաստան-Վրաստան սահմանային տարածաշրջանային ճանապարհի (Մ6 Վանաձոր-Բագրատաշեն) բարելավման ծրագրի՝ ԵՆԲ աջակցության (դրամաշնորհի) շրջանակներում </w:t>
      </w:r>
      <w:r w:rsidR="00D838C0" w:rsidRPr="00C921DE">
        <w:rPr>
          <w:rFonts w:ascii="GHEA Grapalat" w:hAnsi="GHEA Grapalat" w:cs="GHEA Grapalat"/>
          <w:sz w:val="22"/>
          <w:szCs w:val="22"/>
          <w:lang w:val="en-US"/>
        </w:rPr>
        <w:t>իրականացվել են</w:t>
      </w:r>
      <w:r w:rsidRPr="00C921DE">
        <w:rPr>
          <w:rFonts w:ascii="GHEA Grapalat" w:hAnsi="GHEA Grapalat" w:cs="GHEA Grapalat"/>
          <w:sz w:val="22"/>
          <w:szCs w:val="22"/>
        </w:rPr>
        <w:t xml:space="preserve"> Մ-2, Մ-3, Մ-5, Մ9, Մ</w:t>
      </w:r>
      <w:r w:rsidRPr="00C921DE">
        <w:rPr>
          <w:rFonts w:ascii="GHEA Grapalat" w:hAnsi="GHEA Grapalat" w:cs="GHEA Grapalat"/>
          <w:sz w:val="22"/>
          <w:szCs w:val="22"/>
        </w:rPr>
        <w:noBreakHyphen/>
        <w:t>12 և Հ</w:t>
      </w:r>
      <w:r w:rsidRPr="00C921DE">
        <w:rPr>
          <w:rFonts w:ascii="GHEA Grapalat" w:hAnsi="GHEA Grapalat" w:cs="GHEA Grapalat"/>
          <w:sz w:val="22"/>
          <w:szCs w:val="22"/>
        </w:rPr>
        <w:noBreakHyphen/>
        <w:t xml:space="preserve">17 միջպետական և հանրապետական ճանապարհների վրա նախանշված 26 վտանգավոր կետերի անվտանգության հետ կապված աշխատանքներ։ </w:t>
      </w:r>
    </w:p>
    <w:p w14:paraId="05213D37"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Ծրագրի՝ տարբեր դոնորների աջակցությամբ իրականացվող միջոցառումների շրջանակներում օգտագործվել է 3.9 մլրդ դրամ կամ նախատեսված միջոցների 97.7%-ը: Շեղումը հիմնականում </w:t>
      </w:r>
      <w:r w:rsidRPr="00C921DE">
        <w:rPr>
          <w:rFonts w:ascii="GHEA Grapalat" w:hAnsi="GHEA Grapalat" w:cs="GHEA Grapalat"/>
          <w:sz w:val="22"/>
          <w:szCs w:val="22"/>
        </w:rPr>
        <w:lastRenderedPageBreak/>
        <w:t>պայմանավորված է նրանով, որ առկա թերությունների պատճառով որոշ կատարողականների դիմաց վճարումները տեղափոխվել են 2024 թվական:</w:t>
      </w:r>
    </w:p>
    <w:p w14:paraId="673611EA"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2022 թվականի համեմատ Ճանապարհային ցանցի բարելավման ծրագրի շրջանակներում կատարված ծախսերն աճել են 20.8%-ով կամ 17.3 մլրդ դրամով՝ հիմնականում պայմանավորված պետական նշանակության ավտոճանապարհների հիմնանորոգման և Հյուսիս-հարավ միջանցքի զարգացման ծրագրի ծախսերի աճով։</w:t>
      </w:r>
    </w:p>
    <w:p w14:paraId="205A1AEC" w14:textId="77777777" w:rsidR="002378CC"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2023 թվականի ընթացքում </w:t>
      </w:r>
      <w:r w:rsidRPr="00C921DE">
        <w:rPr>
          <w:rFonts w:ascii="GHEA Grapalat" w:hAnsi="GHEA Grapalat" w:cs="GHEA Grapalat"/>
          <w:i/>
          <w:sz w:val="22"/>
          <w:szCs w:val="22"/>
        </w:rPr>
        <w:t>Ջրամատակարարման և ջրահեռացման բարելավման</w:t>
      </w:r>
      <w:r w:rsidRPr="00C921DE">
        <w:rPr>
          <w:rFonts w:ascii="GHEA Grapalat" w:hAnsi="GHEA Grapalat" w:cs="GHEA Grapalat"/>
          <w:sz w:val="22"/>
          <w:szCs w:val="22"/>
        </w:rPr>
        <w:t xml:space="preserve"> ծրագրի շրջանակներում օգտագործվել է նախատեսված միջոցների 95.3%-ը՝ շուրջ 8.3 մլրդ դրամ: Շեղումը մասամբ պայմանավորված է արտարժույթի կանխատեսված ու փաստացի փոխարժեքների տարբերությամբ: Ջրամատակարարման և ջրահեռացման բարելավման ծրագրի ծախսերի հիմնական մասն իրականացվել է արտաքին աջակցությամբ: </w:t>
      </w:r>
    </w:p>
    <w:p w14:paraId="3BC78C34"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Գերմանիայի զարգացման վարկերի բանկի աջակցությամբ իրականացվող ջրամատակարարման և ջրահեռացման ենթակառուցվածքների վերականգնման երրորդ փուլի շրջանակներում նախատեսված շուրջ 3.1 մլրդ դրամն օգտագործվել է 98.6%-ով և կազմել 3 մլրդ դրամ: Ծրագրի շրջանակներում իրականացվում է ՀՀ Շիրակի, Լոռու, Արմավիրի, Գեղարքունիքի, Վայոց Ձորի և Սյունիքի մարզերի՝ ընդհանուր թվով 11 քաղաքների և 37</w:t>
      </w:r>
      <w:r w:rsidR="00582B19" w:rsidRPr="00C921DE">
        <w:rPr>
          <w:rFonts w:ascii="GHEA Grapalat" w:hAnsi="GHEA Grapalat" w:cs="GHEA Grapalat"/>
          <w:sz w:val="22"/>
          <w:szCs w:val="22"/>
        </w:rPr>
        <w:t xml:space="preserve"> </w:t>
      </w:r>
      <w:r w:rsidRPr="00C921DE">
        <w:rPr>
          <w:rFonts w:ascii="GHEA Grapalat" w:hAnsi="GHEA Grapalat" w:cs="GHEA Grapalat"/>
          <w:sz w:val="22"/>
          <w:szCs w:val="22"/>
        </w:rPr>
        <w:t>գյուղերի ջրամատակարարման և ջրահեռացման համակարգերի վերակառուցում։ 2023 թվականին շարունակվել են 2021 թվականին 6 մարզերում մեկնարկած լայնածավալ շինարարական աշխատանքները։ Ծրագիրն իրականացվում է ԵՆԲ աջակցությամբ իրականացվող ջրամատակարարման և ջրահեռացման ենթակառուցվածքների վերականգնման ծրագրի երրորդ փուլի միջոցառման հետ համատեղ, որի շրջանակներում օգտագործվել է 640</w:t>
      </w:r>
      <w:r w:rsidR="003C30C0" w:rsidRPr="00C921DE">
        <w:rPr>
          <w:rFonts w:ascii="GHEA Grapalat" w:hAnsi="GHEA Grapalat" w:cs="GHEA Grapalat"/>
          <w:sz w:val="22"/>
          <w:szCs w:val="22"/>
          <w:lang w:val="en-US"/>
        </w:rPr>
        <w:t>.9</w:t>
      </w:r>
      <w:r w:rsidRPr="00C921DE">
        <w:rPr>
          <w:rFonts w:ascii="GHEA Grapalat" w:hAnsi="GHEA Grapalat" w:cs="GHEA Grapalat"/>
          <w:sz w:val="22"/>
          <w:szCs w:val="22"/>
        </w:rPr>
        <w:t xml:space="preserve"> մլն դրամ՝ կազմելով ծրագրված ցուցանիշի 98.3%-ը: Ծրագրված ցուցանիշներից շեղումները երկու միջոցառման գծով էլ պայմանավորված են արտարժույթի կանխատեսված ու փաստացի փոխարժեքների տարբերությամբ:</w:t>
      </w:r>
    </w:p>
    <w:p w14:paraId="715A70C4" w14:textId="060E6FCB"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Ջրամատակարարման և ջրահեռացման համակարգի հիմնանորոգման</w:t>
      </w:r>
      <w:r w:rsidR="00C316DA" w:rsidRPr="00C921DE">
        <w:rPr>
          <w:rFonts w:ascii="GHEA Grapalat" w:hAnsi="GHEA Grapalat" w:cs="GHEA Grapalat"/>
          <w:sz w:val="22"/>
          <w:szCs w:val="22"/>
        </w:rPr>
        <w:t xml:space="preserve"> միջոցառման</w:t>
      </w:r>
      <w:r w:rsidRPr="00C921DE">
        <w:rPr>
          <w:rFonts w:ascii="GHEA Grapalat" w:hAnsi="GHEA Grapalat" w:cs="GHEA Grapalat"/>
          <w:sz w:val="22"/>
          <w:szCs w:val="22"/>
        </w:rPr>
        <w:t xml:space="preserve"> շրջանակներում կնքվել է 19 պայմանագիր, որոնց հիման վրա մեկնարկել են շինարարական աշխատանքներ։ 2023 թվականին ավարտվել են 12 բնակավայրերի ջրամատակարարման և ջրահեռացման համակարգերի վերակառուցման աշխատանքները: Միջոցառման շրջանակներում օգտագործվել է նախատեսված միջոցների 94%-ը՝ </w:t>
      </w:r>
      <w:r w:rsidR="00FB1392" w:rsidRPr="00C921DE">
        <w:rPr>
          <w:rFonts w:ascii="GHEA Grapalat" w:hAnsi="GHEA Grapalat" w:cs="GHEA Grapalat"/>
          <w:sz w:val="22"/>
          <w:szCs w:val="22"/>
        </w:rPr>
        <w:t xml:space="preserve">1.7 մլրդ դրամ, քանի որ </w:t>
      </w:r>
      <w:r w:rsidR="00FB1392" w:rsidRPr="00C921DE">
        <w:rPr>
          <w:rFonts w:ascii="GHEA Grapalat" w:hAnsi="GHEA Grapalat" w:cs="GHEA Grapalat"/>
          <w:sz w:val="22"/>
          <w:szCs w:val="22"/>
          <w:lang w:val="en-US"/>
        </w:rPr>
        <w:t>ռելիեֆային և եղանակային պայմաններից ելնելով՝ որոշ աշխատանքներ տեղափոխվել են 2024 թվական</w:t>
      </w:r>
      <w:r w:rsidRPr="00C921DE">
        <w:rPr>
          <w:rFonts w:ascii="GHEA Grapalat" w:hAnsi="GHEA Grapalat" w:cs="GHEA Grapalat"/>
          <w:sz w:val="22"/>
          <w:szCs w:val="22"/>
        </w:rPr>
        <w:t>:</w:t>
      </w:r>
    </w:p>
    <w:p w14:paraId="35A51327" w14:textId="77777777" w:rsidR="006A2C9F" w:rsidRPr="00C921DE" w:rsidRDefault="003203AB"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ԵՆԲ աջակցությամբ իրականացվող </w:t>
      </w:r>
      <w:r w:rsidR="006A2C9F" w:rsidRPr="00C921DE">
        <w:rPr>
          <w:rFonts w:ascii="GHEA Grapalat" w:hAnsi="GHEA Grapalat" w:cs="GHEA Grapalat"/>
          <w:sz w:val="22"/>
          <w:szCs w:val="22"/>
        </w:rPr>
        <w:t xml:space="preserve">Երևանի ջրամատակարարման բարելավման վարկային ծրագրի շրջանակներում </w:t>
      </w:r>
      <w:r w:rsidR="002C4B92" w:rsidRPr="00C921DE">
        <w:rPr>
          <w:rFonts w:ascii="GHEA Grapalat" w:hAnsi="GHEA Grapalat" w:cs="GHEA Grapalat"/>
          <w:sz w:val="22"/>
          <w:szCs w:val="22"/>
        </w:rPr>
        <w:t>2023 թվականի օգոստոսի 10-ին</w:t>
      </w:r>
      <w:r w:rsidR="002C4B92" w:rsidRPr="00C921DE">
        <w:rPr>
          <w:rFonts w:ascii="GHEA Grapalat" w:hAnsi="GHEA Grapalat" w:cs="GHEA Grapalat"/>
          <w:sz w:val="22"/>
          <w:szCs w:val="22"/>
          <w:lang w:val="en-US"/>
        </w:rPr>
        <w:t xml:space="preserve"> մեկնարկել են</w:t>
      </w:r>
      <w:r w:rsidR="002C4B92" w:rsidRPr="00C921DE">
        <w:rPr>
          <w:rFonts w:ascii="GHEA Grapalat" w:hAnsi="GHEA Grapalat" w:cs="GHEA Grapalat"/>
          <w:sz w:val="22"/>
          <w:szCs w:val="22"/>
        </w:rPr>
        <w:t xml:space="preserve"> </w:t>
      </w:r>
      <w:r w:rsidR="006A2C9F" w:rsidRPr="00C921DE">
        <w:rPr>
          <w:rFonts w:ascii="GHEA Grapalat" w:hAnsi="GHEA Grapalat" w:cs="GHEA Grapalat"/>
          <w:sz w:val="22"/>
          <w:szCs w:val="22"/>
        </w:rPr>
        <w:t xml:space="preserve">Մալաթիա-Հաղթանակ և Սիլիկյան թաղամասերի ջրամատակարարման համակարգերի բարելավման շինարարական </w:t>
      </w:r>
      <w:r w:rsidR="006A2C9F" w:rsidRPr="00C921DE">
        <w:rPr>
          <w:rFonts w:ascii="GHEA Grapalat" w:hAnsi="GHEA Grapalat" w:cs="GHEA Grapalat"/>
          <w:sz w:val="22"/>
          <w:szCs w:val="22"/>
        </w:rPr>
        <w:lastRenderedPageBreak/>
        <w:t>աշխատանքները</w:t>
      </w:r>
      <w:r w:rsidR="002C4B92" w:rsidRPr="00C921DE">
        <w:rPr>
          <w:rFonts w:ascii="GHEA Grapalat" w:hAnsi="GHEA Grapalat" w:cs="GHEA Grapalat"/>
          <w:sz w:val="22"/>
          <w:szCs w:val="22"/>
          <w:lang w:val="en-US"/>
        </w:rPr>
        <w:t>, որոնք</w:t>
      </w:r>
      <w:r w:rsidR="006A2C9F" w:rsidRPr="00C921DE">
        <w:rPr>
          <w:rFonts w:ascii="GHEA Grapalat" w:hAnsi="GHEA Grapalat" w:cs="GHEA Grapalat"/>
          <w:sz w:val="22"/>
          <w:szCs w:val="22"/>
        </w:rPr>
        <w:t xml:space="preserve"> կավարտվեն 2025 թվականի տարեսկզբին։ Միջոցառման շրջանակներում օգտագործվել է 492 մլն դրամ՝ կազմելով ծրագրված ցուցանիշի 89%-ը: Նույն ծրագրի Եվրոպական միության հարևանության ներդրումային ծրագրի աջակցությամբ իրականացվող դրամաշնորհային ծրագրի շրջանակներում</w:t>
      </w:r>
      <w:r w:rsidR="006A2C9F" w:rsidRPr="00C921DE">
        <w:rPr>
          <w:rFonts w:ascii="GHEA Grapalat" w:hAnsi="GHEA Grapalat" w:cs="Arial AMU"/>
          <w:noProof w:val="0"/>
          <w:color w:val="000000" w:themeColor="text1"/>
          <w:lang w:eastAsia="ru-RU"/>
        </w:rPr>
        <w:t xml:space="preserve"> </w:t>
      </w:r>
      <w:r w:rsidRPr="00C921DE">
        <w:rPr>
          <w:rFonts w:ascii="GHEA Grapalat" w:hAnsi="GHEA Grapalat" w:cs="GHEA Grapalat"/>
          <w:sz w:val="22"/>
          <w:szCs w:val="22"/>
          <w:lang w:val="en-US"/>
        </w:rPr>
        <w:t xml:space="preserve">իրականացվել </w:t>
      </w:r>
      <w:r w:rsidR="006A2C9F" w:rsidRPr="00C921DE">
        <w:rPr>
          <w:rFonts w:ascii="GHEA Grapalat" w:hAnsi="GHEA Grapalat" w:cs="GHEA Grapalat"/>
          <w:sz w:val="22"/>
          <w:szCs w:val="22"/>
        </w:rPr>
        <w:t>են Փիրումյան, Նոր Խարբերդ և հարակից թաղամասերի, Բալահովիտ համայնքի ջրամատակարարման բաշխիչ ցանցերի վերականգնման և անհատական տնային միացումների փոխարինման, Արարատյան պոմպակայանում 3 նոր պոմպերի փոխարինման աշխատանքները։ Նորոգվել է 17.6 կմ երկարությամբ ջրագիծ, 2.4 կմ երկարությամբ մուտքագիծ և 476 հատ տնային միացում: Միջոցառման շրջանակներում օգտագործվել է 763.9 մլն դրամ՝ կազմելով ծրագրված ցուցանիշի 90.9%-ը: Ծրագրված ցուցանիշներից շեղումները երկու միջոցառման գծով էլ պայմանավորված են արտարժույթի կանխատեսված ու փաստացի փոխարժեքների տարբերությամբ:</w:t>
      </w:r>
    </w:p>
    <w:p w14:paraId="18DC9410" w14:textId="704DC159"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bCs/>
          <w:iCs/>
          <w:sz w:val="22"/>
          <w:szCs w:val="22"/>
        </w:rPr>
        <w:t xml:space="preserve">Խմելու ջրի մատակարարման և ջրահեռացման </w:t>
      </w:r>
      <w:r w:rsidRPr="00C921DE">
        <w:rPr>
          <w:rFonts w:ascii="GHEA Grapalat" w:hAnsi="GHEA Grapalat" w:cs="GHEA Grapalat"/>
          <w:sz w:val="22"/>
          <w:szCs w:val="22"/>
        </w:rPr>
        <w:t>ծառայությունների սակագների մեղմման</w:t>
      </w:r>
      <w:r w:rsidRPr="00C921DE">
        <w:rPr>
          <w:rFonts w:ascii="GHEA Grapalat" w:hAnsi="GHEA Grapalat" w:cs="GHEA Grapalat"/>
          <w:bCs/>
          <w:iCs/>
          <w:sz w:val="22"/>
          <w:szCs w:val="22"/>
        </w:rPr>
        <w:t xml:space="preserve"> նպատակով</w:t>
      </w:r>
      <w:r w:rsidRPr="00C921DE">
        <w:rPr>
          <w:rFonts w:ascii="GHEA Grapalat" w:hAnsi="GHEA Grapalat" w:cs="GHEA Grapalat"/>
          <w:sz w:val="22"/>
          <w:szCs w:val="22"/>
        </w:rPr>
        <w:t xml:space="preserve"> </w:t>
      </w:r>
      <w:r w:rsidRPr="00C921DE">
        <w:rPr>
          <w:rFonts w:ascii="GHEA Grapalat" w:hAnsi="GHEA Grapalat" w:cs="GHEA Grapalat"/>
          <w:bCs/>
          <w:iCs/>
          <w:sz w:val="22"/>
          <w:szCs w:val="22"/>
        </w:rPr>
        <w:t>«Վեոլիա Ջուր» ՓԲԸ-ին տրամադրվել է 1 մլրդ դրամ սուբսիդիա (նախատեսված ցուցանիշի 99.5%</w:t>
      </w:r>
      <w:r w:rsidR="007100C6" w:rsidRPr="00C921DE">
        <w:rPr>
          <w:rFonts w:ascii="GHEA Grapalat" w:hAnsi="GHEA Grapalat" w:cs="GHEA Grapalat"/>
          <w:bCs/>
          <w:iCs/>
          <w:sz w:val="22"/>
          <w:szCs w:val="22"/>
          <w:lang w:val="en-US"/>
        </w:rPr>
        <w:t>-ը</w:t>
      </w:r>
      <w:r w:rsidRPr="00C921DE">
        <w:rPr>
          <w:rFonts w:ascii="GHEA Grapalat" w:hAnsi="GHEA Grapalat" w:cs="GHEA Grapalat"/>
          <w:bCs/>
          <w:iCs/>
          <w:sz w:val="22"/>
          <w:szCs w:val="22"/>
        </w:rPr>
        <w:t>)՝ 2023 թվակ</w:t>
      </w:r>
      <w:r w:rsidR="007100C6" w:rsidRPr="00C921DE">
        <w:rPr>
          <w:rFonts w:ascii="GHEA Grapalat" w:hAnsi="GHEA Grapalat" w:cs="GHEA Grapalat"/>
          <w:bCs/>
          <w:iCs/>
          <w:sz w:val="22"/>
          <w:szCs w:val="22"/>
        </w:rPr>
        <w:t>անի հունվար-նոյեմբեր ամիսների</w:t>
      </w:r>
      <w:r w:rsidR="007100C6" w:rsidRPr="00C921DE">
        <w:rPr>
          <w:rFonts w:ascii="GHEA Grapalat" w:hAnsi="GHEA Grapalat" w:cs="GHEA Grapalat"/>
          <w:bCs/>
          <w:iCs/>
          <w:sz w:val="22"/>
          <w:szCs w:val="22"/>
          <w:lang w:val="en-US"/>
        </w:rPr>
        <w:t>ն</w:t>
      </w:r>
      <w:r w:rsidRPr="00C921DE">
        <w:rPr>
          <w:rFonts w:ascii="GHEA Grapalat" w:hAnsi="GHEA Grapalat" w:cs="GHEA Grapalat"/>
          <w:bCs/>
          <w:iCs/>
          <w:sz w:val="22"/>
          <w:szCs w:val="22"/>
        </w:rPr>
        <w:t xml:space="preserve"> մատուցված խմելու ջրի մատակարարման և ջրահեռացման (կեղտաջրերի մաքրման) մանրածախ ծառայությունների դիմաց: </w:t>
      </w:r>
    </w:p>
    <w:p w14:paraId="6128FBEF" w14:textId="72E364BB"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Նախորդ տարվա համեմատ Ջրամատակարարման և ջրահեռացման բարելավման ծրագրի ծախսերն աճել են 41.9%-ով կամ 2.4 մլրդ դրամով՝ </w:t>
      </w:r>
      <w:r w:rsidR="00E62FEC" w:rsidRPr="00C921DE">
        <w:rPr>
          <w:rFonts w:ascii="GHEA Grapalat" w:hAnsi="GHEA Grapalat" w:cs="GHEA Grapalat"/>
          <w:sz w:val="22"/>
          <w:szCs w:val="22"/>
          <w:lang w:val="en-US"/>
        </w:rPr>
        <w:t>հի</w:t>
      </w:r>
      <w:r w:rsidR="004F6C7F" w:rsidRPr="00C921DE">
        <w:rPr>
          <w:rFonts w:ascii="GHEA Grapalat" w:hAnsi="GHEA Grapalat" w:cs="GHEA Grapalat"/>
          <w:sz w:val="22"/>
          <w:szCs w:val="22"/>
          <w:lang w:val="en-US"/>
        </w:rPr>
        <w:t>մ</w:t>
      </w:r>
      <w:r w:rsidR="00E62FEC" w:rsidRPr="00C921DE">
        <w:rPr>
          <w:rFonts w:ascii="GHEA Grapalat" w:hAnsi="GHEA Grapalat" w:cs="GHEA Grapalat"/>
          <w:sz w:val="22"/>
          <w:szCs w:val="22"/>
          <w:lang w:val="en-US"/>
        </w:rPr>
        <w:t xml:space="preserve">նականում </w:t>
      </w:r>
      <w:r w:rsidRPr="00C921DE">
        <w:rPr>
          <w:rFonts w:ascii="GHEA Grapalat" w:hAnsi="GHEA Grapalat" w:cs="GHEA Grapalat"/>
          <w:sz w:val="22"/>
          <w:szCs w:val="22"/>
        </w:rPr>
        <w:t xml:space="preserve">պայմանավորված </w:t>
      </w:r>
      <w:r w:rsidR="004F6C7F" w:rsidRPr="00C921DE">
        <w:rPr>
          <w:rFonts w:ascii="GHEA Grapalat" w:hAnsi="GHEA Grapalat" w:cs="GHEA Grapalat"/>
          <w:sz w:val="22"/>
          <w:szCs w:val="22"/>
        </w:rPr>
        <w:t xml:space="preserve">խմելու ջրի մատակարարման և ջրահեռացման ծառայությունների սուբսիդավորման և Եվրոպական ներդրումային բանկի </w:t>
      </w:r>
      <w:r w:rsidR="004F6C7F" w:rsidRPr="00C921DE">
        <w:rPr>
          <w:rFonts w:ascii="GHEA Grapalat" w:hAnsi="GHEA Grapalat" w:cs="GHEA Grapalat"/>
          <w:sz w:val="22"/>
          <w:szCs w:val="22"/>
          <w:lang w:val="en-US"/>
        </w:rPr>
        <w:t xml:space="preserve">ու </w:t>
      </w:r>
      <w:r w:rsidR="006D64AB" w:rsidRPr="00C921DE">
        <w:rPr>
          <w:rFonts w:ascii="GHEA Grapalat" w:hAnsi="GHEA Grapalat" w:cs="GHEA Grapalat"/>
          <w:sz w:val="22"/>
          <w:szCs w:val="22"/>
          <w:lang w:val="en-US"/>
        </w:rPr>
        <w:t>Եվրոպական միության հարևանության ներդրումային ծրագրի աջակցությամբ իրականացվող Երևանի ջրամատակարարման բարելավման դրամաշնորհային ծրագրի շրջանակներում ջրամատակարարման և ջրահեռացման ենթակառուցվածքների հիմնանորոգման նպատակով միջոցների հատկացմամբ,</w:t>
      </w:r>
      <w:r w:rsidRPr="00C921DE">
        <w:rPr>
          <w:rFonts w:ascii="GHEA Grapalat" w:hAnsi="GHEA Grapalat" w:cs="GHEA Grapalat"/>
          <w:sz w:val="22"/>
          <w:szCs w:val="22"/>
        </w:rPr>
        <w:t xml:space="preserve"> որոնք 2022 թվականին չէին նախատեսվել</w:t>
      </w:r>
      <w:r w:rsidR="00D5732E" w:rsidRPr="00C921DE">
        <w:rPr>
          <w:rFonts w:ascii="GHEA Grapalat" w:hAnsi="GHEA Grapalat" w:cs="GHEA Grapalat"/>
          <w:sz w:val="22"/>
          <w:szCs w:val="22"/>
          <w:lang w:val="en-US"/>
        </w:rPr>
        <w:t>, ինչպես նաև Գերմանիայի զարգացման վարկերի բանկի աջակցությամբ իրականացվող ջրամատակարարման և ջրահեռացման ենթակառուցվածքների վերականգնման ծրագրի շրջանակներում կատարված ծախսերի աճով</w:t>
      </w:r>
      <w:r w:rsidRPr="00C921DE">
        <w:rPr>
          <w:rFonts w:ascii="GHEA Grapalat" w:hAnsi="GHEA Grapalat" w:cs="GHEA Grapalat"/>
          <w:sz w:val="22"/>
          <w:szCs w:val="22"/>
        </w:rPr>
        <w:t>։</w:t>
      </w:r>
    </w:p>
    <w:p w14:paraId="7C55DCA8" w14:textId="189C5DA9"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Պետական գույքի կառավարման</w:t>
      </w:r>
      <w:r w:rsidRPr="00C921DE">
        <w:rPr>
          <w:rFonts w:ascii="GHEA Grapalat" w:hAnsi="GHEA Grapalat" w:cs="GHEA Grapalat"/>
          <w:sz w:val="22"/>
          <w:szCs w:val="22"/>
        </w:rPr>
        <w:t xml:space="preserve"> ծրագրի գծով փաստացի ցուցանիշը կազմել է -20.2 մլրդ դրամ կամ ծրագրված ցուցանիշի 89.3%-ը՝ պայմանավորված ոչ ֆինանսական ակտիվների օտարումից ծրագրվածից պակաս մուտքերով: 2023 թվականի ընթացքում Պետական գույքի կառավարման ծրագրի շրջանակներում կատարվել են շուրջ 1.6 մլրդ դրամ ծախսեր՝ կազմելով ծրագրված ցուցանիշի 95.9%-ը, որը պայմանավորված է խնայողություններով: Ոչ ֆինանսական ակտիվների օտարումից ստացվել է 21.8 մլրդ դրամ՝ նախատեսված 24.2 մլրդ դրամի դիմաց: Տարբերությ</w:t>
      </w:r>
      <w:r w:rsidR="00435C9B" w:rsidRPr="00C921DE">
        <w:rPr>
          <w:rFonts w:ascii="GHEA Grapalat" w:hAnsi="GHEA Grapalat" w:cs="GHEA Grapalat"/>
          <w:sz w:val="22"/>
          <w:szCs w:val="22"/>
          <w:lang w:val="en-US"/>
        </w:rPr>
        <w:t>ունը</w:t>
      </w:r>
      <w:r w:rsidRPr="00C921DE">
        <w:rPr>
          <w:rFonts w:ascii="GHEA Grapalat" w:hAnsi="GHEA Grapalat" w:cs="GHEA Grapalat"/>
          <w:sz w:val="22"/>
          <w:szCs w:val="22"/>
        </w:rPr>
        <w:t xml:space="preserve"> հիմնականում պայմանավորված է նրանով, որ </w:t>
      </w:r>
      <w:r w:rsidR="00EF6622" w:rsidRPr="00C921DE">
        <w:rPr>
          <w:rFonts w:ascii="GHEA Grapalat" w:hAnsi="GHEA Grapalat" w:cs="GHEA Grapalat"/>
          <w:sz w:val="22"/>
          <w:szCs w:val="22"/>
          <w:lang w:val="en-US"/>
        </w:rPr>
        <w:t>Կ</w:t>
      </w:r>
      <w:r w:rsidRPr="00C921DE">
        <w:rPr>
          <w:rFonts w:ascii="GHEA Grapalat" w:hAnsi="GHEA Grapalat" w:cs="GHEA Grapalat"/>
          <w:sz w:val="22"/>
          <w:szCs w:val="22"/>
        </w:rPr>
        <w:t xml:space="preserve">առավարության որոշմամբ նախատեսվել էր հողակտորների օտարում «ՀՀ պետական հետաքրքրությունների ֆոնդ» ՓԲԸ-ի կանոնադրական կապիտալի </w:t>
      </w:r>
      <w:r w:rsidRPr="00C921DE">
        <w:rPr>
          <w:rFonts w:ascii="GHEA Grapalat" w:hAnsi="GHEA Grapalat" w:cs="GHEA Grapalat"/>
          <w:sz w:val="22"/>
          <w:szCs w:val="22"/>
        </w:rPr>
        <w:lastRenderedPageBreak/>
        <w:t>ավելացման հաշվին, սակայն</w:t>
      </w:r>
      <w:r w:rsidR="00B522DB" w:rsidRPr="00C921DE">
        <w:rPr>
          <w:rFonts w:ascii="GHEA Grapalat" w:hAnsi="GHEA Grapalat" w:cs="GHEA Grapalat"/>
          <w:sz w:val="22"/>
          <w:szCs w:val="22"/>
          <w:lang w:val="en-US"/>
        </w:rPr>
        <w:t xml:space="preserve"> նշված գործարքը</w:t>
      </w:r>
      <w:r w:rsidRPr="00C921DE">
        <w:rPr>
          <w:rFonts w:ascii="GHEA Grapalat" w:hAnsi="GHEA Grapalat" w:cs="GHEA Grapalat"/>
          <w:sz w:val="22"/>
          <w:szCs w:val="22"/>
        </w:rPr>
        <w:t xml:space="preserve"> չի կատարվել: Նախորդ տարվա ցուցանիշի համեմատ Պետական գույքի կառավարման ծրագրի ծախսերն աճել են 16.1%-ով</w:t>
      </w:r>
      <w:r w:rsidR="00A62B95" w:rsidRPr="00C921DE">
        <w:rPr>
          <w:rFonts w:ascii="GHEA Grapalat" w:hAnsi="GHEA Grapalat" w:cs="GHEA Grapalat"/>
          <w:sz w:val="22"/>
          <w:szCs w:val="22"/>
          <w:lang w:val="en-US"/>
        </w:rPr>
        <w:t xml:space="preserve"> (</w:t>
      </w:r>
      <w:r w:rsidR="007B3E4B" w:rsidRPr="00C921DE">
        <w:rPr>
          <w:rFonts w:ascii="GHEA Grapalat" w:hAnsi="GHEA Grapalat" w:cs="GHEA Grapalat"/>
          <w:sz w:val="22"/>
          <w:szCs w:val="22"/>
          <w:lang w:val="en-US"/>
        </w:rPr>
        <w:t>220.1</w:t>
      </w:r>
      <w:r w:rsidR="00A62B95" w:rsidRPr="00C921DE">
        <w:rPr>
          <w:rFonts w:ascii="GHEA Grapalat" w:hAnsi="GHEA Grapalat" w:cs="GHEA Grapalat"/>
          <w:sz w:val="22"/>
          <w:szCs w:val="22"/>
          <w:lang w:val="en-US"/>
        </w:rPr>
        <w:t xml:space="preserve"> մլն դրամով)</w:t>
      </w:r>
      <w:r w:rsidRPr="00C921DE">
        <w:rPr>
          <w:rFonts w:ascii="GHEA Grapalat" w:hAnsi="GHEA Grapalat" w:cs="GHEA Grapalat"/>
          <w:sz w:val="22"/>
          <w:szCs w:val="22"/>
        </w:rPr>
        <w:t>՝ հիմնականում պայմանավորված «Ավիացիոն ծառայությունների մատուցում» միջոցառման շրջանակներում 296.4 մլն դրամ</w:t>
      </w:r>
      <w:r w:rsidR="00A62B95" w:rsidRPr="00C921DE">
        <w:rPr>
          <w:rFonts w:ascii="GHEA Grapalat" w:hAnsi="GHEA Grapalat" w:cs="GHEA Grapalat"/>
          <w:sz w:val="22"/>
          <w:szCs w:val="22"/>
          <w:lang w:val="en-US"/>
        </w:rPr>
        <w:t>ի հատկացմամբ</w:t>
      </w:r>
      <w:r w:rsidRPr="00C921DE">
        <w:rPr>
          <w:rFonts w:ascii="GHEA Grapalat" w:hAnsi="GHEA Grapalat" w:cs="GHEA Grapalat"/>
          <w:sz w:val="22"/>
          <w:szCs w:val="22"/>
        </w:rPr>
        <w:t>, որը 2022 թվականին չէր նախատեսվել: Ոչ ֆինանսական ակտիվների օտարումից մուտքերն աճել են 2.5 անգամ՝ պայմանավորված օտարման գործարքների քանակի ավելացմամբ:</w:t>
      </w:r>
    </w:p>
    <w:p w14:paraId="04FF1B43"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Քաղաքային զարգացման</w:t>
      </w:r>
      <w:r w:rsidRPr="00C921DE">
        <w:rPr>
          <w:rFonts w:ascii="GHEA Grapalat" w:hAnsi="GHEA Grapalat" w:cs="GHEA Grapalat"/>
          <w:sz w:val="22"/>
          <w:szCs w:val="22"/>
        </w:rPr>
        <w:t xml:space="preserve"> ծրագրի շրջանակներում 2023 թվականի ընթացքում օգտագործվել է 17.2 մլրդ դրամ կամ նախատեսված միջոցների 88.6</w:t>
      </w:r>
      <w:r w:rsidR="002C4F8F" w:rsidRPr="00C921DE">
        <w:rPr>
          <w:rFonts w:ascii="GHEA Grapalat" w:hAnsi="GHEA Grapalat" w:cs="GHEA Grapalat"/>
          <w:sz w:val="22"/>
          <w:szCs w:val="22"/>
        </w:rPr>
        <w:t>%-</w:t>
      </w:r>
      <w:r w:rsidR="002C4F8F" w:rsidRPr="00C921DE">
        <w:rPr>
          <w:rFonts w:ascii="GHEA Grapalat" w:hAnsi="GHEA Grapalat" w:cs="GHEA Grapalat"/>
          <w:sz w:val="22"/>
          <w:szCs w:val="22"/>
          <w:lang w:val="en-US"/>
        </w:rPr>
        <w:t>ը՝ հիմնականում պայմանավորված ԱԶԲ աջակցությամբ իրականացվող քաղաքային ենթակառուցվածքների և քաղաքի կայուն զարգացման ներդրումային ծրագրի և Երևանի մետրոպոլիտենի ենթակառուցվածքների նորոգման ծախսերի կատարողականով</w:t>
      </w:r>
      <w:r w:rsidRPr="00C921DE">
        <w:rPr>
          <w:rFonts w:ascii="GHEA Grapalat" w:hAnsi="GHEA Grapalat" w:cs="GHEA Grapalat"/>
          <w:sz w:val="22"/>
          <w:szCs w:val="22"/>
        </w:rPr>
        <w:t xml:space="preserve">: </w:t>
      </w:r>
    </w:p>
    <w:p w14:paraId="49C58120"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Ասիական զարգացման բանկի աջակցությամբ իրականացվող քաղաքային ենթակառուցվածքների և քաղաքի կայուն զարգացման ներդրումային ծրագրի շրջանակներում իրականացվել են Բաբաջանյան-Աշտարակ և Արգավանդ-Շիրակ ճանապարհահատվածների հանգույցների կառուցման աշխատանքները, Արգավանդ-Բաբաջանյան 1 կմ ճանապարհահատվածի տեխնիկական հսկողությունը, ավտոբուսների դեպոների կառուցման նախագծումը: Ծրագրի շրջանակներում ծախսերը կազմել են շուրջ 2.3 մլրդ դրամ կամ նախատեսվածի 72.6%-ը, որը հիմնականում պայմանավորված է շինարարական աշխատանքների հետաձգմամբ՝ Բաբաջանյան-Աշտարակ ճանապարհահատվածի մի մասի </w:t>
      </w:r>
      <w:r w:rsidR="007336CC" w:rsidRPr="00C921DE">
        <w:rPr>
          <w:rFonts w:ascii="GHEA Grapalat" w:hAnsi="GHEA Grapalat" w:cs="GHEA Grapalat"/>
          <w:sz w:val="22"/>
          <w:szCs w:val="22"/>
        </w:rPr>
        <w:t>շինարարական աշխատանքների կատարման վրա</w:t>
      </w:r>
      <w:r w:rsidRPr="00C921DE">
        <w:rPr>
          <w:rFonts w:ascii="GHEA Grapalat" w:hAnsi="GHEA Grapalat" w:cs="GHEA Grapalat"/>
          <w:sz w:val="22"/>
          <w:szCs w:val="22"/>
        </w:rPr>
        <w:t xml:space="preserve"> դատարանի կողմից արգելանքի </w:t>
      </w:r>
      <w:r w:rsidR="004B58C4" w:rsidRPr="00C921DE">
        <w:rPr>
          <w:rFonts w:ascii="GHEA Grapalat" w:hAnsi="GHEA Grapalat" w:cs="GHEA Grapalat"/>
          <w:sz w:val="22"/>
          <w:szCs w:val="22"/>
          <w:lang w:val="en-US"/>
        </w:rPr>
        <w:t>կիրառման հետ կապված</w:t>
      </w:r>
      <w:r w:rsidRPr="00C921DE">
        <w:rPr>
          <w:rFonts w:ascii="GHEA Grapalat" w:hAnsi="GHEA Grapalat" w:cs="GHEA Grapalat"/>
          <w:sz w:val="22"/>
          <w:szCs w:val="22"/>
        </w:rPr>
        <w:t>:</w:t>
      </w:r>
    </w:p>
    <w:p w14:paraId="38F793C6" w14:textId="77777777" w:rsidR="002407E5" w:rsidRPr="00C921DE" w:rsidRDefault="002407E5"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Երևանի մետրոպոլիտենի ենթակառուցվածքների նորոգման</w:t>
      </w:r>
      <w:r w:rsidR="001D4A3A" w:rsidRPr="00C921DE">
        <w:rPr>
          <w:rFonts w:ascii="GHEA Grapalat" w:hAnsi="GHEA Grapalat" w:cs="GHEA Grapalat"/>
          <w:sz w:val="22"/>
          <w:szCs w:val="22"/>
        </w:rPr>
        <w:t xml:space="preserve"> միջոցառման</w:t>
      </w:r>
      <w:r w:rsidRPr="00C921DE">
        <w:rPr>
          <w:rFonts w:ascii="GHEA Grapalat" w:hAnsi="GHEA Grapalat" w:cs="GHEA Grapalat"/>
          <w:sz w:val="22"/>
          <w:szCs w:val="22"/>
        </w:rPr>
        <w:t xml:space="preserve"> շրջանակներում ձեռք են բերվել թունելային հզոր օդափոխիչներ, վագոնների պահեստամասեր և մետրոյի ռելսեր</w:t>
      </w:r>
      <w:r w:rsidR="001D4A3A" w:rsidRPr="00C921DE">
        <w:rPr>
          <w:rFonts w:ascii="GHEA Grapalat" w:hAnsi="GHEA Grapalat" w:cs="GHEA Grapalat"/>
          <w:sz w:val="22"/>
          <w:szCs w:val="22"/>
        </w:rPr>
        <w:t>: Նշված աշխատանքներին տրամադրվել է նախատեսված միջոցների 70%-ը՝ 925.6 մլն դրամ՝ պայմանավորված</w:t>
      </w:r>
      <w:r w:rsidR="00B55BDF" w:rsidRPr="00C921DE">
        <w:rPr>
          <w:rFonts w:ascii="GHEA Grapalat" w:hAnsi="GHEA Grapalat" w:cs="GHEA Grapalat"/>
          <w:sz w:val="22"/>
          <w:szCs w:val="22"/>
        </w:rPr>
        <w:t xml:space="preserve"> ժամանակի սղությամբ, որի պատճառով ապրանքներն ամբողջ ծավալով չեն մատակարարվել:</w:t>
      </w:r>
    </w:p>
    <w:p w14:paraId="0CECE308"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Արևելյան Եվրոպայի էներգախն</w:t>
      </w:r>
      <w:r w:rsidR="004B58C4" w:rsidRPr="00C921DE">
        <w:rPr>
          <w:rFonts w:ascii="GHEA Grapalat" w:hAnsi="GHEA Grapalat" w:cs="GHEA Grapalat"/>
          <w:sz w:val="22"/>
          <w:szCs w:val="22"/>
          <w:lang w:val="en-US"/>
        </w:rPr>
        <w:t>ա</w:t>
      </w:r>
      <w:r w:rsidRPr="00C921DE">
        <w:rPr>
          <w:rFonts w:ascii="GHEA Grapalat" w:hAnsi="GHEA Grapalat" w:cs="GHEA Grapalat"/>
          <w:sz w:val="22"/>
          <w:szCs w:val="22"/>
        </w:rPr>
        <w:t>յողության և շրջակա միջավայրի գործընկերության տարածաշրջանային հիմնադրամի աջակցությամբ իրականացվող Երևան քաղաքի հանրային տրանսպորտի նոր երթուղային ցանցի շարժակազմի ներդրման ֆինասական աջակցության դրամաշնորհային ծրագրի շրջանակներում ձեռք են բերվել MAN մակնիշի 87 հատ 12 մետրանոց ավտոբուսներ, որոնք գտնվում են շահագործման մեջ:</w:t>
      </w:r>
      <w:r w:rsidR="00B5110B" w:rsidRPr="00C921DE">
        <w:rPr>
          <w:rFonts w:ascii="GHEA Grapalat" w:hAnsi="GHEA Grapalat" w:cs="GHEA Grapalat"/>
          <w:sz w:val="22"/>
          <w:szCs w:val="22"/>
        </w:rPr>
        <w:t xml:space="preserve"> Տվյալ միջոցառմանը 2023 </w:t>
      </w:r>
      <w:r w:rsidR="00B5110B" w:rsidRPr="00C921DE">
        <w:rPr>
          <w:rFonts w:ascii="GHEA Grapalat" w:hAnsi="GHEA Grapalat" w:cs="GHEA Grapalat"/>
          <w:sz w:val="22"/>
          <w:szCs w:val="22"/>
          <w:lang w:val="en-US"/>
        </w:rPr>
        <w:t>թվականին տրամադրվել</w:t>
      </w:r>
      <w:r w:rsidRPr="00C921DE">
        <w:rPr>
          <w:rFonts w:ascii="GHEA Grapalat" w:hAnsi="GHEA Grapalat" w:cs="GHEA Grapalat"/>
          <w:sz w:val="22"/>
          <w:szCs w:val="22"/>
        </w:rPr>
        <w:t xml:space="preserve"> է 1.7 մլրդ դրամ՝ ապահովելով ծրագրի 100% կատարում: Նշենք, որ նշված ավտոբուսների ձեռքբերման նպատակով Վերակառուցման և զարգացման եվրոպական բանկի </w:t>
      </w:r>
      <w:r w:rsidRPr="00C921DE">
        <w:rPr>
          <w:rFonts w:ascii="GHEA Grapalat" w:hAnsi="GHEA Grapalat" w:cs="GHEA Grapalat"/>
          <w:sz w:val="22"/>
          <w:szCs w:val="22"/>
        </w:rPr>
        <w:lastRenderedPageBreak/>
        <w:t>աջակցությամբ իրականացվող Երևան քաղաքի հանրային տրանսպորտի նոր երթուղային ցանցի շարժակազմերի ներդրման ֆինանսական աջակցության ծրագրի շրջանակներում</w:t>
      </w:r>
      <w:r w:rsidR="00070226" w:rsidRPr="00C921DE">
        <w:rPr>
          <w:rFonts w:ascii="GHEA Grapalat" w:hAnsi="GHEA Grapalat" w:cs="GHEA Grapalat"/>
          <w:sz w:val="22"/>
          <w:szCs w:val="22"/>
          <w:lang w:val="en-US"/>
        </w:rPr>
        <w:t xml:space="preserve"> </w:t>
      </w:r>
      <w:r w:rsidR="00B5110B" w:rsidRPr="00C921DE">
        <w:rPr>
          <w:rFonts w:ascii="GHEA Grapalat" w:hAnsi="GHEA Grapalat" w:cs="GHEA Grapalat"/>
          <w:sz w:val="22"/>
          <w:szCs w:val="22"/>
          <w:lang w:val="en-US"/>
        </w:rPr>
        <w:t xml:space="preserve">հաշվետու տարում </w:t>
      </w:r>
      <w:r w:rsidR="00070226" w:rsidRPr="00C921DE">
        <w:rPr>
          <w:rFonts w:ascii="GHEA Grapalat" w:hAnsi="GHEA Grapalat" w:cs="GHEA Grapalat"/>
          <w:sz w:val="22"/>
          <w:szCs w:val="22"/>
        </w:rPr>
        <w:t>տրամադրվել է նաև 6.7 մլրդ դրամ ենթավարկ</w:t>
      </w:r>
      <w:r w:rsidRPr="00C921DE">
        <w:rPr>
          <w:rFonts w:ascii="GHEA Grapalat" w:hAnsi="GHEA Grapalat" w:cs="GHEA Grapalat"/>
          <w:sz w:val="22"/>
          <w:szCs w:val="22"/>
        </w:rPr>
        <w:t>:</w:t>
      </w:r>
    </w:p>
    <w:p w14:paraId="76CE640C"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Երևան քաղաքի բազմաբնակարան շենքերի վերելակների արդիականացման </w:t>
      </w:r>
      <w:r w:rsidR="00DE392E" w:rsidRPr="00C921DE">
        <w:rPr>
          <w:rFonts w:ascii="GHEA Grapalat" w:hAnsi="GHEA Grapalat" w:cs="GHEA Grapalat"/>
          <w:sz w:val="22"/>
          <w:szCs w:val="22"/>
          <w:lang w:val="en-US"/>
        </w:rPr>
        <w:t>միջոցառման</w:t>
      </w:r>
      <w:r w:rsidRPr="00C921DE">
        <w:rPr>
          <w:rFonts w:ascii="GHEA Grapalat" w:hAnsi="GHEA Grapalat" w:cs="GHEA Grapalat"/>
          <w:sz w:val="22"/>
          <w:szCs w:val="22"/>
        </w:rPr>
        <w:t xml:space="preserve"> շրջանակներում իրականացվել է բազմաբնակարան շենքերի շահագործման ոչ պիտանի վերելակների փոխարինում նոր վերելակներով: 2023 թվականին ձեռք է բերվել և տեղադրվել 400 վերելակ` նախատեսված 473-ի փոխարեն, որի համար օգտագործվել</w:t>
      </w:r>
      <w:r w:rsidR="00B5110B" w:rsidRPr="00C921DE">
        <w:rPr>
          <w:rFonts w:ascii="GHEA Grapalat" w:hAnsi="GHEA Grapalat" w:cs="GHEA Grapalat"/>
          <w:sz w:val="22"/>
          <w:szCs w:val="22"/>
        </w:rPr>
        <w:t xml:space="preserve"> է շուրջ 4 մլրդ դրամ, կամ ծրագրված միջոցների</w:t>
      </w:r>
      <w:r w:rsidRPr="00C921DE">
        <w:rPr>
          <w:rFonts w:ascii="GHEA Grapalat" w:hAnsi="GHEA Grapalat" w:cs="GHEA Grapalat"/>
          <w:sz w:val="22"/>
          <w:szCs w:val="22"/>
        </w:rPr>
        <w:t xml:space="preserve"> 97.5%-ը:</w:t>
      </w:r>
      <w:r w:rsidRPr="00C921DE">
        <w:t xml:space="preserve"> </w:t>
      </w:r>
      <w:r w:rsidRPr="00C921DE">
        <w:rPr>
          <w:rFonts w:ascii="GHEA Grapalat" w:hAnsi="GHEA Grapalat" w:cs="GHEA Grapalat"/>
          <w:sz w:val="22"/>
          <w:szCs w:val="22"/>
        </w:rPr>
        <w:t>Ծրագրից շեղումը պայմանավորված է նրանով, որ պայմանագրերից մեկը գտնվում է դատական պրոցես</w:t>
      </w:r>
      <w:r w:rsidR="00A74A56" w:rsidRPr="00C921DE">
        <w:rPr>
          <w:rFonts w:ascii="GHEA Grapalat" w:hAnsi="GHEA Grapalat" w:cs="GHEA Grapalat"/>
          <w:sz w:val="22"/>
          <w:szCs w:val="22"/>
          <w:lang w:val="en-US"/>
        </w:rPr>
        <w:t>ում</w:t>
      </w:r>
      <w:r w:rsidRPr="00C921DE">
        <w:rPr>
          <w:rFonts w:ascii="GHEA Grapalat" w:hAnsi="GHEA Grapalat" w:cs="GHEA Grapalat"/>
          <w:sz w:val="22"/>
          <w:szCs w:val="22"/>
        </w:rPr>
        <w:t>:</w:t>
      </w:r>
    </w:p>
    <w:p w14:paraId="66E11EC3" w14:textId="77777777" w:rsidR="00717FB2" w:rsidRPr="00C921DE" w:rsidRDefault="00717FB2"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Երևան քաղաքում ճանապարհների կառուցման և միջին նորոգման աշխատանքներ</w:t>
      </w:r>
      <w:r w:rsidR="00B83662" w:rsidRPr="00C921DE">
        <w:rPr>
          <w:rFonts w:ascii="GHEA Grapalat" w:hAnsi="GHEA Grapalat" w:cs="GHEA Grapalat"/>
          <w:sz w:val="22"/>
          <w:szCs w:val="22"/>
        </w:rPr>
        <w:t>ի շրջանակներում</w:t>
      </w:r>
      <w:r w:rsidR="00125AD2" w:rsidRPr="00C921DE">
        <w:rPr>
          <w:rFonts w:ascii="GHEA Grapalat" w:hAnsi="GHEA Grapalat" w:cs="GHEA Grapalat"/>
          <w:sz w:val="22"/>
          <w:szCs w:val="22"/>
        </w:rPr>
        <w:t xml:space="preserve"> 5 վարչական շրջաններում</w:t>
      </w:r>
      <w:r w:rsidR="00B83662" w:rsidRPr="00C921DE">
        <w:rPr>
          <w:rFonts w:ascii="GHEA Grapalat" w:hAnsi="GHEA Grapalat" w:cs="GHEA Grapalat"/>
          <w:sz w:val="22"/>
          <w:szCs w:val="22"/>
        </w:rPr>
        <w:t xml:space="preserve"> կատարվել են հողի հարթեցման, հենասյուների տեղափոխման, ճանապարհի բարեկարգման</w:t>
      </w:r>
      <w:r w:rsidR="00125AD2" w:rsidRPr="00C921DE">
        <w:rPr>
          <w:rFonts w:ascii="GHEA Grapalat" w:hAnsi="GHEA Grapalat" w:cs="GHEA Grapalat"/>
          <w:sz w:val="22"/>
          <w:szCs w:val="22"/>
        </w:rPr>
        <w:t>, ինչպես նաև 0.8 կմ նոր ճանապարհի կառուցման</w:t>
      </w:r>
      <w:r w:rsidR="00B83662" w:rsidRPr="00C921DE">
        <w:rPr>
          <w:rFonts w:ascii="GHEA Grapalat" w:hAnsi="GHEA Grapalat" w:cs="GHEA Grapalat"/>
          <w:sz w:val="22"/>
          <w:szCs w:val="22"/>
        </w:rPr>
        <w:t xml:space="preserve"> աշխատանքներ:</w:t>
      </w:r>
      <w:r w:rsidR="00125AD2" w:rsidRPr="00C921DE">
        <w:rPr>
          <w:rFonts w:ascii="GHEA Grapalat" w:hAnsi="GHEA Grapalat" w:cs="GHEA Grapalat"/>
          <w:sz w:val="22"/>
          <w:szCs w:val="22"/>
        </w:rPr>
        <w:t xml:space="preserve"> Ծախսերը կատարվել են 91.3%-ով՝ կազմելով 1.3 մլրդ դրամ</w:t>
      </w:r>
      <w:r w:rsidR="006804AD" w:rsidRPr="00C921DE">
        <w:rPr>
          <w:rFonts w:ascii="GHEA Grapalat" w:hAnsi="GHEA Grapalat" w:cs="GHEA Grapalat"/>
          <w:sz w:val="22"/>
          <w:szCs w:val="22"/>
        </w:rPr>
        <w:t>՝ պայմանավորված աշխատանքի ընթացքում ի հայտ եկած չնախատեսված աշխատանքներով, որի պատճառով</w:t>
      </w:r>
      <w:r w:rsidR="00997998" w:rsidRPr="00C921DE">
        <w:rPr>
          <w:rFonts w:ascii="GHEA Grapalat" w:hAnsi="GHEA Grapalat" w:cs="GHEA Grapalat"/>
          <w:sz w:val="22"/>
          <w:szCs w:val="22"/>
        </w:rPr>
        <w:t xml:space="preserve"> </w:t>
      </w:r>
      <w:r w:rsidR="006804AD" w:rsidRPr="00C921DE">
        <w:rPr>
          <w:rFonts w:ascii="GHEA Grapalat" w:hAnsi="GHEA Grapalat" w:cs="GHEA Grapalat"/>
          <w:sz w:val="22"/>
          <w:szCs w:val="22"/>
        </w:rPr>
        <w:t>շինարարության տեմպերը դանդաղել են:</w:t>
      </w:r>
    </w:p>
    <w:p w14:paraId="65660929"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Նախորդ տարվա համեմատ Քաղաքային զարգացման ծրագրի շրջանակներում կատարված ծախսերն աճել են 16.4%-ով կամ 2.4 մլրդ դրամով՝ հիմնականում պայմանավորված </w:t>
      </w:r>
      <w:r w:rsidR="00DE392E" w:rsidRPr="00C921DE">
        <w:rPr>
          <w:rFonts w:ascii="GHEA Grapalat" w:hAnsi="GHEA Grapalat" w:cs="GHEA Grapalat"/>
          <w:sz w:val="22"/>
          <w:szCs w:val="22"/>
        </w:rPr>
        <w:t xml:space="preserve">Երևան քաղաքի բազմաբնակարան շենքերի վերելակների արդիականացման </w:t>
      </w:r>
      <w:r w:rsidR="00DE392E" w:rsidRPr="00C921DE">
        <w:rPr>
          <w:rFonts w:ascii="GHEA Grapalat" w:hAnsi="GHEA Grapalat" w:cs="GHEA Grapalat"/>
          <w:sz w:val="22"/>
          <w:szCs w:val="22"/>
          <w:lang w:val="en-US"/>
        </w:rPr>
        <w:t xml:space="preserve">և Երևան քաղաքում ճանապարհների կառուցման և միջին նորոգման </w:t>
      </w:r>
      <w:r w:rsidRPr="00C921DE">
        <w:rPr>
          <w:rFonts w:ascii="GHEA Grapalat" w:hAnsi="GHEA Grapalat" w:cs="GHEA Grapalat"/>
          <w:sz w:val="22"/>
          <w:szCs w:val="22"/>
        </w:rPr>
        <w:t>միջոցառ</w:t>
      </w:r>
      <w:r w:rsidR="00E53F63" w:rsidRPr="00C921DE">
        <w:rPr>
          <w:rFonts w:ascii="GHEA Grapalat" w:hAnsi="GHEA Grapalat" w:cs="GHEA Grapalat"/>
          <w:sz w:val="22"/>
          <w:szCs w:val="22"/>
          <w:lang w:val="en-US"/>
        </w:rPr>
        <w:t>ումների</w:t>
      </w:r>
      <w:r w:rsidRPr="00C921DE">
        <w:rPr>
          <w:rFonts w:ascii="GHEA Grapalat" w:hAnsi="GHEA Grapalat" w:cs="GHEA Grapalat"/>
          <w:sz w:val="22"/>
          <w:szCs w:val="22"/>
        </w:rPr>
        <w:t xml:space="preserve"> շրջանակներում կատարված ծախսերով, որոնք 2022 թվականին նախատեսված չէին։</w:t>
      </w:r>
    </w:p>
    <w:p w14:paraId="167A606F"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Դպրոցների սեյսմիկ անվտանգության մակարդակի բարձրացման</w:t>
      </w:r>
      <w:r w:rsidRPr="00C921DE">
        <w:rPr>
          <w:rFonts w:ascii="GHEA Grapalat" w:hAnsi="GHEA Grapalat" w:cs="GHEA Grapalat"/>
          <w:sz w:val="22"/>
          <w:szCs w:val="22"/>
        </w:rPr>
        <w:t xml:space="preserve"> ծրագիրն իրականացվել է ԱԶԲ-ի աջակցությամբ: Ծրագիրն օժանդակում է Աղետների ռիսկի նվազեցման ազգային ծրագրի իրականացմանը՝ բարելավելով դպրոցների սեյսմիկ անվտանգությունը, որպեսզի նվազեցվեն դպրոցներում հնարավոր զոհերը և վնասները երկրաշարժերի ժամանակ։ Ծրագրի շրջանակներում շինարարական աշխատանքներ են</w:t>
      </w:r>
      <w:r w:rsidR="00F16D26" w:rsidRPr="00C921DE">
        <w:rPr>
          <w:rFonts w:ascii="GHEA Grapalat" w:hAnsi="GHEA Grapalat" w:cs="GHEA Grapalat"/>
          <w:sz w:val="22"/>
          <w:szCs w:val="22"/>
          <w:lang w:val="en-US"/>
        </w:rPr>
        <w:t xml:space="preserve"> սկսվել</w:t>
      </w:r>
      <w:r w:rsidRPr="00C921DE">
        <w:rPr>
          <w:rFonts w:ascii="GHEA Grapalat" w:hAnsi="GHEA Grapalat" w:cs="GHEA Grapalat"/>
          <w:sz w:val="22"/>
          <w:szCs w:val="22"/>
        </w:rPr>
        <w:t xml:space="preserve"> ՀՀ տարբեր մարզերի 6 դպրոցներում և շարունակվել են աշխատանքներն անավարտ 20 դպրոցներում: Ծրագրի շրջանակներում օգտագործվել է 12.2 մլրդ դրամ կամ նախատեսված միջոցների 99.8%-ը: 2022 թվականի համեմատ Դպրոցների սեյսմիկ անվտանգության մակարդակի բարձրացման ծրագրի շրջանակներում կատարված ծախսերն աճել են 49.5%-ով կամ 4 մլրդ դրամով:</w:t>
      </w:r>
    </w:p>
    <w:p w14:paraId="6FD2436F" w14:textId="77777777" w:rsidR="00E97617"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Տարածքային զարգացման</w:t>
      </w:r>
      <w:r w:rsidRPr="00C921DE">
        <w:rPr>
          <w:rFonts w:ascii="GHEA Grapalat" w:hAnsi="GHEA Grapalat" w:cs="GHEA Grapalat"/>
          <w:sz w:val="22"/>
          <w:szCs w:val="22"/>
        </w:rPr>
        <w:t xml:space="preserve"> ծրագրի շրջանակներում օգտագործվել է նախատեսված միջոցների 99.3%-ը՝ 114.5 մլրդ դրամ: </w:t>
      </w:r>
    </w:p>
    <w:p w14:paraId="7071F39B" w14:textId="45FE59EF" w:rsidR="00E97617" w:rsidRPr="00C921DE" w:rsidRDefault="00E97617" w:rsidP="00E97617">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Տարածքային զարգացման ծրագրին հատկացված միջոցների զգալի մասը՝ շուրջ 69.8 մլրդ դրամը կազմել է տեղական ինքնակառավարման մարմիններին ֆինանսական աջակցությունը՝ պետական բյուջեից համայնքների բյուջեներին ֆինանսական համահարթեցման սկզբունքով տրվող դոտացիաները, որոնք նախատեսված ծավալով տրամադրվել են հանրապետության 71 համայնքներին:</w:t>
      </w:r>
    </w:p>
    <w:p w14:paraId="5E9B6BEE" w14:textId="77777777" w:rsidR="006A2C9F" w:rsidRPr="00C921DE" w:rsidRDefault="00E97617"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Ե</w:t>
      </w:r>
      <w:r w:rsidR="006A2C9F" w:rsidRPr="00C921DE">
        <w:rPr>
          <w:rFonts w:ascii="GHEA Grapalat" w:hAnsi="GHEA Grapalat" w:cs="GHEA Grapalat"/>
          <w:sz w:val="22"/>
          <w:szCs w:val="22"/>
        </w:rPr>
        <w:t>նթակառուցվածքնե</w:t>
      </w:r>
      <w:r w:rsidRPr="00C921DE">
        <w:rPr>
          <w:rFonts w:ascii="GHEA Grapalat" w:hAnsi="GHEA Grapalat" w:cs="GHEA Grapalat"/>
          <w:sz w:val="22"/>
          <w:szCs w:val="22"/>
        </w:rPr>
        <w:t>րի զարգացման նպատակով ՀՀ մարզեր</w:t>
      </w:r>
      <w:r w:rsidRPr="00C921DE">
        <w:rPr>
          <w:rFonts w:ascii="GHEA Grapalat" w:hAnsi="GHEA Grapalat" w:cs="GHEA Grapalat"/>
          <w:sz w:val="22"/>
          <w:szCs w:val="22"/>
          <w:lang w:val="en-US"/>
        </w:rPr>
        <w:t>ում ի</w:t>
      </w:r>
      <w:r w:rsidR="00CA5BC2" w:rsidRPr="00C921DE">
        <w:rPr>
          <w:rFonts w:ascii="GHEA Grapalat" w:hAnsi="GHEA Grapalat" w:cs="GHEA Grapalat"/>
          <w:sz w:val="22"/>
          <w:szCs w:val="22"/>
          <w:lang w:val="en-US"/>
        </w:rPr>
        <w:t>ր</w:t>
      </w:r>
      <w:r w:rsidRPr="00C921DE">
        <w:rPr>
          <w:rFonts w:ascii="GHEA Grapalat" w:hAnsi="GHEA Grapalat" w:cs="GHEA Grapalat"/>
          <w:sz w:val="22"/>
          <w:szCs w:val="22"/>
          <w:lang w:val="en-US"/>
        </w:rPr>
        <w:t>ականացվող ս</w:t>
      </w:r>
      <w:r w:rsidR="006A2C9F" w:rsidRPr="00C921DE">
        <w:rPr>
          <w:rFonts w:ascii="GHEA Grapalat" w:hAnsi="GHEA Grapalat" w:cs="GHEA Grapalat"/>
          <w:sz w:val="22"/>
          <w:szCs w:val="22"/>
        </w:rPr>
        <w:t>ուբվենցիոն ծրագրեր</w:t>
      </w:r>
      <w:r w:rsidR="00CA5BC2" w:rsidRPr="00C921DE">
        <w:rPr>
          <w:rFonts w:ascii="GHEA Grapalat" w:hAnsi="GHEA Grapalat" w:cs="GHEA Grapalat"/>
          <w:sz w:val="22"/>
          <w:szCs w:val="22"/>
          <w:lang w:val="en-US"/>
        </w:rPr>
        <w:t>ի շրջանակներում</w:t>
      </w:r>
      <w:r w:rsidR="006A2C9F" w:rsidRPr="00C921DE">
        <w:rPr>
          <w:rFonts w:ascii="GHEA Grapalat" w:hAnsi="GHEA Grapalat" w:cs="GHEA Grapalat"/>
          <w:sz w:val="22"/>
          <w:szCs w:val="22"/>
        </w:rPr>
        <w:t xml:space="preserve"> </w:t>
      </w:r>
      <w:r w:rsidR="00CA5BC2" w:rsidRPr="00C921DE">
        <w:rPr>
          <w:rFonts w:ascii="GHEA Grapalat" w:hAnsi="GHEA Grapalat" w:cs="GHEA Grapalat"/>
          <w:sz w:val="22"/>
          <w:szCs w:val="22"/>
          <w:lang w:val="en-US"/>
        </w:rPr>
        <w:t xml:space="preserve">իրականացվում են </w:t>
      </w:r>
      <w:r w:rsidR="006A2C9F" w:rsidRPr="00C921DE">
        <w:rPr>
          <w:rFonts w:ascii="GHEA Grapalat" w:hAnsi="GHEA Grapalat" w:cs="GHEA Grapalat"/>
          <w:sz w:val="22"/>
          <w:szCs w:val="22"/>
        </w:rPr>
        <w:t>ՀՀ համայնքների տնտեսական և սոցիալական ենթակառուցվածքների զարգացմանն ուղղված կապիտալ ներդրումներ։ Նշված միջոցառման շրջանակներում օգտագործվել է նախատեսված միջոցների 98.2%-ը կամ 30.3 մլրդ դրամ` պայմանավորված նրանով, որ որոշ սուբվենցիոն ծրագրեր թերի են կատարվել, և համայնքների կողմից համապատասխան ավարտական փաստաթղթեր չեն ներկայացվել: 2023 թվականին նախատեսված 361 ծրագրից սուբվենցիաներ են տրամադրվել 359 ծրագրի համար:</w:t>
      </w:r>
    </w:p>
    <w:p w14:paraId="0B887596" w14:textId="77777777" w:rsidR="00CA5BC2" w:rsidRPr="00C921DE" w:rsidRDefault="00CA5BC2" w:rsidP="006A7D2E">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Եվս 5</w:t>
      </w:r>
      <w:r w:rsidR="003E266A" w:rsidRPr="00C921DE">
        <w:rPr>
          <w:rFonts w:ascii="GHEA Grapalat" w:hAnsi="GHEA Grapalat" w:cs="GHEA Grapalat"/>
          <w:sz w:val="22"/>
          <w:szCs w:val="22"/>
          <w:lang w:val="en-US"/>
        </w:rPr>
        <w:t>.4</w:t>
      </w:r>
      <w:r w:rsidRPr="00C921DE">
        <w:rPr>
          <w:rFonts w:ascii="GHEA Grapalat" w:hAnsi="GHEA Grapalat" w:cs="GHEA Grapalat"/>
          <w:sz w:val="22"/>
          <w:szCs w:val="22"/>
          <w:lang w:val="en-US"/>
        </w:rPr>
        <w:t xml:space="preserve"> մլրդ դրամ սուբվենցիա է հատկացվել Երևան քաղ</w:t>
      </w:r>
      <w:r w:rsidR="003E266A" w:rsidRPr="00C921DE">
        <w:rPr>
          <w:rFonts w:ascii="GHEA Grapalat" w:hAnsi="GHEA Grapalat" w:cs="GHEA Grapalat"/>
          <w:sz w:val="22"/>
          <w:szCs w:val="22"/>
          <w:lang w:val="en-US"/>
        </w:rPr>
        <w:t>աքին, որն օգտագործվել է ամբողջ ծավալով</w:t>
      </w:r>
      <w:r w:rsidR="006A7D2E" w:rsidRPr="00C921DE">
        <w:rPr>
          <w:rFonts w:ascii="GHEA Grapalat" w:hAnsi="GHEA Grapalat" w:cs="GHEA Grapalat"/>
          <w:sz w:val="22"/>
          <w:szCs w:val="22"/>
          <w:lang w:val="en-US"/>
        </w:rPr>
        <w:t>: Միջոցառման շրջանակներում</w:t>
      </w:r>
      <w:r w:rsidR="005D2FEE" w:rsidRPr="00C921DE">
        <w:rPr>
          <w:rFonts w:ascii="GHEA Grapalat" w:hAnsi="GHEA Grapalat" w:cs="GHEA Grapalat"/>
          <w:sz w:val="22"/>
          <w:szCs w:val="22"/>
          <w:lang w:val="en-US"/>
        </w:rPr>
        <w:t xml:space="preserve"> </w:t>
      </w:r>
      <w:r w:rsidR="005D2FEE" w:rsidRPr="00C921DE">
        <w:rPr>
          <w:rFonts w:ascii="GHEA Grapalat" w:hAnsi="GHEA Grapalat" w:cs="GHEA Grapalat"/>
          <w:sz w:val="22"/>
          <w:szCs w:val="22"/>
        </w:rPr>
        <w:t>իրականացվել են</w:t>
      </w:r>
      <w:r w:rsidR="006A7D2E" w:rsidRPr="00C921DE">
        <w:rPr>
          <w:rFonts w:ascii="GHEA Grapalat" w:hAnsi="GHEA Grapalat" w:cs="GHEA Grapalat"/>
          <w:sz w:val="22"/>
          <w:szCs w:val="22"/>
        </w:rPr>
        <w:t xml:space="preserve"> </w:t>
      </w:r>
      <w:r w:rsidR="005D2FEE" w:rsidRPr="00C921DE">
        <w:rPr>
          <w:rFonts w:ascii="GHEA Grapalat" w:hAnsi="GHEA Grapalat" w:cs="GHEA Grapalat"/>
          <w:sz w:val="22"/>
          <w:szCs w:val="22"/>
        </w:rPr>
        <w:t>վերգետնյա էլեկտրատրանսպորտով ուղևորափոխադրումների ծառայությունների մատուցում (</w:t>
      </w:r>
      <w:r w:rsidR="00CC7B35" w:rsidRPr="00C921DE">
        <w:rPr>
          <w:rFonts w:ascii="GHEA Grapalat" w:hAnsi="GHEA Grapalat" w:cs="GHEA Grapalat"/>
          <w:sz w:val="22"/>
          <w:szCs w:val="22"/>
        </w:rPr>
        <w:t>օգտվողների թիվը կազմել է 5,253,618 մարդ, իսկ արտոնություններից օգտվողների թիվը՝ 1,050,723 մարդ),</w:t>
      </w:r>
      <w:r w:rsidR="005D2FEE" w:rsidRPr="00C921DE">
        <w:rPr>
          <w:rFonts w:ascii="GHEA Grapalat" w:hAnsi="GHEA Grapalat" w:cs="GHEA Grapalat"/>
          <w:sz w:val="22"/>
          <w:szCs w:val="22"/>
        </w:rPr>
        <w:t xml:space="preserve"> </w:t>
      </w:r>
      <w:r w:rsidR="00C15815" w:rsidRPr="00C921DE">
        <w:rPr>
          <w:rFonts w:ascii="GHEA Grapalat" w:hAnsi="GHEA Grapalat" w:cs="GHEA Grapalat"/>
          <w:sz w:val="22"/>
          <w:szCs w:val="22"/>
        </w:rPr>
        <w:t>Երևան քաղաքի փողոցների ճանապարհաշինարարական աշխատանքներ (293 փողոցների վերանորոգում՝ 495863 քմ, 439 հատ բակային տարածքների</w:t>
      </w:r>
      <w:r w:rsidR="00997998" w:rsidRPr="00C921DE">
        <w:rPr>
          <w:rFonts w:ascii="GHEA Grapalat" w:hAnsi="GHEA Grapalat" w:cs="GHEA Grapalat"/>
          <w:sz w:val="22"/>
          <w:szCs w:val="22"/>
        </w:rPr>
        <w:t xml:space="preserve"> </w:t>
      </w:r>
      <w:r w:rsidR="00C15815" w:rsidRPr="00C921DE">
        <w:rPr>
          <w:rFonts w:ascii="GHEA Grapalat" w:hAnsi="GHEA Grapalat" w:cs="GHEA Grapalat"/>
          <w:sz w:val="22"/>
          <w:szCs w:val="22"/>
          <w:lang w:val="en-US"/>
        </w:rPr>
        <w:t xml:space="preserve">և </w:t>
      </w:r>
      <w:r w:rsidR="00C15815" w:rsidRPr="00C921DE">
        <w:rPr>
          <w:rFonts w:ascii="GHEA Grapalat" w:hAnsi="GHEA Grapalat" w:cs="GHEA Grapalat"/>
          <w:sz w:val="22"/>
          <w:szCs w:val="22"/>
        </w:rPr>
        <w:t>մայթերի վերանորոգում)</w:t>
      </w:r>
      <w:r w:rsidR="00284F5B" w:rsidRPr="00C921DE">
        <w:rPr>
          <w:rFonts w:ascii="GHEA Grapalat" w:hAnsi="GHEA Grapalat" w:cs="GHEA Grapalat"/>
          <w:sz w:val="22"/>
          <w:szCs w:val="22"/>
        </w:rPr>
        <w:t xml:space="preserve"> և Երևան քաղաքի փողոցների արտաքին լուսավորության ծառայություններ</w:t>
      </w:r>
      <w:r w:rsidR="00284F5B" w:rsidRPr="00C921DE">
        <w:rPr>
          <w:rFonts w:ascii="GHEA Grapalat" w:hAnsi="GHEA Grapalat" w:cs="GHEA Grapalat"/>
          <w:sz w:val="22"/>
          <w:szCs w:val="22"/>
          <w:lang w:val="en-US"/>
        </w:rPr>
        <w:t xml:space="preserve"> (</w:t>
      </w:r>
      <w:r w:rsidR="006A7D2E" w:rsidRPr="00C921DE">
        <w:rPr>
          <w:rFonts w:ascii="GHEA Grapalat" w:hAnsi="GHEA Grapalat" w:cs="GHEA Grapalat"/>
          <w:sz w:val="22"/>
          <w:szCs w:val="22"/>
        </w:rPr>
        <w:t>արտաքին լուսավորությամբ են ապահովվել 1792.7 կմ երկարությամբ փողոցներ</w:t>
      </w:r>
      <w:r w:rsidR="005D2FEE" w:rsidRPr="00C921DE">
        <w:rPr>
          <w:rFonts w:ascii="GHEA Grapalat" w:hAnsi="GHEA Grapalat" w:cs="GHEA Grapalat"/>
          <w:sz w:val="22"/>
          <w:szCs w:val="22"/>
        </w:rPr>
        <w:t xml:space="preserve"> և</w:t>
      </w:r>
      <w:r w:rsidR="006A7D2E" w:rsidRPr="00C921DE">
        <w:rPr>
          <w:rFonts w:ascii="GHEA Grapalat" w:hAnsi="GHEA Grapalat" w:cs="GHEA Grapalat"/>
          <w:sz w:val="22"/>
          <w:szCs w:val="22"/>
        </w:rPr>
        <w:t xml:space="preserve"> 28</w:t>
      </w:r>
      <w:r w:rsidR="006A7D2E" w:rsidRPr="00C921DE">
        <w:rPr>
          <w:rFonts w:ascii="GHEA Grapalat" w:hAnsi="GHEA Grapalat" w:cs="GHEA Grapalat"/>
          <w:sz w:val="22"/>
          <w:szCs w:val="22"/>
          <w:lang w:val="en-US"/>
        </w:rPr>
        <w:t>16 օբյեկտներ</w:t>
      </w:r>
      <w:r w:rsidR="00284F5B" w:rsidRPr="00C921DE">
        <w:rPr>
          <w:rFonts w:ascii="GHEA Grapalat" w:hAnsi="GHEA Grapalat" w:cs="GHEA Grapalat"/>
          <w:sz w:val="22"/>
          <w:szCs w:val="22"/>
          <w:lang w:val="en-US"/>
        </w:rPr>
        <w:t>):</w:t>
      </w:r>
      <w:r w:rsidR="005D2FEE" w:rsidRPr="00C921DE">
        <w:rPr>
          <w:rFonts w:ascii="GHEA Grapalat" w:hAnsi="GHEA Grapalat" w:cs="GHEA Grapalat"/>
          <w:sz w:val="22"/>
          <w:szCs w:val="22"/>
        </w:rPr>
        <w:t xml:space="preserve"> </w:t>
      </w:r>
    </w:p>
    <w:p w14:paraId="0D13B318"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Նախորդ տարվա համեմատ Տարածքային զարգացման ծրագրի շրջանակներում կատարված ծախսերն աճել են 32.5%-ով կամ 28.1 մլրդ դրամով: Աճը մասամբ պայմանավորված է ենթակառուցվածքների զարգացման նպատակով ՀՀ մարզերին տրամադրված սուբվենցիաների 64.3% (11.8 մլրդ դրամ) աճով՝ պայմանավորված ՀՀ վարչապետի որոշմամբ ստեղծված սուբվենցիաներ ստանալու համար ծրագրային հայտերի գնահատման միջգերատեսչական հանձնաժողովի կողմից հավանության արժանացած՝ ՀՀ համայնքների կողմից ներկայացված սուբվենցիոն հայտերի քանակով։ Նախորդ տարվա համեմատ աճը պայմանավորված է նաև քաղաքային ենթակառուցվածքների պահպանման նպատակով Երևան քաղաքին 5.4 մլրդ դրամ սուբվենցիաների և Լեռնային Ղարաբաղից Հայաստանի Հանրապետություն բռնի տեղահանված անձանց համար առաջնային անհրաժեշտության ապրանքների և ծառայությունների</w:t>
      </w:r>
      <w:r w:rsidR="000F21E9" w:rsidRPr="00C921DE">
        <w:rPr>
          <w:rFonts w:ascii="GHEA Grapalat" w:hAnsi="GHEA Grapalat" w:cs="GHEA Grapalat"/>
          <w:sz w:val="22"/>
          <w:szCs w:val="22"/>
          <w:lang w:val="en-US"/>
        </w:rPr>
        <w:t xml:space="preserve"> տրամադրման</w:t>
      </w:r>
      <w:r w:rsidRPr="00C921DE">
        <w:rPr>
          <w:rFonts w:ascii="GHEA Grapalat" w:hAnsi="GHEA Grapalat" w:cs="GHEA Grapalat"/>
          <w:sz w:val="22"/>
          <w:szCs w:val="22"/>
        </w:rPr>
        <w:t xml:space="preserve"> համար 4.2 մլրդ դրամի </w:t>
      </w:r>
      <w:r w:rsidR="000F21E9" w:rsidRPr="00C921DE">
        <w:rPr>
          <w:rFonts w:ascii="GHEA Grapalat" w:hAnsi="GHEA Grapalat" w:cs="GHEA Grapalat"/>
          <w:sz w:val="22"/>
          <w:szCs w:val="22"/>
          <w:lang w:val="en-US"/>
        </w:rPr>
        <w:t>հատկաց</w:t>
      </w:r>
      <w:r w:rsidRPr="00C921DE">
        <w:rPr>
          <w:rFonts w:ascii="GHEA Grapalat" w:hAnsi="GHEA Grapalat" w:cs="GHEA Grapalat"/>
          <w:sz w:val="22"/>
          <w:szCs w:val="22"/>
        </w:rPr>
        <w:t xml:space="preserve">մամբ, որոնք 2022 թվականի բյուջեով նախատեսված չեն եղել: </w:t>
      </w:r>
    </w:p>
    <w:p w14:paraId="47CA4AA7"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 xml:space="preserve">2023 թվականին ՀՀ ՏԿԵՆ պատասխանատվությամբ իրականացվող այլ ծրագրերից է </w:t>
      </w:r>
      <w:r w:rsidRPr="00C921DE">
        <w:rPr>
          <w:rFonts w:ascii="GHEA Grapalat" w:hAnsi="GHEA Grapalat" w:cs="GHEA Grapalat"/>
          <w:i/>
          <w:sz w:val="22"/>
          <w:szCs w:val="22"/>
        </w:rPr>
        <w:t>Սոցիալական ներդրումների և տեղական զարգացման</w:t>
      </w:r>
      <w:r w:rsidRPr="00C921DE">
        <w:rPr>
          <w:rFonts w:ascii="GHEA Grapalat" w:hAnsi="GHEA Grapalat" w:cs="GHEA Grapalat"/>
          <w:sz w:val="22"/>
          <w:szCs w:val="22"/>
        </w:rPr>
        <w:t xml:space="preserve"> ծրագիրը, որն իրականացվում է արտաքին աջակցությամբ: </w:t>
      </w:r>
      <w:r w:rsidR="00EB5ADD" w:rsidRPr="00C921DE">
        <w:rPr>
          <w:rFonts w:ascii="GHEA Grapalat" w:hAnsi="GHEA Grapalat" w:cs="GHEA Grapalat"/>
          <w:sz w:val="22"/>
          <w:szCs w:val="22"/>
          <w:lang w:val="en-US"/>
        </w:rPr>
        <w:t xml:space="preserve">Ծրագրի շրջանակներում </w:t>
      </w:r>
      <w:r w:rsidRPr="00C921DE">
        <w:rPr>
          <w:rFonts w:ascii="GHEA Grapalat" w:hAnsi="GHEA Grapalat" w:cs="GHEA Grapalat"/>
          <w:sz w:val="22"/>
          <w:szCs w:val="22"/>
        </w:rPr>
        <w:t xml:space="preserve">կատարված ծախսերը կազմել են շուրջ 4.3 մլրդ դրամ՝ ապահովելով 98% կատարողական: Շեղումը հիմնականում պայմանավորված է որոշ ենթածրագրերով նախագծման և հեղինակային հսկողության հանձնման-ընդունման ակտերը տարեվերջին ներկայացնելու </w:t>
      </w:r>
      <w:r w:rsidR="00EB5ADD" w:rsidRPr="00C921DE">
        <w:rPr>
          <w:rFonts w:ascii="GHEA Grapalat" w:hAnsi="GHEA Grapalat" w:cs="GHEA Grapalat"/>
          <w:sz w:val="22"/>
          <w:szCs w:val="22"/>
          <w:lang w:val="en-US"/>
        </w:rPr>
        <w:t xml:space="preserve">հանգամանքով </w:t>
      </w:r>
      <w:r w:rsidRPr="00C921DE">
        <w:rPr>
          <w:rFonts w:ascii="GHEA Grapalat" w:hAnsi="GHEA Grapalat" w:cs="GHEA Grapalat"/>
          <w:sz w:val="22"/>
          <w:szCs w:val="22"/>
        </w:rPr>
        <w:t xml:space="preserve">և արտարժույթի կանխատեսված </w:t>
      </w:r>
      <w:r w:rsidR="00EB5ADD" w:rsidRPr="00C921DE">
        <w:rPr>
          <w:rFonts w:ascii="GHEA Grapalat" w:hAnsi="GHEA Grapalat" w:cs="GHEA Grapalat"/>
          <w:sz w:val="22"/>
          <w:szCs w:val="22"/>
          <w:lang w:val="en-US"/>
        </w:rPr>
        <w:t>ու</w:t>
      </w:r>
      <w:r w:rsidRPr="00C921DE">
        <w:rPr>
          <w:rFonts w:ascii="GHEA Grapalat" w:hAnsi="GHEA Grapalat" w:cs="GHEA Grapalat"/>
          <w:sz w:val="22"/>
          <w:szCs w:val="22"/>
        </w:rPr>
        <w:t xml:space="preserve"> փաստացի փոխարժեքների տարբերությամբ:</w:t>
      </w:r>
    </w:p>
    <w:p w14:paraId="369EC594" w14:textId="0B5E41B4"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Սոցիալական ներդրումների և տեղական զարգացման ծրագրում ընդգրկված՝ Համաշխարհային բանկի աջակցությամբ իրականացվող Տարածքային զարգացման հիմնադրամի ծրագրի նպատակը համայնքային և միջհամայնքային ենթակառուցվածքների որակի և հասանելիության բարելավումն է, ինչպես նաև դպրոցների, մանկապարտեզների և համայնքային կենտրոնների ապահովումը կահույքով: Ծրագրի շրջանակներում 2023 թվականին 24 խոշորացված համայնքների տրվել է 43 միավոր կոմունալ և գյուղատնտեսական տեխնիկա, տեղադրվել են 15 արևային կայաններ, ինչպես նաև 6 համայնքներում պատշաճ աղբահանության </w:t>
      </w:r>
      <w:r w:rsidR="00EB5ADD" w:rsidRPr="00C921DE">
        <w:rPr>
          <w:rFonts w:ascii="GHEA Grapalat" w:hAnsi="GHEA Grapalat" w:cs="GHEA Grapalat"/>
          <w:sz w:val="22"/>
          <w:szCs w:val="22"/>
        </w:rPr>
        <w:t xml:space="preserve">կազմակերպման նպատակով </w:t>
      </w:r>
      <w:r w:rsidR="003224D9" w:rsidRPr="00C921DE">
        <w:rPr>
          <w:rFonts w:ascii="GHEA Grapalat" w:hAnsi="GHEA Grapalat" w:cs="GHEA Grapalat"/>
          <w:sz w:val="22"/>
          <w:szCs w:val="22"/>
        </w:rPr>
        <w:t>տեղադր</w:t>
      </w:r>
      <w:r w:rsidR="00EB5ADD" w:rsidRPr="00C921DE">
        <w:rPr>
          <w:rFonts w:ascii="GHEA Grapalat" w:hAnsi="GHEA Grapalat" w:cs="GHEA Grapalat"/>
          <w:sz w:val="22"/>
          <w:szCs w:val="22"/>
        </w:rPr>
        <w:t>վել է 1</w:t>
      </w:r>
      <w:r w:rsidRPr="00C921DE">
        <w:rPr>
          <w:rFonts w:ascii="GHEA Grapalat" w:hAnsi="GHEA Grapalat" w:cs="GHEA Grapalat"/>
          <w:sz w:val="22"/>
          <w:szCs w:val="22"/>
        </w:rPr>
        <w:t>800 աղբարկղ: Բացի այդ, կառուցվել է ոռոգման 2 ջրագիծ Շիրակի մարզի Ամասիա և Սարապատ համայնքներում, նաև</w:t>
      </w:r>
      <w:r w:rsidR="003224D9" w:rsidRPr="00C921DE">
        <w:rPr>
          <w:rFonts w:ascii="GHEA Grapalat" w:hAnsi="GHEA Grapalat" w:cs="GHEA Grapalat"/>
          <w:sz w:val="22"/>
          <w:szCs w:val="22"/>
        </w:rPr>
        <w:t>՝</w:t>
      </w:r>
      <w:r w:rsidRPr="00C921DE">
        <w:rPr>
          <w:rFonts w:ascii="GHEA Grapalat" w:hAnsi="GHEA Grapalat" w:cs="GHEA Grapalat"/>
          <w:sz w:val="22"/>
          <w:szCs w:val="22"/>
        </w:rPr>
        <w:t xml:space="preserve"> 2 կայանատեղ</w:t>
      </w:r>
      <w:r w:rsidR="00EB5ADD" w:rsidRPr="00C921DE">
        <w:rPr>
          <w:rFonts w:ascii="GHEA Grapalat" w:hAnsi="GHEA Grapalat" w:cs="GHEA Grapalat"/>
          <w:sz w:val="22"/>
          <w:szCs w:val="22"/>
        </w:rPr>
        <w:t>ի</w:t>
      </w:r>
      <w:r w:rsidRPr="00C921DE">
        <w:rPr>
          <w:rFonts w:ascii="GHEA Grapalat" w:hAnsi="GHEA Grapalat" w:cs="GHEA Grapalat"/>
          <w:sz w:val="22"/>
          <w:szCs w:val="22"/>
        </w:rPr>
        <w:t xml:space="preserve"> հիմնադրամի նվիրաբերած տեխնիկայի կայանման համար՝ Կոտայքի մարզի Ակունք և Գեղարքունիքի մարզի Գեղ</w:t>
      </w:r>
      <w:r w:rsidR="0012380B" w:rsidRPr="00C921DE">
        <w:rPr>
          <w:rFonts w:ascii="GHEA Grapalat" w:hAnsi="GHEA Grapalat" w:cs="GHEA Grapalat"/>
          <w:sz w:val="22"/>
          <w:szCs w:val="22"/>
          <w:lang w:val="en-US"/>
        </w:rPr>
        <w:t>ա</w:t>
      </w:r>
      <w:r w:rsidRPr="00C921DE">
        <w:rPr>
          <w:rFonts w:ascii="GHEA Grapalat" w:hAnsi="GHEA Grapalat" w:cs="GHEA Grapalat"/>
          <w:sz w:val="22"/>
          <w:szCs w:val="22"/>
        </w:rPr>
        <w:t>մասար համայնքներում։</w:t>
      </w:r>
      <w:r w:rsidR="001E57DB" w:rsidRPr="00C921DE">
        <w:rPr>
          <w:rFonts w:ascii="GHEA Grapalat" w:hAnsi="GHEA Grapalat" w:cs="GHEA Grapalat"/>
          <w:sz w:val="22"/>
          <w:szCs w:val="22"/>
        </w:rPr>
        <w:t xml:space="preserve"> </w:t>
      </w:r>
      <w:r w:rsidRPr="00C921DE">
        <w:rPr>
          <w:rFonts w:ascii="GHEA Grapalat" w:hAnsi="GHEA Grapalat" w:cs="GHEA Grapalat"/>
          <w:sz w:val="22"/>
          <w:szCs w:val="22"/>
        </w:rPr>
        <w:t>Ծրագրի շրջանակներում օգտագործվել է 3.7 մլրդ դրամ կամ նախատեսված միջոցների 97.9%-ը: Շեղումը պայմանավորված է այն հանգամանքով, որ որոշ ենթածրագրերով նախագծման և հեղինակային հսկողության հանձնման-ընդունման ակտերը ներկայացվել են 2023 թվականի դեկտեմբերին, իսկ վճարումները կատարվել են 2024 թվականի հունվարին:</w:t>
      </w:r>
    </w:p>
    <w:p w14:paraId="040EA19A" w14:textId="453359F5" w:rsidR="006A2C9F" w:rsidRPr="00C921DE" w:rsidRDefault="006A2C9F" w:rsidP="00633F15">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ԱՄՆ ՄԶԳ աջակցությամբ իրականացվող Տեղական ինքնակառավարման բարեփոխումների դրամաշնորհային ծրագրի նպատակն է տեղական ինքնակառավարման և ապակենտրոնացման բարեփոխումներին ուղղված միջոցառումների իրականացումը խոշորացված համայնքներում, համայնքների ավագանիների և համայնքապետարանների կարևորագույն համակարգերի և կարողությունների զարգացումը։ Բացի այդ, բարեփոխումները </w:t>
      </w:r>
      <w:r w:rsidR="00EF6622" w:rsidRPr="00C921DE">
        <w:rPr>
          <w:rFonts w:ascii="GHEA Grapalat" w:hAnsi="GHEA Grapalat" w:cs="GHEA Grapalat"/>
          <w:sz w:val="22"/>
          <w:szCs w:val="22"/>
          <w:lang w:val="en-US"/>
        </w:rPr>
        <w:t>Կ</w:t>
      </w:r>
      <w:r w:rsidRPr="00C921DE">
        <w:rPr>
          <w:rFonts w:ascii="GHEA Grapalat" w:hAnsi="GHEA Grapalat" w:cs="GHEA Grapalat"/>
          <w:sz w:val="22"/>
          <w:szCs w:val="22"/>
        </w:rPr>
        <w:t>առավարության համար կապահովեն տարածքային կառավարման շարունակական բարեփոխումների և ապակենտրոնացմանն ուղղված աշխատանք</w:t>
      </w:r>
      <w:r w:rsidR="008332D3" w:rsidRPr="00C921DE">
        <w:rPr>
          <w:rFonts w:ascii="GHEA Grapalat" w:hAnsi="GHEA Grapalat" w:cs="GHEA Grapalat"/>
          <w:sz w:val="22"/>
          <w:szCs w:val="22"/>
          <w:lang w:val="en-US"/>
        </w:rPr>
        <w:t>ն</w:t>
      </w:r>
      <w:r w:rsidRPr="00C921DE">
        <w:rPr>
          <w:rFonts w:ascii="GHEA Grapalat" w:hAnsi="GHEA Grapalat" w:cs="GHEA Grapalat"/>
          <w:sz w:val="22"/>
          <w:szCs w:val="22"/>
        </w:rPr>
        <w:t>երի համար անհր</w:t>
      </w:r>
      <w:r w:rsidR="007E1005" w:rsidRPr="00C921DE">
        <w:rPr>
          <w:rFonts w:ascii="GHEA Grapalat" w:hAnsi="GHEA Grapalat" w:cs="GHEA Grapalat"/>
          <w:sz w:val="22"/>
          <w:szCs w:val="22"/>
        </w:rPr>
        <w:t>աժեշտ տեխնիկական աջակցություն։</w:t>
      </w:r>
      <w:r w:rsidR="00633F15" w:rsidRPr="00C921DE">
        <w:rPr>
          <w:rFonts w:ascii="GHEA Grapalat" w:hAnsi="GHEA Grapalat" w:cs="GHEA Grapalat"/>
          <w:sz w:val="22"/>
          <w:szCs w:val="22"/>
          <w:lang w:val="en-US"/>
        </w:rPr>
        <w:t xml:space="preserve"> </w:t>
      </w:r>
      <w:r w:rsidR="007E1005" w:rsidRPr="00C921DE">
        <w:rPr>
          <w:rFonts w:ascii="GHEA Grapalat" w:hAnsi="GHEA Grapalat" w:cs="GHEA Grapalat"/>
          <w:sz w:val="22"/>
          <w:szCs w:val="22"/>
        </w:rPr>
        <w:t xml:space="preserve">Ծրագրի շրջանակներում Արցախից </w:t>
      </w:r>
      <w:r w:rsidR="00633F15" w:rsidRPr="00C921DE">
        <w:rPr>
          <w:rFonts w:ascii="GHEA Grapalat" w:hAnsi="GHEA Grapalat" w:cs="GHEA Grapalat"/>
          <w:sz w:val="22"/>
          <w:szCs w:val="22"/>
          <w:lang w:val="en-US"/>
        </w:rPr>
        <w:t xml:space="preserve">բռնի </w:t>
      </w:r>
      <w:r w:rsidR="007E1005" w:rsidRPr="00C921DE">
        <w:rPr>
          <w:rFonts w:ascii="GHEA Grapalat" w:hAnsi="GHEA Grapalat" w:cs="GHEA Grapalat"/>
          <w:sz w:val="22"/>
          <w:szCs w:val="22"/>
        </w:rPr>
        <w:t>տեղահանված ավելի քան 1200 ընտանիքների ցուցաբերվել է 164 մլն դրամի համարժեք հրատապ օգնություն</w:t>
      </w:r>
      <w:r w:rsidR="00633F15"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գնվել </w:t>
      </w:r>
      <w:r w:rsidR="000A4E46" w:rsidRPr="00C921DE">
        <w:rPr>
          <w:rFonts w:ascii="GHEA Grapalat" w:hAnsi="GHEA Grapalat" w:cs="GHEA Grapalat"/>
          <w:sz w:val="22"/>
          <w:szCs w:val="22"/>
          <w:lang w:val="en-US"/>
        </w:rPr>
        <w:t>են</w:t>
      </w:r>
      <w:r w:rsidRPr="00C921DE">
        <w:rPr>
          <w:rFonts w:ascii="GHEA Grapalat" w:hAnsi="GHEA Grapalat" w:cs="GHEA Grapalat"/>
          <w:sz w:val="22"/>
          <w:szCs w:val="22"/>
        </w:rPr>
        <w:t xml:space="preserve"> կենցաղային տեխնիկա, կահույք և առաջին անհրաժեշտության պարագաներ</w:t>
      </w:r>
      <w:r w:rsidR="00633F15" w:rsidRPr="00C921DE">
        <w:rPr>
          <w:rFonts w:ascii="GHEA Grapalat" w:hAnsi="GHEA Grapalat" w:cs="GHEA Grapalat"/>
          <w:sz w:val="22"/>
          <w:szCs w:val="22"/>
          <w:lang w:val="en-US"/>
        </w:rPr>
        <w:t xml:space="preserve">: Ծրագրի շրջանակներում ընդհանուր առմամբ </w:t>
      </w:r>
      <w:r w:rsidR="007E1005" w:rsidRPr="00C921DE">
        <w:rPr>
          <w:rFonts w:ascii="GHEA Grapalat" w:hAnsi="GHEA Grapalat" w:cs="GHEA Grapalat"/>
          <w:sz w:val="22"/>
          <w:szCs w:val="22"/>
        </w:rPr>
        <w:t>օգտ</w:t>
      </w:r>
      <w:r w:rsidRPr="00C921DE">
        <w:rPr>
          <w:rFonts w:ascii="GHEA Grapalat" w:hAnsi="GHEA Grapalat" w:cs="GHEA Grapalat"/>
          <w:sz w:val="22"/>
          <w:szCs w:val="22"/>
        </w:rPr>
        <w:t xml:space="preserve">ագործվել է </w:t>
      </w:r>
      <w:r w:rsidRPr="00C921DE">
        <w:rPr>
          <w:rFonts w:ascii="GHEA Grapalat" w:hAnsi="GHEA Grapalat" w:cs="GHEA Grapalat"/>
          <w:sz w:val="22"/>
          <w:szCs w:val="22"/>
        </w:rPr>
        <w:lastRenderedPageBreak/>
        <w:t xml:space="preserve">229.9 մլն դրամ կամ </w:t>
      </w:r>
      <w:r w:rsidR="008332D3" w:rsidRPr="00C921DE">
        <w:rPr>
          <w:rFonts w:ascii="GHEA Grapalat" w:hAnsi="GHEA Grapalat" w:cs="GHEA Grapalat"/>
          <w:sz w:val="22"/>
          <w:szCs w:val="22"/>
          <w:lang w:val="en-US"/>
        </w:rPr>
        <w:t>նախատեսված միջոցներ</w:t>
      </w:r>
      <w:r w:rsidRPr="00C921DE">
        <w:rPr>
          <w:rFonts w:ascii="GHEA Grapalat" w:hAnsi="GHEA Grapalat" w:cs="GHEA Grapalat"/>
          <w:sz w:val="22"/>
          <w:szCs w:val="22"/>
        </w:rPr>
        <w:t>ի 97.8%-ը՝ պայման</w:t>
      </w:r>
      <w:r w:rsidR="006A492F" w:rsidRPr="00C921DE">
        <w:rPr>
          <w:rFonts w:ascii="GHEA Grapalat" w:hAnsi="GHEA Grapalat" w:cs="GHEA Grapalat"/>
          <w:sz w:val="22"/>
          <w:szCs w:val="22"/>
          <w:lang w:val="en-US"/>
        </w:rPr>
        <w:t>ա</w:t>
      </w:r>
      <w:r w:rsidRPr="00C921DE">
        <w:rPr>
          <w:rFonts w:ascii="GHEA Grapalat" w:hAnsi="GHEA Grapalat" w:cs="GHEA Grapalat"/>
          <w:sz w:val="22"/>
          <w:szCs w:val="22"/>
        </w:rPr>
        <w:t xml:space="preserve">վորված </w:t>
      </w:r>
      <w:r w:rsidRPr="00C921DE">
        <w:rPr>
          <w:rFonts w:ascii="GHEA Grapalat" w:hAnsi="GHEA Grapalat" w:cs="GHEA Grapalat"/>
          <w:sz w:val="22"/>
          <w:szCs w:val="22"/>
          <w:lang w:val="fr-FR"/>
        </w:rPr>
        <w:t>պահպանման ծախսերի խնայողություններով</w:t>
      </w:r>
      <w:r w:rsidRPr="00C921DE">
        <w:rPr>
          <w:rFonts w:ascii="GHEA Grapalat" w:hAnsi="GHEA Grapalat" w:cs="GHEA Grapalat"/>
          <w:sz w:val="22"/>
          <w:szCs w:val="22"/>
        </w:rPr>
        <w:t>:</w:t>
      </w:r>
    </w:p>
    <w:p w14:paraId="405A3476"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2022 թվականի համեմատ Սոցիալական ներդրումների և տեղական զարգացման ծրագրի ծախսերն աճել են 35%-ով կամ 1.1 մլրդ դրամով</w:t>
      </w:r>
      <w:r w:rsidR="00665F61" w:rsidRPr="00C921DE">
        <w:rPr>
          <w:rFonts w:ascii="GHEA Grapalat" w:hAnsi="GHEA Grapalat" w:cs="GHEA Grapalat"/>
          <w:sz w:val="22"/>
          <w:szCs w:val="22"/>
          <w:lang w:val="en-US"/>
        </w:rPr>
        <w:t xml:space="preserve">՝ հիմնականում պայմանավորված ՀԲ աջակցությամբ իրականացվող Սոցիալական ներդրումների և տեղական զարգացման ծրագրի </w:t>
      </w:r>
      <w:r w:rsidR="003A6875" w:rsidRPr="00C921DE">
        <w:rPr>
          <w:rFonts w:ascii="GHEA Grapalat" w:hAnsi="GHEA Grapalat" w:cs="GHEA Grapalat"/>
          <w:sz w:val="22"/>
          <w:szCs w:val="22"/>
          <w:lang w:val="en-US"/>
        </w:rPr>
        <w:t>շրջանակներում կատարված ծախսերի աճով</w:t>
      </w:r>
      <w:r w:rsidRPr="00C921DE">
        <w:rPr>
          <w:rFonts w:ascii="GHEA Grapalat" w:hAnsi="GHEA Grapalat" w:cs="GHEA Grapalat"/>
          <w:sz w:val="22"/>
          <w:szCs w:val="22"/>
          <w:lang w:val="en-US"/>
        </w:rPr>
        <w:t>:</w:t>
      </w:r>
    </w:p>
    <w:p w14:paraId="5F9B7073"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i/>
          <w:iCs/>
          <w:sz w:val="22"/>
          <w:szCs w:val="22"/>
          <w:lang w:val="fr-FR"/>
        </w:rPr>
      </w:pPr>
      <w:r w:rsidRPr="00C921DE">
        <w:rPr>
          <w:rFonts w:ascii="GHEA Grapalat" w:hAnsi="GHEA Grapalat" w:cs="GHEA Grapalat"/>
          <w:i/>
          <w:sz w:val="22"/>
          <w:szCs w:val="22"/>
        </w:rPr>
        <w:t>Որոտան-Արփա-Սևան թունելի ջրային համակարգի կառավարման</w:t>
      </w:r>
      <w:r w:rsidRPr="00C921DE">
        <w:rPr>
          <w:rFonts w:ascii="GHEA Grapalat" w:hAnsi="GHEA Grapalat" w:cs="GHEA Grapalat"/>
          <w:sz w:val="22"/>
          <w:szCs w:val="22"/>
        </w:rPr>
        <w:t xml:space="preserve"> ծրագրին 2023 թվականի պետական բյուջեից </w:t>
      </w:r>
      <w:r w:rsidR="006A492F" w:rsidRPr="00C921DE">
        <w:rPr>
          <w:rFonts w:ascii="GHEA Grapalat" w:hAnsi="GHEA Grapalat" w:cs="GHEA Grapalat"/>
          <w:sz w:val="22"/>
          <w:szCs w:val="22"/>
          <w:lang w:val="en-US"/>
        </w:rPr>
        <w:t>հատկացված</w:t>
      </w:r>
      <w:r w:rsidRPr="00C921DE">
        <w:rPr>
          <w:rFonts w:ascii="GHEA Grapalat" w:hAnsi="GHEA Grapalat" w:cs="GHEA Grapalat"/>
          <w:sz w:val="22"/>
          <w:szCs w:val="22"/>
        </w:rPr>
        <w:t xml:space="preserve"> 1.1 մլրդ դրամն օգտագործվել է ամբողջ ծավալով: Նշված գումարի հիմնական մասը՝ 798.3 մլն դրամն ուղղվել է Արփա-Սևան ջրային համակարգի տեխնիկական վիճակի բարելավման միջոցառմանը</w:t>
      </w:r>
      <w:r w:rsidR="006A492F" w:rsidRPr="00C921DE">
        <w:rPr>
          <w:rFonts w:ascii="GHEA Grapalat" w:hAnsi="GHEA Grapalat" w:cs="GHEA Grapalat"/>
          <w:sz w:val="22"/>
          <w:szCs w:val="22"/>
        </w:rPr>
        <w:t xml:space="preserve">, որի </w:t>
      </w:r>
      <w:r w:rsidRPr="00C921DE">
        <w:rPr>
          <w:rFonts w:ascii="GHEA Grapalat" w:hAnsi="GHEA Grapalat" w:cs="GHEA Grapalat"/>
          <w:sz w:val="22"/>
          <w:szCs w:val="22"/>
        </w:rPr>
        <w:t xml:space="preserve">շրջանակներում 2023 թվականին </w:t>
      </w:r>
      <w:r w:rsidRPr="00C921DE">
        <w:rPr>
          <w:rFonts w:ascii="GHEA Grapalat" w:hAnsi="GHEA Grapalat" w:cs="GHEA Grapalat"/>
          <w:iCs/>
          <w:sz w:val="22"/>
          <w:szCs w:val="22"/>
          <w:lang w:val="fr-FR"/>
        </w:rPr>
        <w:t>իրականացվ</w:t>
      </w:r>
      <w:r w:rsidR="006A492F" w:rsidRPr="00C921DE">
        <w:rPr>
          <w:rFonts w:ascii="GHEA Grapalat" w:hAnsi="GHEA Grapalat" w:cs="GHEA Grapalat"/>
          <w:iCs/>
          <w:sz w:val="22"/>
          <w:szCs w:val="22"/>
          <w:lang w:val="fr-FR"/>
        </w:rPr>
        <w:t>ել է Արփա-Սևան թունելի 106 գծմ ե</w:t>
      </w:r>
      <w:r w:rsidRPr="00C921DE">
        <w:rPr>
          <w:rFonts w:ascii="GHEA Grapalat" w:hAnsi="GHEA Grapalat" w:cs="GHEA Grapalat"/>
          <w:iCs/>
          <w:sz w:val="22"/>
          <w:szCs w:val="22"/>
          <w:lang w:val="fr-FR"/>
        </w:rPr>
        <w:t>րեսարկների վերակառուցում</w:t>
      </w:r>
      <w:r w:rsidRPr="00C921DE">
        <w:rPr>
          <w:rFonts w:ascii="GHEA Grapalat" w:hAnsi="GHEA Grapalat" w:cs="GHEA Grapalat"/>
          <w:sz w:val="22"/>
          <w:szCs w:val="22"/>
        </w:rPr>
        <w:t>։</w:t>
      </w:r>
    </w:p>
    <w:p w14:paraId="6935E6F5"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Նախորդ տարվա համեմատ Որոտան-Արփա-Սևան թունելի ջրային համակարգի կառավարման ծրագրի ծախսերը նվազել են </w:t>
      </w:r>
      <w:r w:rsidR="001079E0" w:rsidRPr="00C921DE">
        <w:rPr>
          <w:rFonts w:ascii="GHEA Grapalat" w:hAnsi="GHEA Grapalat" w:cs="GHEA Grapalat"/>
          <w:sz w:val="22"/>
          <w:szCs w:val="22"/>
          <w:lang w:val="en-US"/>
        </w:rPr>
        <w:t>23%-ով (</w:t>
      </w:r>
      <w:r w:rsidRPr="00C921DE">
        <w:rPr>
          <w:rFonts w:ascii="GHEA Grapalat" w:hAnsi="GHEA Grapalat" w:cs="GHEA Grapalat"/>
          <w:sz w:val="22"/>
          <w:szCs w:val="22"/>
        </w:rPr>
        <w:t>320 մլն դրամով</w:t>
      </w:r>
      <w:r w:rsidR="001079E0"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հիմնականում </w:t>
      </w:r>
      <w:r w:rsidR="006A492F" w:rsidRPr="00C921DE">
        <w:rPr>
          <w:rFonts w:ascii="GHEA Grapalat" w:hAnsi="GHEA Grapalat" w:cs="GHEA Grapalat"/>
          <w:sz w:val="22"/>
          <w:szCs w:val="22"/>
        </w:rPr>
        <w:t xml:space="preserve">պայմանավորված </w:t>
      </w:r>
      <w:r w:rsidRPr="00C921DE">
        <w:rPr>
          <w:rFonts w:ascii="GHEA Grapalat" w:hAnsi="GHEA Grapalat" w:cs="GHEA Grapalat"/>
          <w:sz w:val="22"/>
          <w:szCs w:val="22"/>
        </w:rPr>
        <w:t xml:space="preserve">Արփա-Սևան ջրային համակարգի տեխնիկական վիճակի բարելավման միջոցառման շրջանակներում իրականացված </w:t>
      </w:r>
      <w:r w:rsidRPr="00C921DE">
        <w:rPr>
          <w:rFonts w:ascii="GHEA Grapalat" w:hAnsi="GHEA Grapalat" w:cs="GHEA Grapalat"/>
          <w:sz w:val="22"/>
          <w:szCs w:val="22"/>
          <w:lang w:val="fr-FR"/>
        </w:rPr>
        <w:t>շինարարական աշխատանքների ծավալներ</w:t>
      </w:r>
      <w:r w:rsidR="006A492F" w:rsidRPr="00C921DE">
        <w:rPr>
          <w:rFonts w:ascii="GHEA Grapalat" w:hAnsi="GHEA Grapalat" w:cs="GHEA Grapalat"/>
          <w:sz w:val="22"/>
          <w:szCs w:val="22"/>
        </w:rPr>
        <w:t>ով</w:t>
      </w:r>
      <w:r w:rsidRPr="00C921DE">
        <w:rPr>
          <w:rFonts w:ascii="GHEA Grapalat" w:hAnsi="GHEA Grapalat" w:cs="GHEA Grapalat"/>
          <w:sz w:val="22"/>
          <w:szCs w:val="22"/>
        </w:rPr>
        <w:t>։</w:t>
      </w:r>
    </w:p>
    <w:p w14:paraId="53EA3685" w14:textId="77777777" w:rsidR="00E02D84" w:rsidRPr="00C921DE" w:rsidRDefault="006A2C9F" w:rsidP="002D67DF">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Հաշվետու տարում </w:t>
      </w:r>
      <w:r w:rsidRPr="00C921DE">
        <w:rPr>
          <w:rFonts w:ascii="GHEA Grapalat" w:hAnsi="GHEA Grapalat" w:cs="GHEA Grapalat"/>
          <w:i/>
          <w:sz w:val="22"/>
          <w:szCs w:val="22"/>
        </w:rPr>
        <w:t>Կոշտ թափոնների կառավարման</w:t>
      </w:r>
      <w:r w:rsidRPr="00C921DE">
        <w:rPr>
          <w:rFonts w:ascii="GHEA Grapalat" w:hAnsi="GHEA Grapalat" w:cs="GHEA Grapalat"/>
          <w:sz w:val="22"/>
          <w:szCs w:val="22"/>
        </w:rPr>
        <w:t xml:space="preserve"> ծրագրի շրջանակներում օգտագործվել է 546.1 մլն դրամ կամ նախատեսված միջոցների 82.1%-ը: </w:t>
      </w:r>
      <w:r w:rsidR="002D67DF" w:rsidRPr="00C921DE">
        <w:rPr>
          <w:rFonts w:ascii="GHEA Grapalat" w:hAnsi="GHEA Grapalat" w:cs="GHEA Grapalat"/>
          <w:sz w:val="22"/>
          <w:szCs w:val="22"/>
          <w:lang w:val="en-US"/>
        </w:rPr>
        <w:t xml:space="preserve">Ծրագրի շրջանակներում իրականացվել է </w:t>
      </w:r>
      <w:r w:rsidR="002D67DF" w:rsidRPr="00C921DE">
        <w:rPr>
          <w:rFonts w:ascii="GHEA Grapalat" w:hAnsi="GHEA Grapalat" w:cs="GHEA Grapalat"/>
          <w:sz w:val="22"/>
          <w:szCs w:val="22"/>
        </w:rPr>
        <w:t>Վերակառուցման և զարգացման եվրոպական բանկի աջակցությամբ իրականացվող Կոտայքի և Գեղարքունիքի մարզի կոշտ թափոնների կառավարման դրամաշնորհային ծրագիրը</w:t>
      </w:r>
      <w:r w:rsidR="002D67DF" w:rsidRPr="00C921DE">
        <w:rPr>
          <w:rFonts w:ascii="GHEA Grapalat" w:hAnsi="GHEA Grapalat" w:cs="GHEA Grapalat"/>
          <w:sz w:val="22"/>
          <w:szCs w:val="22"/>
          <w:lang w:val="en-US"/>
        </w:rPr>
        <w:t xml:space="preserve">: Ծրագրված ցուցանիշից շեղումը </w:t>
      </w:r>
      <w:r w:rsidR="0093148A" w:rsidRPr="00C921DE">
        <w:rPr>
          <w:rFonts w:ascii="GHEA Grapalat" w:hAnsi="GHEA Grapalat" w:cs="GHEA Grapalat"/>
          <w:sz w:val="22"/>
          <w:szCs w:val="22"/>
          <w:lang w:val="en-US"/>
        </w:rPr>
        <w:t xml:space="preserve">հիմնականում պայմանավորված է ներկայացված </w:t>
      </w:r>
      <w:r w:rsidR="00AA159B" w:rsidRPr="00C921DE">
        <w:rPr>
          <w:rFonts w:ascii="GHEA Grapalat" w:hAnsi="GHEA Grapalat" w:cs="GHEA Grapalat"/>
          <w:sz w:val="22"/>
          <w:szCs w:val="22"/>
          <w:lang w:val="en-US"/>
        </w:rPr>
        <w:t xml:space="preserve">կատարողականների՝ ՎԶԵԲ-ի կողմից ուշ հաստատմամբ: </w:t>
      </w:r>
      <w:r w:rsidR="00AA159B" w:rsidRPr="00C921DE">
        <w:rPr>
          <w:rFonts w:ascii="GHEA Grapalat" w:hAnsi="GHEA Grapalat" w:cs="GHEA Grapalat"/>
          <w:sz w:val="22"/>
          <w:szCs w:val="22"/>
        </w:rPr>
        <w:t xml:space="preserve">Ծրագրի շրջանակներում ավարտվել են Հրազդան համայնքում նոր սանիտարական աղբավայրի ու ենթակառուցվածքների և Մարտունի ու Ակունք բնակավայրերում աղբի փոխաբեռնման կայանների կառուցապատման աշխատանքները։ </w:t>
      </w:r>
      <w:r w:rsidR="00AA159B" w:rsidRPr="00C921DE">
        <w:rPr>
          <w:rFonts w:ascii="GHEA Grapalat" w:hAnsi="GHEA Grapalat" w:cs="GHEA Grapalat"/>
          <w:sz w:val="22"/>
          <w:szCs w:val="22"/>
          <w:lang w:val="en-US"/>
        </w:rPr>
        <w:t>Հարկ է նշել</w:t>
      </w:r>
      <w:r w:rsidR="00AA159B" w:rsidRPr="00C921DE">
        <w:rPr>
          <w:rFonts w:ascii="GHEA Grapalat" w:hAnsi="GHEA Grapalat" w:cs="GHEA Grapalat"/>
          <w:sz w:val="22"/>
          <w:szCs w:val="22"/>
        </w:rPr>
        <w:t>, որ տվյալ աշխատանքներն իրականացնելու համար տրամադր</w:t>
      </w:r>
      <w:r w:rsidR="0098255D" w:rsidRPr="00C921DE">
        <w:rPr>
          <w:rFonts w:ascii="GHEA Grapalat" w:hAnsi="GHEA Grapalat" w:cs="GHEA Grapalat"/>
          <w:sz w:val="22"/>
          <w:szCs w:val="22"/>
        </w:rPr>
        <w:t>վել է նաև 472 մլն դրամ ենթավարկ</w:t>
      </w:r>
      <w:r w:rsidR="0098255D" w:rsidRPr="00C921DE">
        <w:rPr>
          <w:rFonts w:ascii="GHEA Grapalat" w:hAnsi="GHEA Grapalat" w:cs="GHEA Grapalat"/>
          <w:sz w:val="22"/>
          <w:szCs w:val="22"/>
          <w:lang w:val="en-US"/>
        </w:rPr>
        <w:t>:</w:t>
      </w:r>
    </w:p>
    <w:p w14:paraId="5B3A6D46" w14:textId="77777777" w:rsidR="0098255D" w:rsidRPr="00C921DE" w:rsidRDefault="0098255D" w:rsidP="006A2C9F">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Ն</w:t>
      </w:r>
      <w:r w:rsidR="006A2C9F" w:rsidRPr="00C921DE">
        <w:rPr>
          <w:rFonts w:ascii="GHEA Grapalat" w:hAnsi="GHEA Grapalat" w:cs="GHEA Grapalat"/>
          <w:sz w:val="22"/>
          <w:szCs w:val="22"/>
        </w:rPr>
        <w:t>ախորդ տարվա համեմատ</w:t>
      </w:r>
      <w:r w:rsidRPr="00C921DE">
        <w:rPr>
          <w:rFonts w:ascii="GHEA Grapalat" w:hAnsi="GHEA Grapalat" w:cs="GHEA Grapalat"/>
          <w:sz w:val="22"/>
          <w:szCs w:val="22"/>
          <w:lang w:val="en-US"/>
        </w:rPr>
        <w:t xml:space="preserve"> Կոշտ թափոնների կառավարման ծրագրի ծախսերն աճել են 3</w:t>
      </w:r>
      <w:r w:rsidR="006A2C9F" w:rsidRPr="00C921DE">
        <w:rPr>
          <w:rFonts w:ascii="GHEA Grapalat" w:hAnsi="GHEA Grapalat" w:cs="GHEA Grapalat"/>
          <w:sz w:val="22"/>
          <w:szCs w:val="22"/>
        </w:rPr>
        <w:t>5.1%</w:t>
      </w:r>
      <w:r w:rsidRPr="00C921DE">
        <w:rPr>
          <w:rFonts w:ascii="GHEA Grapalat" w:hAnsi="GHEA Grapalat" w:cs="GHEA Grapalat"/>
          <w:sz w:val="22"/>
          <w:szCs w:val="22"/>
          <w:lang w:val="en-US"/>
        </w:rPr>
        <w:noBreakHyphen/>
        <w:t>ով</w:t>
      </w:r>
      <w:r w:rsidR="006A2C9F" w:rsidRPr="00C921DE">
        <w:rPr>
          <w:rFonts w:ascii="GHEA Grapalat" w:hAnsi="GHEA Grapalat" w:cs="GHEA Grapalat"/>
          <w:sz w:val="22"/>
          <w:szCs w:val="22"/>
        </w:rPr>
        <w:t xml:space="preserve"> (142 մլն դրամ</w:t>
      </w:r>
      <w:r w:rsidRPr="00C921DE">
        <w:rPr>
          <w:rFonts w:ascii="GHEA Grapalat" w:hAnsi="GHEA Grapalat" w:cs="GHEA Grapalat"/>
          <w:sz w:val="22"/>
          <w:szCs w:val="22"/>
          <w:lang w:val="en-US"/>
        </w:rPr>
        <w:t>ով</w:t>
      </w:r>
      <w:r w:rsidR="006A2C9F" w:rsidRPr="00C921DE">
        <w:rPr>
          <w:rFonts w:ascii="GHEA Grapalat" w:hAnsi="GHEA Grapalat" w:cs="GHEA Grapalat"/>
          <w:sz w:val="22"/>
          <w:szCs w:val="22"/>
        </w:rPr>
        <w:t>)</w:t>
      </w:r>
      <w:r w:rsidRPr="00C921DE">
        <w:rPr>
          <w:rFonts w:ascii="GHEA Grapalat" w:hAnsi="GHEA Grapalat" w:cs="GHEA Grapalat"/>
          <w:sz w:val="22"/>
          <w:szCs w:val="22"/>
          <w:lang w:val="en-US"/>
        </w:rPr>
        <w:t>:</w:t>
      </w:r>
    </w:p>
    <w:p w14:paraId="6B7EF1EA" w14:textId="3414CA72"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Երկաթուղային ցանցի զարգացման</w:t>
      </w:r>
      <w:r w:rsidRPr="00C921DE">
        <w:rPr>
          <w:rFonts w:ascii="GHEA Grapalat" w:hAnsi="GHEA Grapalat" w:cs="GHEA Grapalat"/>
          <w:sz w:val="22"/>
          <w:szCs w:val="22"/>
        </w:rPr>
        <w:t xml:space="preserve"> ծրագրի շրջանակներում 2023 թվականին նախատեսված միջոցներն օգտագործվել են ողջ ծավալով՝ կազմելով 427.5 մլն դրամ: Միջոցներն ուղղվել </w:t>
      </w:r>
      <w:r w:rsidR="00FF6B4D" w:rsidRPr="00C921DE">
        <w:rPr>
          <w:rFonts w:ascii="GHEA Grapalat" w:hAnsi="GHEA Grapalat" w:cs="GHEA Grapalat"/>
          <w:sz w:val="22"/>
          <w:szCs w:val="22"/>
          <w:lang w:val="en-US"/>
        </w:rPr>
        <w:t>են</w:t>
      </w:r>
      <w:r w:rsidRPr="00C921DE">
        <w:rPr>
          <w:rFonts w:ascii="GHEA Grapalat" w:hAnsi="GHEA Grapalat" w:cs="GHEA Grapalat"/>
          <w:sz w:val="22"/>
          <w:szCs w:val="22"/>
        </w:rPr>
        <w:t xml:space="preserve"> ուղևորափոխադրումներից ստացված վնասի դիմաց «Հարավկովկասյան երկաթուղի» ՓԲԸ-ին սուբսիդիայի տրամադրմանը: 2023 թվականի ընթացքում իրականացվել է 14.3 կմ երկաթուղային գծի հիմնանոր</w:t>
      </w:r>
      <w:r w:rsidR="0012380B" w:rsidRPr="00C921DE">
        <w:rPr>
          <w:rFonts w:ascii="GHEA Grapalat" w:hAnsi="GHEA Grapalat" w:cs="GHEA Grapalat"/>
          <w:sz w:val="22"/>
          <w:szCs w:val="22"/>
          <w:lang w:val="en-US"/>
        </w:rPr>
        <w:t>ո</w:t>
      </w:r>
      <w:r w:rsidRPr="00C921DE">
        <w:rPr>
          <w:rFonts w:ascii="GHEA Grapalat" w:hAnsi="GHEA Grapalat" w:cs="GHEA Grapalat"/>
          <w:sz w:val="22"/>
          <w:szCs w:val="22"/>
        </w:rPr>
        <w:t>գում, 24455 կոճերի փոխարինում, որից 4340</w:t>
      </w:r>
      <w:r w:rsidR="009B02FC" w:rsidRPr="00C921DE">
        <w:rPr>
          <w:rFonts w:ascii="GHEA Grapalat" w:hAnsi="GHEA Grapalat" w:cs="GHEA Grapalat"/>
          <w:sz w:val="22"/>
          <w:szCs w:val="22"/>
          <w:lang w:val="en-US"/>
        </w:rPr>
        <w:t>՝</w:t>
      </w:r>
      <w:r w:rsidRPr="00C921DE">
        <w:rPr>
          <w:rFonts w:ascii="GHEA Grapalat" w:hAnsi="GHEA Grapalat" w:cs="GHEA Grapalat"/>
          <w:sz w:val="22"/>
          <w:szCs w:val="22"/>
        </w:rPr>
        <w:t xml:space="preserve"> փայտյա, 20115</w:t>
      </w:r>
      <w:r w:rsidR="009B02FC"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երկաթբետոնյա։ Նորոգվել է 6 միավոր գծային տեխնիկա, 2 գծանց, 3 միավոր լոկոմոտիվ՝ 23 միավոր գծային սարքավորումների </w:t>
      </w:r>
      <w:r w:rsidRPr="00C921DE">
        <w:rPr>
          <w:rFonts w:ascii="GHEA Grapalat" w:hAnsi="GHEA Grapalat" w:cs="GHEA Grapalat"/>
          <w:sz w:val="22"/>
          <w:szCs w:val="22"/>
        </w:rPr>
        <w:lastRenderedPageBreak/>
        <w:t>փոխարինմամբ, հիմնանորոգվել է 2 կմ հպակային ցանց և փոխարինվել է 2 կմ կոնտակտային հաղորդալար։ 2023 թվականին երկաթուղային տրանսպորտով տեղափոխված բեռների քանակը կազմել է 2.1 մլն տոննա։ Բեռնաշրջ</w:t>
      </w:r>
      <w:r w:rsidR="009B02FC" w:rsidRPr="00C921DE">
        <w:rPr>
          <w:rFonts w:ascii="GHEA Grapalat" w:hAnsi="GHEA Grapalat" w:cs="GHEA Grapalat"/>
          <w:sz w:val="22"/>
          <w:szCs w:val="22"/>
          <w:lang w:val="en-US"/>
        </w:rPr>
        <w:t>ա</w:t>
      </w:r>
      <w:r w:rsidRPr="00C921DE">
        <w:rPr>
          <w:rFonts w:ascii="GHEA Grapalat" w:hAnsi="GHEA Grapalat" w:cs="GHEA Grapalat"/>
          <w:sz w:val="22"/>
          <w:szCs w:val="22"/>
        </w:rPr>
        <w:t>նառությունը 2023 թվականին կազմել է 528.8 մլն տ/կմ: Հաշվետու ժամանակահատվածում փոխադրվել է 538.3 հազար ուղևոր, որը նախորդ տարվա ցուցանիշը գերազանցել է շուրջ 7.5%-ով, ընդ որում, ուղևորաշրջանառությունն ավելացել է շուրջ 10.4%-ով: Գրանցվել է կոնտեյներներով առաքվող բեռների գծով 28</w:t>
      </w:r>
      <w:r w:rsidR="00B60AEA" w:rsidRPr="00C921DE">
        <w:rPr>
          <w:rFonts w:ascii="GHEA Grapalat" w:hAnsi="GHEA Grapalat" w:cs="GHEA Grapalat"/>
          <w:sz w:val="22"/>
          <w:szCs w:val="22"/>
          <w:lang w:val="en-US"/>
        </w:rPr>
        <w:t>.</w:t>
      </w:r>
      <w:r w:rsidRPr="00C921DE">
        <w:rPr>
          <w:rFonts w:ascii="GHEA Grapalat" w:hAnsi="GHEA Grapalat" w:cs="GHEA Grapalat"/>
          <w:sz w:val="22"/>
          <w:szCs w:val="22"/>
        </w:rPr>
        <w:t>8% աճ:</w:t>
      </w:r>
    </w:p>
    <w:p w14:paraId="001395E6"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Նախորդ տարվա համեմատ Երկաթուղային ցանցի զարգացման ծրագրի ծախսերն աճել են 12.1%-ով</w:t>
      </w:r>
      <w:r w:rsidR="00356D68" w:rsidRPr="00C921DE">
        <w:rPr>
          <w:rFonts w:ascii="GHEA Grapalat" w:hAnsi="GHEA Grapalat" w:cs="GHEA Grapalat"/>
          <w:sz w:val="22"/>
          <w:szCs w:val="22"/>
          <w:lang w:val="en-US"/>
        </w:rPr>
        <w:t xml:space="preserve"> (46.1 մլն դրամով)</w:t>
      </w:r>
      <w:r w:rsidRPr="00C921DE">
        <w:rPr>
          <w:rFonts w:ascii="GHEA Grapalat" w:hAnsi="GHEA Grapalat" w:cs="GHEA Grapalat"/>
          <w:sz w:val="22"/>
          <w:szCs w:val="22"/>
        </w:rPr>
        <w:t>:</w:t>
      </w:r>
    </w:p>
    <w:p w14:paraId="0A6A3DA6" w14:textId="77777777" w:rsidR="006A2C9F" w:rsidRPr="00C921DE" w:rsidRDefault="006A2C9F"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Էներգաարդյունավետության</w:t>
      </w:r>
      <w:r w:rsidRPr="00C921DE">
        <w:rPr>
          <w:rFonts w:ascii="GHEA Grapalat" w:hAnsi="GHEA Grapalat" w:cs="GHEA Grapalat"/>
          <w:sz w:val="22"/>
          <w:szCs w:val="22"/>
        </w:rPr>
        <w:t xml:space="preserve"> ծրագրի շրջանակներում հաշվետու տարվա ընթացքում օգտագործվել է 978.1 մլն դրամ՝ </w:t>
      </w:r>
      <w:r w:rsidR="001340D9" w:rsidRPr="00C921DE">
        <w:rPr>
          <w:rFonts w:ascii="GHEA Grapalat" w:hAnsi="GHEA Grapalat" w:cs="GHEA Grapalat"/>
          <w:sz w:val="22"/>
          <w:szCs w:val="22"/>
          <w:lang w:val="en-US"/>
        </w:rPr>
        <w:t>99.6%-ով</w:t>
      </w:r>
      <w:r w:rsidRPr="00C921DE">
        <w:rPr>
          <w:rFonts w:ascii="GHEA Grapalat" w:hAnsi="GHEA Grapalat" w:cs="GHEA Grapalat"/>
          <w:sz w:val="22"/>
          <w:szCs w:val="22"/>
        </w:rPr>
        <w:t xml:space="preserve"> ապահովելով </w:t>
      </w:r>
      <w:r w:rsidR="001340D9" w:rsidRPr="00C921DE">
        <w:rPr>
          <w:rFonts w:ascii="GHEA Grapalat" w:hAnsi="GHEA Grapalat" w:cs="GHEA Grapalat"/>
          <w:sz w:val="22"/>
          <w:szCs w:val="22"/>
          <w:lang w:val="en-US"/>
        </w:rPr>
        <w:t>ծրագրային ցուցանիշը</w:t>
      </w:r>
      <w:r w:rsidRPr="00C921DE">
        <w:rPr>
          <w:rFonts w:ascii="GHEA Grapalat" w:hAnsi="GHEA Grapalat" w:cs="GHEA Grapalat"/>
          <w:sz w:val="22"/>
          <w:szCs w:val="22"/>
        </w:rPr>
        <w:t>: Օգտագործված միջոցների հիմնական մասը</w:t>
      </w:r>
      <w:r w:rsidR="001340D9" w:rsidRPr="00C921DE">
        <w:rPr>
          <w:rFonts w:ascii="GHEA Grapalat" w:hAnsi="GHEA Grapalat" w:cs="GHEA Grapalat"/>
          <w:sz w:val="22"/>
          <w:szCs w:val="22"/>
          <w:lang w:val="en-US"/>
        </w:rPr>
        <w:t xml:space="preserve">՝ </w:t>
      </w:r>
      <w:r w:rsidR="001340D9" w:rsidRPr="00C921DE">
        <w:rPr>
          <w:rFonts w:ascii="GHEA Grapalat" w:hAnsi="GHEA Grapalat" w:cs="GHEA Grapalat"/>
          <w:sz w:val="22"/>
          <w:szCs w:val="22"/>
        </w:rPr>
        <w:t>863.8 մլն դրամ</w:t>
      </w:r>
      <w:r w:rsidR="001340D9" w:rsidRPr="00C921DE">
        <w:rPr>
          <w:rFonts w:ascii="GHEA Grapalat" w:hAnsi="GHEA Grapalat" w:cs="GHEA Grapalat"/>
          <w:sz w:val="22"/>
          <w:szCs w:val="22"/>
          <w:lang w:val="en-US"/>
        </w:rPr>
        <w:t>ը,</w:t>
      </w:r>
      <w:r w:rsidRPr="00C921DE">
        <w:rPr>
          <w:rFonts w:ascii="GHEA Grapalat" w:hAnsi="GHEA Grapalat" w:cs="GHEA Grapalat"/>
          <w:sz w:val="22"/>
          <w:szCs w:val="22"/>
        </w:rPr>
        <w:t xml:space="preserve"> կազմել է բնակարանների և անհատական բնակելի տների էներգաարդյունավետ վերանորոգման աշխատանքների իրականաց</w:t>
      </w:r>
      <w:r w:rsidR="00894BA4" w:rsidRPr="00C921DE">
        <w:rPr>
          <w:rFonts w:ascii="GHEA Grapalat" w:hAnsi="GHEA Grapalat" w:cs="GHEA Grapalat"/>
          <w:sz w:val="22"/>
          <w:szCs w:val="22"/>
        </w:rPr>
        <w:t>ման համար պետական աջակցությունը</w:t>
      </w:r>
      <w:r w:rsidRPr="00C921DE">
        <w:rPr>
          <w:rFonts w:ascii="GHEA Grapalat" w:hAnsi="GHEA Grapalat" w:cs="GHEA Grapalat"/>
          <w:sz w:val="22"/>
          <w:szCs w:val="22"/>
        </w:rPr>
        <w:t>:</w:t>
      </w:r>
      <w:r w:rsidRPr="00C921DE">
        <w:rPr>
          <w:rFonts w:ascii="GHEA Grapalat" w:hAnsi="GHEA Grapalat"/>
          <w:noProof w:val="0"/>
          <w:color w:val="000000" w:themeColor="text1"/>
          <w:lang w:eastAsia="ru-RU"/>
        </w:rPr>
        <w:t xml:space="preserve"> </w:t>
      </w:r>
      <w:r w:rsidRPr="00C921DE">
        <w:rPr>
          <w:rFonts w:ascii="GHEA Grapalat" w:hAnsi="GHEA Grapalat" w:cs="GHEA Grapalat"/>
          <w:sz w:val="22"/>
          <w:szCs w:val="22"/>
        </w:rPr>
        <w:t>Ծրագրով նախատեսվել է «Բնակարանների և անհատական բնակելի տների էներգաարդյունավետ վերանորոգման աշխատանքների պետական աջակցության ծրագրի» շրջանակում շուրջ 16</w:t>
      </w:r>
      <w:r w:rsidR="00894BA4" w:rsidRPr="00C921DE">
        <w:rPr>
          <w:rFonts w:ascii="GHEA Grapalat" w:hAnsi="GHEA Grapalat" w:cs="GHEA Grapalat"/>
          <w:sz w:val="22"/>
          <w:szCs w:val="22"/>
          <w:lang w:val="en-US"/>
        </w:rPr>
        <w:t>.2 մլրդ</w:t>
      </w:r>
      <w:r w:rsidR="001340D9" w:rsidRPr="00C921DE">
        <w:rPr>
          <w:rFonts w:ascii="Cambria Math" w:hAnsi="Cambria Math" w:cs="Cambria Math"/>
          <w:sz w:val="22"/>
          <w:szCs w:val="22"/>
          <w:lang w:val="en-US"/>
        </w:rPr>
        <w:t xml:space="preserve"> </w:t>
      </w:r>
      <w:r w:rsidRPr="00C921DE">
        <w:rPr>
          <w:rFonts w:ascii="GHEA Grapalat" w:hAnsi="GHEA Grapalat" w:cs="GHEA Grapalat"/>
          <w:sz w:val="22"/>
          <w:szCs w:val="22"/>
        </w:rPr>
        <w:t>դրամ վարկերի տոկոսագում</w:t>
      </w:r>
      <w:r w:rsidR="00894BA4" w:rsidRPr="00C921DE">
        <w:rPr>
          <w:rFonts w:ascii="GHEA Grapalat" w:hAnsi="GHEA Grapalat" w:cs="GHEA Grapalat"/>
          <w:sz w:val="22"/>
          <w:szCs w:val="22"/>
        </w:rPr>
        <w:t>արների սուբսիդավորում</w:t>
      </w:r>
      <w:r w:rsidRPr="00C921DE">
        <w:rPr>
          <w:rFonts w:ascii="GHEA Grapalat" w:hAnsi="GHEA Grapalat" w:cs="GHEA Grapalat"/>
          <w:sz w:val="22"/>
          <w:szCs w:val="22"/>
        </w:rPr>
        <w:t>, որի արդյունքում կբարձրանա շահառուների բարեկեցությունը և երկարաժամկետ կտրվածքով կնվազեն վերջիններիս կողմից կատարվող էլեկտրական էներգիայի և գազի կոմունալ վճարումները: Բազմաբնակարան շենքի բնակարանի վերանորոգման դեպքում վարկի սահմանաչափը կազմում է ոչ ավելի, քան 7.0 մլն դրամը, իսկ անհատական բնակելի տների համար՝ ոչ ավելի, քան 10.0 մլն դրամը: Վարկը տրամադրվում է առավելագույնը 84 ամիս ժամկետով։ Ծրագրի շրջանակում բնակարանի (բնակելի տան) էներգաարդյունավետ վերանորոգման համար ձևակերպված վարկի տարեկան տոկոսադրույքի սուբսիդավորումն իրականացվում է ՀՀ առևտրային բանկերի ու վարկային կազմակերպությունների միջոցով։ Երևան քաղաքում պետությունը սուբսիդավորում է 9 տոկոս, քաղաքային բ</w:t>
      </w:r>
      <w:r w:rsidR="00C12C45" w:rsidRPr="00C921DE">
        <w:rPr>
          <w:rFonts w:ascii="GHEA Grapalat" w:hAnsi="GHEA Grapalat" w:cs="GHEA Grapalat"/>
          <w:sz w:val="22"/>
          <w:szCs w:val="22"/>
        </w:rPr>
        <w:t>նակավայրեր</w:t>
      </w:r>
      <w:r w:rsidRPr="00C921DE">
        <w:rPr>
          <w:rFonts w:ascii="GHEA Grapalat" w:hAnsi="GHEA Grapalat" w:cs="GHEA Grapalat"/>
          <w:sz w:val="22"/>
          <w:szCs w:val="22"/>
        </w:rPr>
        <w:t>ում՝ 11 տոկոս, գյուղական բնակավայրերում՝ 12 տոկոս, սահմանամերձ և բարձր բնակավայրերում</w:t>
      </w:r>
      <w:r w:rsidR="00C12C45" w:rsidRPr="00C921DE">
        <w:rPr>
          <w:rFonts w:ascii="GHEA Grapalat" w:hAnsi="GHEA Grapalat" w:cs="GHEA Grapalat"/>
          <w:sz w:val="22"/>
          <w:szCs w:val="22"/>
          <w:lang w:val="en-US"/>
        </w:rPr>
        <w:t>՝</w:t>
      </w:r>
      <w:r w:rsidRPr="00C921DE">
        <w:rPr>
          <w:rFonts w:ascii="GHEA Grapalat" w:hAnsi="GHEA Grapalat" w:cs="GHEA Grapalat"/>
          <w:sz w:val="22"/>
          <w:szCs w:val="22"/>
        </w:rPr>
        <w:t xml:space="preserve"> 14 տոկոս։ Հատկանշական է, որ 2023</w:t>
      </w:r>
      <w:r w:rsidR="00C12C45"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թ</w:t>
      </w:r>
      <w:r w:rsidR="00C12C45" w:rsidRPr="00C921DE">
        <w:rPr>
          <w:rFonts w:ascii="GHEA Grapalat" w:hAnsi="GHEA Grapalat" w:cs="GHEA Grapalat"/>
          <w:sz w:val="22"/>
          <w:szCs w:val="22"/>
          <w:lang w:val="en-US"/>
        </w:rPr>
        <w:t>վականին</w:t>
      </w:r>
      <w:r w:rsidRPr="00C921DE">
        <w:rPr>
          <w:rFonts w:ascii="GHEA Grapalat" w:hAnsi="GHEA Grapalat" w:cs="GHEA Grapalat"/>
          <w:sz w:val="22"/>
          <w:szCs w:val="22"/>
        </w:rPr>
        <w:t xml:space="preserve"> տրամադրված վարկերի 50%-ից ավելին տրվել է գյուղական բնակավայրերին</w:t>
      </w:r>
      <w:r w:rsidR="00C12C45"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Ծրագրի </w:t>
      </w:r>
      <w:r w:rsidR="004F61A4" w:rsidRPr="00C921DE">
        <w:rPr>
          <w:rFonts w:ascii="GHEA Grapalat" w:hAnsi="GHEA Grapalat" w:cs="GHEA Grapalat"/>
          <w:sz w:val="22"/>
          <w:szCs w:val="22"/>
          <w:lang w:val="en-US"/>
        </w:rPr>
        <w:t>շահառուների թիվը 2023 թվականին կազմել է</w:t>
      </w:r>
      <w:r w:rsidRPr="00C921DE">
        <w:rPr>
          <w:rFonts w:ascii="GHEA Grapalat" w:hAnsi="GHEA Grapalat" w:cs="GHEA Grapalat"/>
          <w:sz w:val="22"/>
          <w:szCs w:val="22"/>
        </w:rPr>
        <w:t xml:space="preserve"> </w:t>
      </w:r>
      <w:r w:rsidR="004F61A4" w:rsidRPr="00C921DE">
        <w:rPr>
          <w:rFonts w:ascii="GHEA Grapalat" w:hAnsi="GHEA Grapalat" w:cs="GHEA Grapalat"/>
          <w:sz w:val="22"/>
          <w:szCs w:val="22"/>
        </w:rPr>
        <w:t>7638</w:t>
      </w:r>
      <w:r w:rsidRPr="00C921DE">
        <w:rPr>
          <w:rFonts w:ascii="GHEA Grapalat" w:hAnsi="GHEA Grapalat" w:cs="GHEA Grapalat"/>
          <w:sz w:val="22"/>
          <w:szCs w:val="22"/>
        </w:rPr>
        <w:t>։</w:t>
      </w:r>
    </w:p>
    <w:p w14:paraId="28CBB969" w14:textId="77777777" w:rsidR="00416158" w:rsidRPr="00C921DE" w:rsidRDefault="00416158" w:rsidP="006A2C9F">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lang w:val="en-US"/>
        </w:rPr>
        <w:t>Ոռոգման համակարգի արդիականացմանն աջակցության ծրագրի շրջանակներում 2023 թվականին օգտագործվել է 624 մլն դրամ կամ նախատեսված միջոցների 86.3%-ը:</w:t>
      </w:r>
      <w:r w:rsidR="00A53251" w:rsidRPr="00C921DE">
        <w:rPr>
          <w:rFonts w:ascii="GHEA Grapalat" w:hAnsi="GHEA Grapalat" w:cs="GHEA Grapalat"/>
          <w:sz w:val="22"/>
          <w:szCs w:val="22"/>
          <w:lang w:val="en-US"/>
        </w:rPr>
        <w:t xml:space="preserve"> Շեղումը պայմանավորված է ոռոգման շրջանի ուշ ավարտով, քանի որ ջրանցքներով ոռոգման նպատակով ջուր է մատակարարվել, </w:t>
      </w:r>
      <w:r w:rsidR="006F1A4E" w:rsidRPr="00C921DE">
        <w:rPr>
          <w:rFonts w:ascii="GHEA Grapalat" w:hAnsi="GHEA Grapalat" w:cs="GHEA Grapalat"/>
          <w:sz w:val="22"/>
          <w:szCs w:val="22"/>
          <w:lang w:val="en-US"/>
        </w:rPr>
        <w:t xml:space="preserve">և </w:t>
      </w:r>
      <w:r w:rsidR="00A53251" w:rsidRPr="00C921DE">
        <w:rPr>
          <w:rFonts w:ascii="GHEA Grapalat" w:hAnsi="GHEA Grapalat" w:cs="GHEA Grapalat"/>
          <w:sz w:val="22"/>
          <w:szCs w:val="22"/>
          <w:lang w:val="en-US"/>
        </w:rPr>
        <w:t>աշխատանքներ</w:t>
      </w:r>
      <w:r w:rsidR="006F1A4E" w:rsidRPr="00C921DE">
        <w:rPr>
          <w:rFonts w:ascii="GHEA Grapalat" w:hAnsi="GHEA Grapalat" w:cs="GHEA Grapalat"/>
          <w:sz w:val="22"/>
          <w:szCs w:val="22"/>
          <w:lang w:val="en-US"/>
        </w:rPr>
        <w:t>ի</w:t>
      </w:r>
      <w:r w:rsidR="00A53251" w:rsidRPr="00C921DE">
        <w:rPr>
          <w:rFonts w:ascii="GHEA Grapalat" w:hAnsi="GHEA Grapalat" w:cs="GHEA Grapalat"/>
          <w:sz w:val="22"/>
          <w:szCs w:val="22"/>
          <w:lang w:val="en-US"/>
        </w:rPr>
        <w:t xml:space="preserve"> որոշակի մասը տեղափոխվել է 2024 թվական:</w:t>
      </w:r>
    </w:p>
    <w:p w14:paraId="2A94C9CE" w14:textId="77777777" w:rsidR="006A2C9F" w:rsidRPr="00C921DE" w:rsidRDefault="009C53DC" w:rsidP="006A2C9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Սևան-Հրազդան դերիվացիոն համակարգից սնվող ոռոգման համակարգերի իշխման տակ ընկած հողերի ոռոգման ջրապահովության դեֆիցիտը մասնակի մեղմելու/ջրապահովվածությունը </w:t>
      </w:r>
      <w:r w:rsidRPr="00C921DE">
        <w:rPr>
          <w:rFonts w:ascii="GHEA Grapalat" w:hAnsi="GHEA Grapalat" w:cs="GHEA Grapalat"/>
          <w:sz w:val="22"/>
          <w:szCs w:val="22"/>
        </w:rPr>
        <w:lastRenderedPageBreak/>
        <w:t>բարձրացնելու անհրաժեշտությամբ պայմանավորված` 2021 թվականի օգոստոսի 17-ին ընդունվել է «Սևանա լճի էկոհամակարգի վերականգնման, պահպանման, վերարտադրման և օգտագործման միջոցառումների տարեկան ու համալիր ծրագրերը հաստատելու մասին» օրենքում լրացումներ կատարելու մասին ՀՕ-322-Ն օրենքը, որի համաձայն 2021 թվականին Սևանա լճից ոռոգման նպատակով ջրի բացթողնման տարեկան առավելագույն չափաքանակ</w:t>
      </w:r>
      <w:r w:rsidR="003A310C"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ավելացվել է 75 մլն խմ-ով և սահմանվել է մինչև 245 մլն խմ:</w:t>
      </w:r>
      <w:r w:rsidR="003A310C"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ՀՀ կառավարության 17.02.2022թ. N 192-Ն որոշման համաձայն` 2021 թվականի ընթացքում Սևանա լճից բաց թողնվող ջրի՝ 170 մլն խմ</w:t>
      </w:r>
      <w:r w:rsidR="003A310C" w:rsidRPr="00C921DE">
        <w:rPr>
          <w:rFonts w:ascii="GHEA Grapalat" w:hAnsi="GHEA Grapalat" w:cs="GHEA Grapalat"/>
          <w:sz w:val="22"/>
          <w:szCs w:val="22"/>
          <w:lang w:val="en-US"/>
        </w:rPr>
        <w:t>-ը</w:t>
      </w:r>
      <w:r w:rsidRPr="00C921DE">
        <w:rPr>
          <w:rFonts w:ascii="GHEA Grapalat" w:hAnsi="GHEA Grapalat" w:cs="GHEA Grapalat"/>
          <w:sz w:val="22"/>
          <w:szCs w:val="22"/>
        </w:rPr>
        <w:t xml:space="preserve"> գերազանցող չափաքանակի հաշվին արտադրվող էլեկտրական էներգիայի վաճառքից </w:t>
      </w:r>
      <w:r w:rsidR="003A310C" w:rsidRPr="00C921DE">
        <w:rPr>
          <w:rFonts w:ascii="GHEA Grapalat" w:hAnsi="GHEA Grapalat" w:cs="GHEA Grapalat"/>
          <w:sz w:val="22"/>
          <w:szCs w:val="22"/>
          <w:lang w:val="en-US"/>
        </w:rPr>
        <w:t>«</w:t>
      </w:r>
      <w:r w:rsidRPr="00C921DE">
        <w:rPr>
          <w:rFonts w:ascii="GHEA Grapalat" w:hAnsi="GHEA Grapalat" w:cs="GHEA Grapalat"/>
          <w:sz w:val="22"/>
          <w:szCs w:val="22"/>
        </w:rPr>
        <w:t>Միջազգային էներգետիկ կորպորացիա</w:t>
      </w:r>
      <w:r w:rsidR="003A310C" w:rsidRPr="00C921DE">
        <w:rPr>
          <w:rFonts w:ascii="GHEA Grapalat" w:hAnsi="GHEA Grapalat" w:cs="GHEA Grapalat"/>
          <w:sz w:val="22"/>
          <w:szCs w:val="22"/>
          <w:lang w:val="en-US"/>
        </w:rPr>
        <w:t xml:space="preserve">» </w:t>
      </w:r>
      <w:r w:rsidRPr="00C921DE">
        <w:rPr>
          <w:rFonts w:ascii="GHEA Grapalat" w:hAnsi="GHEA Grapalat" w:cs="GHEA Grapalat"/>
          <w:sz w:val="22"/>
          <w:szCs w:val="22"/>
        </w:rPr>
        <w:t xml:space="preserve">և </w:t>
      </w:r>
      <w:r w:rsidR="003A310C" w:rsidRPr="00C921DE">
        <w:rPr>
          <w:rFonts w:ascii="GHEA Grapalat" w:hAnsi="GHEA Grapalat" w:cs="GHEA Grapalat"/>
          <w:sz w:val="22"/>
          <w:szCs w:val="22"/>
          <w:lang w:val="en-US"/>
        </w:rPr>
        <w:t>«</w:t>
      </w:r>
      <w:r w:rsidRPr="00C921DE">
        <w:rPr>
          <w:rFonts w:ascii="GHEA Grapalat" w:hAnsi="GHEA Grapalat" w:cs="GHEA Grapalat"/>
          <w:sz w:val="22"/>
          <w:szCs w:val="22"/>
        </w:rPr>
        <w:t>Հայաստանի էլեկտրական ցանցեր</w:t>
      </w:r>
      <w:r w:rsidR="003A310C" w:rsidRPr="00C921DE">
        <w:rPr>
          <w:rFonts w:ascii="GHEA Grapalat" w:hAnsi="GHEA Grapalat" w:cs="GHEA Grapalat"/>
          <w:sz w:val="22"/>
          <w:szCs w:val="22"/>
          <w:lang w:val="en-US"/>
        </w:rPr>
        <w:t>»</w:t>
      </w:r>
      <w:r w:rsidRPr="00C921DE">
        <w:rPr>
          <w:rFonts w:ascii="GHEA Grapalat" w:hAnsi="GHEA Grapalat" w:cs="GHEA Grapalat"/>
          <w:sz w:val="22"/>
          <w:szCs w:val="22"/>
        </w:rPr>
        <w:t xml:space="preserve"> ՓԲԸ-ներում առաջացող լրացուցիչ գումարները պետք է </w:t>
      </w:r>
      <w:r w:rsidR="003A310C" w:rsidRPr="00C921DE">
        <w:rPr>
          <w:rFonts w:ascii="GHEA Grapalat" w:hAnsi="GHEA Grapalat" w:cs="GHEA Grapalat"/>
          <w:sz w:val="22"/>
          <w:szCs w:val="22"/>
          <w:lang w:val="en-US"/>
        </w:rPr>
        <w:t>ուղղ</w:t>
      </w:r>
      <w:r w:rsidRPr="00C921DE">
        <w:rPr>
          <w:rFonts w:ascii="GHEA Grapalat" w:hAnsi="GHEA Grapalat" w:cs="GHEA Grapalat"/>
          <w:sz w:val="22"/>
          <w:szCs w:val="22"/>
        </w:rPr>
        <w:t>վեն առաջնային խնդիրների լուծման ոռոգման համակարգերի արդիականացմանն ուղղված նպատակային ներդրումների</w:t>
      </w:r>
      <w:r w:rsidR="003A310C" w:rsidRPr="00C921DE">
        <w:rPr>
          <w:rFonts w:ascii="GHEA Grapalat" w:hAnsi="GHEA Grapalat" w:cs="GHEA Grapalat"/>
          <w:sz w:val="22"/>
          <w:szCs w:val="22"/>
        </w:rPr>
        <w:t xml:space="preserve"> իրականացման</w:t>
      </w:r>
      <w:r w:rsidR="003A310C" w:rsidRPr="00C921DE">
        <w:rPr>
          <w:rFonts w:ascii="GHEA Grapalat" w:hAnsi="GHEA Grapalat" w:cs="GHEA Grapalat"/>
          <w:sz w:val="22"/>
          <w:szCs w:val="22"/>
          <w:lang w:val="en-US"/>
        </w:rPr>
        <w:t>ը</w:t>
      </w:r>
      <w:r w:rsidRPr="00C921DE">
        <w:rPr>
          <w:rFonts w:ascii="GHEA Grapalat" w:hAnsi="GHEA Grapalat" w:cs="GHEA Grapalat"/>
          <w:sz w:val="22"/>
          <w:szCs w:val="22"/>
        </w:rPr>
        <w:t xml:space="preserve">։ </w:t>
      </w:r>
      <w:r w:rsidR="006A2C9F" w:rsidRPr="00C921DE">
        <w:rPr>
          <w:rFonts w:ascii="GHEA Grapalat" w:hAnsi="GHEA Grapalat" w:cs="GHEA Grapalat"/>
          <w:sz w:val="22"/>
          <w:szCs w:val="22"/>
        </w:rPr>
        <w:t>2023 թվականին</w:t>
      </w:r>
      <w:r w:rsidR="003A310C" w:rsidRPr="00C921DE">
        <w:rPr>
          <w:rFonts w:ascii="GHEA Grapalat" w:hAnsi="GHEA Grapalat" w:cs="GHEA Grapalat"/>
          <w:sz w:val="22"/>
          <w:szCs w:val="22"/>
          <w:lang w:val="en-US"/>
        </w:rPr>
        <w:t xml:space="preserve"> </w:t>
      </w:r>
      <w:r w:rsidR="006A2C9F" w:rsidRPr="00C921DE">
        <w:rPr>
          <w:rFonts w:ascii="GHEA Grapalat" w:hAnsi="GHEA Grapalat" w:cs="GHEA Grapalat"/>
          <w:sz w:val="22"/>
          <w:szCs w:val="22"/>
        </w:rPr>
        <w:t>«Ջրառ»</w:t>
      </w:r>
      <w:r w:rsidR="006A2C9F" w:rsidRPr="00C921DE">
        <w:rPr>
          <w:rFonts w:ascii="GHEA Grapalat" w:hAnsi="GHEA Grapalat" w:cs="GHEA Grapalat"/>
          <w:sz w:val="22"/>
          <w:szCs w:val="22"/>
          <w:lang w:val="fr-FR"/>
        </w:rPr>
        <w:t xml:space="preserve"> </w:t>
      </w:r>
      <w:r w:rsidR="006A2C9F" w:rsidRPr="00C921DE">
        <w:rPr>
          <w:rFonts w:ascii="GHEA Grapalat" w:hAnsi="GHEA Grapalat" w:cs="GHEA Grapalat"/>
          <w:sz w:val="22"/>
          <w:szCs w:val="22"/>
        </w:rPr>
        <w:t>ՓԲԸ</w:t>
      </w:r>
      <w:r w:rsidR="006A2C9F" w:rsidRPr="00C921DE">
        <w:rPr>
          <w:rFonts w:ascii="GHEA Grapalat" w:hAnsi="GHEA Grapalat" w:cs="GHEA Grapalat"/>
          <w:sz w:val="22"/>
          <w:szCs w:val="22"/>
          <w:lang w:val="fr-FR"/>
        </w:rPr>
        <w:t>-</w:t>
      </w:r>
      <w:r w:rsidR="006A2C9F" w:rsidRPr="00C921DE">
        <w:rPr>
          <w:rFonts w:ascii="GHEA Grapalat" w:hAnsi="GHEA Grapalat" w:cs="GHEA Grapalat"/>
          <w:sz w:val="22"/>
          <w:szCs w:val="22"/>
        </w:rPr>
        <w:t>ի</w:t>
      </w:r>
      <w:r w:rsidR="006A2C9F" w:rsidRPr="00C921DE">
        <w:rPr>
          <w:rFonts w:ascii="GHEA Grapalat" w:hAnsi="GHEA Grapalat" w:cs="GHEA Grapalat"/>
          <w:sz w:val="22"/>
          <w:szCs w:val="22"/>
          <w:lang w:val="fr-FR"/>
        </w:rPr>
        <w:t xml:space="preserve"> </w:t>
      </w:r>
      <w:r w:rsidR="006A2C9F" w:rsidRPr="00C921DE">
        <w:rPr>
          <w:rFonts w:ascii="GHEA Grapalat" w:hAnsi="GHEA Grapalat" w:cs="GHEA Grapalat"/>
          <w:sz w:val="22"/>
          <w:szCs w:val="22"/>
        </w:rPr>
        <w:t>կողմից</w:t>
      </w:r>
      <w:r w:rsidR="006A2C9F" w:rsidRPr="00C921DE">
        <w:rPr>
          <w:rFonts w:ascii="GHEA Grapalat" w:hAnsi="GHEA Grapalat" w:cs="GHEA Grapalat"/>
          <w:sz w:val="22"/>
          <w:szCs w:val="22"/>
          <w:lang w:val="fr-FR"/>
        </w:rPr>
        <w:t xml:space="preserve"> </w:t>
      </w:r>
      <w:r w:rsidR="006A2C9F" w:rsidRPr="00C921DE">
        <w:rPr>
          <w:rFonts w:ascii="GHEA Grapalat" w:hAnsi="GHEA Grapalat" w:cs="GHEA Grapalat"/>
          <w:sz w:val="22"/>
          <w:szCs w:val="22"/>
        </w:rPr>
        <w:t>կատարվել</w:t>
      </w:r>
      <w:r w:rsidR="006A2C9F" w:rsidRPr="00C921DE">
        <w:rPr>
          <w:rFonts w:ascii="GHEA Grapalat" w:hAnsi="GHEA Grapalat" w:cs="GHEA Grapalat"/>
          <w:sz w:val="22"/>
          <w:szCs w:val="22"/>
          <w:lang w:val="fr-FR"/>
        </w:rPr>
        <w:t xml:space="preserve"> </w:t>
      </w:r>
      <w:r w:rsidR="003A310C" w:rsidRPr="00C921DE">
        <w:rPr>
          <w:rFonts w:ascii="GHEA Grapalat" w:hAnsi="GHEA Grapalat" w:cs="GHEA Grapalat"/>
          <w:sz w:val="22"/>
          <w:szCs w:val="22"/>
          <w:lang w:val="fr-FR"/>
        </w:rPr>
        <w:t>են</w:t>
      </w:r>
      <w:r w:rsidR="006A2C9F" w:rsidRPr="00C921DE">
        <w:rPr>
          <w:rFonts w:ascii="GHEA Grapalat" w:hAnsi="GHEA Grapalat" w:cs="GHEA Grapalat"/>
          <w:sz w:val="22"/>
          <w:szCs w:val="22"/>
          <w:lang w:val="fr-FR"/>
        </w:rPr>
        <w:t xml:space="preserve"> </w:t>
      </w:r>
      <w:r w:rsidR="006A2C9F" w:rsidRPr="00C921DE">
        <w:rPr>
          <w:rFonts w:ascii="GHEA Grapalat" w:hAnsi="GHEA Grapalat" w:cs="GHEA Grapalat"/>
          <w:sz w:val="22"/>
          <w:szCs w:val="22"/>
          <w:lang w:val="af-ZA"/>
        </w:rPr>
        <w:t>Արտաշատի ջրանցքի 400</w:t>
      </w:r>
      <w:r w:rsidR="006A2C9F" w:rsidRPr="00C921DE">
        <w:rPr>
          <w:rFonts w:ascii="GHEA Grapalat" w:hAnsi="GHEA Grapalat" w:cs="GHEA Grapalat"/>
          <w:sz w:val="22"/>
          <w:szCs w:val="22"/>
        </w:rPr>
        <w:t xml:space="preserve"> </w:t>
      </w:r>
      <w:r w:rsidR="006A2C9F" w:rsidRPr="00C921DE">
        <w:rPr>
          <w:rFonts w:ascii="GHEA Grapalat" w:hAnsi="GHEA Grapalat" w:cs="GHEA Grapalat"/>
          <w:sz w:val="22"/>
          <w:szCs w:val="22"/>
          <w:lang w:val="af-ZA"/>
        </w:rPr>
        <w:t>մ</w:t>
      </w:r>
      <w:r w:rsidR="006A2C9F" w:rsidRPr="00C921DE">
        <w:rPr>
          <w:rFonts w:ascii="GHEA Grapalat" w:hAnsi="GHEA Grapalat" w:cs="GHEA Grapalat"/>
          <w:sz w:val="22"/>
          <w:szCs w:val="22"/>
        </w:rPr>
        <w:t>, Արտաշատի ջրանցքի և գլխամասային հանգույցի</w:t>
      </w:r>
      <w:r w:rsidR="006A2C9F" w:rsidRPr="00C921DE">
        <w:rPr>
          <w:rFonts w:ascii="GHEA Grapalat" w:hAnsi="GHEA Grapalat" w:cs="GHEA Grapalat"/>
          <w:sz w:val="22"/>
          <w:szCs w:val="22"/>
          <w:lang w:val="fr-FR"/>
        </w:rPr>
        <w:t xml:space="preserve"> 443</w:t>
      </w:r>
      <w:r w:rsidR="006A2C9F" w:rsidRPr="00C921DE">
        <w:rPr>
          <w:rFonts w:ascii="GHEA Grapalat" w:hAnsi="GHEA Grapalat" w:cs="GHEA Grapalat"/>
          <w:sz w:val="22"/>
          <w:szCs w:val="22"/>
        </w:rPr>
        <w:t xml:space="preserve"> մ, Ստորին Հրազդանի ջրանցքի 1-ին հերթի գլխամասային հանգույցի</w:t>
      </w:r>
      <w:r w:rsidR="006A2C9F" w:rsidRPr="00C921DE">
        <w:rPr>
          <w:rFonts w:ascii="GHEA Grapalat" w:hAnsi="GHEA Grapalat" w:cs="GHEA Grapalat"/>
          <w:sz w:val="22"/>
          <w:szCs w:val="22"/>
          <w:lang w:val="fr-FR"/>
        </w:rPr>
        <w:t xml:space="preserve"> 761</w:t>
      </w:r>
      <w:r w:rsidR="006A2C9F" w:rsidRPr="00C921DE">
        <w:rPr>
          <w:rFonts w:ascii="GHEA Grapalat" w:hAnsi="GHEA Grapalat" w:cs="GHEA Grapalat"/>
          <w:sz w:val="22"/>
          <w:szCs w:val="22"/>
        </w:rPr>
        <w:t xml:space="preserve"> մ, Ստորին Հրազդանի ջրանցքի 2-րդ հերթի</w:t>
      </w:r>
      <w:r w:rsidR="006A2C9F" w:rsidRPr="00C921DE">
        <w:rPr>
          <w:rFonts w:ascii="GHEA Grapalat" w:hAnsi="GHEA Grapalat" w:cs="GHEA Grapalat"/>
          <w:sz w:val="22"/>
          <w:szCs w:val="22"/>
          <w:lang w:val="fr-FR"/>
        </w:rPr>
        <w:t xml:space="preserve"> 1405</w:t>
      </w:r>
      <w:r w:rsidR="006A2C9F" w:rsidRPr="00C921DE">
        <w:rPr>
          <w:rFonts w:ascii="GHEA Grapalat" w:hAnsi="GHEA Grapalat" w:cs="GHEA Grapalat"/>
          <w:sz w:val="22"/>
          <w:szCs w:val="22"/>
        </w:rPr>
        <w:t xml:space="preserve"> մ</w:t>
      </w:r>
      <w:r w:rsidR="006A2C9F" w:rsidRPr="00C921DE">
        <w:rPr>
          <w:rFonts w:ascii="GHEA Grapalat" w:hAnsi="GHEA Grapalat" w:cs="GHEA Grapalat"/>
          <w:sz w:val="22"/>
          <w:szCs w:val="22"/>
          <w:lang w:val="fr-FR"/>
        </w:rPr>
        <w:t xml:space="preserve"> </w:t>
      </w:r>
      <w:r w:rsidR="006A2C9F" w:rsidRPr="00C921DE">
        <w:rPr>
          <w:rFonts w:ascii="GHEA Grapalat" w:hAnsi="GHEA Grapalat" w:cs="GHEA Grapalat"/>
          <w:sz w:val="22"/>
          <w:szCs w:val="22"/>
        </w:rPr>
        <w:t>և Արզնի-Շամիրամ ջրանցքի 2-րդ հերթի</w:t>
      </w:r>
      <w:r w:rsidR="006A2C9F" w:rsidRPr="00C921DE">
        <w:rPr>
          <w:rFonts w:ascii="GHEA Grapalat" w:hAnsi="GHEA Grapalat" w:cs="GHEA Grapalat"/>
          <w:sz w:val="22"/>
          <w:szCs w:val="22"/>
          <w:lang w:val="fr-FR"/>
        </w:rPr>
        <w:t xml:space="preserve"> 17</w:t>
      </w:r>
      <w:r w:rsidR="006A2C9F" w:rsidRPr="00C921DE">
        <w:rPr>
          <w:rFonts w:ascii="GHEA Grapalat" w:hAnsi="GHEA Grapalat" w:cs="GHEA Grapalat"/>
          <w:sz w:val="22"/>
          <w:szCs w:val="22"/>
        </w:rPr>
        <w:t xml:space="preserve"> մ հիմնանորոգման աշխատանքներ</w:t>
      </w:r>
      <w:r w:rsidR="00192FA6" w:rsidRPr="00C921DE">
        <w:rPr>
          <w:rFonts w:ascii="GHEA Grapalat" w:hAnsi="GHEA Grapalat" w:cs="GHEA Grapalat"/>
          <w:sz w:val="22"/>
          <w:szCs w:val="22"/>
        </w:rPr>
        <w:t>:</w:t>
      </w:r>
    </w:p>
    <w:p w14:paraId="290EB13D" w14:textId="77777777" w:rsidR="00C56BD7" w:rsidRPr="00C921DE" w:rsidRDefault="00C56BD7" w:rsidP="00C56BD7">
      <w:pPr>
        <w:spacing w:line="360" w:lineRule="auto"/>
        <w:ind w:firstLine="561"/>
        <w:jc w:val="both"/>
        <w:rPr>
          <w:rFonts w:ascii="GHEA Grapalat" w:hAnsi="GHEA Grapalat"/>
        </w:rPr>
      </w:pPr>
    </w:p>
    <w:p w14:paraId="33B23CFD" w14:textId="47CAB85E" w:rsidR="003E6DF8" w:rsidRPr="00C921DE" w:rsidRDefault="00C56BD7" w:rsidP="003E6DF8">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i/>
          <w:sz w:val="22"/>
          <w:szCs w:val="22"/>
          <w:u w:val="single"/>
        </w:rPr>
        <w:t>ՀՀ առողջապահության նախարարության</w:t>
      </w:r>
      <w:r w:rsidRPr="00C921DE">
        <w:rPr>
          <w:rFonts w:ascii="GHEA Grapalat" w:hAnsi="GHEA Grapalat"/>
          <w:sz w:val="22"/>
          <w:szCs w:val="22"/>
        </w:rPr>
        <w:t xml:space="preserve"> </w:t>
      </w:r>
      <w:r w:rsidR="003E6DF8" w:rsidRPr="00C921DE">
        <w:rPr>
          <w:rFonts w:ascii="GHEA Grapalat" w:hAnsi="GHEA Grapalat" w:cs="Arial"/>
          <w:sz w:val="22"/>
          <w:szCs w:val="22"/>
        </w:rPr>
        <w:t>պատասխանատվությամբ 2023 թվականի</w:t>
      </w:r>
      <w:r w:rsidR="00113301" w:rsidRPr="00C921DE">
        <w:rPr>
          <w:rFonts w:ascii="GHEA Grapalat" w:hAnsi="GHEA Grapalat" w:cs="Arial"/>
          <w:sz w:val="22"/>
          <w:szCs w:val="22"/>
        </w:rPr>
        <w:t xml:space="preserve"> </w:t>
      </w:r>
      <w:r w:rsidR="003E6DF8" w:rsidRPr="00C921DE">
        <w:rPr>
          <w:rFonts w:ascii="GHEA Grapalat" w:hAnsi="GHEA Grapalat" w:cs="Arial"/>
          <w:sz w:val="22"/>
          <w:szCs w:val="22"/>
        </w:rPr>
        <w:t>ընթացքում կատարվել են 12 ծրագրեր, որոնց ուղղվել է շուրջ 139.5 մլրդ դրամ՝ ապահովելով ծրագրված ցուցանիշի 97.1</w:t>
      </w:r>
      <w:r w:rsidR="005D38B3" w:rsidRPr="00C921DE">
        <w:rPr>
          <w:rFonts w:ascii="GHEA Grapalat" w:hAnsi="GHEA Grapalat" w:cs="Arial"/>
          <w:sz w:val="22"/>
          <w:szCs w:val="22"/>
        </w:rPr>
        <w:t>%-ը</w:t>
      </w:r>
      <w:r w:rsidR="003E6DF8" w:rsidRPr="00C921DE">
        <w:rPr>
          <w:rFonts w:ascii="GHEA Grapalat" w:hAnsi="GHEA Grapalat" w:cs="Arial"/>
          <w:sz w:val="22"/>
          <w:szCs w:val="22"/>
        </w:rPr>
        <w:t>։</w:t>
      </w:r>
      <w:r w:rsidR="005D38B3" w:rsidRPr="00C921DE">
        <w:rPr>
          <w:rFonts w:ascii="GHEA Grapalat" w:hAnsi="GHEA Grapalat" w:cs="Arial"/>
          <w:sz w:val="22"/>
          <w:szCs w:val="22"/>
          <w:lang w:val="en-US"/>
        </w:rPr>
        <w:t xml:space="preserve"> Շեղումը հիմնականում պայմանավորված է Առողջապահության ոլորտում պետական քաղաքականության մշակման, ծրագրերի համակարգման և մոնիտորինգի և Առողջապահության համակարգի արդիականացման և արդյունավետության բարձրացման ծրագրերի կատարողականով:</w:t>
      </w:r>
      <w:r w:rsidR="003E6DF8" w:rsidRPr="00C921DE">
        <w:rPr>
          <w:rFonts w:ascii="GHEA Grapalat" w:hAnsi="GHEA Grapalat" w:cs="Arial"/>
          <w:sz w:val="22"/>
          <w:szCs w:val="22"/>
        </w:rPr>
        <w:t xml:space="preserve"> 2022 թվականի </w:t>
      </w:r>
      <w:r w:rsidR="005D38B3" w:rsidRPr="00C921DE">
        <w:rPr>
          <w:rFonts w:ascii="GHEA Grapalat" w:hAnsi="GHEA Grapalat" w:cs="Arial"/>
          <w:sz w:val="22"/>
          <w:szCs w:val="22"/>
        </w:rPr>
        <w:t xml:space="preserve">համեմատ </w:t>
      </w:r>
      <w:r w:rsidR="005D38B3" w:rsidRPr="00C921DE">
        <w:rPr>
          <w:rFonts w:ascii="GHEA Grapalat" w:hAnsi="GHEA Grapalat" w:cs="Arial"/>
          <w:sz w:val="22"/>
          <w:szCs w:val="22"/>
          <w:lang w:val="en-US"/>
        </w:rPr>
        <w:t>Ա</w:t>
      </w:r>
      <w:r w:rsidR="003E6DF8" w:rsidRPr="00C921DE">
        <w:rPr>
          <w:rFonts w:ascii="GHEA Grapalat" w:hAnsi="GHEA Grapalat" w:cs="Arial"/>
          <w:sz w:val="22"/>
          <w:szCs w:val="22"/>
        </w:rPr>
        <w:t>ռողջապահության նախարարության ծախսերը նվազել ե</w:t>
      </w:r>
      <w:r w:rsidR="00FE7EA1" w:rsidRPr="00C921DE">
        <w:rPr>
          <w:rFonts w:ascii="GHEA Grapalat" w:hAnsi="GHEA Grapalat" w:cs="Arial"/>
          <w:sz w:val="22"/>
          <w:szCs w:val="22"/>
        </w:rPr>
        <w:t xml:space="preserve">ն 0.8%-ով կամ 1.1 մլրդ դրամով՝ </w:t>
      </w:r>
      <w:r w:rsidR="003E6DF8" w:rsidRPr="00C921DE">
        <w:rPr>
          <w:rFonts w:ascii="GHEA Grapalat" w:hAnsi="GHEA Grapalat" w:cs="Arial"/>
          <w:sz w:val="22"/>
          <w:szCs w:val="22"/>
        </w:rPr>
        <w:t xml:space="preserve">պայմանավորված Հանրային առողջության պահպանման </w:t>
      </w:r>
      <w:r w:rsidR="00E811D4" w:rsidRPr="00C921DE">
        <w:rPr>
          <w:rFonts w:ascii="GHEA Grapalat" w:hAnsi="GHEA Grapalat" w:cs="Arial"/>
          <w:sz w:val="22"/>
          <w:szCs w:val="22"/>
          <w:lang w:val="en-US"/>
        </w:rPr>
        <w:t xml:space="preserve">և Առողջապահության համակարգի արդիականացման և արդյունավետության բարձրացման </w:t>
      </w:r>
      <w:r w:rsidR="003E6DF8" w:rsidRPr="00C921DE">
        <w:rPr>
          <w:rFonts w:ascii="GHEA Grapalat" w:hAnsi="GHEA Grapalat" w:cs="Arial"/>
          <w:sz w:val="22"/>
          <w:szCs w:val="22"/>
        </w:rPr>
        <w:t>ծրագր</w:t>
      </w:r>
      <w:r w:rsidR="00E811D4" w:rsidRPr="00C921DE">
        <w:rPr>
          <w:rFonts w:ascii="GHEA Grapalat" w:hAnsi="GHEA Grapalat" w:cs="Arial"/>
          <w:sz w:val="22"/>
          <w:szCs w:val="22"/>
          <w:lang w:val="en-US"/>
        </w:rPr>
        <w:t>եր</w:t>
      </w:r>
      <w:r w:rsidR="003E6DF8" w:rsidRPr="00C921DE">
        <w:rPr>
          <w:rFonts w:ascii="GHEA Grapalat" w:hAnsi="GHEA Grapalat" w:cs="Arial"/>
          <w:sz w:val="22"/>
          <w:szCs w:val="22"/>
        </w:rPr>
        <w:t xml:space="preserve">ի շրջանակներում կատարված ծախսերի նվազմամբ: </w:t>
      </w:r>
      <w:r w:rsidR="00E811D4" w:rsidRPr="00C921DE">
        <w:rPr>
          <w:rFonts w:ascii="GHEA Grapalat" w:hAnsi="GHEA Grapalat" w:cs="Arial"/>
          <w:sz w:val="22"/>
          <w:szCs w:val="22"/>
          <w:lang w:val="en-US"/>
        </w:rPr>
        <w:t>Մնացած 10 ծրագրերի գծով արձանագրվել է ծախսերի աճ</w:t>
      </w:r>
      <w:r w:rsidR="003E6DF8" w:rsidRPr="00C921DE">
        <w:rPr>
          <w:rFonts w:ascii="GHEA Grapalat" w:hAnsi="GHEA Grapalat" w:cs="Arial"/>
          <w:sz w:val="22"/>
          <w:szCs w:val="22"/>
        </w:rPr>
        <w:t>:</w:t>
      </w:r>
    </w:p>
    <w:p w14:paraId="470FBDB9" w14:textId="77777777" w:rsidR="00E811D4" w:rsidRPr="00C921DE" w:rsidRDefault="00E811D4" w:rsidP="00A605DF">
      <w:pPr>
        <w:autoSpaceDE w:val="0"/>
        <w:autoSpaceDN w:val="0"/>
        <w:adjustRightInd w:val="0"/>
        <w:ind w:firstLine="567"/>
        <w:jc w:val="both"/>
        <w:rPr>
          <w:rFonts w:ascii="GHEA Grapalat" w:hAnsi="GHEA Grapalat" w:cs="Arial"/>
          <w:sz w:val="22"/>
          <w:szCs w:val="22"/>
        </w:rPr>
      </w:pPr>
    </w:p>
    <w:p w14:paraId="57DA88DB" w14:textId="77777777" w:rsidR="003E6DF8" w:rsidRPr="00C921DE" w:rsidRDefault="003E6DF8" w:rsidP="003E6DF8">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2023թ. ՀՀ առողջապահության նախարարության կողմից իրականացված ծրագրերը (մլն դրամ)</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6"/>
        <w:gridCol w:w="1043"/>
        <w:gridCol w:w="1051"/>
        <w:gridCol w:w="1066"/>
        <w:gridCol w:w="1203"/>
        <w:gridCol w:w="1203"/>
        <w:gridCol w:w="1080"/>
      </w:tblGrid>
      <w:tr w:rsidR="00B7454E" w:rsidRPr="00C921DE" w14:paraId="2A5730F2" w14:textId="77777777" w:rsidTr="003E6DF8">
        <w:trPr>
          <w:trHeight w:val="1429"/>
          <w:jc w:val="center"/>
        </w:trPr>
        <w:tc>
          <w:tcPr>
            <w:tcW w:w="3526" w:type="dxa"/>
            <w:noWrap/>
            <w:vAlign w:val="bottom"/>
          </w:tcPr>
          <w:p w14:paraId="75C11651" w14:textId="77777777" w:rsidR="00B7454E" w:rsidRPr="00C921DE" w:rsidRDefault="00B7454E" w:rsidP="00B7454E">
            <w:pPr>
              <w:rPr>
                <w:rFonts w:ascii="GHEA Grapalat" w:hAnsi="GHEA Grapalat"/>
                <w:sz w:val="18"/>
                <w:szCs w:val="18"/>
              </w:rPr>
            </w:pPr>
          </w:p>
        </w:tc>
        <w:tc>
          <w:tcPr>
            <w:tcW w:w="1043" w:type="dxa"/>
          </w:tcPr>
          <w:p w14:paraId="0B821CB0" w14:textId="7777777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2</w:t>
            </w:r>
            <w:r w:rsidRPr="00C921DE">
              <w:rPr>
                <w:rFonts w:ascii="GHEA Grapalat" w:hAnsi="GHEA Grapalat" w:cs="Calibri"/>
                <w:b/>
                <w:sz w:val="18"/>
                <w:szCs w:val="18"/>
              </w:rPr>
              <w:t>թ. փաստ</w:t>
            </w:r>
          </w:p>
        </w:tc>
        <w:tc>
          <w:tcPr>
            <w:tcW w:w="1051" w:type="dxa"/>
          </w:tcPr>
          <w:p w14:paraId="199337C6" w14:textId="46DF90C1"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066" w:type="dxa"/>
            <w:noWrap/>
          </w:tcPr>
          <w:p w14:paraId="3FCF645F" w14:textId="4EDBAA2B"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03" w:type="dxa"/>
          </w:tcPr>
          <w:p w14:paraId="4B8E53FD" w14:textId="3968AE9F"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03" w:type="dxa"/>
          </w:tcPr>
          <w:p w14:paraId="588CD9AE" w14:textId="13E89DDB"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80" w:type="dxa"/>
          </w:tcPr>
          <w:p w14:paraId="2E87C9D8" w14:textId="7777777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rPr>
              <w:t>2023թ. և 2022թ. տարբե-րությունը</w:t>
            </w:r>
          </w:p>
        </w:tc>
      </w:tr>
      <w:tr w:rsidR="003E6DF8" w:rsidRPr="00C921DE" w14:paraId="5ED27EDF" w14:textId="77777777" w:rsidTr="003E6DF8">
        <w:trPr>
          <w:trHeight w:val="398"/>
          <w:jc w:val="center"/>
        </w:trPr>
        <w:tc>
          <w:tcPr>
            <w:tcW w:w="3526" w:type="dxa"/>
            <w:vAlign w:val="bottom"/>
          </w:tcPr>
          <w:p w14:paraId="6DFD86B5" w14:textId="77777777" w:rsidR="003E6DF8" w:rsidRPr="00C921DE" w:rsidRDefault="003E6DF8" w:rsidP="003E6DF8">
            <w:pPr>
              <w:rPr>
                <w:rFonts w:ascii="GHEA Grapalat" w:hAnsi="GHEA Grapalat" w:cs="Calibri"/>
                <w:b/>
                <w:sz w:val="18"/>
                <w:szCs w:val="18"/>
              </w:rPr>
            </w:pPr>
            <w:r w:rsidRPr="00C921DE">
              <w:rPr>
                <w:rFonts w:ascii="GHEA Grapalat" w:hAnsi="GHEA Grapalat" w:cs="Calibri"/>
                <w:b/>
                <w:sz w:val="18"/>
                <w:szCs w:val="18"/>
              </w:rPr>
              <w:t>ԸՆԴԱՄԵՆԸ</w:t>
            </w:r>
          </w:p>
        </w:tc>
        <w:tc>
          <w:tcPr>
            <w:tcW w:w="1043" w:type="dxa"/>
            <w:vAlign w:val="bottom"/>
          </w:tcPr>
          <w:p w14:paraId="3225C2F1" w14:textId="77777777" w:rsidR="003E6DF8" w:rsidRPr="00C921DE" w:rsidRDefault="003E6DF8" w:rsidP="003E6DF8">
            <w:pPr>
              <w:jc w:val="right"/>
              <w:rPr>
                <w:rFonts w:ascii="GHEA Grapalat" w:hAnsi="GHEA Grapalat"/>
                <w:b/>
                <w:bCs/>
                <w:noProof w:val="0"/>
                <w:sz w:val="18"/>
                <w:szCs w:val="18"/>
                <w:lang w:val="en-US"/>
              </w:rPr>
            </w:pPr>
            <w:r w:rsidRPr="00C921DE">
              <w:rPr>
                <w:rFonts w:ascii="GHEA Grapalat" w:hAnsi="GHEA Grapalat"/>
                <w:b/>
                <w:bCs/>
                <w:sz w:val="18"/>
                <w:szCs w:val="18"/>
              </w:rPr>
              <w:t>140,622.3</w:t>
            </w:r>
          </w:p>
        </w:tc>
        <w:tc>
          <w:tcPr>
            <w:tcW w:w="1051" w:type="dxa"/>
            <w:vAlign w:val="bottom"/>
          </w:tcPr>
          <w:p w14:paraId="6DB474AF" w14:textId="77777777" w:rsidR="003E6DF8" w:rsidRPr="00C921DE" w:rsidRDefault="003E6DF8" w:rsidP="003E6DF8">
            <w:pPr>
              <w:jc w:val="right"/>
              <w:rPr>
                <w:rFonts w:ascii="GHEA Grapalat" w:hAnsi="GHEA Grapalat"/>
                <w:b/>
                <w:bCs/>
                <w:sz w:val="18"/>
                <w:szCs w:val="18"/>
              </w:rPr>
            </w:pPr>
            <w:r w:rsidRPr="00C921DE">
              <w:rPr>
                <w:rFonts w:ascii="GHEA Grapalat" w:hAnsi="GHEA Grapalat"/>
                <w:b/>
                <w:bCs/>
                <w:sz w:val="18"/>
                <w:szCs w:val="18"/>
              </w:rPr>
              <w:t>143,628.7</w:t>
            </w:r>
          </w:p>
        </w:tc>
        <w:tc>
          <w:tcPr>
            <w:tcW w:w="1066" w:type="dxa"/>
            <w:vAlign w:val="bottom"/>
          </w:tcPr>
          <w:p w14:paraId="3EED554F" w14:textId="77777777" w:rsidR="003E6DF8" w:rsidRPr="00C921DE" w:rsidRDefault="003E6DF8" w:rsidP="003E6DF8">
            <w:pPr>
              <w:jc w:val="right"/>
              <w:rPr>
                <w:rFonts w:ascii="GHEA Grapalat" w:hAnsi="GHEA Grapalat"/>
                <w:b/>
                <w:bCs/>
                <w:sz w:val="18"/>
                <w:szCs w:val="18"/>
              </w:rPr>
            </w:pPr>
            <w:r w:rsidRPr="00C921DE">
              <w:rPr>
                <w:rFonts w:ascii="GHEA Grapalat" w:hAnsi="GHEA Grapalat"/>
                <w:b/>
                <w:bCs/>
                <w:sz w:val="18"/>
                <w:szCs w:val="18"/>
              </w:rPr>
              <w:t>139,492.7</w:t>
            </w:r>
          </w:p>
        </w:tc>
        <w:tc>
          <w:tcPr>
            <w:tcW w:w="1203" w:type="dxa"/>
            <w:vAlign w:val="bottom"/>
          </w:tcPr>
          <w:p w14:paraId="31EE9BBB" w14:textId="77777777" w:rsidR="003E6DF8" w:rsidRPr="00C921DE" w:rsidRDefault="003E6DF8" w:rsidP="003E6DF8">
            <w:pPr>
              <w:jc w:val="right"/>
              <w:rPr>
                <w:rFonts w:ascii="GHEA Grapalat" w:hAnsi="GHEA Grapalat"/>
                <w:b/>
                <w:bCs/>
                <w:noProof w:val="0"/>
                <w:sz w:val="18"/>
                <w:szCs w:val="18"/>
                <w:lang w:val="en-US"/>
              </w:rPr>
            </w:pPr>
            <w:r w:rsidRPr="00C921DE">
              <w:rPr>
                <w:rFonts w:ascii="GHEA Grapalat" w:hAnsi="GHEA Grapalat"/>
                <w:b/>
                <w:bCs/>
                <w:sz w:val="18"/>
                <w:szCs w:val="18"/>
              </w:rPr>
              <w:t>97.1</w:t>
            </w:r>
          </w:p>
        </w:tc>
        <w:tc>
          <w:tcPr>
            <w:tcW w:w="1203" w:type="dxa"/>
            <w:vAlign w:val="bottom"/>
          </w:tcPr>
          <w:p w14:paraId="29D91B38" w14:textId="77777777" w:rsidR="003E6DF8" w:rsidRPr="00C921DE" w:rsidRDefault="003E6DF8" w:rsidP="003E6DF8">
            <w:pPr>
              <w:jc w:val="right"/>
              <w:rPr>
                <w:rFonts w:ascii="GHEA Grapalat" w:hAnsi="GHEA Grapalat"/>
                <w:b/>
                <w:bCs/>
                <w:sz w:val="18"/>
                <w:szCs w:val="18"/>
              </w:rPr>
            </w:pPr>
            <w:r w:rsidRPr="00C921DE">
              <w:rPr>
                <w:rFonts w:ascii="GHEA Grapalat" w:hAnsi="GHEA Grapalat"/>
                <w:b/>
                <w:bCs/>
                <w:sz w:val="18"/>
                <w:szCs w:val="18"/>
              </w:rPr>
              <w:t>99.2</w:t>
            </w:r>
          </w:p>
        </w:tc>
        <w:tc>
          <w:tcPr>
            <w:tcW w:w="1080" w:type="dxa"/>
            <w:vAlign w:val="bottom"/>
          </w:tcPr>
          <w:p w14:paraId="08F5F55C" w14:textId="77777777" w:rsidR="003E6DF8" w:rsidRPr="00C921DE" w:rsidRDefault="003E6DF8" w:rsidP="003E6DF8">
            <w:pPr>
              <w:jc w:val="right"/>
              <w:rPr>
                <w:rFonts w:ascii="GHEA Grapalat" w:hAnsi="GHEA Grapalat"/>
                <w:b/>
                <w:bCs/>
                <w:sz w:val="18"/>
                <w:szCs w:val="18"/>
              </w:rPr>
            </w:pPr>
            <w:r w:rsidRPr="00C921DE">
              <w:rPr>
                <w:rFonts w:ascii="GHEA Grapalat" w:hAnsi="GHEA Grapalat"/>
                <w:b/>
                <w:bCs/>
                <w:sz w:val="18"/>
                <w:szCs w:val="18"/>
              </w:rPr>
              <w:t>(1,129.6)</w:t>
            </w:r>
          </w:p>
        </w:tc>
      </w:tr>
      <w:tr w:rsidR="00AF792A" w:rsidRPr="00C921DE" w14:paraId="0653AD73" w14:textId="77777777" w:rsidTr="003E6DF8">
        <w:trPr>
          <w:trHeight w:val="300"/>
          <w:jc w:val="center"/>
        </w:trPr>
        <w:tc>
          <w:tcPr>
            <w:tcW w:w="3526" w:type="dxa"/>
            <w:vAlign w:val="bottom"/>
          </w:tcPr>
          <w:p w14:paraId="4C5A108B" w14:textId="77777777" w:rsidR="00AF792A" w:rsidRPr="00C921DE" w:rsidRDefault="00AF792A" w:rsidP="00AF792A">
            <w:pPr>
              <w:rPr>
                <w:rFonts w:ascii="GHEA Grapalat" w:hAnsi="GHEA Grapalat"/>
                <w:sz w:val="18"/>
                <w:szCs w:val="18"/>
              </w:rPr>
            </w:pPr>
            <w:r w:rsidRPr="00C921DE">
              <w:rPr>
                <w:rFonts w:ascii="GHEA Grapalat" w:hAnsi="GHEA Grapalat"/>
                <w:sz w:val="18"/>
                <w:szCs w:val="18"/>
                <w:lang w:val="en-US"/>
              </w:rPr>
              <w:t>Հանրային ա</w:t>
            </w:r>
            <w:r w:rsidRPr="00C921DE">
              <w:rPr>
                <w:rFonts w:ascii="GHEA Grapalat" w:hAnsi="GHEA Grapalat"/>
                <w:sz w:val="18"/>
                <w:szCs w:val="18"/>
              </w:rPr>
              <w:t>ռողջության պահպանում</w:t>
            </w:r>
          </w:p>
        </w:tc>
        <w:tc>
          <w:tcPr>
            <w:tcW w:w="1043" w:type="dxa"/>
            <w:vAlign w:val="bottom"/>
          </w:tcPr>
          <w:p w14:paraId="3639950A" w14:textId="77777777" w:rsidR="00AF792A" w:rsidRPr="00C921DE" w:rsidRDefault="00AF792A" w:rsidP="003E6DF8">
            <w:pPr>
              <w:jc w:val="right"/>
              <w:rPr>
                <w:rFonts w:ascii="GHEA Grapalat" w:hAnsi="GHEA Grapalat"/>
                <w:sz w:val="18"/>
                <w:szCs w:val="18"/>
                <w:lang w:val="en-US"/>
              </w:rPr>
            </w:pPr>
            <w:r w:rsidRPr="00C921DE">
              <w:rPr>
                <w:rFonts w:ascii="GHEA Grapalat" w:hAnsi="GHEA Grapalat"/>
                <w:sz w:val="18"/>
                <w:szCs w:val="18"/>
                <w:lang w:val="en-US"/>
              </w:rPr>
              <w:t>16,778.9</w:t>
            </w:r>
          </w:p>
        </w:tc>
        <w:tc>
          <w:tcPr>
            <w:tcW w:w="1051" w:type="dxa"/>
            <w:vAlign w:val="bottom"/>
          </w:tcPr>
          <w:p w14:paraId="5A1773BA" w14:textId="77777777" w:rsidR="00AF792A" w:rsidRPr="00C921DE" w:rsidRDefault="00AF792A" w:rsidP="003E6DF8">
            <w:pPr>
              <w:jc w:val="right"/>
              <w:rPr>
                <w:rFonts w:ascii="GHEA Grapalat" w:hAnsi="GHEA Grapalat"/>
                <w:sz w:val="18"/>
                <w:szCs w:val="18"/>
                <w:lang w:val="en-US"/>
              </w:rPr>
            </w:pPr>
            <w:r w:rsidRPr="00C921DE">
              <w:rPr>
                <w:rFonts w:ascii="GHEA Grapalat" w:hAnsi="GHEA Grapalat"/>
                <w:sz w:val="18"/>
                <w:szCs w:val="18"/>
                <w:lang w:val="en-US"/>
              </w:rPr>
              <w:t>6,967.7</w:t>
            </w:r>
          </w:p>
        </w:tc>
        <w:tc>
          <w:tcPr>
            <w:tcW w:w="1066" w:type="dxa"/>
            <w:vAlign w:val="bottom"/>
          </w:tcPr>
          <w:p w14:paraId="50BF9144" w14:textId="77777777" w:rsidR="00AF792A" w:rsidRPr="00C921DE" w:rsidRDefault="00AF792A" w:rsidP="003E6DF8">
            <w:pPr>
              <w:jc w:val="right"/>
              <w:rPr>
                <w:rFonts w:ascii="GHEA Grapalat" w:hAnsi="GHEA Grapalat"/>
                <w:sz w:val="18"/>
                <w:szCs w:val="18"/>
                <w:lang w:val="en-US"/>
              </w:rPr>
            </w:pPr>
            <w:r w:rsidRPr="00C921DE">
              <w:rPr>
                <w:rFonts w:ascii="GHEA Grapalat" w:hAnsi="GHEA Grapalat"/>
                <w:sz w:val="18"/>
                <w:szCs w:val="18"/>
                <w:lang w:val="en-US"/>
              </w:rPr>
              <w:t>6,796.3</w:t>
            </w:r>
          </w:p>
        </w:tc>
        <w:tc>
          <w:tcPr>
            <w:tcW w:w="1203" w:type="dxa"/>
            <w:vAlign w:val="bottom"/>
          </w:tcPr>
          <w:p w14:paraId="6034D0B7" w14:textId="77777777" w:rsidR="00AF792A" w:rsidRPr="00C921DE" w:rsidRDefault="00AF792A" w:rsidP="003E6DF8">
            <w:pPr>
              <w:jc w:val="right"/>
              <w:rPr>
                <w:rFonts w:ascii="GHEA Grapalat" w:hAnsi="GHEA Grapalat"/>
                <w:sz w:val="18"/>
                <w:szCs w:val="18"/>
                <w:lang w:val="en-US"/>
              </w:rPr>
            </w:pPr>
            <w:r w:rsidRPr="00C921DE">
              <w:rPr>
                <w:rFonts w:ascii="GHEA Grapalat" w:hAnsi="GHEA Grapalat"/>
                <w:sz w:val="18"/>
                <w:szCs w:val="18"/>
                <w:lang w:val="en-US"/>
              </w:rPr>
              <w:t>97.5</w:t>
            </w:r>
          </w:p>
        </w:tc>
        <w:tc>
          <w:tcPr>
            <w:tcW w:w="1203" w:type="dxa"/>
            <w:vAlign w:val="bottom"/>
          </w:tcPr>
          <w:p w14:paraId="6537F5B6" w14:textId="77777777" w:rsidR="00AF792A" w:rsidRPr="00C921DE" w:rsidRDefault="000E00C3" w:rsidP="003E6DF8">
            <w:pPr>
              <w:jc w:val="right"/>
              <w:rPr>
                <w:rFonts w:ascii="GHEA Grapalat" w:hAnsi="GHEA Grapalat"/>
                <w:sz w:val="18"/>
                <w:szCs w:val="18"/>
                <w:lang w:val="en-US"/>
              </w:rPr>
            </w:pPr>
            <w:r w:rsidRPr="00C921DE">
              <w:rPr>
                <w:rFonts w:ascii="GHEA Grapalat" w:hAnsi="GHEA Grapalat"/>
                <w:sz w:val="18"/>
                <w:szCs w:val="18"/>
                <w:lang w:val="en-US"/>
              </w:rPr>
              <w:t>40.5</w:t>
            </w:r>
          </w:p>
        </w:tc>
        <w:tc>
          <w:tcPr>
            <w:tcW w:w="1080" w:type="dxa"/>
            <w:vAlign w:val="bottom"/>
          </w:tcPr>
          <w:p w14:paraId="2EDA4346" w14:textId="77777777" w:rsidR="00AF792A" w:rsidRPr="00C921DE" w:rsidRDefault="000E00C3" w:rsidP="003E6DF8">
            <w:pPr>
              <w:jc w:val="right"/>
              <w:rPr>
                <w:rFonts w:ascii="GHEA Grapalat" w:hAnsi="GHEA Grapalat"/>
                <w:sz w:val="18"/>
                <w:szCs w:val="18"/>
                <w:lang w:val="en-US"/>
              </w:rPr>
            </w:pPr>
            <w:r w:rsidRPr="00C921DE">
              <w:rPr>
                <w:rFonts w:ascii="GHEA Grapalat" w:hAnsi="GHEA Grapalat"/>
                <w:sz w:val="18"/>
                <w:szCs w:val="18"/>
                <w:lang w:val="en-US"/>
              </w:rPr>
              <w:t>(9,982.6)</w:t>
            </w:r>
          </w:p>
        </w:tc>
      </w:tr>
      <w:tr w:rsidR="003E6DF8" w:rsidRPr="00C921DE" w14:paraId="68B4B60A" w14:textId="77777777" w:rsidTr="003E6DF8">
        <w:trPr>
          <w:trHeight w:val="300"/>
          <w:jc w:val="center"/>
        </w:trPr>
        <w:tc>
          <w:tcPr>
            <w:tcW w:w="3526" w:type="dxa"/>
            <w:vAlign w:val="bottom"/>
          </w:tcPr>
          <w:p w14:paraId="5331C029" w14:textId="77777777" w:rsidR="003E6DF8" w:rsidRPr="00C921DE" w:rsidRDefault="003E6DF8" w:rsidP="003E6DF8">
            <w:pPr>
              <w:rPr>
                <w:rFonts w:ascii="GHEA Grapalat" w:hAnsi="GHEA Grapalat"/>
                <w:sz w:val="18"/>
                <w:szCs w:val="18"/>
              </w:rPr>
            </w:pPr>
            <w:r w:rsidRPr="00C921DE">
              <w:rPr>
                <w:rFonts w:ascii="GHEA Grapalat" w:hAnsi="GHEA Grapalat"/>
                <w:sz w:val="18"/>
                <w:szCs w:val="18"/>
              </w:rPr>
              <w:lastRenderedPageBreak/>
              <w:t>Առողջության առաջնային պահպանում</w:t>
            </w:r>
          </w:p>
        </w:tc>
        <w:tc>
          <w:tcPr>
            <w:tcW w:w="1043" w:type="dxa"/>
            <w:vAlign w:val="bottom"/>
          </w:tcPr>
          <w:p w14:paraId="36A5C541"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28,292.6</w:t>
            </w:r>
          </w:p>
        </w:tc>
        <w:tc>
          <w:tcPr>
            <w:tcW w:w="1051" w:type="dxa"/>
            <w:vAlign w:val="bottom"/>
          </w:tcPr>
          <w:p w14:paraId="108D18B8" w14:textId="77777777" w:rsidR="003E6DF8" w:rsidRPr="00C921DE" w:rsidRDefault="003E6DF8" w:rsidP="003E6DF8">
            <w:pPr>
              <w:jc w:val="right"/>
              <w:rPr>
                <w:rFonts w:ascii="GHEA Grapalat" w:hAnsi="GHEA Grapalat"/>
                <w:noProof w:val="0"/>
                <w:sz w:val="18"/>
                <w:szCs w:val="18"/>
                <w:lang w:val="en-US"/>
              </w:rPr>
            </w:pPr>
            <w:r w:rsidRPr="00C921DE">
              <w:rPr>
                <w:rFonts w:ascii="GHEA Grapalat" w:hAnsi="GHEA Grapalat"/>
                <w:sz w:val="18"/>
                <w:szCs w:val="18"/>
              </w:rPr>
              <w:t>29,536.9</w:t>
            </w:r>
          </w:p>
        </w:tc>
        <w:tc>
          <w:tcPr>
            <w:tcW w:w="1066" w:type="dxa"/>
            <w:vAlign w:val="bottom"/>
          </w:tcPr>
          <w:p w14:paraId="0FFA16F9"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29,346.4</w:t>
            </w:r>
          </w:p>
        </w:tc>
        <w:tc>
          <w:tcPr>
            <w:tcW w:w="1203" w:type="dxa"/>
            <w:vAlign w:val="bottom"/>
          </w:tcPr>
          <w:p w14:paraId="085016EB"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99.4</w:t>
            </w:r>
          </w:p>
        </w:tc>
        <w:tc>
          <w:tcPr>
            <w:tcW w:w="1203" w:type="dxa"/>
            <w:vAlign w:val="bottom"/>
          </w:tcPr>
          <w:p w14:paraId="038BDB4A"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103.7</w:t>
            </w:r>
          </w:p>
        </w:tc>
        <w:tc>
          <w:tcPr>
            <w:tcW w:w="1080" w:type="dxa"/>
            <w:vAlign w:val="bottom"/>
          </w:tcPr>
          <w:p w14:paraId="276855EA"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1,053.8</w:t>
            </w:r>
          </w:p>
        </w:tc>
      </w:tr>
      <w:tr w:rsidR="003E6DF8" w:rsidRPr="00C921DE" w14:paraId="30CC2964" w14:textId="77777777" w:rsidTr="003E6DF8">
        <w:trPr>
          <w:trHeight w:val="300"/>
          <w:jc w:val="center"/>
        </w:trPr>
        <w:tc>
          <w:tcPr>
            <w:tcW w:w="3526" w:type="dxa"/>
            <w:vAlign w:val="bottom"/>
          </w:tcPr>
          <w:p w14:paraId="77B89B22" w14:textId="77777777" w:rsidR="003E6DF8" w:rsidRPr="00C921DE" w:rsidRDefault="003E6DF8" w:rsidP="003E6DF8">
            <w:pPr>
              <w:rPr>
                <w:rFonts w:ascii="GHEA Grapalat" w:hAnsi="GHEA Grapalat"/>
                <w:sz w:val="18"/>
                <w:szCs w:val="18"/>
              </w:rPr>
            </w:pPr>
            <w:r w:rsidRPr="00C921DE">
              <w:rPr>
                <w:rFonts w:ascii="GHEA Grapalat" w:hAnsi="GHEA Grapalat"/>
                <w:sz w:val="18"/>
                <w:szCs w:val="18"/>
              </w:rPr>
              <w:t>Մոր և մանկան առողջության պահպանում</w:t>
            </w:r>
          </w:p>
        </w:tc>
        <w:tc>
          <w:tcPr>
            <w:tcW w:w="1043" w:type="dxa"/>
            <w:vAlign w:val="bottom"/>
          </w:tcPr>
          <w:p w14:paraId="00247113"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19,756.2</w:t>
            </w:r>
          </w:p>
        </w:tc>
        <w:tc>
          <w:tcPr>
            <w:tcW w:w="1051" w:type="dxa"/>
            <w:vAlign w:val="bottom"/>
          </w:tcPr>
          <w:p w14:paraId="111293FD" w14:textId="77777777" w:rsidR="003E6DF8" w:rsidRPr="00C921DE" w:rsidRDefault="003E6DF8" w:rsidP="003E6DF8">
            <w:pPr>
              <w:jc w:val="right"/>
              <w:rPr>
                <w:rFonts w:ascii="GHEA Grapalat" w:hAnsi="GHEA Grapalat"/>
                <w:noProof w:val="0"/>
                <w:sz w:val="18"/>
                <w:szCs w:val="18"/>
                <w:lang w:val="en-US"/>
              </w:rPr>
            </w:pPr>
            <w:r w:rsidRPr="00C921DE">
              <w:rPr>
                <w:rFonts w:ascii="GHEA Grapalat" w:hAnsi="GHEA Grapalat"/>
                <w:sz w:val="18"/>
                <w:szCs w:val="18"/>
              </w:rPr>
              <w:t>21,427.0</w:t>
            </w:r>
          </w:p>
        </w:tc>
        <w:tc>
          <w:tcPr>
            <w:tcW w:w="1066" w:type="dxa"/>
            <w:vAlign w:val="bottom"/>
          </w:tcPr>
          <w:p w14:paraId="10C3F93A"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21,261.4</w:t>
            </w:r>
          </w:p>
        </w:tc>
        <w:tc>
          <w:tcPr>
            <w:tcW w:w="1203" w:type="dxa"/>
            <w:vAlign w:val="bottom"/>
          </w:tcPr>
          <w:p w14:paraId="493CDD46"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99.2</w:t>
            </w:r>
          </w:p>
        </w:tc>
        <w:tc>
          <w:tcPr>
            <w:tcW w:w="1203" w:type="dxa"/>
            <w:vAlign w:val="bottom"/>
          </w:tcPr>
          <w:p w14:paraId="3F01A319"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107.6</w:t>
            </w:r>
          </w:p>
        </w:tc>
        <w:tc>
          <w:tcPr>
            <w:tcW w:w="1080" w:type="dxa"/>
            <w:vAlign w:val="bottom"/>
          </w:tcPr>
          <w:p w14:paraId="3CDACBE0"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1,505.1</w:t>
            </w:r>
          </w:p>
        </w:tc>
      </w:tr>
      <w:tr w:rsidR="003E6DF8" w:rsidRPr="00C921DE" w14:paraId="2C30D93D" w14:textId="77777777" w:rsidTr="003E6DF8">
        <w:trPr>
          <w:trHeight w:val="300"/>
          <w:jc w:val="center"/>
        </w:trPr>
        <w:tc>
          <w:tcPr>
            <w:tcW w:w="3526" w:type="dxa"/>
            <w:vAlign w:val="bottom"/>
          </w:tcPr>
          <w:p w14:paraId="235CB314" w14:textId="77777777" w:rsidR="003E6DF8" w:rsidRPr="00C921DE" w:rsidRDefault="003E6DF8" w:rsidP="003E6DF8">
            <w:pPr>
              <w:rPr>
                <w:rFonts w:ascii="GHEA Grapalat" w:hAnsi="GHEA Grapalat"/>
                <w:sz w:val="18"/>
                <w:szCs w:val="18"/>
              </w:rPr>
            </w:pPr>
            <w:r w:rsidRPr="00C921DE">
              <w:rPr>
                <w:rFonts w:ascii="GHEA Grapalat" w:hAnsi="GHEA Grapalat"/>
                <w:sz w:val="18"/>
                <w:szCs w:val="18"/>
              </w:rPr>
              <w:t>Ոչ վարակիչ հիվանդությունների բժշկական օգնության ապահովում</w:t>
            </w:r>
          </w:p>
        </w:tc>
        <w:tc>
          <w:tcPr>
            <w:tcW w:w="1043" w:type="dxa"/>
            <w:vAlign w:val="bottom"/>
          </w:tcPr>
          <w:p w14:paraId="364EC043"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18,967.3</w:t>
            </w:r>
          </w:p>
        </w:tc>
        <w:tc>
          <w:tcPr>
            <w:tcW w:w="1051" w:type="dxa"/>
            <w:vAlign w:val="bottom"/>
          </w:tcPr>
          <w:p w14:paraId="06329473" w14:textId="77777777" w:rsidR="003E6DF8" w:rsidRPr="00C921DE" w:rsidRDefault="003E6DF8" w:rsidP="003E6DF8">
            <w:pPr>
              <w:jc w:val="right"/>
              <w:rPr>
                <w:rFonts w:ascii="GHEA Grapalat" w:hAnsi="GHEA Grapalat"/>
                <w:noProof w:val="0"/>
                <w:sz w:val="18"/>
                <w:szCs w:val="18"/>
                <w:lang w:val="en-US"/>
              </w:rPr>
            </w:pPr>
            <w:r w:rsidRPr="00C921DE">
              <w:rPr>
                <w:rFonts w:ascii="GHEA Grapalat" w:hAnsi="GHEA Grapalat"/>
                <w:sz w:val="18"/>
                <w:szCs w:val="18"/>
              </w:rPr>
              <w:t>21,911.5</w:t>
            </w:r>
          </w:p>
        </w:tc>
        <w:tc>
          <w:tcPr>
            <w:tcW w:w="1066" w:type="dxa"/>
            <w:vAlign w:val="bottom"/>
          </w:tcPr>
          <w:p w14:paraId="5D75A58A"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21,830.6</w:t>
            </w:r>
          </w:p>
        </w:tc>
        <w:tc>
          <w:tcPr>
            <w:tcW w:w="1203" w:type="dxa"/>
            <w:vAlign w:val="bottom"/>
          </w:tcPr>
          <w:p w14:paraId="055C8DF5"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99.6</w:t>
            </w:r>
          </w:p>
        </w:tc>
        <w:tc>
          <w:tcPr>
            <w:tcW w:w="1203" w:type="dxa"/>
            <w:vAlign w:val="bottom"/>
          </w:tcPr>
          <w:p w14:paraId="4ABE95EB"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115.1</w:t>
            </w:r>
          </w:p>
        </w:tc>
        <w:tc>
          <w:tcPr>
            <w:tcW w:w="1080" w:type="dxa"/>
            <w:vAlign w:val="bottom"/>
          </w:tcPr>
          <w:p w14:paraId="0C8A2EC4"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2,863.3</w:t>
            </w:r>
          </w:p>
        </w:tc>
      </w:tr>
      <w:tr w:rsidR="003E6DF8" w:rsidRPr="00C921DE" w14:paraId="40BC2B2D" w14:textId="77777777" w:rsidTr="003E6DF8">
        <w:trPr>
          <w:trHeight w:val="300"/>
          <w:jc w:val="center"/>
        </w:trPr>
        <w:tc>
          <w:tcPr>
            <w:tcW w:w="3526" w:type="dxa"/>
            <w:vAlign w:val="bottom"/>
          </w:tcPr>
          <w:p w14:paraId="690AD04D" w14:textId="77777777" w:rsidR="003E6DF8" w:rsidRPr="00C921DE" w:rsidRDefault="003E6DF8" w:rsidP="003E6DF8">
            <w:pPr>
              <w:rPr>
                <w:rFonts w:ascii="GHEA Grapalat" w:hAnsi="GHEA Grapalat"/>
                <w:sz w:val="18"/>
                <w:szCs w:val="18"/>
              </w:rPr>
            </w:pPr>
            <w:r w:rsidRPr="00C921DE">
              <w:rPr>
                <w:rFonts w:ascii="GHEA Grapalat" w:hAnsi="GHEA Grapalat"/>
                <w:sz w:val="18"/>
                <w:szCs w:val="18"/>
              </w:rPr>
              <w:t>Սոցիալապես անապահով և առանձին խմբերի անձանց բժշկական օգնություն</w:t>
            </w:r>
          </w:p>
        </w:tc>
        <w:tc>
          <w:tcPr>
            <w:tcW w:w="1043" w:type="dxa"/>
            <w:vAlign w:val="bottom"/>
          </w:tcPr>
          <w:p w14:paraId="5EE5FD53"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35,635.4</w:t>
            </w:r>
          </w:p>
        </w:tc>
        <w:tc>
          <w:tcPr>
            <w:tcW w:w="1051" w:type="dxa"/>
            <w:vAlign w:val="bottom"/>
          </w:tcPr>
          <w:p w14:paraId="383453D0" w14:textId="77777777" w:rsidR="003E6DF8" w:rsidRPr="00C921DE" w:rsidRDefault="003E6DF8" w:rsidP="003E6DF8">
            <w:pPr>
              <w:jc w:val="right"/>
              <w:rPr>
                <w:rFonts w:ascii="GHEA Grapalat" w:hAnsi="GHEA Grapalat"/>
                <w:noProof w:val="0"/>
                <w:sz w:val="18"/>
                <w:szCs w:val="18"/>
                <w:lang w:val="en-US"/>
              </w:rPr>
            </w:pPr>
            <w:r w:rsidRPr="00C921DE">
              <w:rPr>
                <w:rFonts w:ascii="GHEA Grapalat" w:hAnsi="GHEA Grapalat"/>
                <w:sz w:val="18"/>
                <w:szCs w:val="18"/>
              </w:rPr>
              <w:t>37,030.1</w:t>
            </w:r>
          </w:p>
        </w:tc>
        <w:tc>
          <w:tcPr>
            <w:tcW w:w="1066" w:type="dxa"/>
            <w:vAlign w:val="bottom"/>
          </w:tcPr>
          <w:p w14:paraId="4A80134D"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36,961.9</w:t>
            </w:r>
          </w:p>
        </w:tc>
        <w:tc>
          <w:tcPr>
            <w:tcW w:w="1203" w:type="dxa"/>
            <w:vAlign w:val="bottom"/>
          </w:tcPr>
          <w:p w14:paraId="2E71486A"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99.8</w:t>
            </w:r>
          </w:p>
        </w:tc>
        <w:tc>
          <w:tcPr>
            <w:tcW w:w="1203" w:type="dxa"/>
            <w:vAlign w:val="bottom"/>
          </w:tcPr>
          <w:p w14:paraId="4AF3E35F"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103.7</w:t>
            </w:r>
          </w:p>
        </w:tc>
        <w:tc>
          <w:tcPr>
            <w:tcW w:w="1080" w:type="dxa"/>
            <w:vAlign w:val="bottom"/>
          </w:tcPr>
          <w:p w14:paraId="09669DB0" w14:textId="77777777" w:rsidR="003E6DF8" w:rsidRPr="00C921DE" w:rsidRDefault="003E6DF8" w:rsidP="003E6DF8">
            <w:pPr>
              <w:jc w:val="right"/>
              <w:rPr>
                <w:rFonts w:ascii="GHEA Grapalat" w:hAnsi="GHEA Grapalat"/>
                <w:sz w:val="18"/>
                <w:szCs w:val="18"/>
              </w:rPr>
            </w:pPr>
            <w:r w:rsidRPr="00C921DE">
              <w:rPr>
                <w:rFonts w:ascii="GHEA Grapalat" w:hAnsi="GHEA Grapalat"/>
                <w:sz w:val="18"/>
                <w:szCs w:val="18"/>
              </w:rPr>
              <w:t>1,326.5</w:t>
            </w:r>
          </w:p>
        </w:tc>
      </w:tr>
      <w:tr w:rsidR="003E6DF8" w:rsidRPr="00C921DE" w14:paraId="40EF5327" w14:textId="77777777" w:rsidTr="003E6DF8">
        <w:trPr>
          <w:trHeight w:val="300"/>
          <w:jc w:val="center"/>
        </w:trPr>
        <w:tc>
          <w:tcPr>
            <w:tcW w:w="3526" w:type="dxa"/>
            <w:vAlign w:val="bottom"/>
          </w:tcPr>
          <w:p w14:paraId="0DD126B5" w14:textId="77777777" w:rsidR="003E6DF8" w:rsidRPr="00C921DE" w:rsidRDefault="003E6DF8" w:rsidP="003E6DF8">
            <w:pPr>
              <w:rPr>
                <w:rFonts w:ascii="GHEA Grapalat" w:hAnsi="GHEA Grapalat" w:cs="Calibri"/>
                <w:sz w:val="18"/>
                <w:szCs w:val="18"/>
              </w:rPr>
            </w:pPr>
            <w:r w:rsidRPr="00C921DE">
              <w:rPr>
                <w:rFonts w:ascii="GHEA Grapalat" w:hAnsi="GHEA Grapalat" w:cs="Calibri"/>
                <w:sz w:val="18"/>
                <w:szCs w:val="18"/>
              </w:rPr>
              <w:t>Այլ ծրագրեր</w:t>
            </w:r>
          </w:p>
        </w:tc>
        <w:tc>
          <w:tcPr>
            <w:tcW w:w="1043" w:type="dxa"/>
            <w:vAlign w:val="bottom"/>
          </w:tcPr>
          <w:p w14:paraId="2BC69A90" w14:textId="77777777" w:rsidR="003E6DF8" w:rsidRPr="00C921DE" w:rsidRDefault="00E70777" w:rsidP="00E70777">
            <w:pPr>
              <w:jc w:val="right"/>
              <w:rPr>
                <w:rFonts w:ascii="GHEA Grapalat" w:hAnsi="GHEA Grapalat"/>
                <w:noProof w:val="0"/>
                <w:sz w:val="18"/>
                <w:szCs w:val="18"/>
                <w:lang w:val="en-US"/>
              </w:rPr>
            </w:pPr>
            <w:r w:rsidRPr="00C921DE">
              <w:rPr>
                <w:rFonts w:ascii="GHEA Grapalat" w:hAnsi="GHEA Grapalat"/>
                <w:sz w:val="18"/>
                <w:szCs w:val="18"/>
                <w:lang w:val="en-US"/>
              </w:rPr>
              <w:t>21</w:t>
            </w:r>
            <w:r w:rsidR="003E6DF8" w:rsidRPr="00C921DE">
              <w:rPr>
                <w:rFonts w:ascii="GHEA Grapalat" w:hAnsi="GHEA Grapalat"/>
                <w:sz w:val="18"/>
                <w:szCs w:val="18"/>
              </w:rPr>
              <w:t>,</w:t>
            </w:r>
            <w:r w:rsidRPr="00C921DE">
              <w:rPr>
                <w:rFonts w:ascii="GHEA Grapalat" w:hAnsi="GHEA Grapalat"/>
                <w:sz w:val="18"/>
                <w:szCs w:val="18"/>
                <w:lang w:val="en-US"/>
              </w:rPr>
              <w:t>191.9</w:t>
            </w:r>
          </w:p>
        </w:tc>
        <w:tc>
          <w:tcPr>
            <w:tcW w:w="1051" w:type="dxa"/>
            <w:vAlign w:val="bottom"/>
          </w:tcPr>
          <w:p w14:paraId="7D24519D" w14:textId="77777777" w:rsidR="003E6DF8" w:rsidRPr="00C921DE" w:rsidRDefault="00E70777" w:rsidP="003E6DF8">
            <w:pPr>
              <w:jc w:val="right"/>
              <w:rPr>
                <w:rFonts w:ascii="GHEA Grapalat" w:hAnsi="GHEA Grapalat"/>
                <w:sz w:val="18"/>
                <w:szCs w:val="18"/>
                <w:lang w:val="en-US"/>
              </w:rPr>
            </w:pPr>
            <w:r w:rsidRPr="00C921DE">
              <w:rPr>
                <w:rFonts w:ascii="GHEA Grapalat" w:hAnsi="GHEA Grapalat"/>
                <w:sz w:val="18"/>
                <w:szCs w:val="18"/>
                <w:lang w:val="en-US"/>
              </w:rPr>
              <w:t>26,755.6</w:t>
            </w:r>
          </w:p>
        </w:tc>
        <w:tc>
          <w:tcPr>
            <w:tcW w:w="1066" w:type="dxa"/>
            <w:vAlign w:val="bottom"/>
          </w:tcPr>
          <w:p w14:paraId="755BE2ED" w14:textId="77777777" w:rsidR="003E6DF8" w:rsidRPr="00C921DE" w:rsidRDefault="00E70777" w:rsidP="003E6DF8">
            <w:pPr>
              <w:jc w:val="right"/>
              <w:rPr>
                <w:rFonts w:ascii="GHEA Grapalat" w:hAnsi="GHEA Grapalat"/>
                <w:sz w:val="18"/>
                <w:szCs w:val="18"/>
                <w:lang w:val="en-US"/>
              </w:rPr>
            </w:pPr>
            <w:r w:rsidRPr="00C921DE">
              <w:rPr>
                <w:rFonts w:ascii="GHEA Grapalat" w:hAnsi="GHEA Grapalat"/>
                <w:sz w:val="18"/>
                <w:szCs w:val="18"/>
                <w:lang w:val="en-US"/>
              </w:rPr>
              <w:t>23,296.2</w:t>
            </w:r>
          </w:p>
        </w:tc>
        <w:tc>
          <w:tcPr>
            <w:tcW w:w="1203" w:type="dxa"/>
            <w:vAlign w:val="bottom"/>
          </w:tcPr>
          <w:p w14:paraId="611D97B4" w14:textId="77777777" w:rsidR="003E6DF8" w:rsidRPr="00C921DE" w:rsidRDefault="003E6DF8" w:rsidP="00E70777">
            <w:pPr>
              <w:jc w:val="right"/>
              <w:rPr>
                <w:rFonts w:ascii="GHEA Grapalat" w:hAnsi="GHEA Grapalat"/>
                <w:sz w:val="18"/>
                <w:szCs w:val="18"/>
                <w:lang w:val="en-US"/>
              </w:rPr>
            </w:pPr>
            <w:r w:rsidRPr="00C921DE">
              <w:rPr>
                <w:rFonts w:ascii="GHEA Grapalat" w:hAnsi="GHEA Grapalat"/>
                <w:sz w:val="18"/>
                <w:szCs w:val="18"/>
              </w:rPr>
              <w:t>8</w:t>
            </w:r>
            <w:r w:rsidR="00E70777" w:rsidRPr="00C921DE">
              <w:rPr>
                <w:rFonts w:ascii="GHEA Grapalat" w:hAnsi="GHEA Grapalat"/>
                <w:sz w:val="18"/>
                <w:szCs w:val="18"/>
                <w:lang w:val="en-US"/>
              </w:rPr>
              <w:t>7.1</w:t>
            </w:r>
          </w:p>
        </w:tc>
        <w:tc>
          <w:tcPr>
            <w:tcW w:w="1203" w:type="dxa"/>
            <w:vAlign w:val="bottom"/>
          </w:tcPr>
          <w:p w14:paraId="4751CD1A" w14:textId="77777777" w:rsidR="003E6DF8" w:rsidRPr="00C921DE" w:rsidRDefault="002401E3" w:rsidP="003E6DF8">
            <w:pPr>
              <w:jc w:val="right"/>
              <w:rPr>
                <w:rFonts w:ascii="GHEA Grapalat" w:hAnsi="GHEA Grapalat"/>
                <w:sz w:val="18"/>
                <w:szCs w:val="18"/>
                <w:lang w:val="en-US"/>
              </w:rPr>
            </w:pPr>
            <w:r w:rsidRPr="00C921DE">
              <w:rPr>
                <w:rFonts w:ascii="GHEA Grapalat" w:hAnsi="GHEA Grapalat"/>
                <w:sz w:val="18"/>
                <w:szCs w:val="18"/>
                <w:lang w:val="en-US"/>
              </w:rPr>
              <w:t>109.9</w:t>
            </w:r>
          </w:p>
        </w:tc>
        <w:tc>
          <w:tcPr>
            <w:tcW w:w="1080" w:type="dxa"/>
            <w:vAlign w:val="bottom"/>
          </w:tcPr>
          <w:p w14:paraId="283629D3" w14:textId="77777777" w:rsidR="003E6DF8" w:rsidRPr="00C921DE" w:rsidRDefault="002401E3" w:rsidP="003E6DF8">
            <w:pPr>
              <w:jc w:val="right"/>
              <w:rPr>
                <w:rFonts w:ascii="GHEA Grapalat" w:hAnsi="GHEA Grapalat"/>
                <w:sz w:val="18"/>
                <w:szCs w:val="18"/>
                <w:lang w:val="en-US"/>
              </w:rPr>
            </w:pPr>
            <w:r w:rsidRPr="00C921DE">
              <w:rPr>
                <w:rFonts w:ascii="GHEA Grapalat" w:hAnsi="GHEA Grapalat"/>
                <w:sz w:val="18"/>
                <w:szCs w:val="18"/>
                <w:lang w:val="en-US"/>
              </w:rPr>
              <w:t>2,104.3</w:t>
            </w:r>
          </w:p>
        </w:tc>
      </w:tr>
    </w:tbl>
    <w:p w14:paraId="3855CE4B" w14:textId="77777777" w:rsidR="003E6DF8" w:rsidRPr="00C921DE" w:rsidRDefault="003E6DF8" w:rsidP="00A605DF">
      <w:pPr>
        <w:autoSpaceDE w:val="0"/>
        <w:autoSpaceDN w:val="0"/>
        <w:adjustRightInd w:val="0"/>
        <w:ind w:firstLine="567"/>
        <w:jc w:val="both"/>
        <w:rPr>
          <w:rFonts w:ascii="GHEA Grapalat" w:hAnsi="GHEA Grapalat" w:cs="Arial"/>
        </w:rPr>
      </w:pPr>
    </w:p>
    <w:p w14:paraId="4ED7E5E4" w14:textId="14D74E06"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
          <w:iCs/>
          <w:sz w:val="22"/>
          <w:szCs w:val="22"/>
        </w:rPr>
        <w:t xml:space="preserve">Հանրային առողջության պահպանման </w:t>
      </w:r>
      <w:r w:rsidRPr="00C921DE">
        <w:rPr>
          <w:rFonts w:ascii="GHEA Grapalat" w:hAnsi="GHEA Grapalat" w:cs="GHEA Grapalat"/>
          <w:iCs/>
          <w:sz w:val="22"/>
          <w:szCs w:val="22"/>
        </w:rPr>
        <w:t>ծրագրի ծախսերը 2023 թվականին կազմել են շուրջ 6.8</w:t>
      </w:r>
      <w:r w:rsidRPr="00C921DE">
        <w:rPr>
          <w:rFonts w:ascii="Calibri" w:hAnsi="Calibri" w:cs="Calibri"/>
          <w:iCs/>
          <w:sz w:val="22"/>
          <w:szCs w:val="22"/>
          <w:lang w:val="en-US"/>
        </w:rPr>
        <w:t> </w:t>
      </w:r>
      <w:r w:rsidRPr="00C921DE">
        <w:rPr>
          <w:rFonts w:ascii="GHEA Grapalat" w:hAnsi="GHEA Grapalat" w:cs="GHEA Grapalat"/>
          <w:iCs/>
          <w:sz w:val="22"/>
          <w:szCs w:val="22"/>
        </w:rPr>
        <w:t>մլրդ դրամ կամ նախատեսվածի 97.5%-ը: Շեղումը հիմնականում պայմանավորված է ծրագրի ծախսերում մեծ տեսակարար կշիռ ունեցող «Իմունականխարգելման ազգային ծրագիր» միջոցառման կատարողականով: Նախորդ տարվա համեմատ Հանրային առողջության պահպանման ծրագրի ծախսերը նվազել են 59.5%-ով կամ 10 մլրդ դրամով՝ հիմնականում պայմանավորված Հայաստանի Հանրապետությունում կորոնավիրուսային վարակի (COVID-19) կանխարգելման, վերահսկման, բուժման և այլ համալիր միջոցառումների գծով ծախսերի 96.1% (10.4</w:t>
      </w:r>
      <w:r w:rsidRPr="00C921DE">
        <w:rPr>
          <w:rFonts w:ascii="Calibri" w:hAnsi="Calibri" w:cs="Calibri"/>
          <w:iCs/>
          <w:sz w:val="22"/>
          <w:szCs w:val="22"/>
        </w:rPr>
        <w:t> </w:t>
      </w:r>
      <w:r w:rsidRPr="00C921DE">
        <w:rPr>
          <w:rFonts w:ascii="GHEA Grapalat" w:hAnsi="GHEA Grapalat" w:cs="GHEA Grapalat"/>
          <w:iCs/>
          <w:sz w:val="22"/>
          <w:szCs w:val="22"/>
        </w:rPr>
        <w:t>մլրդ դրամ) նվազմամբ:</w:t>
      </w:r>
    </w:p>
    <w:p w14:paraId="4B9B4314" w14:textId="7777777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Իմունականխարգելման ազգային ծրագրի նպատակն է ազգա</w:t>
      </w:r>
      <w:r w:rsidRPr="00C921DE">
        <w:rPr>
          <w:rFonts w:ascii="GHEA Grapalat" w:hAnsi="GHEA Grapalat" w:cs="GHEA Grapalat"/>
          <w:iCs/>
          <w:sz w:val="22"/>
          <w:szCs w:val="22"/>
        </w:rPr>
        <w:softHyphen/>
        <w:t>յին օրացույ</w:t>
      </w:r>
      <w:r w:rsidRPr="00C921DE">
        <w:rPr>
          <w:rFonts w:ascii="GHEA Grapalat" w:hAnsi="GHEA Grapalat" w:cs="GHEA Grapalat"/>
          <w:iCs/>
          <w:sz w:val="22"/>
          <w:szCs w:val="22"/>
        </w:rPr>
        <w:softHyphen/>
        <w:t>ցում ընդգրկված պատվաստումների ժամանակին և որակով իրականացումը: Միջոցառման շրջանակներում հաշվետու տարում հանրապետությունում պատվաստումային ծառայությունների որակը և անվտանգությունը բարձրացնելու, բուժաշխատողների շրջանում իմունականխարգելման վերաբերյալ անհրաժեշտ նվազագույն գիտելիքներն ամրապնդելու նպատակով իրականացվել է իմունականխարգելման գործընթացի 703 աջակցողական մշտադիտարկում բժշկական օգնություն և սպասարկում իրականացնող կազմակերպություններում:</w:t>
      </w:r>
    </w:p>
    <w:p w14:paraId="1E693BA5" w14:textId="7777777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Պատվաստումների հասանելիության բարձրացման և պատվաստումային ծառայություններն առավել հասանելի դարձնելու նպատակով իրականացվել են արտագնա/շարժական պատվաստումներ՝ ցածր ընդգրկվ</w:t>
      </w:r>
      <w:r w:rsidR="003C2FF3" w:rsidRPr="00C921DE">
        <w:rPr>
          <w:rFonts w:ascii="GHEA Grapalat" w:hAnsi="GHEA Grapalat" w:cs="GHEA Grapalat"/>
          <w:iCs/>
          <w:sz w:val="22"/>
          <w:szCs w:val="22"/>
        </w:rPr>
        <w:t>ածություն ունեցող համայնքներում,</w:t>
      </w:r>
      <w:r w:rsidRPr="00C921DE">
        <w:rPr>
          <w:rFonts w:ascii="GHEA Grapalat" w:hAnsi="GHEA Grapalat" w:cs="GHEA Grapalat"/>
          <w:iCs/>
          <w:sz w:val="22"/>
          <w:szCs w:val="22"/>
        </w:rPr>
        <w:t xml:space="preserve"> </w:t>
      </w:r>
      <w:r w:rsidR="003C2FF3" w:rsidRPr="00C921DE">
        <w:rPr>
          <w:rFonts w:ascii="GHEA Grapalat" w:hAnsi="GHEA Grapalat" w:cs="GHEA Grapalat"/>
          <w:iCs/>
          <w:sz w:val="22"/>
          <w:szCs w:val="22"/>
          <w:lang w:val="en-US"/>
        </w:rPr>
        <w:t>պ</w:t>
      </w:r>
      <w:r w:rsidRPr="00C921DE">
        <w:rPr>
          <w:rFonts w:ascii="GHEA Grapalat" w:hAnsi="GHEA Grapalat" w:cs="GHEA Grapalat"/>
          <w:iCs/>
          <w:sz w:val="22"/>
          <w:szCs w:val="22"/>
        </w:rPr>
        <w:t>ատվաստումների վերաբերյալ հանրային իրազեկում՝ համայնքներում հեղինակություն ունեցող մասնագետների ներգրավմամբ՝ զուգակցելով բժշկական այլ ծառայությունների մատուցմամբ:</w:t>
      </w:r>
    </w:p>
    <w:p w14:paraId="4621F990" w14:textId="7777777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2023 թվականի զորակոչի ենթակա անձանց պատվաստումները ժամանակին և լիարժեք կազմակերպելու համար իրականացվել են նախապատրաստական աշխատանքներ, մասնավորապես՝ համագործակցություն հանրապետական և տարածքային զինկոմիսարիատի ներկայացուցիչների հետ, բժշկական կազմակերպություններում հաշվառված զորակոչի ենթակա անձանց պատվաստումային կարգավիճակի վերաբերյալ տեղեկատվության հավաքագրում՝ ըստ առանձին պատվաստումների, և հետպատվաստումային շրջանում առողջական վիճակի հսկողության 483 այց:</w:t>
      </w:r>
    </w:p>
    <w:p w14:paraId="206FF43D" w14:textId="7777777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lastRenderedPageBreak/>
        <w:t xml:space="preserve">Պատվաստումների ազգային օրացույցում ջրծաղիկի դեմ պատվաստումների փուլային ներդրման ուղղությամբ իրականացվել են նախապատրաստական միջոցառումներ: </w:t>
      </w:r>
    </w:p>
    <w:p w14:paraId="01F9835C" w14:textId="77777777" w:rsidR="003461BC" w:rsidRPr="00C921DE" w:rsidRDefault="003C2FF3"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Իմունականխարգելման ազգային ծրագրի</w:t>
      </w:r>
      <w:r w:rsidR="003461BC" w:rsidRPr="00C921DE">
        <w:rPr>
          <w:rFonts w:ascii="GHEA Grapalat" w:hAnsi="GHEA Grapalat" w:cs="GHEA Grapalat"/>
          <w:iCs/>
          <w:sz w:val="22"/>
          <w:szCs w:val="22"/>
        </w:rPr>
        <w:t xml:space="preserve"> շրջանակներում 2023 թվականին իրականացվել է 883118 պատվաստում՝ նախատեսված 845000-ի և 2022 թվականի 864485-ի դիմաց: Փաստացի արդյունքային ցուցանիշի գերազանցումը կանխատեսված և նախորդ տարվա ցուցանիշների նկատմամբ հիմնականում պայմանավորված է բնակչության շրջանում պատվաստումների </w:t>
      </w:r>
      <w:r w:rsidR="00F07EC3" w:rsidRPr="00C921DE">
        <w:rPr>
          <w:rFonts w:ascii="GHEA Grapalat" w:hAnsi="GHEA Grapalat" w:cs="GHEA Grapalat"/>
          <w:iCs/>
          <w:sz w:val="22"/>
          <w:szCs w:val="22"/>
          <w:lang w:val="en-US"/>
        </w:rPr>
        <w:t>(</w:t>
      </w:r>
      <w:r w:rsidR="003461BC" w:rsidRPr="00C921DE">
        <w:rPr>
          <w:rFonts w:ascii="GHEA Grapalat" w:hAnsi="GHEA Grapalat" w:cs="GHEA Grapalat"/>
          <w:iCs/>
          <w:sz w:val="22"/>
          <w:szCs w:val="22"/>
        </w:rPr>
        <w:t>մասնավորապես՝ ՄՊՎ (մարդու պապիլոմավիրուսային վարակ), ԱԴՓ-Մ (դիֆթերիա փայտացում), ԿԿԽ (կարմրուկ, կարմրախտ խոզուկ) և այլն</w:t>
      </w:r>
      <w:r w:rsidR="00F07EC3" w:rsidRPr="00C921DE">
        <w:rPr>
          <w:rFonts w:ascii="GHEA Grapalat" w:hAnsi="GHEA Grapalat" w:cs="GHEA Grapalat"/>
          <w:iCs/>
          <w:sz w:val="22"/>
          <w:szCs w:val="22"/>
          <w:lang w:val="en-US"/>
        </w:rPr>
        <w:t xml:space="preserve">) նկատմամբ </w:t>
      </w:r>
      <w:r w:rsidR="00F07EC3" w:rsidRPr="00C921DE">
        <w:rPr>
          <w:rFonts w:ascii="GHEA Grapalat" w:hAnsi="GHEA Grapalat" w:cs="GHEA Grapalat"/>
          <w:iCs/>
          <w:sz w:val="22"/>
          <w:szCs w:val="22"/>
        </w:rPr>
        <w:t>պահանջարկի աճով</w:t>
      </w:r>
      <w:r w:rsidR="003461BC" w:rsidRPr="00C921DE">
        <w:rPr>
          <w:rFonts w:ascii="GHEA Grapalat" w:hAnsi="GHEA Grapalat" w:cs="GHEA Grapalat"/>
          <w:iCs/>
          <w:sz w:val="22"/>
          <w:szCs w:val="22"/>
        </w:rPr>
        <w:t>:</w:t>
      </w:r>
    </w:p>
    <w:p w14:paraId="5C310091" w14:textId="7335318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2023 թվականին Իմունականխարգելման ազգային ծրագրի ծախսերը կազմել են շուրջ 3.6 մլրդ դրամ` ապահովելով 96.5% կատարողական: Շեղումը պայմանավորված է պատվաստանյութերի ձեռքբերման ընթացքում կանխատեսված և փաստացի փոխարժեքների տարբերությա</w:t>
      </w:r>
      <w:r w:rsidR="00F07EC3" w:rsidRPr="00C921DE">
        <w:rPr>
          <w:rFonts w:ascii="GHEA Grapalat" w:hAnsi="GHEA Grapalat" w:cs="GHEA Grapalat"/>
          <w:iCs/>
          <w:sz w:val="22"/>
          <w:szCs w:val="22"/>
          <w:lang w:val="en-US"/>
        </w:rPr>
        <w:t>ն</w:t>
      </w:r>
      <w:r w:rsidRPr="00C921DE">
        <w:rPr>
          <w:rFonts w:ascii="GHEA Grapalat" w:hAnsi="GHEA Grapalat" w:cs="GHEA Grapalat"/>
          <w:iCs/>
          <w:sz w:val="22"/>
          <w:szCs w:val="22"/>
        </w:rPr>
        <w:t>, ինչպես նաև</w:t>
      </w:r>
      <w:r w:rsidR="00CC0C3E" w:rsidRPr="00C921DE">
        <w:rPr>
          <w:rFonts w:ascii="GHEA Grapalat" w:hAnsi="GHEA Grapalat" w:cs="GHEA Grapalat"/>
          <w:iCs/>
          <w:sz w:val="22"/>
          <w:szCs w:val="22"/>
          <w:lang w:val="en-US"/>
        </w:rPr>
        <w:t xml:space="preserve"> որոշ </w:t>
      </w:r>
      <w:r w:rsidR="00CC0C3E" w:rsidRPr="00C921DE">
        <w:rPr>
          <w:rFonts w:ascii="GHEA Grapalat" w:hAnsi="GHEA Grapalat" w:cs="GHEA Grapalat"/>
          <w:iCs/>
          <w:sz w:val="22"/>
          <w:szCs w:val="22"/>
        </w:rPr>
        <w:t>պատվաստանյութեր</w:t>
      </w:r>
      <w:r w:rsidR="00CC0C3E" w:rsidRPr="00C921DE">
        <w:rPr>
          <w:rFonts w:ascii="GHEA Grapalat" w:hAnsi="GHEA Grapalat" w:cs="GHEA Grapalat"/>
          <w:iCs/>
          <w:sz w:val="22"/>
          <w:szCs w:val="22"/>
          <w:lang w:val="en-US"/>
        </w:rPr>
        <w:t>ի ներմուծման՝</w:t>
      </w:r>
      <w:r w:rsidRPr="00C921DE">
        <w:rPr>
          <w:rFonts w:ascii="GHEA Grapalat" w:hAnsi="GHEA Grapalat" w:cs="GHEA Grapalat"/>
          <w:iCs/>
          <w:sz w:val="22"/>
          <w:szCs w:val="22"/>
        </w:rPr>
        <w:t xml:space="preserve"> մաքսատուրքից ազատվելու արդյունքում առաջացած խնայողությամբ: Նախորդ տարվա համեմատ իմունականխարգելման ազգային ծրագրի ծախսերն աճել են 9.5%</w:t>
      </w:r>
      <w:r w:rsidRPr="00C921DE">
        <w:rPr>
          <w:rFonts w:ascii="GHEA Grapalat" w:hAnsi="GHEA Grapalat" w:cs="GHEA Grapalat"/>
          <w:iCs/>
          <w:sz w:val="22"/>
          <w:szCs w:val="22"/>
        </w:rPr>
        <w:noBreakHyphen/>
        <w:t>ով կամ 307.2 մլն դրամով, որը հիմնականում պայմանավորված է պատվաստումների քանակ</w:t>
      </w:r>
      <w:r w:rsidR="00526BB1" w:rsidRPr="00C921DE">
        <w:rPr>
          <w:rFonts w:ascii="GHEA Grapalat" w:hAnsi="GHEA Grapalat" w:cs="GHEA Grapalat"/>
          <w:iCs/>
          <w:sz w:val="22"/>
          <w:szCs w:val="22"/>
          <w:lang w:val="en-US"/>
        </w:rPr>
        <w:t>ի աճ</w:t>
      </w:r>
      <w:r w:rsidRPr="00C921DE">
        <w:rPr>
          <w:rFonts w:ascii="GHEA Grapalat" w:hAnsi="GHEA Grapalat" w:cs="GHEA Grapalat"/>
          <w:iCs/>
          <w:sz w:val="22"/>
          <w:szCs w:val="22"/>
        </w:rPr>
        <w:t>ով:</w:t>
      </w:r>
    </w:p>
    <w:p w14:paraId="5EEF9198" w14:textId="7777777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Բնակչության սանիտարահամաճարակային անվտանգության ապահովման և հանրային առողջապահության ծառայությունների ձեռքբերման միջոցառման շրջանակներում 2023 թվականին իրականացվել են հիվանդությունների վերահսկմանը և կանխարգելմանն ուղղված ծառայությունների մատուցում, ընթացիկ հակահամաճարակային և սանիտարահիգիենիկ նշանակության հետազոտություններ, վարակների օջախների համաճարակաբանական հետազոտություններ, իմունականխարգելման հիգիենիկ ուսուցման և քարոզչության ծառայությունների ապահովում:</w:t>
      </w:r>
    </w:p>
    <w:p w14:paraId="27B159AC" w14:textId="77777777"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Հակահամաճարակային միջոցառումների իրականացման նպատակով կատարվել են 583763 հետազոտություններ` կանխատեսված 580142-ի և 2022 թվականի 828131-ի դիմաց: 2023 թվականին իրականացվել է նաև վարակիչ և ոչ վարակիչ հիվանդությունների ենթակա կազմակերպությունների և տնային օջախների համաճարակաբանական հետազոտություն, անհրաժեշտության դեպքում՝ կոնտակտավորների լաբորատոր հետազոտություն, հիվանդության օջախների սահմանների, հիվանդության աղբյուրի, շփված անձանց շրջանակի որոշում, ռիսկերի գնահատում, կանխարգելիչ և հակահամաճարակային միջոցառումների իրականացում:</w:t>
      </w:r>
      <w:r w:rsidR="00526BB1" w:rsidRPr="00C921DE">
        <w:rPr>
          <w:rFonts w:ascii="GHEA Grapalat" w:hAnsi="GHEA Grapalat" w:cs="GHEA Grapalat"/>
          <w:iCs/>
          <w:sz w:val="22"/>
          <w:szCs w:val="22"/>
          <w:lang w:val="en-US"/>
        </w:rPr>
        <w:t xml:space="preserve"> Իրականաց</w:t>
      </w:r>
      <w:r w:rsidRPr="00C921DE">
        <w:rPr>
          <w:rFonts w:ascii="GHEA Grapalat" w:hAnsi="GHEA Grapalat" w:cs="GHEA Grapalat"/>
          <w:iCs/>
          <w:sz w:val="22"/>
          <w:szCs w:val="22"/>
        </w:rPr>
        <w:t>վել է կառավարելի վարակիչ հիվանդությունների, այդ թվում</w:t>
      </w:r>
      <w:r w:rsidR="00526BB1" w:rsidRPr="00C921DE">
        <w:rPr>
          <w:rFonts w:ascii="GHEA Grapalat" w:hAnsi="GHEA Grapalat" w:cs="GHEA Grapalat"/>
          <w:iCs/>
          <w:sz w:val="22"/>
          <w:szCs w:val="22"/>
          <w:lang w:val="en-US"/>
        </w:rPr>
        <w:t>՝</w:t>
      </w:r>
      <w:r w:rsidRPr="00C921DE">
        <w:rPr>
          <w:rFonts w:ascii="GHEA Grapalat" w:hAnsi="GHEA Grapalat" w:cs="GHEA Grapalat"/>
          <w:iCs/>
          <w:sz w:val="22"/>
          <w:szCs w:val="22"/>
        </w:rPr>
        <w:t xml:space="preserve"> նաև հետպատվաստումային անբարեհաջող դեպքերի համաճարակաբանական հսկողություն, ինչպես նաև սուր թորշոմած կաթվածահարության դեպքերի ակտիվ համաճարակաբանական հսկողության 2046 այց, կարմրուկի, կարմրախտի դեպքերի ակտիվ համաճարակաբանական հսկողության 1003 այց: Իրականացվել է գրիպի, սուր շնչառական, </w:t>
      </w:r>
      <w:r w:rsidRPr="00C921DE">
        <w:rPr>
          <w:rFonts w:ascii="GHEA Grapalat" w:hAnsi="GHEA Grapalat" w:cs="GHEA Grapalat"/>
          <w:iCs/>
          <w:sz w:val="22"/>
          <w:szCs w:val="22"/>
        </w:rPr>
        <w:lastRenderedPageBreak/>
        <w:t>օդակաթիլային վարակների՝ (ջրծաղիկ, քութեշ, վարակային մոնոնուկլեոզ, լեգիոնելոզ)՝ բժշկական կազմակերպությունների կողմից ներկայացված տվյալների ամփոփում և բնակչության իրազեկում:</w:t>
      </w:r>
    </w:p>
    <w:p w14:paraId="59C9F313" w14:textId="56D9F6F6"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2023 թվականի ընթացքում ՀՀ-ում չեն արձանագրվել կարմրուկի, կարմրախտի, դիֆթերիայի, պոլիոմիելիտի և փայտացման տեղական դեպքեր, սակայն գրանցվել են բերովի դեպքի հետ կապված կարմրուկի դեպքեր:</w:t>
      </w:r>
      <w:r w:rsidR="00D65C98" w:rsidRPr="00C921DE">
        <w:rPr>
          <w:rFonts w:ascii="GHEA Grapalat" w:hAnsi="GHEA Grapalat" w:cs="GHEA Grapalat"/>
          <w:iCs/>
          <w:sz w:val="22"/>
          <w:szCs w:val="22"/>
          <w:lang w:val="en-US"/>
        </w:rPr>
        <w:t xml:space="preserve"> </w:t>
      </w:r>
      <w:r w:rsidRPr="00C921DE">
        <w:rPr>
          <w:rFonts w:ascii="GHEA Grapalat" w:hAnsi="GHEA Grapalat" w:cs="GHEA Grapalat"/>
          <w:iCs/>
          <w:sz w:val="22"/>
          <w:szCs w:val="22"/>
        </w:rPr>
        <w:t>2023 թվականին իրականացվել են տուլարեմիայի դեմ համաճարակաբանա</w:t>
      </w:r>
      <w:r w:rsidR="00D65C98" w:rsidRPr="00C921DE">
        <w:rPr>
          <w:rFonts w:ascii="GHEA Grapalat" w:hAnsi="GHEA Grapalat" w:cs="GHEA Grapalat"/>
          <w:iCs/>
          <w:sz w:val="22"/>
          <w:szCs w:val="22"/>
        </w:rPr>
        <w:t>կան ցուցումով պատվաստումներ ՀՀ</w:t>
      </w:r>
      <w:r w:rsidRPr="00C921DE">
        <w:rPr>
          <w:rFonts w:ascii="GHEA Grapalat" w:hAnsi="GHEA Grapalat" w:cs="GHEA Grapalat"/>
          <w:iCs/>
          <w:sz w:val="22"/>
          <w:szCs w:val="22"/>
        </w:rPr>
        <w:t xml:space="preserve"> մի շարք համայնքներում:</w:t>
      </w:r>
      <w:r w:rsidR="00D65C98" w:rsidRPr="00C921DE">
        <w:rPr>
          <w:rFonts w:ascii="GHEA Grapalat" w:hAnsi="GHEA Grapalat" w:cs="GHEA Grapalat"/>
          <w:iCs/>
          <w:sz w:val="22"/>
          <w:szCs w:val="22"/>
          <w:lang w:val="en-US"/>
        </w:rPr>
        <w:t xml:space="preserve"> </w:t>
      </w:r>
      <w:r w:rsidRPr="00C921DE">
        <w:rPr>
          <w:rFonts w:ascii="GHEA Grapalat" w:hAnsi="GHEA Grapalat" w:cs="GHEA Grapalat"/>
          <w:iCs/>
          <w:sz w:val="22"/>
          <w:szCs w:val="22"/>
        </w:rPr>
        <w:t>Բնակչության սանիտարահամաճարա</w:t>
      </w:r>
      <w:r w:rsidR="00BE2E84" w:rsidRPr="00C921DE">
        <w:rPr>
          <w:rFonts w:ascii="GHEA Grapalat" w:hAnsi="GHEA Grapalat" w:cs="GHEA Grapalat"/>
          <w:iCs/>
          <w:sz w:val="22"/>
          <w:szCs w:val="22"/>
          <w:lang w:val="en-US"/>
        </w:rPr>
        <w:t>-</w:t>
      </w:r>
      <w:r w:rsidRPr="00C921DE">
        <w:rPr>
          <w:rFonts w:ascii="GHEA Grapalat" w:hAnsi="GHEA Grapalat" w:cs="GHEA Grapalat"/>
          <w:iCs/>
          <w:sz w:val="22"/>
          <w:szCs w:val="22"/>
        </w:rPr>
        <w:t>կային անվտանգության նպատակո</w:t>
      </w:r>
      <w:r w:rsidR="00D65C98" w:rsidRPr="00C921DE">
        <w:rPr>
          <w:rFonts w:ascii="GHEA Grapalat" w:hAnsi="GHEA Grapalat" w:cs="GHEA Grapalat"/>
          <w:iCs/>
          <w:sz w:val="22"/>
          <w:szCs w:val="22"/>
        </w:rPr>
        <w:t>վ շարունակականորեն իրականացվել են</w:t>
      </w:r>
      <w:r w:rsidRPr="00C921DE">
        <w:rPr>
          <w:rFonts w:ascii="GHEA Grapalat" w:hAnsi="GHEA Grapalat" w:cs="GHEA Grapalat"/>
          <w:iCs/>
          <w:sz w:val="22"/>
          <w:szCs w:val="22"/>
        </w:rPr>
        <w:t xml:space="preserve"> խմելու ջրի որակի, կերակրի աղում յոդի պարունակության մոնիտորինգի ծրագրերը:</w:t>
      </w:r>
    </w:p>
    <w:p w14:paraId="337F06B4" w14:textId="5E0EE398" w:rsidR="003461BC" w:rsidRPr="00C921DE" w:rsidRDefault="003461BC" w:rsidP="003461BC">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 xml:space="preserve">2023 թվականին բնակչության սանիտարահամաճարակային անվտանգության ապահովման և հանրային առողջապահության ծառայությունների միջոցառման շրջանակներում նախատեսված միջոցներն ամբողջությամբ օգտագործվել են՝ կազմելով ավելի քան 2.3 մլրդ դրամ: Նախորդ տարվա համեմատ նշված ծախսերն աճել են 2.5%-ով կամ 57.4 մլն դրամով՝ հիմնականում պայմանավորված </w:t>
      </w:r>
      <w:r w:rsidR="00E1120A" w:rsidRPr="00C921DE">
        <w:rPr>
          <w:rFonts w:ascii="GHEA Grapalat" w:hAnsi="GHEA Grapalat" w:cs="GHEA Grapalat"/>
          <w:iCs/>
          <w:sz w:val="22"/>
          <w:szCs w:val="22"/>
        </w:rPr>
        <w:t>ծառայություններ մատուցող կազմակերպությունների պահպանման ծախսերի ավելացմամբ</w:t>
      </w:r>
      <w:r w:rsidRPr="00C921DE">
        <w:rPr>
          <w:rFonts w:ascii="GHEA Grapalat" w:hAnsi="GHEA Grapalat" w:cs="GHEA Grapalat"/>
          <w:iCs/>
          <w:sz w:val="22"/>
          <w:szCs w:val="22"/>
        </w:rPr>
        <w:t>:</w:t>
      </w:r>
    </w:p>
    <w:p w14:paraId="2B310953" w14:textId="77777777" w:rsidR="003E6DF8" w:rsidRPr="00C921DE" w:rsidRDefault="003E6DF8" w:rsidP="003E6DF8">
      <w:pPr>
        <w:spacing w:line="360" w:lineRule="auto"/>
        <w:ind w:firstLine="561"/>
        <w:jc w:val="both"/>
        <w:rPr>
          <w:rFonts w:ascii="GHEA Grapalat" w:hAnsi="GHEA Grapalat" w:cs="GHEA Grapalat"/>
          <w:iCs/>
          <w:sz w:val="22"/>
          <w:szCs w:val="22"/>
        </w:rPr>
      </w:pPr>
      <w:r w:rsidRPr="00C921DE">
        <w:rPr>
          <w:rFonts w:ascii="GHEA Grapalat" w:hAnsi="GHEA Grapalat" w:cs="GHEA Grapalat"/>
          <w:iCs/>
          <w:sz w:val="22"/>
          <w:szCs w:val="22"/>
        </w:rPr>
        <w:t xml:space="preserve">2023 թվականին </w:t>
      </w:r>
      <w:r w:rsidRPr="00C921DE">
        <w:rPr>
          <w:rFonts w:ascii="GHEA Grapalat" w:hAnsi="GHEA Grapalat" w:cs="GHEA Grapalat"/>
          <w:i/>
          <w:iCs/>
          <w:sz w:val="22"/>
          <w:szCs w:val="22"/>
        </w:rPr>
        <w:t>Առողջության առաջնային պահպանման</w:t>
      </w:r>
      <w:r w:rsidRPr="00C921DE">
        <w:rPr>
          <w:rFonts w:ascii="GHEA Grapalat" w:hAnsi="GHEA Grapalat" w:cs="GHEA Grapalat"/>
          <w:iCs/>
          <w:sz w:val="22"/>
          <w:szCs w:val="22"/>
        </w:rPr>
        <w:t xml:space="preserve"> ծրագրի շրջանակներում պետական բյուջեից օգտագործվել է ավելի քան 29.3 մլրդ դրամ` կազմելով ծրագրված ցուցանիշի 99.4%-ը: Նախորդ տարվա համեմատ նշված ծախսերն աճել են 3.7%-ով կամ 1.1 մլրդ դրամով՝ </w:t>
      </w:r>
      <w:r w:rsidRPr="00C921DE">
        <w:rPr>
          <w:rFonts w:ascii="GHEA Grapalat" w:hAnsi="GHEA Grapalat" w:cs="Arial"/>
          <w:sz w:val="22"/>
          <w:szCs w:val="22"/>
        </w:rPr>
        <w:t xml:space="preserve">հիմնականում պայմանավորված </w:t>
      </w:r>
      <w:r w:rsidRPr="00C921DE">
        <w:rPr>
          <w:rFonts w:ascii="GHEA Grapalat" w:hAnsi="GHEA Grapalat" w:cs="GHEA Grapalat"/>
          <w:iCs/>
          <w:sz w:val="22"/>
          <w:szCs w:val="22"/>
        </w:rPr>
        <w:t>ամբուլատոր-պոլիկլինիկական բժշկական օգնության</w:t>
      </w:r>
      <w:r w:rsidRPr="00C921DE">
        <w:rPr>
          <w:rFonts w:ascii="GHEA Grapalat" w:hAnsi="GHEA Grapalat" w:cs="Arial"/>
          <w:sz w:val="22"/>
          <w:szCs w:val="22"/>
        </w:rPr>
        <w:t xml:space="preserve"> ծառայությունների գծով </w:t>
      </w:r>
      <w:r w:rsidRPr="00C921DE">
        <w:rPr>
          <w:rFonts w:ascii="GHEA Grapalat" w:hAnsi="GHEA Grapalat" w:cs="GHEA Grapalat"/>
          <w:iCs/>
          <w:sz w:val="22"/>
          <w:szCs w:val="22"/>
        </w:rPr>
        <w:t>ծախսերի 3.7% (1 մլրդ դրամ) աճով</w:t>
      </w:r>
      <w:r w:rsidR="00147931" w:rsidRPr="00C921DE">
        <w:rPr>
          <w:rFonts w:ascii="GHEA Grapalat" w:hAnsi="GHEA Grapalat" w:cs="GHEA Grapalat"/>
          <w:iCs/>
          <w:sz w:val="22"/>
          <w:szCs w:val="22"/>
          <w:lang w:val="en-US"/>
        </w:rPr>
        <w:t>: Վերջինս</w:t>
      </w:r>
      <w:r w:rsidRPr="00C921DE">
        <w:rPr>
          <w:rFonts w:ascii="GHEA Grapalat" w:hAnsi="GHEA Grapalat" w:cs="GHEA Grapalat"/>
          <w:iCs/>
          <w:sz w:val="22"/>
          <w:szCs w:val="22"/>
        </w:rPr>
        <w:t xml:space="preserve"> պայմանավորված է</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2023 թվականին առողջության առաջնային պահպանման ծառայություններ մատուցող բուժանձնակազմի՝ կատարողականի վրա հիմնված ֆինանսավորման լրացուցիչ ցուցանիշների հիման վրա վարձատր</w:t>
      </w:r>
      <w:r w:rsidR="00147931" w:rsidRPr="00C921DE">
        <w:rPr>
          <w:rFonts w:ascii="GHEA Grapalat" w:hAnsi="GHEA Grapalat" w:cs="GHEA Grapalat"/>
          <w:iCs/>
          <w:sz w:val="22"/>
          <w:szCs w:val="22"/>
          <w:lang w:val="en-US"/>
        </w:rPr>
        <w:t>ության</w:t>
      </w:r>
      <w:r w:rsidRPr="00C921DE">
        <w:rPr>
          <w:rFonts w:ascii="GHEA Grapalat" w:hAnsi="GHEA Grapalat" w:cs="GHEA Grapalat"/>
          <w:iCs/>
          <w:sz w:val="22"/>
          <w:szCs w:val="22"/>
        </w:rPr>
        <w:t xml:space="preserve"> ներդրման գործընթացով։</w:t>
      </w:r>
    </w:p>
    <w:p w14:paraId="133F7824" w14:textId="77777777"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 xml:space="preserve">Առողջության առաջնային պահպանման ծրագրի ամբուլատոր-պոլիկլինիկական բժշկական օգնության ծառայությունների միջոցառման շրջանակներում իրականացվել է տեղամասային թերապևտի, տեղամասային մանկաբույժի, ընտանեկան բժշկի, բուժակ-մանկաբարձական կետերի քույրերի, դպրոցների աշակերտներին սպասարկող քույրերի, հղիների, նախածննդյան և հետծննդյան հսկողություն իրականացնող մանկաբարձ-գինեկոլոգների, դիսպանսերային և նեղ մասնագետների կողմից բժշկական օգնություն և սպասարկում (ներառյալ՝ լաբորատոր-գործիքային ախտորոշիչ հետազոտությունները) հանրապետության ազգաբնակչությանը, </w:t>
      </w:r>
      <w:r w:rsidR="00113301" w:rsidRPr="00C921DE">
        <w:rPr>
          <w:rFonts w:ascii="GHEA Grapalat" w:hAnsi="GHEA Grapalat" w:cs="GHEA Grapalat"/>
          <w:iCs/>
          <w:sz w:val="22"/>
          <w:szCs w:val="22"/>
          <w:lang w:val="en-US"/>
        </w:rPr>
        <w:t>կ</w:t>
      </w:r>
      <w:r w:rsidRPr="00C921DE">
        <w:rPr>
          <w:rFonts w:ascii="GHEA Grapalat" w:hAnsi="GHEA Grapalat" w:cs="GHEA Grapalat"/>
          <w:iCs/>
          <w:sz w:val="22"/>
          <w:szCs w:val="22"/>
        </w:rPr>
        <w:t>առավարության համապատասխան որոշումներով հաստատված բնակչության խմբերին անվճար և արտոնյալ պայմաններով դեղորայք</w:t>
      </w:r>
      <w:r w:rsidR="00AB1DCB" w:rsidRPr="00C921DE">
        <w:rPr>
          <w:rFonts w:ascii="GHEA Grapalat" w:hAnsi="GHEA Grapalat" w:cs="GHEA Grapalat"/>
          <w:iCs/>
          <w:sz w:val="22"/>
          <w:szCs w:val="22"/>
          <w:lang w:val="en-US"/>
        </w:rPr>
        <w:t>ի տրամադրում</w:t>
      </w:r>
      <w:r w:rsidRPr="00C921DE">
        <w:rPr>
          <w:rFonts w:ascii="GHEA Grapalat" w:hAnsi="GHEA Grapalat" w:cs="GHEA Grapalat"/>
          <w:iCs/>
          <w:sz w:val="22"/>
          <w:szCs w:val="22"/>
        </w:rPr>
        <w:t xml:space="preserve">: Զորակոչային և նախազորակոչային տարիքի անձանց փորձաքննության և բժշկական օգնության ծառայությունների մասով ապահովվել է կենտրոնական բժշկական հանձնաժողովի 11 բժիշկ-փորձագետների, զինկոմիսարիատներին կից բժշկական հանձնաժողովներում ընդգրկված 217 </w:t>
      </w:r>
      <w:r w:rsidRPr="00C921DE">
        <w:rPr>
          <w:rFonts w:ascii="GHEA Grapalat" w:hAnsi="GHEA Grapalat" w:cs="GHEA Grapalat"/>
          <w:iCs/>
          <w:sz w:val="22"/>
          <w:szCs w:val="22"/>
        </w:rPr>
        <w:lastRenderedPageBreak/>
        <w:t>բժիշկ-փորձագետների և բուժքույրերի աշխատավարձերի վճարում, ինչպես նաև նշված տարիքի անձանց փորձաքննության նպատակով հիվանդանոցային բուժհաստատություններ ուղեգրման ճանապարհածախսի փոխհատուցում:</w:t>
      </w:r>
      <w:r w:rsidRPr="00C921DE">
        <w:rPr>
          <w:rFonts w:ascii="GHEA Grapalat" w:hAnsi="GHEA Grapalat" w:cs="GHEA Grapalat"/>
          <w:iCs/>
          <w:color w:val="FF0000"/>
          <w:sz w:val="22"/>
          <w:szCs w:val="22"/>
        </w:rPr>
        <w:t xml:space="preserve"> </w:t>
      </w:r>
      <w:r w:rsidRPr="00C921DE">
        <w:rPr>
          <w:rFonts w:ascii="GHEA Grapalat" w:hAnsi="GHEA Grapalat" w:cs="GHEA Grapalat"/>
          <w:iCs/>
          <w:sz w:val="22"/>
          <w:szCs w:val="22"/>
        </w:rPr>
        <w:t xml:space="preserve">Միջոցառման շրջանակներում բնակչությանը մատուցվել են արգանդի քաղցկեղի սքրինինգների, սպորտային բժշկության, պալիատիվ բուժօգնության ծառայություններ: </w:t>
      </w:r>
      <w:r w:rsidRPr="00C921DE">
        <w:rPr>
          <w:rFonts w:ascii="GHEA Grapalat" w:hAnsi="GHEA Grapalat"/>
          <w:sz w:val="22"/>
          <w:szCs w:val="22"/>
        </w:rPr>
        <w:t xml:space="preserve">Միջոցառման շրջանակներում բնակչության առողջության առաջնային պահպանման գծով կազմակերպություններում գրանցվել է </w:t>
      </w:r>
      <w:r w:rsidR="00213A91" w:rsidRPr="00C921DE">
        <w:rPr>
          <w:rFonts w:ascii="GHEA Grapalat" w:hAnsi="GHEA Grapalat" w:cs="Arial"/>
          <w:sz w:val="22"/>
          <w:szCs w:val="22"/>
          <w:lang w:val="zu-ZA"/>
        </w:rPr>
        <w:t>3219.</w:t>
      </w:r>
      <w:r w:rsidRPr="00C921DE">
        <w:rPr>
          <w:rFonts w:ascii="GHEA Grapalat" w:hAnsi="GHEA Grapalat" w:cs="Arial"/>
          <w:sz w:val="22"/>
          <w:szCs w:val="22"/>
          <w:lang w:val="zu-ZA"/>
        </w:rPr>
        <w:t xml:space="preserve">8 </w:t>
      </w:r>
      <w:r w:rsidR="00113301" w:rsidRPr="00C921DE">
        <w:rPr>
          <w:rFonts w:ascii="GHEA Grapalat" w:hAnsi="GHEA Grapalat"/>
          <w:sz w:val="22"/>
          <w:szCs w:val="22"/>
        </w:rPr>
        <w:t xml:space="preserve">հազար մարդ` </w:t>
      </w:r>
      <w:r w:rsidR="00113301" w:rsidRPr="00C921DE">
        <w:rPr>
          <w:rFonts w:ascii="GHEA Grapalat" w:hAnsi="GHEA Grapalat"/>
          <w:sz w:val="22"/>
          <w:szCs w:val="22"/>
          <w:lang w:val="en-US"/>
        </w:rPr>
        <w:t>կան</w:t>
      </w:r>
      <w:r w:rsidR="00113301" w:rsidRPr="00C921DE">
        <w:rPr>
          <w:rFonts w:ascii="GHEA Grapalat" w:hAnsi="GHEA Grapalat"/>
          <w:sz w:val="22"/>
          <w:szCs w:val="22"/>
        </w:rPr>
        <w:t>խատեսված 3077.</w:t>
      </w:r>
      <w:r w:rsidRPr="00C921DE">
        <w:rPr>
          <w:rFonts w:ascii="GHEA Grapalat" w:hAnsi="GHEA Grapalat"/>
          <w:sz w:val="22"/>
          <w:szCs w:val="22"/>
        </w:rPr>
        <w:t xml:space="preserve">4 հազարի և 2022 թվականի </w:t>
      </w:r>
      <w:r w:rsidRPr="00C921DE">
        <w:rPr>
          <w:rFonts w:ascii="GHEA Grapalat" w:hAnsi="GHEA Grapalat" w:cs="Arial"/>
          <w:sz w:val="22"/>
          <w:szCs w:val="22"/>
          <w:lang w:val="zu-ZA"/>
        </w:rPr>
        <w:t>3116</w:t>
      </w:r>
      <w:r w:rsidR="00113301" w:rsidRPr="00C921DE">
        <w:rPr>
          <w:rFonts w:ascii="GHEA Grapalat" w:hAnsi="GHEA Grapalat" w:cs="Arial"/>
          <w:sz w:val="22"/>
          <w:szCs w:val="22"/>
          <w:lang w:val="zu-ZA"/>
        </w:rPr>
        <w:t>.</w:t>
      </w:r>
      <w:r w:rsidRPr="00C921DE">
        <w:rPr>
          <w:rFonts w:ascii="GHEA Grapalat" w:hAnsi="GHEA Grapalat" w:cs="Arial"/>
          <w:sz w:val="22"/>
          <w:szCs w:val="22"/>
          <w:lang w:val="zu-ZA"/>
        </w:rPr>
        <w:t>9</w:t>
      </w:r>
      <w:r w:rsidRPr="00C921DE">
        <w:rPr>
          <w:rFonts w:ascii="GHEA Grapalat" w:hAnsi="GHEA Grapalat"/>
          <w:sz w:val="22"/>
          <w:szCs w:val="22"/>
        </w:rPr>
        <w:t xml:space="preserve"> հազարի դիմաց, դպրոցում բժշկական օգնություն և սպասարկում է ստացել 391</w:t>
      </w:r>
      <w:r w:rsidR="00113301" w:rsidRPr="00C921DE">
        <w:rPr>
          <w:rFonts w:ascii="GHEA Grapalat" w:hAnsi="GHEA Grapalat"/>
          <w:sz w:val="22"/>
          <w:szCs w:val="22"/>
          <w:lang w:val="en-US"/>
        </w:rPr>
        <w:t>.</w:t>
      </w:r>
      <w:r w:rsidR="00213A91" w:rsidRPr="00C921DE">
        <w:rPr>
          <w:rFonts w:ascii="GHEA Grapalat" w:hAnsi="GHEA Grapalat"/>
          <w:sz w:val="22"/>
          <w:szCs w:val="22"/>
        </w:rPr>
        <w:t xml:space="preserve">7 հազար աշակերտ՝ </w:t>
      </w:r>
      <w:r w:rsidR="00746AC0" w:rsidRPr="00C921DE">
        <w:rPr>
          <w:rFonts w:ascii="GHEA Grapalat" w:hAnsi="GHEA Grapalat"/>
          <w:sz w:val="22"/>
          <w:szCs w:val="22"/>
          <w:lang w:val="en-US"/>
        </w:rPr>
        <w:t>կան</w:t>
      </w:r>
      <w:r w:rsidR="00213A91" w:rsidRPr="00C921DE">
        <w:rPr>
          <w:rFonts w:ascii="GHEA Grapalat" w:hAnsi="GHEA Grapalat"/>
          <w:sz w:val="22"/>
          <w:szCs w:val="22"/>
        </w:rPr>
        <w:t>խատեսված 389.7 հազարի և 2022 թվականի 387.</w:t>
      </w:r>
      <w:r w:rsidRPr="00C921DE">
        <w:rPr>
          <w:rFonts w:ascii="GHEA Grapalat" w:hAnsi="GHEA Grapalat"/>
          <w:sz w:val="22"/>
          <w:szCs w:val="22"/>
        </w:rPr>
        <w:t xml:space="preserve">1 հազարի դիմաց, անվճար և արտոնյալ պայմաններով դեղեր ստանալու իրավունք ունեցող անձանց փաստացի թիվը համապատասխանել է </w:t>
      </w:r>
      <w:r w:rsidR="00746AC0" w:rsidRPr="00C921DE">
        <w:rPr>
          <w:rFonts w:ascii="GHEA Grapalat" w:hAnsi="GHEA Grapalat"/>
          <w:sz w:val="22"/>
          <w:szCs w:val="22"/>
          <w:lang w:val="en-US"/>
        </w:rPr>
        <w:t>կան</w:t>
      </w:r>
      <w:r w:rsidRPr="00C921DE">
        <w:rPr>
          <w:rFonts w:ascii="GHEA Grapalat" w:hAnsi="GHEA Grapalat"/>
          <w:sz w:val="22"/>
          <w:szCs w:val="22"/>
        </w:rPr>
        <w:t>խատեսվածին՝ կազմելով 864</w:t>
      </w:r>
      <w:r w:rsidR="008314F3" w:rsidRPr="00C921DE">
        <w:rPr>
          <w:rFonts w:ascii="GHEA Grapalat" w:hAnsi="GHEA Grapalat"/>
          <w:sz w:val="22"/>
          <w:szCs w:val="22"/>
          <w:lang w:val="en-US"/>
        </w:rPr>
        <w:t xml:space="preserve"> հազար</w:t>
      </w:r>
      <w:r w:rsidRPr="00C921DE">
        <w:rPr>
          <w:rFonts w:ascii="GHEA Grapalat" w:hAnsi="GHEA Grapalat"/>
          <w:sz w:val="22"/>
          <w:szCs w:val="22"/>
        </w:rPr>
        <w:t xml:space="preserve">՝ 2022 թվականի </w:t>
      </w:r>
      <w:r w:rsidRPr="00C921DE">
        <w:rPr>
          <w:rFonts w:ascii="GHEA Grapalat" w:hAnsi="GHEA Grapalat" w:cs="Arial"/>
          <w:sz w:val="22"/>
          <w:szCs w:val="22"/>
        </w:rPr>
        <w:t>1036</w:t>
      </w:r>
      <w:r w:rsidR="008314F3" w:rsidRPr="00C921DE">
        <w:rPr>
          <w:rFonts w:ascii="GHEA Grapalat" w:hAnsi="GHEA Grapalat" w:cs="Arial"/>
          <w:sz w:val="22"/>
          <w:szCs w:val="22"/>
          <w:lang w:val="en-US"/>
        </w:rPr>
        <w:t>.9 հազարի</w:t>
      </w:r>
      <w:r w:rsidRPr="00C921DE">
        <w:rPr>
          <w:rFonts w:ascii="GHEA Grapalat" w:hAnsi="GHEA Grapalat"/>
          <w:sz w:val="22"/>
          <w:szCs w:val="22"/>
        </w:rPr>
        <w:t xml:space="preserve"> դիմաց, հղիների նախածննդյան և հետծննդյան հսկողության ընթացքում իրականացվել են լաբորատոր-գործիքային ախտորոշիչ </w:t>
      </w:r>
      <w:r w:rsidRPr="00C921DE">
        <w:rPr>
          <w:rFonts w:ascii="GHEA Grapalat" w:hAnsi="GHEA Grapalat" w:cs="Arial"/>
          <w:sz w:val="22"/>
          <w:szCs w:val="22"/>
        </w:rPr>
        <w:t>710182</w:t>
      </w:r>
      <w:r w:rsidRPr="00C921DE">
        <w:rPr>
          <w:rFonts w:ascii="GHEA Grapalat" w:hAnsi="GHEA Grapalat"/>
          <w:sz w:val="22"/>
          <w:szCs w:val="22"/>
        </w:rPr>
        <w:t xml:space="preserve"> հետազոտություններ՝ նախատեսված 701232-ի և 2022 թվականի </w:t>
      </w:r>
      <w:r w:rsidRPr="00C921DE">
        <w:rPr>
          <w:rFonts w:ascii="GHEA Grapalat" w:hAnsi="GHEA Grapalat" w:cs="Arial"/>
          <w:sz w:val="22"/>
          <w:szCs w:val="22"/>
        </w:rPr>
        <w:t>713763</w:t>
      </w:r>
      <w:r w:rsidRPr="00C921DE">
        <w:rPr>
          <w:rFonts w:ascii="GHEA Grapalat" w:hAnsi="GHEA Grapalat"/>
          <w:sz w:val="22"/>
          <w:szCs w:val="22"/>
        </w:rPr>
        <w:t>-ի դիմաց:</w:t>
      </w:r>
      <w:r w:rsidRPr="00C921DE">
        <w:rPr>
          <w:rFonts w:ascii="GHEA Grapalat" w:hAnsi="GHEA Grapalat" w:cs="Sylfaen"/>
          <w:sz w:val="22"/>
          <w:szCs w:val="22"/>
          <w:lang w:val="af-ZA"/>
        </w:rPr>
        <w:t xml:space="preserve"> </w:t>
      </w:r>
      <w:r w:rsidRPr="00C921DE">
        <w:rPr>
          <w:rFonts w:ascii="GHEA Grapalat" w:hAnsi="GHEA Grapalat" w:cs="GHEA Grapalat"/>
          <w:iCs/>
          <w:sz w:val="22"/>
          <w:szCs w:val="22"/>
        </w:rPr>
        <w:t xml:space="preserve">Միջոցառման շրջանակներում մատուցվող ծառայությունների գծով փաստացի արդյունքային ցուցանիշների գերազանցումը կանխատեսվածների նկատմամբ պայմանավորված է էլեկտրոնային առողջապահության միասնական համակարգում փաստացի հավաքագրված բնակչության թվաքանակով, ինչպես նաև Արցախի հանրապետությունից բռնի տեղահանված բնակչության հավաքագրմամբ: 2023 թվականին ամբուլատոր-պոլիկլինիկական բժշկական օգնության ծառայությունների գծով ծախսերը կազմել են 28.9 մլրդ դրամ կամ նախատեսվածի 99.4%-ը: </w:t>
      </w:r>
    </w:p>
    <w:p w14:paraId="04F0BF65" w14:textId="77777777" w:rsidR="003E6DF8" w:rsidRPr="00C921DE" w:rsidRDefault="003E6DF8" w:rsidP="003E6DF8">
      <w:pPr>
        <w:spacing w:line="360" w:lineRule="auto"/>
        <w:ind w:firstLine="561"/>
        <w:jc w:val="both"/>
        <w:rPr>
          <w:rFonts w:ascii="GHEA Grapalat" w:hAnsi="GHEA Grapalat" w:cs="Arial"/>
          <w:sz w:val="22"/>
          <w:szCs w:val="22"/>
        </w:rPr>
      </w:pPr>
      <w:r w:rsidRPr="00C921DE">
        <w:rPr>
          <w:rFonts w:ascii="GHEA Grapalat" w:hAnsi="GHEA Grapalat" w:cs="GHEA Grapalat"/>
          <w:iCs/>
          <w:sz w:val="22"/>
          <w:szCs w:val="22"/>
        </w:rPr>
        <w:t xml:space="preserve">Հաշվետու տարում </w:t>
      </w:r>
      <w:r w:rsidRPr="00C921DE">
        <w:rPr>
          <w:rFonts w:ascii="GHEA Grapalat" w:hAnsi="GHEA Grapalat" w:cs="GHEA Grapalat"/>
          <w:i/>
          <w:iCs/>
          <w:sz w:val="22"/>
          <w:szCs w:val="22"/>
        </w:rPr>
        <w:t>Մոր և մանկան առողջության պահպանման</w:t>
      </w:r>
      <w:r w:rsidRPr="00C921DE">
        <w:rPr>
          <w:rFonts w:ascii="GHEA Grapalat" w:hAnsi="GHEA Grapalat" w:cs="GHEA Grapalat"/>
          <w:iCs/>
          <w:sz w:val="22"/>
          <w:szCs w:val="22"/>
        </w:rPr>
        <w:t xml:space="preserve"> ծրագրի շրջանակներում օգտագործվել է շուրջ 21.3 մլրդ դրամ` ապահովելով 99.2% կատարողական: Նախորդ տարվա համեմատ ծրագրի ծախսերն աճել են 7.6%-ով կամ 1.5 մլրդ դրամով՝ հիմնականում պայմանավորված </w:t>
      </w:r>
      <w:r w:rsidRPr="00C921DE">
        <w:rPr>
          <w:rFonts w:ascii="GHEA Grapalat" w:hAnsi="GHEA Grapalat" w:cs="Arial"/>
          <w:sz w:val="22"/>
          <w:szCs w:val="22"/>
        </w:rPr>
        <w:t>անպտուղ զույգերի համար վերարտադրողական օժանդակ տեխնոլոգիաների կիրառմամբ բժշկական օգնության ծախսերի աճով:</w:t>
      </w:r>
    </w:p>
    <w:p w14:paraId="22EB2FA7" w14:textId="77777777"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Մանկաբարձական բժշկական օգնության ծառայությունների ձեռքբերման միջոցառման նպատակն է ծննդաբերության, նա</w:t>
      </w:r>
      <w:r w:rsidRPr="00C921DE">
        <w:rPr>
          <w:rFonts w:ascii="GHEA Grapalat" w:hAnsi="GHEA Grapalat" w:cs="GHEA Grapalat"/>
          <w:iCs/>
          <w:sz w:val="22"/>
          <w:szCs w:val="22"/>
        </w:rPr>
        <w:softHyphen/>
        <w:t>խածննդյան և հետծննդյան բարդու</w:t>
      </w:r>
      <w:r w:rsidRPr="00C921DE">
        <w:rPr>
          <w:rFonts w:ascii="GHEA Grapalat" w:hAnsi="GHEA Grapalat" w:cs="GHEA Grapalat"/>
          <w:iCs/>
          <w:sz w:val="22"/>
          <w:szCs w:val="22"/>
        </w:rPr>
        <w:softHyphen/>
        <w:t>թյուն</w:t>
      </w:r>
      <w:r w:rsidRPr="00C921DE">
        <w:rPr>
          <w:rFonts w:ascii="GHEA Grapalat" w:hAnsi="GHEA Grapalat" w:cs="GHEA Grapalat"/>
          <w:iCs/>
          <w:sz w:val="22"/>
          <w:szCs w:val="22"/>
        </w:rPr>
        <w:softHyphen/>
        <w:t>նե</w:t>
      </w:r>
      <w:r w:rsidRPr="00C921DE">
        <w:rPr>
          <w:rFonts w:ascii="GHEA Grapalat" w:hAnsi="GHEA Grapalat" w:cs="GHEA Grapalat"/>
          <w:iCs/>
          <w:sz w:val="22"/>
          <w:szCs w:val="22"/>
        </w:rPr>
        <w:softHyphen/>
        <w:t xml:space="preserve">րի դեպքերում բուժօգնության տրամադրումը: Միջոցառման շրջանակներում 2023 թվականին մանկաբարձական բժշկական օգնության ծառայություններից օգտվելու դեպքերի թիվը կազմել է </w:t>
      </w:r>
      <w:r w:rsidRPr="00C921DE">
        <w:rPr>
          <w:rFonts w:ascii="GHEA Grapalat" w:hAnsi="GHEA Grapalat" w:cs="Arial LatArm"/>
        </w:rPr>
        <w:t>86319</w:t>
      </w:r>
      <w:r w:rsidRPr="00C921DE">
        <w:rPr>
          <w:rFonts w:ascii="GHEA Grapalat" w:hAnsi="GHEA Grapalat" w:cs="GHEA Grapalat"/>
          <w:iCs/>
          <w:sz w:val="22"/>
          <w:szCs w:val="22"/>
        </w:rPr>
        <w:t xml:space="preserve">՝ կանխատեսված </w:t>
      </w:r>
      <w:r w:rsidRPr="00C921DE">
        <w:rPr>
          <w:rFonts w:ascii="GHEA Grapalat" w:hAnsi="GHEA Grapalat" w:cs="Sylfaen"/>
        </w:rPr>
        <w:t>86540</w:t>
      </w:r>
      <w:r w:rsidRPr="00C921DE">
        <w:rPr>
          <w:rFonts w:ascii="GHEA Grapalat" w:hAnsi="GHEA Grapalat" w:cs="GHEA Grapalat"/>
          <w:iCs/>
          <w:sz w:val="22"/>
          <w:szCs w:val="22"/>
        </w:rPr>
        <w:t xml:space="preserve">-ի և 2022 թվականի </w:t>
      </w:r>
      <w:r w:rsidRPr="00C921DE">
        <w:rPr>
          <w:rFonts w:ascii="GHEA Grapalat" w:hAnsi="GHEA Grapalat" w:cs="Arial LatArm"/>
        </w:rPr>
        <w:t>85771</w:t>
      </w:r>
      <w:r w:rsidRPr="00C921DE">
        <w:rPr>
          <w:rFonts w:ascii="GHEA Grapalat" w:hAnsi="GHEA Grapalat" w:cs="GHEA Grapalat"/>
          <w:iCs/>
          <w:sz w:val="22"/>
          <w:szCs w:val="22"/>
        </w:rPr>
        <w:t>-ի դիմաց</w:t>
      </w:r>
      <w:r w:rsidRPr="00C921DE">
        <w:rPr>
          <w:rFonts w:ascii="GHEA Grapalat" w:hAnsi="GHEA Grapalat" w:cs="Arial"/>
          <w:sz w:val="22"/>
          <w:szCs w:val="22"/>
        </w:rPr>
        <w:t>:</w:t>
      </w:r>
      <w:r w:rsidRPr="00C921DE">
        <w:rPr>
          <w:rFonts w:ascii="GHEA Grapalat" w:hAnsi="GHEA Grapalat" w:cs="GHEA Grapalat"/>
          <w:iCs/>
          <w:sz w:val="22"/>
          <w:szCs w:val="22"/>
        </w:rPr>
        <w:t xml:space="preserve"> Հաշվետու տարում մանկաբարձական բժշկական օգնության ծառայությունների ձեռքբերման</w:t>
      </w:r>
      <w:r w:rsidR="00FD1208" w:rsidRPr="00C921DE">
        <w:rPr>
          <w:rFonts w:ascii="GHEA Grapalat" w:hAnsi="GHEA Grapalat" w:cs="GHEA Grapalat"/>
          <w:iCs/>
          <w:sz w:val="22"/>
          <w:szCs w:val="22"/>
          <w:lang w:val="en-US"/>
        </w:rPr>
        <w:t xml:space="preserve"> նպատակով օգտագործվել է հատկացված միջոցների 99.5%-ը՝</w:t>
      </w:r>
      <w:r w:rsidRPr="00C921DE">
        <w:rPr>
          <w:rFonts w:ascii="GHEA Grapalat" w:hAnsi="GHEA Grapalat" w:cs="GHEA Grapalat"/>
          <w:iCs/>
          <w:sz w:val="22"/>
          <w:szCs w:val="22"/>
        </w:rPr>
        <w:t xml:space="preserve"> 7</w:t>
      </w:r>
      <w:r w:rsidRPr="00C921DE">
        <w:rPr>
          <w:rFonts w:ascii="Courier New" w:hAnsi="Courier New" w:cs="Courier New"/>
          <w:iCs/>
          <w:sz w:val="22"/>
          <w:szCs w:val="22"/>
        </w:rPr>
        <w:t> </w:t>
      </w:r>
      <w:r w:rsidRPr="00C921DE">
        <w:rPr>
          <w:rFonts w:ascii="GHEA Grapalat" w:hAnsi="GHEA Grapalat" w:cs="GHEA Grapalat"/>
          <w:iCs/>
          <w:sz w:val="22"/>
          <w:szCs w:val="22"/>
        </w:rPr>
        <w:t>մլրդ դրամ: Նախորդ տարվա համեմատ նշված ծախսերն աճել են 3.8%-ով կամ 253.8 մլն դրամով՝ պայմանավորված դեպքերի թվի աճով:</w:t>
      </w:r>
    </w:p>
    <w:p w14:paraId="338FE8B8" w14:textId="30ABB8B2"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lastRenderedPageBreak/>
        <w:t>Երեխաներին բժշկական օգնության ծառայությունների նպատակն է եղել մինչև 18 տարեկան երեխաների</w:t>
      </w:r>
      <w:r w:rsidR="00FD1208" w:rsidRPr="00C921DE">
        <w:rPr>
          <w:rFonts w:ascii="GHEA Grapalat" w:hAnsi="GHEA Grapalat" w:cs="GHEA Grapalat"/>
          <w:iCs/>
          <w:sz w:val="22"/>
          <w:szCs w:val="22"/>
          <w:lang w:val="en-US"/>
        </w:rPr>
        <w:t>ն</w:t>
      </w:r>
      <w:r w:rsidRPr="00C921DE">
        <w:rPr>
          <w:rFonts w:ascii="GHEA Grapalat" w:hAnsi="GHEA Grapalat" w:cs="GHEA Grapalat"/>
          <w:iCs/>
          <w:sz w:val="22"/>
          <w:szCs w:val="22"/>
        </w:rPr>
        <w:t xml:space="preserve"> հիվանդանոցային բժշկական օգնության հիմնական և նորագույն թանկարժեք տեխնոլոգիաների կիրառմամբ ծառայությունների մատուցումը, հիվանդանոցային պայմաններում ախտորոշման ճշտումը: Պետության կողմից երաշխավորված անվճար բուժօգնության և սպասարկման շրջանակներում 2023 թվականին բուժօգնություն է ստացել 97063 հիվանդ` կանխատեսված 97900-ի և 2022 թվականի 99324-ի դիմաց: Փաստացի արդյունքային ցուցանիշի շեղումը կանխատեսվածի</w:t>
      </w:r>
      <w:r w:rsidR="003D0235" w:rsidRPr="00C921DE">
        <w:rPr>
          <w:rFonts w:ascii="GHEA Grapalat" w:hAnsi="GHEA Grapalat" w:cs="GHEA Grapalat"/>
          <w:iCs/>
          <w:sz w:val="22"/>
          <w:szCs w:val="22"/>
        </w:rPr>
        <w:t>ց պայմանավորված է փաստացի դիմելիությամբ, իսկ նախորդ տարվա համեմատ</w:t>
      </w:r>
      <w:r w:rsidR="0091484D" w:rsidRPr="00C921DE">
        <w:rPr>
          <w:rFonts w:ascii="GHEA Grapalat" w:hAnsi="GHEA Grapalat" w:cs="GHEA Grapalat"/>
          <w:iCs/>
          <w:sz w:val="22"/>
          <w:szCs w:val="22"/>
          <w:lang w:val="en-US"/>
        </w:rPr>
        <w:t xml:space="preserve"> </w:t>
      </w:r>
      <w:r w:rsidR="003D0235" w:rsidRPr="00C921DE">
        <w:rPr>
          <w:rFonts w:ascii="GHEA Grapalat" w:hAnsi="GHEA Grapalat" w:cs="GHEA Grapalat"/>
          <w:iCs/>
          <w:sz w:val="22"/>
          <w:szCs w:val="22"/>
        </w:rPr>
        <w:t>նվազումը՝</w:t>
      </w:r>
      <w:r w:rsidRPr="00C921DE">
        <w:rPr>
          <w:rFonts w:ascii="GHEA Grapalat" w:hAnsi="GHEA Grapalat" w:cs="GHEA Grapalat"/>
          <w:iCs/>
          <w:sz w:val="22"/>
          <w:szCs w:val="22"/>
        </w:rPr>
        <w:t xml:space="preserve"> </w:t>
      </w:r>
      <w:r w:rsidR="00704E3E" w:rsidRPr="00C921DE">
        <w:rPr>
          <w:rFonts w:ascii="GHEA Grapalat" w:hAnsi="GHEA Grapalat" w:cs="GHEA Grapalat"/>
          <w:iCs/>
          <w:sz w:val="22"/>
          <w:szCs w:val="22"/>
        </w:rPr>
        <w:t>դեպքերի անհատական վարման (case management)</w:t>
      </w:r>
      <w:r w:rsidRPr="00C921DE">
        <w:rPr>
          <w:rFonts w:ascii="GHEA Grapalat" w:hAnsi="GHEA Grapalat" w:cs="GHEA Grapalat"/>
          <w:iCs/>
          <w:sz w:val="22"/>
          <w:szCs w:val="22"/>
        </w:rPr>
        <w:t xml:space="preserve"> արդյունքում ստացիոնար</w:t>
      </w:r>
      <w:r w:rsidRPr="00C921DE">
        <w:rPr>
          <w:rFonts w:ascii="GHEA Grapalat" w:hAnsi="GHEA Grapalat" w:cs="Sylfaen"/>
          <w:sz w:val="22"/>
          <w:szCs w:val="22"/>
        </w:rPr>
        <w:t xml:space="preserve"> բուժման դեպքերի կրճատմամբ:</w:t>
      </w:r>
      <w:r w:rsidRPr="00C921DE">
        <w:rPr>
          <w:rFonts w:ascii="GHEA Grapalat" w:hAnsi="GHEA Grapalat" w:cs="GHEA Grapalat"/>
          <w:iCs/>
          <w:sz w:val="22"/>
          <w:szCs w:val="22"/>
        </w:rPr>
        <w:t xml:space="preserve"> Հաշվետու տարվա ընթացքում երեխաներին բժշկական օգնության ծառայությունների ձեռքբերմանն ուղղվել է շուրջ 11.3 մլրդ դրամ կամ նախատեսվածի 99.4%-ը: Նախորդ տարվա համեմատ նշված ծախսերը նվազել են 3.1%-ով կամ 365.3 մլն դրամով:</w:t>
      </w:r>
    </w:p>
    <w:p w14:paraId="32DFA686" w14:textId="77777777" w:rsidR="003E6DF8" w:rsidRPr="00C921DE" w:rsidRDefault="003E6DF8" w:rsidP="003E6DF8">
      <w:pPr>
        <w:spacing w:line="360" w:lineRule="auto"/>
        <w:ind w:firstLine="561"/>
        <w:jc w:val="both"/>
        <w:rPr>
          <w:rFonts w:ascii="GHEA Grapalat" w:hAnsi="GHEA Grapalat" w:cs="Arial"/>
          <w:sz w:val="22"/>
          <w:szCs w:val="22"/>
        </w:rPr>
      </w:pPr>
      <w:r w:rsidRPr="00C921DE">
        <w:rPr>
          <w:rFonts w:ascii="GHEA Grapalat" w:hAnsi="GHEA Grapalat" w:cs="Arial"/>
          <w:b/>
          <w:color w:val="7030A0"/>
          <w:sz w:val="22"/>
          <w:szCs w:val="22"/>
        </w:rPr>
        <w:t xml:space="preserve"> </w:t>
      </w:r>
      <w:r w:rsidRPr="00C921DE">
        <w:rPr>
          <w:rFonts w:ascii="GHEA Grapalat" w:hAnsi="GHEA Grapalat" w:cs="GHEA Grapalat"/>
          <w:iCs/>
          <w:sz w:val="22"/>
          <w:szCs w:val="22"/>
        </w:rPr>
        <w:t>Անպտուղ զույգերի</w:t>
      </w:r>
      <w:r w:rsidRPr="00C921DE">
        <w:rPr>
          <w:rFonts w:ascii="GHEA Grapalat" w:hAnsi="GHEA Grapalat" w:cs="Sylfaen"/>
          <w:color w:val="7030A0"/>
          <w:sz w:val="22"/>
          <w:szCs w:val="22"/>
        </w:rPr>
        <w:t xml:space="preserve"> </w:t>
      </w:r>
      <w:r w:rsidRPr="00C921DE">
        <w:rPr>
          <w:rFonts w:ascii="GHEA Grapalat" w:hAnsi="GHEA Grapalat" w:cs="Arial"/>
          <w:sz w:val="22"/>
          <w:szCs w:val="22"/>
        </w:rPr>
        <w:t>համար</w:t>
      </w:r>
      <w:r w:rsidRPr="00C921DE">
        <w:rPr>
          <w:rFonts w:ascii="GHEA Grapalat" w:hAnsi="GHEA Grapalat" w:cs="Sylfaen"/>
          <w:sz w:val="22"/>
          <w:szCs w:val="22"/>
        </w:rPr>
        <w:t xml:space="preserve"> </w:t>
      </w:r>
      <w:r w:rsidRPr="00C921DE">
        <w:rPr>
          <w:rFonts w:ascii="GHEA Grapalat" w:hAnsi="GHEA Grapalat" w:cs="Arial"/>
          <w:sz w:val="22"/>
          <w:szCs w:val="22"/>
        </w:rPr>
        <w:t>վերարտադրողական</w:t>
      </w:r>
      <w:r w:rsidRPr="00C921DE">
        <w:rPr>
          <w:rFonts w:ascii="GHEA Grapalat" w:hAnsi="GHEA Grapalat" w:cs="Sylfaen"/>
          <w:sz w:val="22"/>
          <w:szCs w:val="22"/>
        </w:rPr>
        <w:t xml:space="preserve"> </w:t>
      </w:r>
      <w:r w:rsidRPr="00C921DE">
        <w:rPr>
          <w:rFonts w:ascii="GHEA Grapalat" w:hAnsi="GHEA Grapalat" w:cs="Arial"/>
          <w:sz w:val="22"/>
          <w:szCs w:val="22"/>
        </w:rPr>
        <w:t>օժանդակ</w:t>
      </w:r>
      <w:r w:rsidRPr="00C921DE">
        <w:rPr>
          <w:rFonts w:ascii="GHEA Grapalat" w:hAnsi="GHEA Grapalat" w:cs="Sylfaen"/>
          <w:sz w:val="22"/>
          <w:szCs w:val="22"/>
        </w:rPr>
        <w:t xml:space="preserve"> </w:t>
      </w:r>
      <w:r w:rsidRPr="00C921DE">
        <w:rPr>
          <w:rFonts w:ascii="GHEA Grapalat" w:hAnsi="GHEA Grapalat" w:cs="Arial"/>
          <w:sz w:val="22"/>
          <w:szCs w:val="22"/>
        </w:rPr>
        <w:t>տեխնոլոգիաների</w:t>
      </w:r>
      <w:r w:rsidRPr="00C921DE">
        <w:rPr>
          <w:rFonts w:ascii="GHEA Grapalat" w:hAnsi="GHEA Grapalat" w:cs="Sylfaen"/>
          <w:sz w:val="22"/>
          <w:szCs w:val="22"/>
        </w:rPr>
        <w:t xml:space="preserve"> </w:t>
      </w:r>
      <w:r w:rsidRPr="00C921DE">
        <w:rPr>
          <w:rFonts w:ascii="GHEA Grapalat" w:hAnsi="GHEA Grapalat" w:cs="Arial"/>
          <w:sz w:val="22"/>
          <w:szCs w:val="22"/>
        </w:rPr>
        <w:t>կիրառմամբ</w:t>
      </w:r>
      <w:r w:rsidRPr="00C921DE">
        <w:rPr>
          <w:rFonts w:ascii="GHEA Grapalat" w:hAnsi="GHEA Grapalat" w:cs="Sylfaen"/>
          <w:sz w:val="22"/>
          <w:szCs w:val="22"/>
        </w:rPr>
        <w:t xml:space="preserve"> </w:t>
      </w:r>
      <w:r w:rsidRPr="00C921DE">
        <w:rPr>
          <w:rFonts w:ascii="GHEA Grapalat" w:hAnsi="GHEA Grapalat" w:cs="Arial"/>
          <w:sz w:val="22"/>
          <w:szCs w:val="22"/>
        </w:rPr>
        <w:t>բժշկական</w:t>
      </w:r>
      <w:r w:rsidRPr="00C921DE">
        <w:rPr>
          <w:rFonts w:ascii="GHEA Grapalat" w:hAnsi="GHEA Grapalat" w:cs="Sylfaen"/>
          <w:sz w:val="22"/>
          <w:szCs w:val="22"/>
        </w:rPr>
        <w:t xml:space="preserve"> </w:t>
      </w:r>
      <w:r w:rsidRPr="00C921DE">
        <w:rPr>
          <w:rFonts w:ascii="GHEA Grapalat" w:hAnsi="GHEA Grapalat" w:cs="Arial"/>
          <w:sz w:val="22"/>
          <w:szCs w:val="22"/>
        </w:rPr>
        <w:t>օգնության</w:t>
      </w:r>
      <w:r w:rsidRPr="00C921DE">
        <w:rPr>
          <w:rFonts w:ascii="GHEA Grapalat" w:hAnsi="GHEA Grapalat" w:cs="Sylfaen"/>
          <w:sz w:val="22"/>
          <w:szCs w:val="22"/>
        </w:rPr>
        <w:t xml:space="preserve"> </w:t>
      </w:r>
      <w:r w:rsidRPr="00C921DE">
        <w:rPr>
          <w:rFonts w:ascii="GHEA Grapalat" w:hAnsi="GHEA Grapalat" w:cs="Arial"/>
          <w:sz w:val="22"/>
          <w:szCs w:val="22"/>
        </w:rPr>
        <w:t>ծառայությունների միջոցառման</w:t>
      </w:r>
      <w:r w:rsidRPr="00C921DE">
        <w:rPr>
          <w:rFonts w:ascii="GHEA Grapalat" w:hAnsi="GHEA Grapalat" w:cs="Arial LatArm"/>
          <w:sz w:val="22"/>
          <w:szCs w:val="22"/>
        </w:rPr>
        <w:t xml:space="preserve"> </w:t>
      </w:r>
      <w:r w:rsidRPr="00C921DE">
        <w:rPr>
          <w:rFonts w:ascii="GHEA Grapalat" w:hAnsi="GHEA Grapalat" w:cs="Arial"/>
          <w:sz w:val="22"/>
          <w:szCs w:val="22"/>
        </w:rPr>
        <w:t>շրջանակներում</w:t>
      </w:r>
      <w:r w:rsidRPr="00C921DE">
        <w:rPr>
          <w:rFonts w:ascii="GHEA Grapalat" w:hAnsi="GHEA Grapalat" w:cs="Arial LatArm"/>
          <w:sz w:val="22"/>
          <w:szCs w:val="22"/>
        </w:rPr>
        <w:t xml:space="preserve"> </w:t>
      </w:r>
      <w:r w:rsidRPr="00C921DE">
        <w:rPr>
          <w:rFonts w:ascii="GHEA Grapalat" w:hAnsi="GHEA Grapalat" w:cs="Arial"/>
          <w:sz w:val="22"/>
          <w:szCs w:val="22"/>
        </w:rPr>
        <w:t>պետության</w:t>
      </w:r>
      <w:r w:rsidRPr="00C921DE">
        <w:rPr>
          <w:rFonts w:ascii="GHEA Grapalat" w:hAnsi="GHEA Grapalat" w:cs="Arial LatArm"/>
          <w:sz w:val="22"/>
          <w:szCs w:val="22"/>
        </w:rPr>
        <w:t xml:space="preserve"> </w:t>
      </w:r>
      <w:r w:rsidRPr="00C921DE">
        <w:rPr>
          <w:rFonts w:ascii="GHEA Grapalat" w:hAnsi="GHEA Grapalat" w:cs="Arial"/>
          <w:sz w:val="22"/>
          <w:szCs w:val="22"/>
        </w:rPr>
        <w:t>կողմից</w:t>
      </w:r>
      <w:r w:rsidRPr="00C921DE">
        <w:rPr>
          <w:rFonts w:ascii="GHEA Grapalat" w:hAnsi="GHEA Grapalat" w:cs="Arial LatArm"/>
          <w:sz w:val="22"/>
          <w:szCs w:val="22"/>
        </w:rPr>
        <w:t xml:space="preserve"> </w:t>
      </w:r>
      <w:r w:rsidRPr="00C921DE">
        <w:rPr>
          <w:rFonts w:ascii="GHEA Grapalat" w:hAnsi="GHEA Grapalat" w:cs="Arial"/>
          <w:sz w:val="22"/>
          <w:szCs w:val="22"/>
        </w:rPr>
        <w:t>երաշխավորված</w:t>
      </w:r>
      <w:r w:rsidRPr="00C921DE">
        <w:rPr>
          <w:rFonts w:ascii="GHEA Grapalat" w:hAnsi="GHEA Grapalat" w:cs="Arial LatArm"/>
          <w:sz w:val="22"/>
          <w:szCs w:val="22"/>
        </w:rPr>
        <w:t xml:space="preserve"> </w:t>
      </w:r>
      <w:r w:rsidRPr="00C921DE">
        <w:rPr>
          <w:rFonts w:ascii="GHEA Grapalat" w:hAnsi="GHEA Grapalat" w:cs="Arial"/>
          <w:sz w:val="22"/>
          <w:szCs w:val="22"/>
        </w:rPr>
        <w:t>անվճար</w:t>
      </w:r>
      <w:r w:rsidRPr="00C921DE">
        <w:rPr>
          <w:rFonts w:ascii="GHEA Grapalat" w:hAnsi="GHEA Grapalat" w:cs="Arial LatArm"/>
          <w:sz w:val="22"/>
          <w:szCs w:val="22"/>
        </w:rPr>
        <w:t xml:space="preserve"> </w:t>
      </w:r>
      <w:r w:rsidRPr="00C921DE">
        <w:rPr>
          <w:rFonts w:ascii="GHEA Grapalat" w:hAnsi="GHEA Grapalat" w:cs="Arial"/>
          <w:sz w:val="22"/>
          <w:szCs w:val="22"/>
        </w:rPr>
        <w:t>հիվանդանոցային</w:t>
      </w:r>
      <w:r w:rsidRPr="00C921DE">
        <w:rPr>
          <w:rFonts w:ascii="GHEA Grapalat" w:hAnsi="GHEA Grapalat" w:cs="Arial LatArm"/>
          <w:sz w:val="22"/>
          <w:szCs w:val="22"/>
        </w:rPr>
        <w:t xml:space="preserve"> </w:t>
      </w:r>
      <w:r w:rsidRPr="00C921DE">
        <w:rPr>
          <w:rFonts w:ascii="GHEA Grapalat" w:hAnsi="GHEA Grapalat" w:cs="Arial"/>
          <w:sz w:val="22"/>
          <w:szCs w:val="22"/>
        </w:rPr>
        <w:t>բժշկական</w:t>
      </w:r>
      <w:r w:rsidRPr="00C921DE">
        <w:rPr>
          <w:rFonts w:ascii="GHEA Grapalat" w:hAnsi="GHEA Grapalat" w:cs="Arial LatArm"/>
          <w:sz w:val="22"/>
          <w:szCs w:val="22"/>
        </w:rPr>
        <w:t xml:space="preserve"> </w:t>
      </w:r>
      <w:r w:rsidRPr="00C921DE">
        <w:rPr>
          <w:rFonts w:ascii="GHEA Grapalat" w:hAnsi="GHEA Grapalat" w:cs="Arial"/>
          <w:sz w:val="22"/>
          <w:szCs w:val="22"/>
        </w:rPr>
        <w:t>օգնության</w:t>
      </w:r>
      <w:r w:rsidRPr="00C921DE">
        <w:rPr>
          <w:rFonts w:ascii="GHEA Grapalat" w:hAnsi="GHEA Grapalat" w:cs="Arial LatArm"/>
          <w:sz w:val="22"/>
          <w:szCs w:val="22"/>
        </w:rPr>
        <w:t xml:space="preserve"> </w:t>
      </w:r>
      <w:r w:rsidRPr="00C921DE">
        <w:rPr>
          <w:rFonts w:ascii="GHEA Grapalat" w:hAnsi="GHEA Grapalat" w:cs="Arial"/>
          <w:sz w:val="22"/>
          <w:szCs w:val="22"/>
        </w:rPr>
        <w:t>և</w:t>
      </w:r>
      <w:r w:rsidRPr="00C921DE">
        <w:rPr>
          <w:rFonts w:ascii="GHEA Grapalat" w:hAnsi="GHEA Grapalat" w:cs="Arial LatArm"/>
          <w:sz w:val="22"/>
          <w:szCs w:val="22"/>
        </w:rPr>
        <w:t xml:space="preserve"> </w:t>
      </w:r>
      <w:r w:rsidRPr="00C921DE">
        <w:rPr>
          <w:rFonts w:ascii="GHEA Grapalat" w:hAnsi="GHEA Grapalat" w:cs="Arial"/>
          <w:sz w:val="22"/>
          <w:szCs w:val="22"/>
        </w:rPr>
        <w:t>սպասարկման</w:t>
      </w:r>
      <w:r w:rsidRPr="00C921DE">
        <w:rPr>
          <w:rFonts w:ascii="GHEA Grapalat" w:hAnsi="GHEA Grapalat" w:cs="Arial LatArm"/>
          <w:sz w:val="22"/>
          <w:szCs w:val="22"/>
        </w:rPr>
        <w:t xml:space="preserve"> </w:t>
      </w:r>
      <w:r w:rsidRPr="00C921DE">
        <w:rPr>
          <w:rFonts w:ascii="GHEA Grapalat" w:hAnsi="GHEA Grapalat" w:cs="Arial"/>
          <w:sz w:val="22"/>
          <w:szCs w:val="22"/>
        </w:rPr>
        <w:t>շրջանակներում</w:t>
      </w:r>
      <w:r w:rsidRPr="00C921DE">
        <w:rPr>
          <w:rFonts w:ascii="GHEA Grapalat" w:hAnsi="GHEA Grapalat" w:cs="Arial LatArm"/>
          <w:sz w:val="22"/>
          <w:szCs w:val="22"/>
        </w:rPr>
        <w:t xml:space="preserve"> 2023 </w:t>
      </w:r>
      <w:r w:rsidRPr="00C921DE">
        <w:rPr>
          <w:rFonts w:ascii="GHEA Grapalat" w:hAnsi="GHEA Grapalat" w:cs="Arial"/>
          <w:sz w:val="22"/>
          <w:szCs w:val="22"/>
        </w:rPr>
        <w:t>թվականին</w:t>
      </w:r>
      <w:r w:rsidRPr="00C921DE">
        <w:rPr>
          <w:rFonts w:ascii="GHEA Grapalat" w:hAnsi="GHEA Grapalat" w:cs="Arial LatArm"/>
          <w:sz w:val="22"/>
          <w:szCs w:val="22"/>
        </w:rPr>
        <w:t xml:space="preserve"> </w:t>
      </w:r>
      <w:r w:rsidRPr="00C921DE">
        <w:rPr>
          <w:rFonts w:ascii="GHEA Grapalat" w:hAnsi="GHEA Grapalat" w:cs="Arial"/>
          <w:sz w:val="22"/>
          <w:szCs w:val="22"/>
        </w:rPr>
        <w:t>իրականացվել</w:t>
      </w:r>
      <w:r w:rsidRPr="00C921DE">
        <w:rPr>
          <w:rFonts w:ascii="GHEA Grapalat" w:hAnsi="GHEA Grapalat" w:cs="Arial LatArm"/>
          <w:sz w:val="22"/>
          <w:szCs w:val="22"/>
        </w:rPr>
        <w:t xml:space="preserve"> </w:t>
      </w:r>
      <w:r w:rsidRPr="00C921DE">
        <w:rPr>
          <w:rFonts w:ascii="GHEA Grapalat" w:hAnsi="GHEA Grapalat" w:cs="Arial"/>
          <w:sz w:val="22"/>
          <w:szCs w:val="22"/>
        </w:rPr>
        <w:t>է</w:t>
      </w:r>
      <w:r w:rsidRPr="00C921DE">
        <w:rPr>
          <w:rFonts w:ascii="GHEA Grapalat" w:hAnsi="GHEA Grapalat" w:cs="Arial LatArm"/>
          <w:sz w:val="22"/>
          <w:szCs w:val="22"/>
        </w:rPr>
        <w:t xml:space="preserve"> </w:t>
      </w:r>
      <w:r w:rsidRPr="00C921DE">
        <w:rPr>
          <w:rFonts w:ascii="GHEA Grapalat" w:hAnsi="GHEA Grapalat" w:cs="Arial LatArm"/>
          <w:color w:val="7030A0"/>
          <w:sz w:val="22"/>
          <w:szCs w:val="22"/>
        </w:rPr>
        <w:t>4</w:t>
      </w:r>
      <w:r w:rsidRPr="00C921DE">
        <w:rPr>
          <w:rFonts w:ascii="GHEA Grapalat" w:hAnsi="GHEA Grapalat" w:cs="Arial LatArm"/>
          <w:sz w:val="22"/>
          <w:szCs w:val="22"/>
        </w:rPr>
        <w:t xml:space="preserve">2558 </w:t>
      </w:r>
      <w:r w:rsidRPr="00C921DE">
        <w:rPr>
          <w:rFonts w:ascii="GHEA Grapalat" w:hAnsi="GHEA Grapalat" w:cs="Arial"/>
          <w:sz w:val="22"/>
          <w:szCs w:val="22"/>
        </w:rPr>
        <w:t>հետազոտություն՝</w:t>
      </w:r>
      <w:r w:rsidRPr="00C921DE">
        <w:rPr>
          <w:rFonts w:ascii="GHEA Grapalat" w:hAnsi="GHEA Grapalat" w:cs="Sylfaen"/>
          <w:sz w:val="22"/>
          <w:szCs w:val="22"/>
        </w:rPr>
        <w:t xml:space="preserve"> </w:t>
      </w:r>
      <w:r w:rsidRPr="00C921DE">
        <w:rPr>
          <w:rFonts w:ascii="GHEA Grapalat" w:hAnsi="GHEA Grapalat" w:cs="Arial"/>
          <w:sz w:val="22"/>
          <w:szCs w:val="22"/>
        </w:rPr>
        <w:t>կանխատեսված</w:t>
      </w:r>
      <w:r w:rsidRPr="00C921DE">
        <w:rPr>
          <w:rFonts w:ascii="GHEA Grapalat" w:hAnsi="GHEA Grapalat" w:cs="Sylfaen"/>
          <w:sz w:val="22"/>
          <w:szCs w:val="22"/>
        </w:rPr>
        <w:t xml:space="preserve"> 42304-</w:t>
      </w:r>
      <w:r w:rsidRPr="00C921DE">
        <w:rPr>
          <w:rFonts w:ascii="GHEA Grapalat" w:hAnsi="GHEA Grapalat" w:cs="Arial"/>
          <w:sz w:val="22"/>
          <w:szCs w:val="22"/>
        </w:rPr>
        <w:t>ի և</w:t>
      </w:r>
      <w:r w:rsidRPr="00C921DE">
        <w:rPr>
          <w:rFonts w:ascii="GHEA Grapalat" w:hAnsi="GHEA Grapalat" w:cs="Sylfaen"/>
          <w:sz w:val="22"/>
          <w:szCs w:val="22"/>
        </w:rPr>
        <w:t xml:space="preserve"> </w:t>
      </w:r>
      <w:r w:rsidRPr="00C921DE">
        <w:rPr>
          <w:rFonts w:ascii="GHEA Grapalat" w:hAnsi="GHEA Grapalat" w:cs="Arial LatArm"/>
          <w:sz w:val="22"/>
          <w:szCs w:val="22"/>
        </w:rPr>
        <w:t xml:space="preserve">2022 </w:t>
      </w:r>
      <w:r w:rsidRPr="00C921DE">
        <w:rPr>
          <w:rFonts w:ascii="GHEA Grapalat" w:hAnsi="GHEA Grapalat" w:cs="Arial"/>
          <w:sz w:val="22"/>
          <w:szCs w:val="22"/>
        </w:rPr>
        <w:t>թվականի 10466</w:t>
      </w:r>
      <w:r w:rsidRPr="00C921DE">
        <w:rPr>
          <w:rFonts w:ascii="GHEA Grapalat" w:hAnsi="GHEA Grapalat" w:cs="Sylfaen"/>
          <w:sz w:val="22"/>
          <w:szCs w:val="22"/>
        </w:rPr>
        <w:t>-</w:t>
      </w:r>
      <w:r w:rsidRPr="00C921DE">
        <w:rPr>
          <w:rFonts w:ascii="GHEA Grapalat" w:hAnsi="GHEA Grapalat" w:cs="Arial"/>
          <w:sz w:val="22"/>
          <w:szCs w:val="22"/>
        </w:rPr>
        <w:t>ի</w:t>
      </w:r>
      <w:r w:rsidRPr="00C921DE">
        <w:rPr>
          <w:rFonts w:ascii="GHEA Grapalat" w:hAnsi="GHEA Grapalat" w:cs="Arial LatArm"/>
          <w:sz w:val="22"/>
          <w:szCs w:val="22"/>
        </w:rPr>
        <w:t xml:space="preserve"> </w:t>
      </w:r>
      <w:r w:rsidRPr="00C921DE">
        <w:rPr>
          <w:rFonts w:ascii="GHEA Grapalat" w:hAnsi="GHEA Grapalat" w:cs="Arial"/>
          <w:sz w:val="22"/>
          <w:szCs w:val="22"/>
        </w:rPr>
        <w:t>դիմաց,</w:t>
      </w:r>
      <w:r w:rsidRPr="00C921DE">
        <w:rPr>
          <w:rFonts w:ascii="GHEA Grapalat" w:hAnsi="GHEA Grapalat" w:cs="Arial LatArm"/>
          <w:sz w:val="22"/>
          <w:szCs w:val="22"/>
        </w:rPr>
        <w:t xml:space="preserve"> </w:t>
      </w:r>
      <w:r w:rsidRPr="00C921DE">
        <w:rPr>
          <w:rFonts w:ascii="GHEA Grapalat" w:hAnsi="GHEA Grapalat" w:cs="Arial"/>
          <w:sz w:val="22"/>
          <w:szCs w:val="22"/>
        </w:rPr>
        <w:t>բուժօգնություն</w:t>
      </w:r>
      <w:r w:rsidRPr="00C921DE">
        <w:rPr>
          <w:rFonts w:ascii="GHEA Grapalat" w:hAnsi="GHEA Grapalat" w:cs="Sylfaen"/>
          <w:sz w:val="22"/>
          <w:szCs w:val="22"/>
        </w:rPr>
        <w:t xml:space="preserve"> </w:t>
      </w:r>
      <w:r w:rsidRPr="00C921DE">
        <w:rPr>
          <w:rFonts w:ascii="GHEA Grapalat" w:hAnsi="GHEA Grapalat" w:cs="Arial"/>
          <w:sz w:val="22"/>
          <w:szCs w:val="22"/>
        </w:rPr>
        <w:t>է</w:t>
      </w:r>
      <w:r w:rsidRPr="00C921DE">
        <w:rPr>
          <w:rFonts w:ascii="GHEA Grapalat" w:hAnsi="GHEA Grapalat" w:cs="Sylfaen"/>
          <w:sz w:val="22"/>
          <w:szCs w:val="22"/>
        </w:rPr>
        <w:t xml:space="preserve"> </w:t>
      </w:r>
      <w:r w:rsidRPr="00C921DE">
        <w:rPr>
          <w:rFonts w:ascii="GHEA Grapalat" w:hAnsi="GHEA Grapalat" w:cs="Arial"/>
          <w:sz w:val="22"/>
          <w:szCs w:val="22"/>
        </w:rPr>
        <w:t>մատուցվել</w:t>
      </w:r>
      <w:r w:rsidRPr="00C921DE">
        <w:rPr>
          <w:rFonts w:ascii="GHEA Grapalat" w:hAnsi="GHEA Grapalat" w:cs="Sylfaen"/>
          <w:sz w:val="22"/>
          <w:szCs w:val="22"/>
        </w:rPr>
        <w:t xml:space="preserve"> 2748</w:t>
      </w:r>
      <w:r w:rsidRPr="00C921DE">
        <w:rPr>
          <w:rFonts w:ascii="GHEA Grapalat" w:hAnsi="GHEA Grapalat" w:cs="Sylfaen"/>
          <w:color w:val="7030A0"/>
          <w:sz w:val="22"/>
          <w:szCs w:val="22"/>
        </w:rPr>
        <w:t xml:space="preserve"> </w:t>
      </w:r>
      <w:r w:rsidRPr="00C921DE">
        <w:rPr>
          <w:rFonts w:ascii="GHEA Grapalat" w:hAnsi="GHEA Grapalat" w:cs="Arial"/>
          <w:sz w:val="22"/>
          <w:szCs w:val="22"/>
        </w:rPr>
        <w:t>զույգի՝</w:t>
      </w:r>
      <w:r w:rsidRPr="00C921DE">
        <w:rPr>
          <w:rFonts w:ascii="GHEA Grapalat" w:hAnsi="GHEA Grapalat" w:cs="Sylfaen"/>
          <w:sz w:val="22"/>
          <w:szCs w:val="22"/>
        </w:rPr>
        <w:t xml:space="preserve"> </w:t>
      </w:r>
      <w:r w:rsidRPr="00C921DE">
        <w:rPr>
          <w:rFonts w:ascii="GHEA Grapalat" w:hAnsi="GHEA Grapalat" w:cs="Arial"/>
          <w:sz w:val="22"/>
          <w:szCs w:val="22"/>
        </w:rPr>
        <w:t>կանխատեսված</w:t>
      </w:r>
      <w:r w:rsidRPr="00C921DE">
        <w:rPr>
          <w:rFonts w:ascii="GHEA Grapalat" w:hAnsi="GHEA Grapalat" w:cs="Sylfaen"/>
          <w:sz w:val="22"/>
          <w:szCs w:val="22"/>
        </w:rPr>
        <w:t xml:space="preserve"> 4186-</w:t>
      </w:r>
      <w:r w:rsidRPr="00C921DE">
        <w:rPr>
          <w:rFonts w:ascii="GHEA Grapalat" w:hAnsi="GHEA Grapalat" w:cs="Arial"/>
          <w:sz w:val="22"/>
          <w:szCs w:val="22"/>
        </w:rPr>
        <w:t>ի</w:t>
      </w:r>
      <w:r w:rsidRPr="00C921DE">
        <w:rPr>
          <w:rFonts w:ascii="GHEA Grapalat" w:hAnsi="GHEA Grapalat" w:cs="Sylfaen"/>
          <w:sz w:val="22"/>
          <w:szCs w:val="22"/>
        </w:rPr>
        <w:t xml:space="preserve"> </w:t>
      </w:r>
      <w:r w:rsidRPr="00C921DE">
        <w:rPr>
          <w:rFonts w:ascii="GHEA Grapalat" w:hAnsi="GHEA Grapalat" w:cs="Arial"/>
          <w:sz w:val="22"/>
          <w:szCs w:val="22"/>
        </w:rPr>
        <w:t>և</w:t>
      </w:r>
      <w:r w:rsidRPr="00C921DE">
        <w:rPr>
          <w:rFonts w:ascii="GHEA Grapalat" w:hAnsi="GHEA Grapalat" w:cs="Sylfaen"/>
          <w:sz w:val="22"/>
          <w:szCs w:val="22"/>
        </w:rPr>
        <w:t xml:space="preserve"> </w:t>
      </w:r>
      <w:r w:rsidRPr="00C921DE">
        <w:rPr>
          <w:rFonts w:ascii="GHEA Grapalat" w:hAnsi="GHEA Grapalat" w:cs="Arial LatArm"/>
          <w:sz w:val="22"/>
          <w:szCs w:val="22"/>
        </w:rPr>
        <w:t xml:space="preserve">2022 </w:t>
      </w:r>
      <w:r w:rsidRPr="00C921DE">
        <w:rPr>
          <w:rFonts w:ascii="GHEA Grapalat" w:hAnsi="GHEA Grapalat" w:cs="Arial"/>
          <w:sz w:val="22"/>
          <w:szCs w:val="22"/>
        </w:rPr>
        <w:t>թվականի 681</w:t>
      </w:r>
      <w:r w:rsidRPr="00C921DE">
        <w:rPr>
          <w:rFonts w:ascii="GHEA Grapalat" w:hAnsi="GHEA Grapalat" w:cs="Sylfaen"/>
          <w:sz w:val="22"/>
          <w:szCs w:val="22"/>
        </w:rPr>
        <w:t>-</w:t>
      </w:r>
      <w:r w:rsidRPr="00C921DE">
        <w:rPr>
          <w:rFonts w:ascii="GHEA Grapalat" w:hAnsi="GHEA Grapalat" w:cs="Arial"/>
          <w:sz w:val="22"/>
          <w:szCs w:val="22"/>
        </w:rPr>
        <w:t>ի</w:t>
      </w:r>
      <w:r w:rsidRPr="00C921DE">
        <w:rPr>
          <w:rFonts w:ascii="GHEA Grapalat" w:hAnsi="GHEA Grapalat" w:cs="Arial LatArm"/>
          <w:sz w:val="22"/>
          <w:szCs w:val="22"/>
        </w:rPr>
        <w:t xml:space="preserve"> </w:t>
      </w:r>
      <w:r w:rsidRPr="00C921DE">
        <w:rPr>
          <w:rFonts w:ascii="GHEA Grapalat" w:hAnsi="GHEA Grapalat" w:cs="Arial"/>
          <w:sz w:val="22"/>
          <w:szCs w:val="22"/>
        </w:rPr>
        <w:t>դիմաց</w:t>
      </w:r>
      <w:r w:rsidRPr="00C921DE">
        <w:rPr>
          <w:rFonts w:ascii="GHEA Grapalat" w:hAnsi="GHEA Grapalat" w:cs="Sylfaen"/>
          <w:sz w:val="22"/>
          <w:szCs w:val="22"/>
        </w:rPr>
        <w:t>:</w:t>
      </w:r>
      <w:r w:rsidRPr="00C921DE">
        <w:rPr>
          <w:rFonts w:ascii="GHEA Grapalat" w:hAnsi="GHEA Grapalat" w:cs="Arial"/>
          <w:sz w:val="22"/>
          <w:szCs w:val="22"/>
        </w:rPr>
        <w:t xml:space="preserve"> 2023 թվականին անպտուղ</w:t>
      </w:r>
      <w:r w:rsidRPr="00C921DE">
        <w:rPr>
          <w:rFonts w:ascii="GHEA Grapalat" w:hAnsi="GHEA Grapalat" w:cs="Sylfaen"/>
          <w:sz w:val="22"/>
          <w:szCs w:val="22"/>
        </w:rPr>
        <w:t xml:space="preserve"> </w:t>
      </w:r>
      <w:r w:rsidRPr="00C921DE">
        <w:rPr>
          <w:rFonts w:ascii="GHEA Grapalat" w:hAnsi="GHEA Grapalat" w:cs="Arial"/>
          <w:sz w:val="22"/>
          <w:szCs w:val="22"/>
        </w:rPr>
        <w:t>զույգերի</w:t>
      </w:r>
      <w:r w:rsidRPr="00C921DE">
        <w:rPr>
          <w:rFonts w:ascii="GHEA Grapalat" w:hAnsi="GHEA Grapalat" w:cs="Sylfaen"/>
          <w:sz w:val="22"/>
          <w:szCs w:val="22"/>
        </w:rPr>
        <w:t xml:space="preserve"> </w:t>
      </w:r>
      <w:r w:rsidRPr="00C921DE">
        <w:rPr>
          <w:rFonts w:ascii="GHEA Grapalat" w:hAnsi="GHEA Grapalat" w:cs="Arial"/>
          <w:sz w:val="22"/>
          <w:szCs w:val="22"/>
        </w:rPr>
        <w:t>համար</w:t>
      </w:r>
      <w:r w:rsidRPr="00C921DE">
        <w:rPr>
          <w:rFonts w:ascii="GHEA Grapalat" w:hAnsi="GHEA Grapalat" w:cs="Sylfaen"/>
          <w:sz w:val="22"/>
          <w:szCs w:val="22"/>
        </w:rPr>
        <w:t xml:space="preserve"> </w:t>
      </w:r>
      <w:r w:rsidRPr="00C921DE">
        <w:rPr>
          <w:rFonts w:ascii="GHEA Grapalat" w:hAnsi="GHEA Grapalat" w:cs="Arial"/>
          <w:sz w:val="22"/>
          <w:szCs w:val="22"/>
        </w:rPr>
        <w:t>վերարտադրողական</w:t>
      </w:r>
      <w:r w:rsidRPr="00C921DE">
        <w:rPr>
          <w:rFonts w:ascii="GHEA Grapalat" w:hAnsi="GHEA Grapalat" w:cs="Sylfaen"/>
          <w:sz w:val="22"/>
          <w:szCs w:val="22"/>
        </w:rPr>
        <w:t xml:space="preserve"> </w:t>
      </w:r>
      <w:r w:rsidRPr="00C921DE">
        <w:rPr>
          <w:rFonts w:ascii="GHEA Grapalat" w:hAnsi="GHEA Grapalat" w:cs="Arial"/>
          <w:sz w:val="22"/>
          <w:szCs w:val="22"/>
        </w:rPr>
        <w:t>օժանդակ</w:t>
      </w:r>
      <w:r w:rsidRPr="00C921DE">
        <w:rPr>
          <w:rFonts w:ascii="GHEA Grapalat" w:hAnsi="GHEA Grapalat" w:cs="Sylfaen"/>
          <w:sz w:val="22"/>
          <w:szCs w:val="22"/>
        </w:rPr>
        <w:t xml:space="preserve"> </w:t>
      </w:r>
      <w:r w:rsidRPr="00C921DE">
        <w:rPr>
          <w:rFonts w:ascii="GHEA Grapalat" w:hAnsi="GHEA Grapalat" w:cs="Arial"/>
          <w:sz w:val="22"/>
          <w:szCs w:val="22"/>
        </w:rPr>
        <w:t>տեխնոլոգիաների</w:t>
      </w:r>
      <w:r w:rsidRPr="00C921DE">
        <w:rPr>
          <w:rFonts w:ascii="GHEA Grapalat" w:hAnsi="GHEA Grapalat" w:cs="Sylfaen"/>
          <w:sz w:val="22"/>
          <w:szCs w:val="22"/>
        </w:rPr>
        <w:t xml:space="preserve"> </w:t>
      </w:r>
      <w:r w:rsidRPr="00C921DE">
        <w:rPr>
          <w:rFonts w:ascii="GHEA Grapalat" w:hAnsi="GHEA Grapalat" w:cs="Arial"/>
          <w:sz w:val="22"/>
          <w:szCs w:val="22"/>
        </w:rPr>
        <w:t>կիրառմամբ</w:t>
      </w:r>
      <w:r w:rsidRPr="00C921DE">
        <w:rPr>
          <w:rFonts w:ascii="GHEA Grapalat" w:hAnsi="GHEA Grapalat" w:cs="Sylfaen"/>
          <w:sz w:val="22"/>
          <w:szCs w:val="22"/>
        </w:rPr>
        <w:t xml:space="preserve"> </w:t>
      </w:r>
      <w:r w:rsidRPr="00C921DE">
        <w:rPr>
          <w:rFonts w:ascii="GHEA Grapalat" w:hAnsi="GHEA Grapalat" w:cs="Arial"/>
          <w:sz w:val="22"/>
          <w:szCs w:val="22"/>
        </w:rPr>
        <w:t>բժշկական</w:t>
      </w:r>
      <w:r w:rsidRPr="00C921DE">
        <w:rPr>
          <w:rFonts w:ascii="GHEA Grapalat" w:hAnsi="GHEA Grapalat" w:cs="Sylfaen"/>
          <w:sz w:val="22"/>
          <w:szCs w:val="22"/>
        </w:rPr>
        <w:t xml:space="preserve"> </w:t>
      </w:r>
      <w:r w:rsidRPr="00C921DE">
        <w:rPr>
          <w:rFonts w:ascii="GHEA Grapalat" w:hAnsi="GHEA Grapalat" w:cs="Arial"/>
          <w:sz w:val="22"/>
          <w:szCs w:val="22"/>
        </w:rPr>
        <w:t>օգնության</w:t>
      </w:r>
      <w:r w:rsidRPr="00C921DE">
        <w:rPr>
          <w:rFonts w:ascii="GHEA Grapalat" w:hAnsi="GHEA Grapalat" w:cs="Sylfaen"/>
          <w:sz w:val="22"/>
          <w:szCs w:val="22"/>
        </w:rPr>
        <w:t xml:space="preserve"> </w:t>
      </w:r>
      <w:r w:rsidRPr="00C921DE">
        <w:rPr>
          <w:rFonts w:ascii="GHEA Grapalat" w:hAnsi="GHEA Grapalat" w:cs="Arial"/>
          <w:sz w:val="22"/>
          <w:szCs w:val="22"/>
        </w:rPr>
        <w:t>ծառայությունների ծախսերը</w:t>
      </w:r>
      <w:r w:rsidRPr="00C921DE">
        <w:rPr>
          <w:rFonts w:ascii="GHEA Grapalat" w:hAnsi="GHEA Grapalat" w:cs="Sylfaen"/>
          <w:sz w:val="22"/>
          <w:szCs w:val="22"/>
        </w:rPr>
        <w:t xml:space="preserve"> </w:t>
      </w:r>
      <w:r w:rsidRPr="00C921DE">
        <w:rPr>
          <w:rFonts w:ascii="GHEA Grapalat" w:hAnsi="GHEA Grapalat" w:cs="Arial"/>
          <w:sz w:val="22"/>
          <w:szCs w:val="22"/>
        </w:rPr>
        <w:t>կազմել</w:t>
      </w:r>
      <w:r w:rsidRPr="00C921DE">
        <w:rPr>
          <w:rFonts w:ascii="GHEA Grapalat" w:hAnsi="GHEA Grapalat" w:cs="Sylfaen"/>
          <w:sz w:val="22"/>
          <w:szCs w:val="22"/>
        </w:rPr>
        <w:t xml:space="preserve"> </w:t>
      </w:r>
      <w:r w:rsidRPr="00C921DE">
        <w:rPr>
          <w:rFonts w:ascii="GHEA Grapalat" w:hAnsi="GHEA Grapalat" w:cs="Arial"/>
          <w:sz w:val="22"/>
          <w:szCs w:val="22"/>
        </w:rPr>
        <w:t>են</w:t>
      </w:r>
      <w:r w:rsidRPr="00C921DE">
        <w:rPr>
          <w:rFonts w:ascii="GHEA Grapalat" w:hAnsi="GHEA Grapalat" w:cs="Sylfaen"/>
          <w:sz w:val="22"/>
          <w:szCs w:val="22"/>
        </w:rPr>
        <w:t xml:space="preserve"> 2.1 </w:t>
      </w:r>
      <w:r w:rsidRPr="00C921DE">
        <w:rPr>
          <w:rFonts w:ascii="GHEA Grapalat" w:hAnsi="GHEA Grapalat" w:cs="Arial"/>
          <w:sz w:val="22"/>
          <w:szCs w:val="22"/>
        </w:rPr>
        <w:t>մլրդ</w:t>
      </w:r>
      <w:r w:rsidRPr="00C921DE">
        <w:rPr>
          <w:rFonts w:ascii="GHEA Grapalat" w:hAnsi="GHEA Grapalat" w:cs="Sylfaen"/>
          <w:sz w:val="22"/>
          <w:szCs w:val="22"/>
        </w:rPr>
        <w:t xml:space="preserve"> </w:t>
      </w:r>
      <w:r w:rsidRPr="00C921DE">
        <w:rPr>
          <w:rFonts w:ascii="GHEA Grapalat" w:hAnsi="GHEA Grapalat" w:cs="Arial"/>
          <w:sz w:val="22"/>
          <w:szCs w:val="22"/>
        </w:rPr>
        <w:t>դրամ</w:t>
      </w:r>
      <w:r w:rsidRPr="00C921DE">
        <w:rPr>
          <w:rFonts w:ascii="GHEA Grapalat" w:hAnsi="GHEA Grapalat" w:cs="Sylfaen"/>
          <w:sz w:val="22"/>
          <w:szCs w:val="22"/>
        </w:rPr>
        <w:t xml:space="preserve"> </w:t>
      </w:r>
      <w:r w:rsidRPr="00C921DE">
        <w:rPr>
          <w:rFonts w:ascii="GHEA Grapalat" w:hAnsi="GHEA Grapalat" w:cs="Arial"/>
          <w:sz w:val="22"/>
          <w:szCs w:val="22"/>
        </w:rPr>
        <w:t>կամ</w:t>
      </w:r>
      <w:r w:rsidRPr="00C921DE">
        <w:rPr>
          <w:rFonts w:ascii="GHEA Grapalat" w:hAnsi="GHEA Grapalat" w:cs="Sylfaen"/>
          <w:sz w:val="22"/>
          <w:szCs w:val="22"/>
        </w:rPr>
        <w:t xml:space="preserve"> </w:t>
      </w:r>
      <w:r w:rsidRPr="00C921DE">
        <w:rPr>
          <w:rFonts w:ascii="GHEA Grapalat" w:hAnsi="GHEA Grapalat" w:cs="Arial"/>
          <w:sz w:val="22"/>
          <w:szCs w:val="22"/>
        </w:rPr>
        <w:t>նախատեսվածի</w:t>
      </w:r>
      <w:r w:rsidRPr="00C921DE">
        <w:rPr>
          <w:rFonts w:ascii="GHEA Grapalat" w:hAnsi="GHEA Grapalat" w:cs="Sylfaen"/>
          <w:sz w:val="22"/>
          <w:szCs w:val="22"/>
        </w:rPr>
        <w:t xml:space="preserve"> </w:t>
      </w:r>
      <w:r w:rsidRPr="00C921DE">
        <w:rPr>
          <w:rFonts w:ascii="GHEA Grapalat" w:hAnsi="GHEA Grapalat" w:cs="Arial"/>
          <w:sz w:val="22"/>
          <w:szCs w:val="22"/>
        </w:rPr>
        <w:t>97.6</w:t>
      </w:r>
      <w:r w:rsidRPr="00C921DE">
        <w:rPr>
          <w:rFonts w:ascii="GHEA Grapalat" w:hAnsi="GHEA Grapalat" w:cs="Sylfaen"/>
          <w:sz w:val="22"/>
          <w:szCs w:val="22"/>
        </w:rPr>
        <w:t>%-</w:t>
      </w:r>
      <w:r w:rsidRPr="00C921DE">
        <w:rPr>
          <w:rFonts w:ascii="GHEA Grapalat" w:hAnsi="GHEA Grapalat" w:cs="Arial"/>
          <w:sz w:val="22"/>
          <w:szCs w:val="22"/>
        </w:rPr>
        <w:t xml:space="preserve">ը՝ </w:t>
      </w:r>
      <w:r w:rsidRPr="00C921DE">
        <w:rPr>
          <w:rFonts w:ascii="GHEA Grapalat" w:hAnsi="GHEA Grapalat" w:cs="Times Armenian"/>
          <w:sz w:val="22"/>
          <w:szCs w:val="22"/>
        </w:rPr>
        <w:t xml:space="preserve">հիմնականում </w:t>
      </w:r>
      <w:r w:rsidRPr="00C921DE">
        <w:rPr>
          <w:rFonts w:ascii="GHEA Grapalat" w:hAnsi="GHEA Grapalat" w:cs="Arial"/>
          <w:sz w:val="22"/>
          <w:szCs w:val="22"/>
        </w:rPr>
        <w:t>պայմանավորված առանձին կազմակերպություններում դեպքերի ցածր ցուցանիշով: Նախորդ</w:t>
      </w:r>
      <w:r w:rsidRPr="00C921DE">
        <w:rPr>
          <w:rFonts w:ascii="GHEA Grapalat" w:hAnsi="GHEA Grapalat" w:cs="Sylfaen"/>
          <w:sz w:val="22"/>
          <w:szCs w:val="22"/>
          <w:lang w:val="zu-ZA"/>
        </w:rPr>
        <w:t xml:space="preserve"> </w:t>
      </w:r>
      <w:r w:rsidRPr="00C921DE">
        <w:rPr>
          <w:rFonts w:ascii="GHEA Grapalat" w:hAnsi="GHEA Grapalat" w:cs="Arial"/>
          <w:sz w:val="22"/>
          <w:szCs w:val="22"/>
        </w:rPr>
        <w:t>տարվա</w:t>
      </w:r>
      <w:r w:rsidRPr="00C921DE">
        <w:rPr>
          <w:rFonts w:ascii="GHEA Grapalat" w:hAnsi="GHEA Grapalat" w:cs="Sylfaen"/>
          <w:sz w:val="22"/>
          <w:szCs w:val="22"/>
          <w:lang w:val="zu-ZA"/>
        </w:rPr>
        <w:t xml:space="preserve"> </w:t>
      </w:r>
      <w:r w:rsidRPr="00C921DE">
        <w:rPr>
          <w:rFonts w:ascii="GHEA Grapalat" w:hAnsi="GHEA Grapalat" w:cs="Arial"/>
          <w:sz w:val="22"/>
          <w:szCs w:val="22"/>
        </w:rPr>
        <w:t>համեմատ նշված</w:t>
      </w:r>
      <w:r w:rsidRPr="00C921DE">
        <w:rPr>
          <w:rFonts w:ascii="GHEA Grapalat" w:hAnsi="GHEA Grapalat" w:cs="Arial"/>
          <w:sz w:val="22"/>
          <w:szCs w:val="22"/>
          <w:lang w:val="zu-ZA"/>
        </w:rPr>
        <w:t xml:space="preserve"> </w:t>
      </w:r>
      <w:r w:rsidRPr="00C921DE">
        <w:rPr>
          <w:rFonts w:ascii="GHEA Grapalat" w:hAnsi="GHEA Grapalat" w:cs="Arial"/>
          <w:sz w:val="22"/>
          <w:szCs w:val="22"/>
        </w:rPr>
        <w:t>ծախսերն աճել են</w:t>
      </w:r>
      <w:r w:rsidRPr="00C921DE">
        <w:rPr>
          <w:rFonts w:ascii="GHEA Grapalat" w:hAnsi="GHEA Grapalat" w:cs="Sylfaen"/>
          <w:sz w:val="22"/>
          <w:szCs w:val="22"/>
          <w:lang w:val="zu-ZA"/>
        </w:rPr>
        <w:t xml:space="preserve"> </w:t>
      </w:r>
      <w:r w:rsidRPr="00C921DE">
        <w:rPr>
          <w:rFonts w:ascii="GHEA Grapalat" w:hAnsi="GHEA Grapalat" w:cs="Arial"/>
          <w:sz w:val="22"/>
          <w:szCs w:val="22"/>
        </w:rPr>
        <w:t>3.8 անգամ կամ 1.6 մլրդ դրամով՝</w:t>
      </w:r>
      <w:r w:rsidRPr="00C921DE">
        <w:rPr>
          <w:rFonts w:ascii="GHEA Grapalat" w:hAnsi="GHEA Grapalat" w:cs="Arial"/>
          <w:sz w:val="22"/>
          <w:szCs w:val="22"/>
          <w:lang w:val="zu-ZA"/>
        </w:rPr>
        <w:t xml:space="preserve"> հիմնականում </w:t>
      </w:r>
      <w:r w:rsidRPr="00C921DE">
        <w:rPr>
          <w:rFonts w:ascii="GHEA Grapalat" w:hAnsi="GHEA Grapalat" w:cs="Arial"/>
          <w:sz w:val="22"/>
          <w:szCs w:val="22"/>
        </w:rPr>
        <w:t>պայմանավորված</w:t>
      </w:r>
      <w:r w:rsidR="00113301" w:rsidRPr="00C921DE">
        <w:rPr>
          <w:rFonts w:ascii="GHEA Grapalat" w:hAnsi="GHEA Grapalat" w:cs="Arial"/>
          <w:sz w:val="22"/>
          <w:szCs w:val="22"/>
        </w:rPr>
        <w:t xml:space="preserve"> </w:t>
      </w:r>
      <w:r w:rsidRPr="00C921DE">
        <w:rPr>
          <w:rFonts w:ascii="GHEA Grapalat" w:hAnsi="GHEA Grapalat" w:cs="Arial"/>
          <w:sz w:val="22"/>
          <w:szCs w:val="22"/>
        </w:rPr>
        <w:t xml:space="preserve">բուժօգնությունից օգտվող շահառուների շրջանակի ընդլայնմամբ: </w:t>
      </w:r>
    </w:p>
    <w:p w14:paraId="490427B0" w14:textId="77777777" w:rsidR="003E6DF8" w:rsidRPr="00C921DE" w:rsidRDefault="003E6DF8" w:rsidP="003E6DF8">
      <w:pPr>
        <w:spacing w:line="360" w:lineRule="auto"/>
        <w:ind w:firstLine="561"/>
        <w:jc w:val="both"/>
        <w:rPr>
          <w:rFonts w:ascii="GHEA Grapalat" w:hAnsi="GHEA Grapalat" w:cs="Arial"/>
          <w:sz w:val="22"/>
          <w:szCs w:val="22"/>
        </w:rPr>
      </w:pPr>
      <w:r w:rsidRPr="00C921DE">
        <w:rPr>
          <w:rFonts w:ascii="GHEA Grapalat" w:hAnsi="GHEA Grapalat" w:cs="GHEA Grapalat"/>
          <w:iCs/>
          <w:sz w:val="22"/>
          <w:szCs w:val="22"/>
        </w:rPr>
        <w:t xml:space="preserve">Հաշվետու տարում </w:t>
      </w:r>
      <w:r w:rsidRPr="00C921DE">
        <w:rPr>
          <w:rFonts w:ascii="GHEA Grapalat" w:hAnsi="GHEA Grapalat" w:cs="GHEA Grapalat"/>
          <w:i/>
          <w:iCs/>
          <w:sz w:val="22"/>
          <w:szCs w:val="22"/>
        </w:rPr>
        <w:t>Ոչ վարակիչ հիվանդությունների բժշկական օգնության ապահովման</w:t>
      </w:r>
      <w:r w:rsidRPr="00C921DE">
        <w:rPr>
          <w:rFonts w:ascii="GHEA Grapalat" w:hAnsi="GHEA Grapalat" w:cs="GHEA Grapalat"/>
          <w:iCs/>
          <w:sz w:val="22"/>
          <w:szCs w:val="22"/>
        </w:rPr>
        <w:t xml:space="preserve"> ծրագրի շրջանակներում օգտագործվել է ավելի քան 21.8 մլրդ դրամ` կազմելով նախատեսվածի 99.6%-ը: Ծրագրում ընդգրկված են հինգ </w:t>
      </w:r>
      <w:r w:rsidRPr="00C921DE">
        <w:rPr>
          <w:rFonts w:ascii="GHEA Grapalat" w:hAnsi="GHEA Grapalat" w:cs="Arial"/>
          <w:sz w:val="22"/>
          <w:szCs w:val="22"/>
        </w:rPr>
        <w:t>միջոցառումներ: Ծրագրի նպատակն է սիրտ-անոթային և նյարդային համակարգերի, վնասվածքների, թունավորումների, աչքի հիվանդությունների, նյարդային խանգարումների, չարորակ նորագոյացությունների վաղ կանխարգելումը և արդյունավետ բուժումը</w:t>
      </w:r>
      <w:r w:rsidRPr="00C921DE">
        <w:rPr>
          <w:rFonts w:ascii="GHEA Grapalat" w:hAnsi="GHEA Grapalat" w:cs="GHEA Grapalat"/>
          <w:iCs/>
          <w:color w:val="FF0000"/>
          <w:sz w:val="22"/>
          <w:szCs w:val="22"/>
        </w:rPr>
        <w:t>:</w:t>
      </w:r>
      <w:r w:rsidRPr="00C921DE">
        <w:rPr>
          <w:rFonts w:ascii="GHEA Grapalat" w:hAnsi="GHEA Grapalat" w:cs="GHEA Grapalat"/>
          <w:iCs/>
          <w:sz w:val="22"/>
          <w:szCs w:val="22"/>
        </w:rPr>
        <w:t xml:space="preserve"> Նախորդ տարվա համեմատ ոչ վարակիչ հիվանդությունների բժշկական օգնության ապահովման ծրագրի ծախսերն աճել են 15.1%</w:t>
      </w:r>
      <w:r w:rsidRPr="00C921DE">
        <w:rPr>
          <w:rFonts w:ascii="GHEA Grapalat" w:hAnsi="GHEA Grapalat" w:cs="GHEA Grapalat"/>
          <w:iCs/>
          <w:sz w:val="22"/>
          <w:szCs w:val="22"/>
        </w:rPr>
        <w:noBreakHyphen/>
        <w:t>ով կամ 2.9</w:t>
      </w:r>
      <w:r w:rsidRPr="00C921DE">
        <w:rPr>
          <w:rFonts w:ascii="Courier New" w:hAnsi="Courier New" w:cs="Courier New"/>
          <w:iCs/>
          <w:sz w:val="22"/>
          <w:szCs w:val="22"/>
        </w:rPr>
        <w:t> </w:t>
      </w:r>
      <w:r w:rsidRPr="00C921DE">
        <w:rPr>
          <w:rFonts w:ascii="GHEA Grapalat" w:hAnsi="GHEA Grapalat" w:cs="GHEA Grapalat"/>
          <w:iCs/>
          <w:sz w:val="22"/>
          <w:szCs w:val="22"/>
        </w:rPr>
        <w:t xml:space="preserve">մլրդ դրամով, </w:t>
      </w:r>
      <w:r w:rsidR="008178BA" w:rsidRPr="00C921DE">
        <w:rPr>
          <w:rFonts w:ascii="GHEA Grapalat" w:hAnsi="GHEA Grapalat" w:cs="Sylfaen"/>
          <w:sz w:val="22"/>
          <w:szCs w:val="22"/>
          <w:lang w:val="en-US"/>
        </w:rPr>
        <w:t>ընդ որում,</w:t>
      </w:r>
      <w:r w:rsidRPr="00C921DE">
        <w:rPr>
          <w:rFonts w:ascii="GHEA Grapalat" w:hAnsi="GHEA Grapalat" w:cs="Sylfaen"/>
          <w:sz w:val="22"/>
          <w:szCs w:val="22"/>
        </w:rPr>
        <w:t xml:space="preserve"> ծրագրում ընդգրկված բոլոր միջոցառումների գծով</w:t>
      </w:r>
      <w:r w:rsidR="008178BA" w:rsidRPr="00C921DE">
        <w:rPr>
          <w:rFonts w:ascii="GHEA Grapalat" w:hAnsi="GHEA Grapalat" w:cs="Sylfaen"/>
          <w:sz w:val="22"/>
          <w:szCs w:val="22"/>
          <w:lang w:val="en-US"/>
        </w:rPr>
        <w:t xml:space="preserve"> արձանագրվել է ծախսերի աճ</w:t>
      </w:r>
      <w:r w:rsidRPr="00C921DE">
        <w:rPr>
          <w:rFonts w:ascii="GHEA Grapalat" w:hAnsi="GHEA Grapalat" w:cs="Sylfaen"/>
          <w:sz w:val="22"/>
          <w:szCs w:val="22"/>
        </w:rPr>
        <w:t xml:space="preserve">: </w:t>
      </w:r>
    </w:p>
    <w:p w14:paraId="3F736FF1" w14:textId="77777777"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 xml:space="preserve">Հեմոդիալիզի և պերիտոնիալ դիալիզի անցկացման ծառայություններին հատկացված միջոցներով պետության կողմից երաշխավորված անվճար հիվանդանոցային բժշկական օգնության </w:t>
      </w:r>
      <w:r w:rsidRPr="00C921DE">
        <w:rPr>
          <w:rFonts w:ascii="GHEA Grapalat" w:hAnsi="GHEA Grapalat" w:cs="GHEA Grapalat"/>
          <w:iCs/>
          <w:sz w:val="22"/>
          <w:szCs w:val="22"/>
        </w:rPr>
        <w:lastRenderedPageBreak/>
        <w:t>և սպասարկման շրջանակներում 2023 թվականին իրականացվել է 177553 սեանս` կանխատեսված 177241-ի և 2022 թվականի 161732-ի դիմա</w:t>
      </w:r>
      <w:r w:rsidR="00D15AED" w:rsidRPr="00C921DE">
        <w:rPr>
          <w:rFonts w:ascii="GHEA Grapalat" w:hAnsi="GHEA Grapalat" w:cs="GHEA Grapalat"/>
          <w:iCs/>
          <w:sz w:val="22"/>
          <w:szCs w:val="22"/>
        </w:rPr>
        <w:t>ց</w:t>
      </w:r>
      <w:r w:rsidR="00D15AED" w:rsidRPr="00C921DE">
        <w:rPr>
          <w:rFonts w:ascii="GHEA Grapalat" w:hAnsi="GHEA Grapalat" w:cs="GHEA Grapalat"/>
          <w:iCs/>
          <w:sz w:val="22"/>
          <w:szCs w:val="22"/>
          <w:lang w:val="en-US"/>
        </w:rPr>
        <w:t>:</w:t>
      </w:r>
      <w:r w:rsidRPr="00C921DE">
        <w:rPr>
          <w:rFonts w:ascii="GHEA Grapalat" w:hAnsi="GHEA Grapalat" w:cs="Sylfaen"/>
          <w:sz w:val="22"/>
          <w:szCs w:val="22"/>
          <w:lang w:val="af-ZA"/>
        </w:rPr>
        <w:t xml:space="preserve"> </w:t>
      </w:r>
      <w:r w:rsidRPr="00C921DE">
        <w:rPr>
          <w:rFonts w:ascii="GHEA Grapalat" w:hAnsi="GHEA Grapalat" w:cs="Arial"/>
          <w:sz w:val="22"/>
          <w:szCs w:val="22"/>
        </w:rPr>
        <w:t>Հեմոդիալիզի</w:t>
      </w:r>
      <w:r w:rsidRPr="00C921DE">
        <w:rPr>
          <w:rFonts w:ascii="GHEA Grapalat" w:hAnsi="GHEA Grapalat" w:cs="Times Armenian"/>
          <w:sz w:val="22"/>
          <w:szCs w:val="22"/>
        </w:rPr>
        <w:t xml:space="preserve"> </w:t>
      </w:r>
      <w:r w:rsidRPr="00C921DE">
        <w:rPr>
          <w:rFonts w:ascii="GHEA Grapalat" w:hAnsi="GHEA Grapalat" w:cs="Arial"/>
          <w:sz w:val="22"/>
          <w:szCs w:val="22"/>
        </w:rPr>
        <w:t>և</w:t>
      </w:r>
      <w:r w:rsidRPr="00C921DE">
        <w:rPr>
          <w:rFonts w:ascii="GHEA Grapalat" w:hAnsi="GHEA Grapalat" w:cs="Times Armenian"/>
          <w:sz w:val="22"/>
          <w:szCs w:val="22"/>
        </w:rPr>
        <w:t xml:space="preserve"> </w:t>
      </w:r>
      <w:r w:rsidRPr="00C921DE">
        <w:rPr>
          <w:rFonts w:ascii="GHEA Grapalat" w:hAnsi="GHEA Grapalat" w:cs="Arial"/>
          <w:sz w:val="22"/>
          <w:szCs w:val="22"/>
        </w:rPr>
        <w:t>պերիտոնիալ</w:t>
      </w:r>
      <w:r w:rsidRPr="00C921DE">
        <w:rPr>
          <w:rFonts w:ascii="GHEA Grapalat" w:hAnsi="GHEA Grapalat" w:cs="Times Armenian"/>
          <w:sz w:val="22"/>
          <w:szCs w:val="22"/>
        </w:rPr>
        <w:t xml:space="preserve"> </w:t>
      </w:r>
      <w:r w:rsidRPr="00C921DE">
        <w:rPr>
          <w:rFonts w:ascii="GHEA Grapalat" w:hAnsi="GHEA Grapalat" w:cs="Arial"/>
          <w:sz w:val="22"/>
          <w:szCs w:val="22"/>
        </w:rPr>
        <w:t>դիալիզի անցկացման ծառայությունների համար նախատեսված 3.9 մլրդ դրամն ամբողջությամբ օգտագործվել է:</w:t>
      </w:r>
      <w:r w:rsidRPr="00C921DE">
        <w:rPr>
          <w:rFonts w:ascii="GHEA Grapalat" w:hAnsi="GHEA Grapalat" w:cs="GHEA Grapalat"/>
          <w:iCs/>
          <w:sz w:val="22"/>
          <w:szCs w:val="22"/>
        </w:rPr>
        <w:t xml:space="preserve"> Նախորդ տարվա համեմատ նշված ծախսերն աճել են 9.8%-ով կամ 348.1 մլն դրամով</w:t>
      </w:r>
      <w:r w:rsidR="00E24168" w:rsidRPr="00C921DE">
        <w:rPr>
          <w:rFonts w:ascii="GHEA Grapalat" w:hAnsi="GHEA Grapalat" w:cs="GHEA Grapalat"/>
          <w:iCs/>
          <w:sz w:val="22"/>
          <w:szCs w:val="22"/>
          <w:lang w:val="en-US"/>
        </w:rPr>
        <w:t>՝</w:t>
      </w:r>
      <w:r w:rsidRPr="00C921DE">
        <w:rPr>
          <w:rFonts w:ascii="GHEA Grapalat" w:hAnsi="GHEA Grapalat" w:cs="GHEA Grapalat"/>
          <w:iCs/>
          <w:sz w:val="22"/>
          <w:szCs w:val="22"/>
        </w:rPr>
        <w:t xml:space="preserve"> </w:t>
      </w:r>
      <w:r w:rsidR="00E24168" w:rsidRPr="00C921DE">
        <w:rPr>
          <w:rFonts w:ascii="GHEA Grapalat" w:hAnsi="GHEA Grapalat" w:cs="GHEA Grapalat"/>
          <w:iCs/>
          <w:sz w:val="22"/>
          <w:szCs w:val="22"/>
        </w:rPr>
        <w:t>պայմանավորված</w:t>
      </w:r>
      <w:r w:rsidRPr="00C921DE">
        <w:rPr>
          <w:rFonts w:ascii="GHEA Grapalat" w:hAnsi="GHEA Grapalat" w:cs="GHEA Grapalat"/>
          <w:iCs/>
          <w:sz w:val="22"/>
          <w:szCs w:val="22"/>
        </w:rPr>
        <w:t xml:space="preserve"> հիվանդների քանակի աճով: Միջոցառումն իրականացվում է չսահմանափակվող բյուջեի սկզբունքով:</w:t>
      </w:r>
    </w:p>
    <w:p w14:paraId="4A9A44B2" w14:textId="175B8C84" w:rsidR="003E6DF8" w:rsidRPr="00C921DE" w:rsidRDefault="003E6DF8" w:rsidP="003E6DF8">
      <w:pPr>
        <w:autoSpaceDE w:val="0"/>
        <w:autoSpaceDN w:val="0"/>
        <w:adjustRightInd w:val="0"/>
        <w:spacing w:line="360" w:lineRule="auto"/>
        <w:ind w:firstLine="567"/>
        <w:jc w:val="both"/>
        <w:rPr>
          <w:rFonts w:ascii="GHEA Grapalat" w:hAnsi="GHEA Grapalat" w:cs="GHEA Grapalat"/>
          <w:iCs/>
          <w:color w:val="FF0000"/>
          <w:sz w:val="22"/>
          <w:szCs w:val="22"/>
        </w:rPr>
      </w:pPr>
      <w:r w:rsidRPr="00C921DE">
        <w:rPr>
          <w:rFonts w:ascii="GHEA Grapalat" w:hAnsi="GHEA Grapalat" w:cs="Arial"/>
          <w:sz w:val="22"/>
          <w:szCs w:val="22"/>
        </w:rPr>
        <w:t xml:space="preserve">Անհետաձգելի բժշկական օգնության միջոցառման շրջանակներում </w:t>
      </w:r>
      <w:r w:rsidR="00DF01D6" w:rsidRPr="00C921DE">
        <w:rPr>
          <w:rFonts w:ascii="GHEA Grapalat" w:hAnsi="GHEA Grapalat" w:cs="Arial"/>
          <w:sz w:val="22"/>
          <w:szCs w:val="22"/>
          <w:lang w:val="en-US"/>
        </w:rPr>
        <w:t>իրականացվում</w:t>
      </w:r>
      <w:r w:rsidRPr="00C921DE">
        <w:rPr>
          <w:rFonts w:ascii="GHEA Grapalat" w:hAnsi="GHEA Grapalat" w:cs="Arial"/>
          <w:sz w:val="22"/>
          <w:szCs w:val="22"/>
        </w:rPr>
        <w:t xml:space="preserve"> են անհետաձգելի բժշկական օգնության, ինչպես նաև գլխու</w:t>
      </w:r>
      <w:r w:rsidRPr="00C921DE">
        <w:rPr>
          <w:rFonts w:ascii="GHEA Grapalat" w:hAnsi="GHEA Grapalat" w:cs="Arial"/>
          <w:sz w:val="22"/>
          <w:szCs w:val="22"/>
        </w:rPr>
        <w:softHyphen/>
        <w:t>ղեղի սուր և ենթասուր իշեմիկ կաթվածների թրոմբոլիտիկ բուժման և մեխանիկական թրոմ</w:t>
      </w:r>
      <w:r w:rsidRPr="00C921DE">
        <w:rPr>
          <w:rFonts w:ascii="GHEA Grapalat" w:hAnsi="GHEA Grapalat" w:cs="Arial"/>
          <w:sz w:val="22"/>
          <w:szCs w:val="22"/>
        </w:rPr>
        <w:softHyphen/>
        <w:t xml:space="preserve">բէկտոմիա, աորտայի անևրիզմաների պատռվածքների և (կամ) շերտազատումների վիրահատություններ: </w:t>
      </w:r>
      <w:r w:rsidRPr="00C921DE">
        <w:rPr>
          <w:rFonts w:ascii="GHEA Grapalat" w:hAnsi="GHEA Grapalat" w:cs="GHEA Grapalat"/>
          <w:iCs/>
          <w:sz w:val="22"/>
          <w:szCs w:val="22"/>
        </w:rPr>
        <w:t xml:space="preserve">2023 թվականին պետության կողմից երաշխավորված անվճար հիվանդանոցային բժշկական օգնության և սպասարկման շրջանակներում անհետաձգելի բուժօգնության դեպքերի քանակը կազմել է 26632՝ կանխատեսված 26157-ի և 2022 թվականի 28025-ի դիմաց: Փաստացի արդյունքային ցուցանիշի շեղումը կանխատեսվածի </w:t>
      </w:r>
      <w:r w:rsidRPr="00C921DE">
        <w:rPr>
          <w:rFonts w:ascii="GHEA Grapalat" w:hAnsi="GHEA Grapalat" w:cs="Arial"/>
          <w:sz w:val="22"/>
          <w:szCs w:val="22"/>
        </w:rPr>
        <w:t>և նախորդ տարվա նկատմամբ հիմնականում պայմանավորված է</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դիմելիությամբ: Անհետաձգելի բժշկական օգնության ծախսերը կազմել են ավելի քան 5.4 մլրդ դրամ կամ ծրագրված ցուցանիշի 99.3%-ը: Նախորդ տարվա համեմատ նշված ծախսերն աճել են 36.5%-ով կամ 1.4 մլրդ դրամով՝ հիմնականում պայմանավորված</w:t>
      </w:r>
      <w:r w:rsidRPr="00C921DE">
        <w:rPr>
          <w:rFonts w:ascii="GHEA Grapalat" w:hAnsi="GHEA Grapalat" w:cs="GHEA Grapalat"/>
          <w:iCs/>
          <w:color w:val="FF0000"/>
          <w:sz w:val="22"/>
          <w:szCs w:val="22"/>
        </w:rPr>
        <w:t xml:space="preserve"> </w:t>
      </w:r>
      <w:r w:rsidRPr="00C921DE">
        <w:rPr>
          <w:rFonts w:ascii="GHEA Grapalat" w:hAnsi="GHEA Grapalat" w:cs="GHEA Grapalat"/>
          <w:iCs/>
          <w:sz w:val="22"/>
          <w:szCs w:val="22"/>
        </w:rPr>
        <w:t>միջոցառման շրջանակներում նոր՝ աորտայի անևրիզմաների պատռվածքների և (կամ) շերտազատումների վիրահատություններ ծառայության ավելացմամբ, ինչպես նաև «Ամբուլատոր-պոլիկլինիկական բժշկական օգնության ծառայություններ» միջոցառումից հիվանդանոցային պայմաններում արտահիվանդանոցային բժշկական օգնությ</w:t>
      </w:r>
      <w:r w:rsidR="00BA1CB8" w:rsidRPr="00C921DE">
        <w:rPr>
          <w:rFonts w:ascii="GHEA Grapalat" w:hAnsi="GHEA Grapalat" w:cs="GHEA Grapalat"/>
          <w:iCs/>
          <w:sz w:val="22"/>
          <w:szCs w:val="22"/>
          <w:lang w:val="en-US"/>
        </w:rPr>
        <w:t>ա</w:t>
      </w:r>
      <w:r w:rsidRPr="00C921DE">
        <w:rPr>
          <w:rFonts w:ascii="GHEA Grapalat" w:hAnsi="GHEA Grapalat" w:cs="GHEA Grapalat"/>
          <w:iCs/>
          <w:sz w:val="22"/>
          <w:szCs w:val="22"/>
        </w:rPr>
        <w:t xml:space="preserve">ն ծառայության </w:t>
      </w:r>
      <w:r w:rsidR="00BA1CB8" w:rsidRPr="00C921DE">
        <w:rPr>
          <w:rFonts w:ascii="GHEA Grapalat" w:hAnsi="GHEA Grapalat" w:cs="GHEA Grapalat"/>
          <w:iCs/>
          <w:sz w:val="22"/>
          <w:szCs w:val="22"/>
          <w:lang w:val="en-US"/>
        </w:rPr>
        <w:t>տեղափոխ</w:t>
      </w:r>
      <w:r w:rsidRPr="00C921DE">
        <w:rPr>
          <w:rFonts w:ascii="GHEA Grapalat" w:hAnsi="GHEA Grapalat" w:cs="GHEA Grapalat"/>
          <w:iCs/>
          <w:sz w:val="22"/>
          <w:szCs w:val="22"/>
        </w:rPr>
        <w:t>մամբ</w:t>
      </w:r>
      <w:r w:rsidR="00BA1CB8" w:rsidRPr="00C921DE">
        <w:rPr>
          <w:rFonts w:ascii="GHEA Grapalat" w:hAnsi="GHEA Grapalat" w:cs="GHEA Grapalat"/>
          <w:iCs/>
          <w:sz w:val="22"/>
          <w:szCs w:val="22"/>
          <w:lang w:val="en-US"/>
        </w:rPr>
        <w:t xml:space="preserve"> տվյալ միջոցառում</w:t>
      </w:r>
      <w:r w:rsidRPr="00C921DE">
        <w:rPr>
          <w:rFonts w:ascii="GHEA Grapalat" w:hAnsi="GHEA Grapalat" w:cs="GHEA Grapalat"/>
          <w:iCs/>
          <w:sz w:val="22"/>
          <w:szCs w:val="22"/>
        </w:rPr>
        <w:t xml:space="preserve">: </w:t>
      </w:r>
    </w:p>
    <w:p w14:paraId="1B4A39D5" w14:textId="77777777" w:rsidR="003E6DF8" w:rsidRPr="00C921DE" w:rsidRDefault="003E6DF8" w:rsidP="003E6DF8">
      <w:pPr>
        <w:spacing w:line="360" w:lineRule="auto"/>
        <w:ind w:firstLine="567"/>
        <w:jc w:val="both"/>
        <w:rPr>
          <w:rFonts w:ascii="GHEA Grapalat" w:hAnsi="GHEA Grapalat" w:cs="Arial"/>
          <w:sz w:val="22"/>
          <w:szCs w:val="22"/>
        </w:rPr>
      </w:pPr>
      <w:r w:rsidRPr="00C921DE">
        <w:rPr>
          <w:rFonts w:ascii="GHEA Grapalat" w:hAnsi="GHEA Grapalat" w:cs="GHEA Grapalat"/>
          <w:iCs/>
          <w:sz w:val="22"/>
          <w:szCs w:val="22"/>
        </w:rPr>
        <w:t>Հոգեկան և նարկոլոգիական հիվանդների բժշկական օգնության ծառայությունների շրջանակներում իրականացվում է քրոնիկ հոգեկան հիվանդ</w:t>
      </w:r>
      <w:r w:rsidRPr="00C921DE">
        <w:rPr>
          <w:rFonts w:ascii="GHEA Grapalat" w:hAnsi="GHEA Grapalat" w:cs="GHEA Grapalat"/>
          <w:iCs/>
          <w:sz w:val="22"/>
          <w:szCs w:val="22"/>
        </w:rPr>
        <w:softHyphen/>
        <w:t>ների խնամք, հիվանդների փորձաքննություն, հարկադիր և սուր վիճակների բուժում և նարկո</w:t>
      </w:r>
      <w:r w:rsidRPr="00C921DE">
        <w:rPr>
          <w:rFonts w:ascii="GHEA Grapalat" w:hAnsi="GHEA Grapalat" w:cs="GHEA Grapalat"/>
          <w:iCs/>
          <w:sz w:val="22"/>
          <w:szCs w:val="22"/>
        </w:rPr>
        <w:softHyphen/>
        <w:t>լո</w:t>
      </w:r>
      <w:r w:rsidRPr="00C921DE">
        <w:rPr>
          <w:rFonts w:ascii="GHEA Grapalat" w:hAnsi="GHEA Grapalat" w:cs="GHEA Grapalat"/>
          <w:iCs/>
          <w:sz w:val="22"/>
          <w:szCs w:val="22"/>
        </w:rPr>
        <w:softHyphen/>
        <w:t>գիա</w:t>
      </w:r>
      <w:r w:rsidRPr="00C921DE">
        <w:rPr>
          <w:rFonts w:ascii="GHEA Grapalat" w:hAnsi="GHEA Grapalat" w:cs="GHEA Grapalat"/>
          <w:iCs/>
          <w:sz w:val="22"/>
          <w:szCs w:val="22"/>
        </w:rPr>
        <w:softHyphen/>
        <w:t>կան դիսպանսերներում թմրամոլությամբ, թունամոլությամբ, ալկոհոլամոլությամբ տառա</w:t>
      </w:r>
      <w:r w:rsidRPr="00C921DE">
        <w:rPr>
          <w:rFonts w:ascii="GHEA Grapalat" w:hAnsi="GHEA Grapalat" w:cs="GHEA Grapalat"/>
          <w:iCs/>
          <w:sz w:val="22"/>
          <w:szCs w:val="22"/>
        </w:rPr>
        <w:softHyphen/>
        <w:t>պող անձանց հիվանդանոցային բուժում: Միջոցառման շրջանակներում 2023 թվականին բուժօգնություն է ստացել 13761 հիվանդ` կանխատեսված 11258-ի և 2022 թվականի 8253-ի դիմաց: Հոգեկան և նարկոլոգիական հիվանդների բժշկական օգնության ծառայություններին հաշվետու տարում տրամադրվել է շուրջ 3.4 մլրդ դրամ` կազմելով նախատեսվածի 99.6%</w:t>
      </w:r>
      <w:r w:rsidRPr="00C921DE">
        <w:rPr>
          <w:rFonts w:ascii="GHEA Grapalat" w:hAnsi="GHEA Grapalat" w:cs="GHEA Grapalat"/>
          <w:iCs/>
          <w:sz w:val="22"/>
          <w:szCs w:val="22"/>
        </w:rPr>
        <w:noBreakHyphen/>
        <w:t>ը: Նախորդ տարվա համեմատ նշված ծախսեր</w:t>
      </w:r>
      <w:r w:rsidR="00900421" w:rsidRPr="00C921DE">
        <w:rPr>
          <w:rFonts w:ascii="GHEA Grapalat" w:hAnsi="GHEA Grapalat" w:cs="GHEA Grapalat"/>
          <w:iCs/>
          <w:sz w:val="22"/>
          <w:szCs w:val="22"/>
          <w:lang w:val="en-US"/>
        </w:rPr>
        <w:t xml:space="preserve">ն </w:t>
      </w:r>
      <w:r w:rsidRPr="00C921DE">
        <w:rPr>
          <w:rFonts w:ascii="GHEA Grapalat" w:hAnsi="GHEA Grapalat" w:cs="GHEA Grapalat"/>
          <w:iCs/>
          <w:sz w:val="22"/>
          <w:szCs w:val="22"/>
        </w:rPr>
        <w:t xml:space="preserve">աճել են 15.6%-ով կամ 452.8 մլն դրամով՝ </w:t>
      </w:r>
      <w:r w:rsidRPr="00C921DE">
        <w:rPr>
          <w:rFonts w:ascii="GHEA Grapalat" w:hAnsi="GHEA Grapalat" w:cs="Arial"/>
          <w:sz w:val="22"/>
          <w:szCs w:val="22"/>
        </w:rPr>
        <w:t>հիմնականում պայմանավորված հիվանդների թվի աճով:</w:t>
      </w:r>
    </w:p>
    <w:p w14:paraId="099959B4" w14:textId="771F12BF"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Ուռուցքաբանական և արյունաբանական հիվանդությունների բժշկական օգնության ծառայությունների շրջանակներում իրականացվել է չարորակ նորագոյացու</w:t>
      </w:r>
      <w:r w:rsidRPr="00C921DE">
        <w:rPr>
          <w:rFonts w:ascii="GHEA Grapalat" w:hAnsi="GHEA Grapalat" w:cs="GHEA Grapalat"/>
          <w:iCs/>
          <w:sz w:val="22"/>
          <w:szCs w:val="22"/>
        </w:rPr>
        <w:softHyphen/>
        <w:t>թյուն</w:t>
      </w:r>
      <w:r w:rsidRPr="00C921DE">
        <w:rPr>
          <w:rFonts w:ascii="GHEA Grapalat" w:hAnsi="GHEA Grapalat" w:cs="GHEA Grapalat"/>
          <w:iCs/>
          <w:sz w:val="22"/>
          <w:szCs w:val="22"/>
        </w:rPr>
        <w:softHyphen/>
        <w:t>ների համալիր, վիրահատական և ճառա</w:t>
      </w:r>
      <w:r w:rsidR="007E2567" w:rsidRPr="00C921DE">
        <w:rPr>
          <w:rFonts w:ascii="GHEA Grapalat" w:hAnsi="GHEA Grapalat" w:cs="GHEA Grapalat"/>
          <w:iCs/>
          <w:sz w:val="22"/>
          <w:szCs w:val="22"/>
          <w:lang w:val="en-US"/>
        </w:rPr>
        <w:t>գ</w:t>
      </w:r>
      <w:r w:rsidRPr="00C921DE">
        <w:rPr>
          <w:rFonts w:ascii="GHEA Grapalat" w:hAnsi="GHEA Grapalat" w:cs="GHEA Grapalat"/>
          <w:iCs/>
          <w:sz w:val="22"/>
          <w:szCs w:val="22"/>
        </w:rPr>
        <w:t>այթային բուժու</w:t>
      </w:r>
      <w:r w:rsidR="00900421" w:rsidRPr="00C921DE">
        <w:rPr>
          <w:rFonts w:ascii="GHEA Grapalat" w:hAnsi="GHEA Grapalat" w:cs="GHEA Grapalat"/>
          <w:iCs/>
          <w:sz w:val="22"/>
          <w:szCs w:val="22"/>
        </w:rPr>
        <w:t xml:space="preserve">մ, </w:t>
      </w:r>
      <w:r w:rsidRPr="00C921DE">
        <w:rPr>
          <w:rFonts w:ascii="GHEA Grapalat" w:hAnsi="GHEA Grapalat" w:cs="GHEA Grapalat"/>
          <w:iCs/>
          <w:sz w:val="22"/>
          <w:szCs w:val="22"/>
        </w:rPr>
        <w:t>չարորակ հիվանդությունների ճառա</w:t>
      </w:r>
      <w:r w:rsidR="007E2567" w:rsidRPr="00C921DE">
        <w:rPr>
          <w:rFonts w:ascii="GHEA Grapalat" w:hAnsi="GHEA Grapalat" w:cs="GHEA Grapalat"/>
          <w:iCs/>
          <w:sz w:val="22"/>
          <w:szCs w:val="22"/>
          <w:lang w:val="en-US"/>
        </w:rPr>
        <w:t>գ</w:t>
      </w:r>
      <w:r w:rsidRPr="00C921DE">
        <w:rPr>
          <w:rFonts w:ascii="GHEA Grapalat" w:hAnsi="GHEA Grapalat" w:cs="GHEA Grapalat"/>
          <w:iCs/>
          <w:sz w:val="22"/>
          <w:szCs w:val="22"/>
        </w:rPr>
        <w:t>այ</w:t>
      </w:r>
      <w:r w:rsidRPr="00C921DE">
        <w:rPr>
          <w:rFonts w:ascii="GHEA Grapalat" w:hAnsi="GHEA Grapalat" w:cs="GHEA Grapalat"/>
          <w:iCs/>
          <w:sz w:val="22"/>
          <w:szCs w:val="22"/>
        </w:rPr>
        <w:softHyphen/>
        <w:t xml:space="preserve">թային բուժում </w:t>
      </w:r>
      <w:r w:rsidRPr="00C921DE">
        <w:rPr>
          <w:rFonts w:ascii="GHEA Grapalat" w:hAnsi="GHEA Grapalat" w:cs="GHEA Grapalat"/>
          <w:iCs/>
          <w:sz w:val="22"/>
          <w:szCs w:val="22"/>
        </w:rPr>
        <w:lastRenderedPageBreak/>
        <w:t>ցերեկային ստացիոնար պայմաններում, ինչպես նաև քիմիաթերապևտիկ և սիմպտոմատիկ բուժում: Պետության կողմից երաշխավորված անվճար հիվանդանոցային բժշկական օգնության և սպասարկման շրջանակներում 2023 թվականին բուժօգնություն է ստացել 38031 հիվանդ՝ կանխատեսված 37950-ի և 2022 թվականի 37193-ի դիմաց: Հաշվետու տարում վիրաբուժական միջամտությունների թիվը կազմել է 8671՝ կանխատեսված 8430-ի և 2022 թվականի 8386-ի դիմաց</w:t>
      </w:r>
      <w:r w:rsidR="009B3366" w:rsidRPr="00C921DE">
        <w:rPr>
          <w:rFonts w:ascii="GHEA Grapalat" w:hAnsi="GHEA Grapalat" w:cs="GHEA Grapalat"/>
          <w:iCs/>
          <w:sz w:val="22"/>
          <w:szCs w:val="22"/>
          <w:lang w:val="en-US"/>
        </w:rPr>
        <w:t>, որը</w:t>
      </w:r>
      <w:r w:rsidRPr="00C921DE">
        <w:rPr>
          <w:rFonts w:ascii="GHEA Grapalat" w:hAnsi="GHEA Grapalat" w:cs="GHEA Grapalat"/>
          <w:iCs/>
          <w:color w:val="FF0000"/>
          <w:sz w:val="22"/>
          <w:szCs w:val="22"/>
        </w:rPr>
        <w:t xml:space="preserve"> </w:t>
      </w:r>
      <w:r w:rsidRPr="00C921DE">
        <w:rPr>
          <w:rFonts w:ascii="GHEA Grapalat" w:hAnsi="GHEA Grapalat" w:cs="GHEA Grapalat"/>
          <w:iCs/>
          <w:sz w:val="22"/>
          <w:szCs w:val="22"/>
        </w:rPr>
        <w:t>պայմանավորված է դիմելիությամբ: Ուռուցքաբանական և արյունաբանական հիվանդությունների բժշկական օգնության ծառայությունների ծախսերը կատարվել են 99.6%-ով` կազմելով</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7.3 մլրդ դրամ: Նախորդ տարվա համեմատ նշված ծախսերն աճել են 8.1%-ով կամ 548 մլն դրամով՝ հիմնականում պայմանավորված ծառայություններից օգտվելու դեպքերի թվի աճով:</w:t>
      </w:r>
    </w:p>
    <w:p w14:paraId="5B130024" w14:textId="47F149BC"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Հաշվետու տարում</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 xml:space="preserve">շուրջ 37 մլրդ դրամ է օգտագործվել </w:t>
      </w:r>
      <w:r w:rsidRPr="00C921DE">
        <w:rPr>
          <w:rFonts w:ascii="GHEA Grapalat" w:hAnsi="GHEA Grapalat" w:cs="GHEA Grapalat"/>
          <w:i/>
          <w:iCs/>
          <w:sz w:val="22"/>
          <w:szCs w:val="22"/>
        </w:rPr>
        <w:t>Սոցիալապես անապահով և առանձին խմբերի անձանց բժշկական օգնության</w:t>
      </w:r>
      <w:r w:rsidRPr="00C921DE">
        <w:rPr>
          <w:rFonts w:ascii="GHEA Grapalat" w:hAnsi="GHEA Grapalat" w:cs="GHEA Grapalat"/>
          <w:iCs/>
          <w:sz w:val="22"/>
          <w:szCs w:val="22"/>
        </w:rPr>
        <w:t xml:space="preserve"> ծրագրի շրջանակներում` կազմելով ծրագրված ցուցանիշի 99.8%-ը: Ծրագրում ընդգրկված են յոթ միջոցառումներ: Ծրագրի շրջանակներում իրականացվել է</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սոցիալապես անապահով և առանձին խմբերում ընդգրկված անձանց համար անխոչընդոտ և մատչելի հիվանդանոցային բժշկական օգնություն, ինչպես նաև դժվարամատչելի, նորագույն ու թանկարժեք ծառայությունների մատուցում, զորակոչային տարիքի անձանց փորձաքն</w:t>
      </w:r>
      <w:r w:rsidR="007E2567" w:rsidRPr="00C921DE">
        <w:rPr>
          <w:rFonts w:ascii="GHEA Grapalat" w:hAnsi="GHEA Grapalat" w:cs="GHEA Grapalat"/>
          <w:iCs/>
          <w:sz w:val="22"/>
          <w:szCs w:val="22"/>
          <w:lang w:val="en-US"/>
        </w:rPr>
        <w:t>ն</w:t>
      </w:r>
      <w:r w:rsidRPr="00C921DE">
        <w:rPr>
          <w:rFonts w:ascii="GHEA Grapalat" w:hAnsi="GHEA Grapalat" w:cs="GHEA Grapalat"/>
          <w:iCs/>
          <w:sz w:val="22"/>
          <w:szCs w:val="22"/>
        </w:rPr>
        <w:t>ություն: Նախորդ տարվա համեմատ ծրագրի ծախսերն աճել են 3.7%-ով կամ 1.3 մլրդ դրամով՝ հիմնականում պայմանավորված «Սոցիալապես անապահով և հատուկ խմբերում ընդգրկվածներին բժշկական օգնության ծառայություններ» միջոցառման շրջանակում կատարված ծախսերի աճով։</w:t>
      </w:r>
    </w:p>
    <w:p w14:paraId="02F9564C" w14:textId="77777777"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lang w:val="en-US"/>
        </w:rPr>
      </w:pPr>
      <w:r w:rsidRPr="00C921DE">
        <w:rPr>
          <w:rFonts w:ascii="GHEA Grapalat" w:hAnsi="GHEA Grapalat" w:cs="GHEA Grapalat"/>
          <w:iCs/>
          <w:sz w:val="22"/>
          <w:szCs w:val="22"/>
        </w:rPr>
        <w:t>Սոցիալապես անապահով և հատուկ խմբերում ընդգրկվածներին տրամադրվող բժշկական օգնության ծառայությունների շրջանակներում պետության կողմից երաշխավորված անվճար հիվանդանոցային բժշկական օգնության դեպքերի թիվը կազմել է 245371` կանխատեսված 260150</w:t>
      </w:r>
      <w:r w:rsidRPr="00C921DE">
        <w:rPr>
          <w:rFonts w:ascii="GHEA Grapalat" w:hAnsi="GHEA Grapalat" w:cs="GHEA Grapalat"/>
          <w:iCs/>
          <w:sz w:val="22"/>
          <w:szCs w:val="22"/>
        </w:rPr>
        <w:noBreakHyphen/>
        <w:t>ի և 2022 թվականի 232447-ի դիմաց: Փաստացի արդյունքային ցուցանիշի կատարողականը պայմանավորված է դիմելիությամբ:</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2023 թվականին</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սոցիալապես անապահով և հատուկ խմբերում ընդգրկվածներին տրամադրվող բժշկական օգնության ծառայությունների ֆինանսավորմանը</w:t>
      </w:r>
      <w:r w:rsidR="005805FE" w:rsidRPr="00C921DE">
        <w:rPr>
          <w:rFonts w:ascii="GHEA Grapalat" w:hAnsi="GHEA Grapalat" w:cs="GHEA Grapalat"/>
          <w:iCs/>
          <w:sz w:val="22"/>
          <w:szCs w:val="22"/>
          <w:lang w:val="en-US"/>
        </w:rPr>
        <w:t xml:space="preserve"> տրամադրվել է </w:t>
      </w:r>
      <w:r w:rsidR="005805FE" w:rsidRPr="00C921DE">
        <w:rPr>
          <w:rFonts w:ascii="GHEA Grapalat" w:hAnsi="GHEA Grapalat" w:cs="GHEA Grapalat"/>
          <w:iCs/>
          <w:sz w:val="22"/>
          <w:szCs w:val="22"/>
        </w:rPr>
        <w:t>26.1 մլրդ դրամ</w:t>
      </w:r>
      <w:r w:rsidRPr="00C921DE">
        <w:rPr>
          <w:rFonts w:ascii="GHEA Grapalat" w:hAnsi="GHEA Grapalat" w:cs="GHEA Grapalat"/>
          <w:iCs/>
          <w:sz w:val="22"/>
          <w:szCs w:val="22"/>
        </w:rPr>
        <w:t xml:space="preserve">` ապահովելով 99.8% կատարողական: Նախորդ տարվա համեմատ միջոցառման ծախսերն աճել են 4.2%-ով կամ 1 մլրդ դրամով, որը հիմնականում պայմանավորված </w:t>
      </w:r>
      <w:r w:rsidR="005805FE" w:rsidRPr="00C921DE">
        <w:rPr>
          <w:rFonts w:ascii="GHEA Grapalat" w:hAnsi="GHEA Grapalat" w:cs="GHEA Grapalat"/>
          <w:iCs/>
          <w:sz w:val="22"/>
          <w:szCs w:val="22"/>
          <w:lang w:val="en-US"/>
        </w:rPr>
        <w:t xml:space="preserve">է </w:t>
      </w:r>
      <w:r w:rsidRPr="00C921DE">
        <w:rPr>
          <w:rFonts w:ascii="GHEA Grapalat" w:hAnsi="GHEA Grapalat" w:cs="GHEA Grapalat"/>
          <w:iCs/>
          <w:sz w:val="22"/>
          <w:szCs w:val="22"/>
        </w:rPr>
        <w:t xml:space="preserve">դժվարամատչելի հետազոտությունների մատուցման, զորակոչային և նախազորակոչային տարիքի անձանց հիվանդանոցային փորձաքննությունների և սոցիալական անապահով խմբերի անձանց բժշկական օգնության ծառայությունների </w:t>
      </w:r>
      <w:r w:rsidR="008E50E8" w:rsidRPr="00C921DE">
        <w:rPr>
          <w:rFonts w:ascii="GHEA Grapalat" w:hAnsi="GHEA Grapalat" w:cs="GHEA Grapalat"/>
          <w:iCs/>
          <w:sz w:val="22"/>
          <w:szCs w:val="22"/>
        </w:rPr>
        <w:t>թվ</w:t>
      </w:r>
      <w:r w:rsidRPr="00C921DE">
        <w:rPr>
          <w:rFonts w:ascii="GHEA Grapalat" w:hAnsi="GHEA Grapalat" w:cs="GHEA Grapalat"/>
          <w:iCs/>
          <w:sz w:val="22"/>
          <w:szCs w:val="22"/>
        </w:rPr>
        <w:t>ի աճով:</w:t>
      </w:r>
      <w:r w:rsidR="008E50E8" w:rsidRPr="00C921DE">
        <w:rPr>
          <w:rFonts w:ascii="GHEA Grapalat" w:hAnsi="GHEA Grapalat" w:cs="GHEA Grapalat"/>
          <w:iCs/>
          <w:sz w:val="22"/>
          <w:szCs w:val="22"/>
        </w:rPr>
        <w:t xml:space="preserve"> Միաժամանակ նվազել են սրտի վիրահատության դեպքերը</w:t>
      </w:r>
      <w:r w:rsidR="008E50E8" w:rsidRPr="00C921DE">
        <w:rPr>
          <w:rFonts w:ascii="GHEA Grapalat" w:hAnsi="GHEA Grapalat" w:cs="GHEA Grapalat"/>
          <w:iCs/>
          <w:sz w:val="22"/>
          <w:szCs w:val="22"/>
          <w:lang w:val="en-US"/>
        </w:rPr>
        <w:t>:</w:t>
      </w:r>
    </w:p>
    <w:p w14:paraId="327066B2" w14:textId="77777777"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 xml:space="preserve">Զինծառայողների, ինչպես նաև փրկարար ծառայողների և նրանց ընտանիքների անդամների համար բժշկական օգնության ծառայությունների գծով պետության կողմից երաշխավորված անվճար </w:t>
      </w:r>
      <w:r w:rsidRPr="00C921DE">
        <w:rPr>
          <w:rFonts w:ascii="GHEA Grapalat" w:hAnsi="GHEA Grapalat" w:cs="GHEA Grapalat"/>
          <w:iCs/>
          <w:sz w:val="22"/>
          <w:szCs w:val="22"/>
        </w:rPr>
        <w:lastRenderedPageBreak/>
        <w:t>հիվանդանոցային բժշկական օգնության և սպասարկման շրջանակներում մատուցված բուժօգնության դեպքերի թիվը կազմել է 51740՝ կանխատեսված 50660-ի և 2022 թվականի 54283-ի դիմաց: Փաստացի արդյունքային ցուցանիշի գերազանցումը կանխատեսվածի նկատմամբ պայմանավորված է միջինից ցածր գին ունեցող ծառայությունների քանակի հարաբերական աճով, մասնավորապես՝</w:t>
      </w:r>
      <w:r w:rsidR="00113301" w:rsidRPr="00C921DE">
        <w:rPr>
          <w:rFonts w:ascii="GHEA Grapalat" w:hAnsi="GHEA Grapalat" w:cs="GHEA Grapalat"/>
          <w:iCs/>
          <w:sz w:val="22"/>
          <w:szCs w:val="22"/>
        </w:rPr>
        <w:t xml:space="preserve"> </w:t>
      </w:r>
      <w:r w:rsidRPr="00C921DE">
        <w:rPr>
          <w:rFonts w:ascii="GHEA Grapalat" w:hAnsi="GHEA Grapalat" w:cs="GHEA Grapalat"/>
          <w:iCs/>
          <w:sz w:val="22"/>
          <w:szCs w:val="22"/>
        </w:rPr>
        <w:t xml:space="preserve">հատուկ և դժվարամատչելի հետազոտությունների քանակի ավելացմամբ: Միջոցառումն իրականացվում է չսահմանափակվող բյուջեի սկզբունքով: Զինծառայողների, ինչպես նաև փրկարար ծառայողների և նրանց ընտանիքների անդամների համար բժշկական օգնության ծառայությունների ծախսերը կազմել են շուրջ 5.6 մլրդ դրամ` ապահովելով 99.7% կատարողական: 2022 թվականի համեմատ միջոցառման ծախսերը նվազել են 6.8%-ով կամ 407.1 մլն դրամով՝ հիմնականում պայմանավորված դեպքերի </w:t>
      </w:r>
      <w:r w:rsidR="00A6535B" w:rsidRPr="00C921DE">
        <w:rPr>
          <w:rFonts w:ascii="GHEA Grapalat" w:hAnsi="GHEA Grapalat" w:cs="GHEA Grapalat"/>
          <w:iCs/>
          <w:sz w:val="22"/>
          <w:szCs w:val="22"/>
          <w:lang w:val="en-US"/>
        </w:rPr>
        <w:t xml:space="preserve">թվի </w:t>
      </w:r>
      <w:r w:rsidRPr="00C921DE">
        <w:rPr>
          <w:rFonts w:ascii="GHEA Grapalat" w:hAnsi="GHEA Grapalat" w:cs="GHEA Grapalat"/>
          <w:iCs/>
          <w:sz w:val="22"/>
          <w:szCs w:val="22"/>
        </w:rPr>
        <w:t>նվազմամբ:</w:t>
      </w:r>
    </w:p>
    <w:p w14:paraId="1D208047" w14:textId="08FD91AA" w:rsidR="003E6DF8" w:rsidRPr="00C921DE" w:rsidRDefault="003E6DF8" w:rsidP="003E6DF8">
      <w:pPr>
        <w:spacing w:line="360" w:lineRule="auto"/>
        <w:ind w:firstLine="567"/>
        <w:jc w:val="both"/>
        <w:rPr>
          <w:rFonts w:ascii="GHEA Grapalat" w:hAnsi="GHEA Grapalat" w:cs="Sylfaen"/>
          <w:sz w:val="22"/>
          <w:szCs w:val="22"/>
          <w:lang w:val="pt-BR"/>
        </w:rPr>
      </w:pPr>
      <w:r w:rsidRPr="00C921DE">
        <w:rPr>
          <w:rFonts w:ascii="GHEA Grapalat" w:hAnsi="GHEA Grapalat" w:cs="GHEA Grapalat"/>
          <w:iCs/>
          <w:sz w:val="22"/>
          <w:szCs w:val="22"/>
        </w:rPr>
        <w:t xml:space="preserve">Պետական հիմնարկների և կազմակերպությունների աշխատողների բժշկական օգնության և սպասարկման գծով պետության կողմից երաշխավորված անվճար հիվանդանոցային բժշկական օգնության և սպասարկման շրջանակներում 2023 թվականին ապահովագրական ընկերությունների կողմից հատուցվել է 32959 դեպք` կանխատեսված 30077-ի և 2022 թվականի 30919-ի դիմաց: Միաժամանակ, իրականացվել են սոցիալական փաթեթի 76042 շահառուների </w:t>
      </w:r>
      <w:r w:rsidRPr="00C921DE">
        <w:rPr>
          <w:rFonts w:ascii="GHEA Grapalat" w:hAnsi="GHEA Grapalat" w:cs="Arial"/>
          <w:sz w:val="22"/>
          <w:szCs w:val="22"/>
        </w:rPr>
        <w:t>կանխարգելիչ քննություններ՝ կանխատեսված 65346-ի և 2022 թվականի 76030-ի դիմաց: Կանխատեսվածի համեմատ փաստացի բարձր արդյունքային ցուցանիշները պայմանավորված են շահառուների փաստացի դիմելիությամբ: Պետական հիմնարկների և</w:t>
      </w:r>
      <w:r w:rsidRPr="00C921DE">
        <w:rPr>
          <w:rFonts w:ascii="GHEA Grapalat" w:hAnsi="GHEA Grapalat" w:cs="GHEA Grapalat"/>
          <w:iCs/>
          <w:sz w:val="22"/>
          <w:szCs w:val="22"/>
        </w:rPr>
        <w:t xml:space="preserve"> կազմակերպությունների աշխատողների բժշկական օգնության և սպասարկման ծառայությունների </w:t>
      </w:r>
      <w:r w:rsidRPr="00C921DE">
        <w:rPr>
          <w:rFonts w:ascii="GHEA Grapalat" w:hAnsi="GHEA Grapalat" w:cs="Arial"/>
          <w:sz w:val="22"/>
          <w:szCs w:val="22"/>
        </w:rPr>
        <w:t>համար</w:t>
      </w:r>
      <w:r w:rsidRPr="00C921DE">
        <w:rPr>
          <w:rFonts w:ascii="GHEA Grapalat" w:hAnsi="GHEA Grapalat" w:cs="GHEA Grapalat"/>
          <w:iCs/>
          <w:sz w:val="22"/>
          <w:szCs w:val="22"/>
        </w:rPr>
        <w:t xml:space="preserve"> </w:t>
      </w:r>
      <w:r w:rsidRPr="00C921DE">
        <w:rPr>
          <w:rFonts w:ascii="GHEA Grapalat" w:hAnsi="GHEA Grapalat" w:cs="Arial"/>
          <w:sz w:val="22"/>
          <w:szCs w:val="22"/>
        </w:rPr>
        <w:t xml:space="preserve">նախատեսված 4 մլրդ դրամն </w:t>
      </w:r>
      <w:r w:rsidRPr="00C921DE">
        <w:rPr>
          <w:rFonts w:ascii="GHEA Grapalat" w:hAnsi="GHEA Grapalat" w:cs="Sylfaen"/>
          <w:sz w:val="22"/>
          <w:szCs w:val="22"/>
          <w:lang w:val="pt-BR"/>
        </w:rPr>
        <w:t>ամբողջությամբ</w:t>
      </w:r>
      <w:r w:rsidRPr="00C921DE">
        <w:rPr>
          <w:rFonts w:ascii="GHEA Grapalat" w:hAnsi="GHEA Grapalat" w:cs="Arial"/>
          <w:sz w:val="22"/>
          <w:szCs w:val="22"/>
        </w:rPr>
        <w:t xml:space="preserve"> օգտագործվել է </w:t>
      </w:r>
      <w:r w:rsidRPr="00C921DE">
        <w:rPr>
          <w:rFonts w:ascii="GHEA Grapalat" w:hAnsi="GHEA Grapalat" w:cs="GHEA Grapalat"/>
          <w:iCs/>
          <w:sz w:val="22"/>
          <w:szCs w:val="22"/>
        </w:rPr>
        <w:t>և 4.1%</w:t>
      </w:r>
      <w:r w:rsidRPr="00C921DE">
        <w:rPr>
          <w:rFonts w:ascii="GHEA Grapalat" w:hAnsi="GHEA Grapalat" w:cs="GHEA Grapalat"/>
          <w:iCs/>
          <w:sz w:val="22"/>
          <w:szCs w:val="22"/>
        </w:rPr>
        <w:noBreakHyphen/>
        <w:t>ով կամ 158.7 մլն դրամով գերազանցել է նախորդ տարվա ցուցանիշը:</w:t>
      </w:r>
      <w:r w:rsidR="00113301" w:rsidRPr="00C921DE">
        <w:rPr>
          <w:rFonts w:ascii="GHEA Grapalat" w:hAnsi="GHEA Grapalat" w:cs="Sylfaen"/>
          <w:sz w:val="22"/>
          <w:szCs w:val="22"/>
          <w:lang w:val="pt-BR"/>
        </w:rPr>
        <w:t xml:space="preserve"> </w:t>
      </w:r>
      <w:r w:rsidRPr="00C921DE">
        <w:rPr>
          <w:rFonts w:ascii="GHEA Grapalat" w:hAnsi="GHEA Grapalat" w:cs="Sylfaen"/>
          <w:sz w:val="22"/>
          <w:szCs w:val="22"/>
          <w:lang w:val="pt-BR"/>
        </w:rPr>
        <w:t>Ծախսերի աճը նախորդ տարվա համեմատ հիմնականում պայմանավորված է այն հանգամանքով, որ ապահովագրական կազմակերպությունների պայմանագրային գումարները հաշվարկվ</w:t>
      </w:r>
      <w:r w:rsidR="002D598D" w:rsidRPr="00C921DE">
        <w:rPr>
          <w:rFonts w:ascii="GHEA Grapalat" w:hAnsi="GHEA Grapalat" w:cs="Sylfaen"/>
          <w:sz w:val="22"/>
          <w:szCs w:val="22"/>
          <w:lang w:val="pt-BR"/>
        </w:rPr>
        <w:t>ում</w:t>
      </w:r>
      <w:r w:rsidRPr="00C921DE">
        <w:rPr>
          <w:rFonts w:ascii="GHEA Grapalat" w:hAnsi="GHEA Grapalat" w:cs="Sylfaen"/>
          <w:sz w:val="22"/>
          <w:szCs w:val="22"/>
          <w:lang w:val="pt-BR"/>
        </w:rPr>
        <w:t xml:space="preserve"> են՝ հաշվի առնելով նրանց վնասաբերությունը:</w:t>
      </w:r>
    </w:p>
    <w:p w14:paraId="02E5E476" w14:textId="77777777" w:rsidR="003E6DF8" w:rsidRPr="00C921DE" w:rsidRDefault="003E6DF8" w:rsidP="003E6DF8">
      <w:pPr>
        <w:autoSpaceDE w:val="0"/>
        <w:autoSpaceDN w:val="0"/>
        <w:adjustRightInd w:val="0"/>
        <w:spacing w:line="360" w:lineRule="auto"/>
        <w:ind w:firstLine="567"/>
        <w:jc w:val="both"/>
        <w:rPr>
          <w:rFonts w:ascii="GHEA Grapalat" w:hAnsi="GHEA Grapalat" w:cs="GHEA Grapalat"/>
          <w:iCs/>
          <w:sz w:val="22"/>
          <w:szCs w:val="22"/>
        </w:rPr>
      </w:pPr>
      <w:r w:rsidRPr="00C921DE">
        <w:rPr>
          <w:rFonts w:ascii="GHEA Grapalat" w:hAnsi="GHEA Grapalat" w:cs="GHEA Grapalat"/>
          <w:iCs/>
          <w:sz w:val="22"/>
          <w:szCs w:val="22"/>
        </w:rPr>
        <w:t xml:space="preserve">ՀՀ ԱՆ կողմից իրականացվող այլ ծրագրերից </w:t>
      </w:r>
      <w:r w:rsidRPr="00C921DE">
        <w:rPr>
          <w:rFonts w:ascii="GHEA Grapalat" w:hAnsi="GHEA Grapalat" w:cs="GHEA Grapalat"/>
          <w:i/>
          <w:iCs/>
          <w:sz w:val="22"/>
          <w:szCs w:val="22"/>
        </w:rPr>
        <w:t>Շտապ բժշկական օգնության</w:t>
      </w:r>
      <w:r w:rsidRPr="00C921DE">
        <w:rPr>
          <w:rFonts w:ascii="GHEA Grapalat" w:hAnsi="GHEA Grapalat" w:cs="GHEA Grapalat"/>
          <w:iCs/>
          <w:sz w:val="22"/>
          <w:szCs w:val="22"/>
        </w:rPr>
        <w:t xml:space="preserve"> ծրագրի նպատակն է՝ շտապ և անհետաձգելի բժշկական օգնության և սպասարկման կազմակերպումը հիվանդանո</w:t>
      </w:r>
      <w:r w:rsidR="006910E1" w:rsidRPr="00C921DE">
        <w:rPr>
          <w:rFonts w:ascii="GHEA Grapalat" w:hAnsi="GHEA Grapalat" w:cs="GHEA Grapalat"/>
          <w:iCs/>
          <w:sz w:val="22"/>
          <w:szCs w:val="22"/>
        </w:rPr>
        <w:t>ցային բժշկական կազմակերպություն</w:t>
      </w:r>
      <w:r w:rsidRPr="00C921DE">
        <w:rPr>
          <w:rFonts w:ascii="GHEA Grapalat" w:hAnsi="GHEA Grapalat" w:cs="GHEA Grapalat"/>
          <w:iCs/>
          <w:sz w:val="22"/>
          <w:szCs w:val="22"/>
        </w:rPr>
        <w:t>ներում՝ անկախ</w:t>
      </w:r>
      <w:r w:rsidR="006910E1" w:rsidRPr="00C921DE">
        <w:rPr>
          <w:rFonts w:ascii="GHEA Grapalat" w:hAnsi="GHEA Grapalat" w:cs="GHEA Grapalat"/>
          <w:iCs/>
          <w:sz w:val="22"/>
          <w:szCs w:val="22"/>
          <w:lang w:val="en-US"/>
        </w:rPr>
        <w:t xml:space="preserve"> հիվանդների</w:t>
      </w:r>
      <w:r w:rsidRPr="00C921DE">
        <w:rPr>
          <w:rFonts w:ascii="GHEA Grapalat" w:hAnsi="GHEA Grapalat" w:cs="GHEA Grapalat"/>
          <w:iCs/>
          <w:sz w:val="22"/>
          <w:szCs w:val="22"/>
        </w:rPr>
        <w:t xml:space="preserve"> սոցիալական կարգավիճակից: Ծրագրի շրջանակներում հաշվետու տարվա ընթացքում սպասարկվել է 548.8 հազար կանչ` կանխատեսված 546.3 հազարի և 2022 թվականի 557.7 հազարի դիմաց, օդային ճանապարհով սանիտարական ավիացիայի 65 կանչ՝ կանխատեսված 80</w:t>
      </w:r>
      <w:r w:rsidRPr="00C921DE">
        <w:rPr>
          <w:rFonts w:ascii="GHEA Grapalat" w:hAnsi="GHEA Grapalat" w:cs="GHEA Grapalat"/>
          <w:iCs/>
          <w:sz w:val="22"/>
          <w:szCs w:val="22"/>
        </w:rPr>
        <w:noBreakHyphen/>
        <w:t xml:space="preserve">ի և 2022 թվականի 65-ի դիմաց, մարզից Երևան կամ այլ տարածաշրջանային հիվանդանոցներ տեղափոխման դեպքերի թիվը կազմել է 10408՝ կանխատեսված 10900-ի և 2022 թվականի 10731-ի դիմաց: Շտապ բժշկական օգնության ծրագրի շրջանակներում օգտագործվել է ավելի քան 5.2 մլրդ դրամ` ապահովելով 99.1% կատարողական: </w:t>
      </w:r>
      <w:r w:rsidRPr="00C921DE">
        <w:rPr>
          <w:rFonts w:ascii="GHEA Grapalat" w:hAnsi="GHEA Grapalat" w:cs="GHEA Grapalat"/>
          <w:iCs/>
          <w:sz w:val="22"/>
          <w:szCs w:val="22"/>
        </w:rPr>
        <w:lastRenderedPageBreak/>
        <w:t xml:space="preserve">Նախորդ տարվա համեմատ շտապ բժշկական օգնության ծրագրի ծախսերն աճել են 12.8%-ով կամ 594.7 մլն դրամով՝ պայմանավորված </w:t>
      </w:r>
      <w:r w:rsidR="00DE5F50" w:rsidRPr="00C921DE">
        <w:rPr>
          <w:rFonts w:ascii="GHEA Grapalat" w:hAnsi="GHEA Grapalat" w:cs="GHEA Grapalat"/>
          <w:iCs/>
          <w:sz w:val="22"/>
          <w:szCs w:val="22"/>
        </w:rPr>
        <w:t>ծառայության արժեքների վերանայմամբ</w:t>
      </w:r>
      <w:r w:rsidRPr="00C921DE">
        <w:rPr>
          <w:rFonts w:ascii="GHEA Grapalat" w:hAnsi="GHEA Grapalat" w:cs="GHEA Grapalat"/>
          <w:iCs/>
          <w:sz w:val="22"/>
          <w:szCs w:val="22"/>
        </w:rPr>
        <w:t>:</w:t>
      </w:r>
    </w:p>
    <w:p w14:paraId="487A2CFA" w14:textId="77777777" w:rsidR="003E6DF8" w:rsidRPr="00C921DE" w:rsidRDefault="003E6DF8" w:rsidP="003E6DF8">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Times Armenian"/>
          <w:i/>
          <w:sz w:val="22"/>
          <w:szCs w:val="22"/>
        </w:rPr>
        <w:t>Առողջապահության ոլորտում պետական քաղաքականության մշակման, ծրագրերի համակարգման և մոնիտորինգի</w:t>
      </w:r>
      <w:r w:rsidRPr="00C921DE">
        <w:rPr>
          <w:rFonts w:ascii="GHEA Grapalat" w:hAnsi="GHEA Grapalat" w:cs="Times Armenian"/>
          <w:sz w:val="22"/>
          <w:szCs w:val="22"/>
        </w:rPr>
        <w:t xml:space="preserve"> ծրագրի շրջանակներում հաշվետու տարում </w:t>
      </w:r>
      <w:r w:rsidRPr="00C921DE">
        <w:rPr>
          <w:rFonts w:ascii="GHEA Grapalat" w:hAnsi="GHEA Grapalat" w:cs="Sylfaen"/>
          <w:sz w:val="22"/>
          <w:szCs w:val="22"/>
        </w:rPr>
        <w:t>օգտագործվել է 6.3 մլրդ դրամ՝</w:t>
      </w:r>
      <w:r w:rsidRPr="00C921DE">
        <w:rPr>
          <w:rFonts w:ascii="GHEA Grapalat" w:hAnsi="GHEA Grapalat" w:cs="Times Armenian"/>
          <w:sz w:val="22"/>
          <w:szCs w:val="22"/>
        </w:rPr>
        <w:t xml:space="preserve"> </w:t>
      </w:r>
      <w:r w:rsidRPr="00C921DE">
        <w:rPr>
          <w:rFonts w:ascii="GHEA Grapalat" w:hAnsi="GHEA Grapalat" w:cs="Sylfaen"/>
          <w:sz w:val="22"/>
          <w:szCs w:val="22"/>
        </w:rPr>
        <w:t>ապահովելով</w:t>
      </w:r>
      <w:r w:rsidRPr="00C921DE">
        <w:rPr>
          <w:rFonts w:ascii="GHEA Grapalat" w:hAnsi="GHEA Grapalat" w:cs="Times Armenian"/>
          <w:sz w:val="22"/>
          <w:szCs w:val="22"/>
        </w:rPr>
        <w:t xml:space="preserve"> 71</w:t>
      </w:r>
      <w:r w:rsidRPr="00C921DE">
        <w:rPr>
          <w:rFonts w:ascii="GHEA Grapalat" w:hAnsi="GHEA Grapalat" w:cs="Sylfaen"/>
          <w:sz w:val="22"/>
          <w:szCs w:val="22"/>
        </w:rPr>
        <w:t>.9</w:t>
      </w:r>
      <w:r w:rsidRPr="00C921DE">
        <w:rPr>
          <w:rFonts w:ascii="GHEA Grapalat" w:hAnsi="GHEA Grapalat" w:cs="Times Armenian"/>
          <w:sz w:val="22"/>
          <w:szCs w:val="22"/>
        </w:rPr>
        <w:t xml:space="preserve">% կատարողական </w:t>
      </w:r>
      <w:r w:rsidRPr="00C921DE">
        <w:rPr>
          <w:rFonts w:ascii="GHEA Grapalat" w:hAnsi="GHEA Grapalat" w:cs="Sylfaen"/>
          <w:sz w:val="22"/>
          <w:szCs w:val="22"/>
        </w:rPr>
        <w:t>և 60.7%</w:t>
      </w:r>
      <w:r w:rsidRPr="00C921DE">
        <w:rPr>
          <w:rFonts w:ascii="GHEA Grapalat" w:hAnsi="GHEA Grapalat" w:cs="Sylfaen"/>
          <w:sz w:val="22"/>
          <w:szCs w:val="22"/>
        </w:rPr>
        <w:noBreakHyphen/>
        <w:t>ով կամ 2.4 մլրդ դրամով գերազանցել</w:t>
      </w:r>
      <w:r w:rsidR="004253F6" w:rsidRPr="00C921DE">
        <w:rPr>
          <w:rFonts w:ascii="GHEA Grapalat" w:hAnsi="GHEA Grapalat" w:cs="Sylfaen"/>
          <w:sz w:val="22"/>
          <w:szCs w:val="22"/>
          <w:lang w:val="en-US"/>
        </w:rPr>
        <w:t>ով</w:t>
      </w:r>
      <w:r w:rsidRPr="00C921DE">
        <w:rPr>
          <w:rFonts w:ascii="GHEA Grapalat" w:hAnsi="GHEA Grapalat" w:cs="Sylfaen"/>
          <w:sz w:val="22"/>
          <w:szCs w:val="22"/>
        </w:rPr>
        <w:t xml:space="preserve"> նախորդ տարվա ցուցանիշը:</w:t>
      </w:r>
      <w:r w:rsidRPr="00C921DE">
        <w:rPr>
          <w:rFonts w:ascii="GHEA Grapalat" w:hAnsi="GHEA Grapalat" w:cs="Times Armenian"/>
          <w:sz w:val="22"/>
          <w:szCs w:val="22"/>
        </w:rPr>
        <w:t xml:space="preserve"> </w:t>
      </w:r>
      <w:r w:rsidRPr="00C921DE">
        <w:rPr>
          <w:rFonts w:ascii="GHEA Grapalat" w:hAnsi="GHEA Grapalat" w:cs="Sylfaen"/>
          <w:sz w:val="22"/>
          <w:szCs w:val="22"/>
        </w:rPr>
        <w:t xml:space="preserve">Ծրագրի նկատմամբ շեղումը հիմնականում պայմանավորված </w:t>
      </w:r>
      <w:r w:rsidR="004253F6" w:rsidRPr="00C921DE">
        <w:rPr>
          <w:rFonts w:ascii="GHEA Grapalat" w:hAnsi="GHEA Grapalat" w:cs="Sylfaen"/>
          <w:sz w:val="22"/>
          <w:szCs w:val="22"/>
          <w:lang w:val="en-US"/>
        </w:rPr>
        <w:t>է</w:t>
      </w:r>
      <w:r w:rsidRPr="00C921DE">
        <w:rPr>
          <w:rFonts w:ascii="GHEA Grapalat" w:hAnsi="GHEA Grapalat" w:cs="Sylfaen"/>
          <w:sz w:val="22"/>
          <w:szCs w:val="22"/>
        </w:rPr>
        <w:t xml:space="preserve"> ծրագրի ծախսերում մեծ տեսակարար կշիռ ունեցող՝</w:t>
      </w:r>
      <w:r w:rsidRPr="00C921DE">
        <w:rPr>
          <w:rFonts w:ascii="GHEA Grapalat" w:hAnsi="GHEA Grapalat" w:cs="Arial"/>
          <w:sz w:val="22"/>
          <w:szCs w:val="22"/>
        </w:rPr>
        <w:t xml:space="preserve"> առողջապահական կազմակերպությունների կառուցման, վերակառուցման ծախսեր</w:t>
      </w:r>
      <w:r w:rsidR="004253F6" w:rsidRPr="00C921DE">
        <w:rPr>
          <w:rFonts w:ascii="GHEA Grapalat" w:hAnsi="GHEA Grapalat" w:cs="Arial"/>
          <w:sz w:val="22"/>
          <w:szCs w:val="22"/>
          <w:lang w:val="en-US"/>
        </w:rPr>
        <w:t xml:space="preserve">ի կատարողականով, իսկ նախորդ տարվա համեմատ աճը՝ նշված միջոցառման ծախսերի աճով, ինչպես նաև </w:t>
      </w:r>
      <w:r w:rsidR="00565F1C" w:rsidRPr="00C921DE">
        <w:rPr>
          <w:rFonts w:ascii="GHEA Grapalat" w:hAnsi="GHEA Grapalat" w:cs="Arial"/>
          <w:sz w:val="22"/>
          <w:szCs w:val="22"/>
          <w:lang w:val="en-US"/>
        </w:rPr>
        <w:t>առողջապահական համակարգի պետական առևտրային և ոչ առևտրային կազմակերպություններին ֆինանսական աջակցության</w:t>
      </w:r>
      <w:r w:rsidR="00E1120A" w:rsidRPr="00C921DE">
        <w:rPr>
          <w:rFonts w:ascii="GHEA Grapalat" w:hAnsi="GHEA Grapalat" w:cs="Arial"/>
          <w:sz w:val="22"/>
          <w:szCs w:val="22"/>
          <w:lang w:val="en-US"/>
        </w:rPr>
        <w:t xml:space="preserve"> և առողջապահական կազմակերպությունների վերազինման նպատակով միջոցների </w:t>
      </w:r>
      <w:r w:rsidR="00565F1C" w:rsidRPr="00C921DE">
        <w:rPr>
          <w:rFonts w:ascii="GHEA Grapalat" w:hAnsi="GHEA Grapalat" w:cs="Arial"/>
          <w:sz w:val="22"/>
          <w:szCs w:val="22"/>
          <w:lang w:val="en-US"/>
        </w:rPr>
        <w:t>հատկաց</w:t>
      </w:r>
      <w:r w:rsidR="00F77FD3" w:rsidRPr="00C921DE">
        <w:rPr>
          <w:rFonts w:ascii="GHEA Grapalat" w:hAnsi="GHEA Grapalat" w:cs="Arial"/>
          <w:sz w:val="22"/>
          <w:szCs w:val="22"/>
          <w:lang w:val="en-US"/>
        </w:rPr>
        <w:t>մամբ</w:t>
      </w:r>
      <w:r w:rsidR="00E1120A" w:rsidRPr="00C921DE">
        <w:rPr>
          <w:rFonts w:ascii="GHEA Grapalat" w:hAnsi="GHEA Grapalat" w:cs="Arial"/>
          <w:sz w:val="22"/>
          <w:szCs w:val="22"/>
          <w:lang w:val="en-US"/>
        </w:rPr>
        <w:t>, որոնց գծով 2022 թվականի</w:t>
      </w:r>
      <w:r w:rsidR="00F25512" w:rsidRPr="00C921DE">
        <w:rPr>
          <w:rFonts w:ascii="GHEA Grapalat" w:hAnsi="GHEA Grapalat" w:cs="Arial"/>
          <w:sz w:val="22"/>
          <w:szCs w:val="22"/>
          <w:lang w:val="en-US"/>
        </w:rPr>
        <w:t xml:space="preserve">ն </w:t>
      </w:r>
      <w:r w:rsidR="006308D2" w:rsidRPr="00C921DE">
        <w:rPr>
          <w:rFonts w:ascii="GHEA Grapalat" w:hAnsi="GHEA Grapalat" w:cs="Arial"/>
          <w:sz w:val="22"/>
          <w:szCs w:val="22"/>
          <w:lang w:val="en-US"/>
        </w:rPr>
        <w:t>հատկացումներ չէին կատարվել</w:t>
      </w:r>
      <w:r w:rsidRPr="00C921DE">
        <w:rPr>
          <w:rFonts w:ascii="GHEA Grapalat" w:hAnsi="GHEA Grapalat" w:cs="Arial"/>
          <w:sz w:val="22"/>
          <w:szCs w:val="22"/>
        </w:rPr>
        <w:t xml:space="preserve">: </w:t>
      </w:r>
    </w:p>
    <w:p w14:paraId="121C4FD0" w14:textId="77777777" w:rsidR="003E6DF8" w:rsidRPr="00C921DE" w:rsidRDefault="003E6DF8" w:rsidP="003E6DF8">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sz w:val="22"/>
          <w:szCs w:val="22"/>
        </w:rPr>
        <w:t>Հաշվետու</w:t>
      </w:r>
      <w:r w:rsidRPr="00C921DE">
        <w:rPr>
          <w:rFonts w:ascii="GHEA Grapalat" w:hAnsi="GHEA Grapalat"/>
          <w:sz w:val="22"/>
          <w:szCs w:val="22"/>
          <w:lang w:val="it-IT"/>
        </w:rPr>
        <w:t xml:space="preserve"> </w:t>
      </w:r>
      <w:r w:rsidRPr="00C921DE">
        <w:rPr>
          <w:rFonts w:ascii="GHEA Grapalat" w:hAnsi="GHEA Grapalat"/>
          <w:sz w:val="22"/>
          <w:szCs w:val="22"/>
        </w:rPr>
        <w:t>տարում</w:t>
      </w:r>
      <w:r w:rsidRPr="00C921DE">
        <w:rPr>
          <w:rFonts w:ascii="GHEA Grapalat" w:hAnsi="GHEA Grapalat"/>
          <w:sz w:val="22"/>
          <w:szCs w:val="22"/>
          <w:lang w:val="it-IT"/>
        </w:rPr>
        <w:t xml:space="preserve"> </w:t>
      </w:r>
      <w:r w:rsidRPr="00C921DE">
        <w:rPr>
          <w:rFonts w:ascii="GHEA Grapalat" w:hAnsi="GHEA Grapalat" w:cs="Arial"/>
          <w:sz w:val="22"/>
          <w:szCs w:val="22"/>
        </w:rPr>
        <w:t>առողջապահական կազմակերպությունների կառուցման, վերակառուցման միջոցառման շրջանակներում նախատեսվել և իրականացվել են 12 առողջապահական կազմակերպությունների կառուցման և վերակառուցման</w:t>
      </w:r>
      <w:r w:rsidR="00113301" w:rsidRPr="00C921DE">
        <w:rPr>
          <w:rFonts w:ascii="GHEA Grapalat" w:hAnsi="GHEA Grapalat" w:cs="Arial"/>
          <w:sz w:val="22"/>
          <w:szCs w:val="22"/>
        </w:rPr>
        <w:t xml:space="preserve"> </w:t>
      </w:r>
      <w:r w:rsidRPr="00C921DE">
        <w:rPr>
          <w:rFonts w:ascii="GHEA Grapalat" w:hAnsi="GHEA Grapalat" w:cs="Arial"/>
          <w:sz w:val="22"/>
          <w:szCs w:val="22"/>
        </w:rPr>
        <w:t>աշխատանքներ՝ 2022 թվականի 3-ի դիմաց: Միջոցառմանը</w:t>
      </w:r>
      <w:r w:rsidRPr="00C921DE">
        <w:rPr>
          <w:rFonts w:ascii="GHEA Grapalat" w:hAnsi="GHEA Grapalat"/>
          <w:sz w:val="22"/>
          <w:szCs w:val="22"/>
          <w:lang w:val="it-IT"/>
        </w:rPr>
        <w:t xml:space="preserve"> </w:t>
      </w:r>
      <w:r w:rsidRPr="00C921DE">
        <w:rPr>
          <w:rFonts w:ascii="GHEA Grapalat" w:hAnsi="GHEA Grapalat"/>
          <w:sz w:val="22"/>
          <w:szCs w:val="22"/>
        </w:rPr>
        <w:t>տրամադրվել</w:t>
      </w:r>
      <w:r w:rsidRPr="00C921DE">
        <w:rPr>
          <w:rFonts w:ascii="GHEA Grapalat" w:hAnsi="GHEA Grapalat"/>
          <w:sz w:val="22"/>
          <w:szCs w:val="22"/>
          <w:lang w:val="it-IT"/>
        </w:rPr>
        <w:t xml:space="preserve"> </w:t>
      </w:r>
      <w:r w:rsidRPr="00C921DE">
        <w:rPr>
          <w:rFonts w:ascii="GHEA Grapalat" w:hAnsi="GHEA Grapalat"/>
          <w:sz w:val="22"/>
          <w:szCs w:val="22"/>
        </w:rPr>
        <w:t>է</w:t>
      </w:r>
      <w:r w:rsidRPr="00C921DE">
        <w:rPr>
          <w:rFonts w:ascii="GHEA Grapalat" w:hAnsi="GHEA Grapalat"/>
          <w:sz w:val="22"/>
          <w:szCs w:val="22"/>
          <w:lang w:val="it-IT"/>
        </w:rPr>
        <w:t xml:space="preserve"> ավելի քան 3.8 </w:t>
      </w:r>
      <w:r w:rsidRPr="00C921DE">
        <w:rPr>
          <w:rFonts w:ascii="GHEA Grapalat" w:hAnsi="GHEA Grapalat"/>
          <w:sz w:val="22"/>
          <w:szCs w:val="22"/>
        </w:rPr>
        <w:t>մլրդ</w:t>
      </w:r>
      <w:r w:rsidRPr="00C921DE">
        <w:rPr>
          <w:rFonts w:ascii="GHEA Grapalat" w:hAnsi="GHEA Grapalat"/>
          <w:sz w:val="22"/>
          <w:szCs w:val="22"/>
          <w:lang w:val="it-IT"/>
        </w:rPr>
        <w:t xml:space="preserve"> դրամ` ապահովելով ծրագրված </w:t>
      </w:r>
      <w:r w:rsidRPr="00C921DE">
        <w:rPr>
          <w:rFonts w:ascii="GHEA Grapalat" w:hAnsi="GHEA Grapalat" w:cs="Arial"/>
          <w:sz w:val="22"/>
          <w:szCs w:val="22"/>
        </w:rPr>
        <w:t>ցուցանիշի 66.6</w:t>
      </w:r>
      <w:r w:rsidR="006308D2" w:rsidRPr="00C921DE">
        <w:rPr>
          <w:rFonts w:ascii="GHEA Grapalat" w:hAnsi="GHEA Grapalat" w:cs="Arial"/>
          <w:sz w:val="22"/>
          <w:szCs w:val="22"/>
        </w:rPr>
        <w:t>%</w:t>
      </w:r>
      <w:r w:rsidR="006308D2" w:rsidRPr="00C921DE">
        <w:rPr>
          <w:rFonts w:ascii="GHEA Grapalat" w:hAnsi="GHEA Grapalat" w:cs="Arial"/>
          <w:sz w:val="22"/>
          <w:szCs w:val="22"/>
        </w:rPr>
        <w:noBreakHyphen/>
      </w:r>
      <w:r w:rsidRPr="00C921DE">
        <w:rPr>
          <w:rFonts w:ascii="GHEA Grapalat" w:hAnsi="GHEA Grapalat" w:cs="Arial"/>
          <w:sz w:val="22"/>
          <w:szCs w:val="22"/>
        </w:rPr>
        <w:t>ը: Շեղումը հիմնականում պայմանավորված է</w:t>
      </w:r>
      <w:r w:rsidR="00113301" w:rsidRPr="00C921DE">
        <w:rPr>
          <w:rFonts w:ascii="GHEA Grapalat" w:hAnsi="GHEA Grapalat" w:cs="Arial"/>
          <w:sz w:val="22"/>
          <w:szCs w:val="22"/>
        </w:rPr>
        <w:t xml:space="preserve"> </w:t>
      </w:r>
      <w:r w:rsidRPr="00C921DE">
        <w:rPr>
          <w:rFonts w:ascii="GHEA Grapalat" w:hAnsi="GHEA Grapalat" w:cs="Arial"/>
          <w:sz w:val="22"/>
          <w:szCs w:val="22"/>
        </w:rPr>
        <w:t xml:space="preserve">կառուցման և վերակառուցման աշխատանքների մասով կատարված աշխատանքների դիմաց ներկայացված փաստացի կատարողական ակտերով, ինչպես նաև 2023 թվականին նախատեսված </w:t>
      </w:r>
      <w:r w:rsidR="00DE5F50" w:rsidRPr="00C921DE">
        <w:rPr>
          <w:rFonts w:ascii="GHEA Grapalat" w:hAnsi="GHEA Grapalat" w:cs="Arial"/>
          <w:sz w:val="22"/>
          <w:szCs w:val="22"/>
          <w:lang w:val="en-US"/>
        </w:rPr>
        <w:t>36</w:t>
      </w:r>
      <w:r w:rsidRPr="00C921DE">
        <w:rPr>
          <w:rFonts w:ascii="GHEA Grapalat" w:hAnsi="GHEA Grapalat" w:cs="Arial"/>
          <w:sz w:val="22"/>
          <w:szCs w:val="22"/>
        </w:rPr>
        <w:t xml:space="preserve"> նախագծանախահաշվային փաստաթղթերի</w:t>
      </w:r>
      <w:r w:rsidR="00DE5F50" w:rsidRPr="00C921DE">
        <w:rPr>
          <w:rFonts w:ascii="GHEA Grapalat" w:hAnsi="GHEA Grapalat" w:cs="Arial"/>
          <w:sz w:val="22"/>
          <w:szCs w:val="22"/>
          <w:lang w:val="en-US"/>
        </w:rPr>
        <w:t>ց 34-ի</w:t>
      </w:r>
      <w:r w:rsidRPr="00C921DE">
        <w:rPr>
          <w:rFonts w:ascii="GHEA Grapalat" w:hAnsi="GHEA Grapalat" w:cs="Arial"/>
          <w:sz w:val="22"/>
          <w:szCs w:val="22"/>
        </w:rPr>
        <w:t xml:space="preserve"> </w:t>
      </w:r>
      <w:r w:rsidR="005216A2" w:rsidRPr="00C921DE">
        <w:rPr>
          <w:rFonts w:ascii="GHEA Grapalat" w:hAnsi="GHEA Grapalat" w:cs="Arial"/>
          <w:sz w:val="22"/>
          <w:szCs w:val="22"/>
          <w:lang w:val="en-US"/>
        </w:rPr>
        <w:t xml:space="preserve">պատրաստման աշխատանքները </w:t>
      </w:r>
      <w:r w:rsidR="005216A2" w:rsidRPr="00C921DE">
        <w:rPr>
          <w:rFonts w:ascii="GHEA Grapalat" w:hAnsi="GHEA Grapalat" w:cs="Arial"/>
          <w:sz w:val="22"/>
          <w:szCs w:val="22"/>
        </w:rPr>
        <w:t>չկատար</w:t>
      </w:r>
      <w:r w:rsidR="005216A2" w:rsidRPr="00C921DE">
        <w:rPr>
          <w:rFonts w:ascii="GHEA Grapalat" w:hAnsi="GHEA Grapalat" w:cs="Arial"/>
          <w:sz w:val="22"/>
          <w:szCs w:val="22"/>
          <w:lang w:val="en-US"/>
        </w:rPr>
        <w:t>ելու հանգամանքով</w:t>
      </w:r>
      <w:r w:rsidR="00DE5F50" w:rsidRPr="00C921DE">
        <w:rPr>
          <w:rFonts w:ascii="GHEA Grapalat" w:hAnsi="GHEA Grapalat" w:cs="Arial"/>
          <w:sz w:val="22"/>
          <w:szCs w:val="22"/>
        </w:rPr>
        <w:t>,</w:t>
      </w:r>
      <w:r w:rsidRPr="00C921DE">
        <w:rPr>
          <w:rFonts w:ascii="GHEA Grapalat" w:hAnsi="GHEA Grapalat" w:cs="Arial"/>
          <w:sz w:val="22"/>
          <w:szCs w:val="22"/>
        </w:rPr>
        <w:t xml:space="preserve"> որոնք տեղափոխվել են 2024 թվական</w:t>
      </w:r>
      <w:r w:rsidRPr="00C921DE">
        <w:rPr>
          <w:rFonts w:ascii="GHEA Grapalat" w:hAnsi="GHEA Grapalat" w:cs="Sylfaen"/>
        </w:rPr>
        <w:t>:</w:t>
      </w:r>
      <w:r w:rsidRPr="00C921DE">
        <w:rPr>
          <w:rFonts w:ascii="GHEA Grapalat" w:hAnsi="GHEA Grapalat" w:cs="Arial"/>
          <w:sz w:val="22"/>
          <w:szCs w:val="22"/>
        </w:rPr>
        <w:t xml:space="preserve"> Նախորդ տարվա համեմատ նշված ծախսերն աճել են 1.4 անգամ՝ պայմանավորված</w:t>
      </w:r>
      <w:r w:rsidR="00113301" w:rsidRPr="00C921DE">
        <w:rPr>
          <w:rFonts w:ascii="GHEA Grapalat" w:hAnsi="GHEA Grapalat" w:cs="Arial"/>
          <w:sz w:val="22"/>
          <w:szCs w:val="22"/>
        </w:rPr>
        <w:t xml:space="preserve"> </w:t>
      </w:r>
      <w:r w:rsidRPr="00C921DE">
        <w:rPr>
          <w:rFonts w:ascii="GHEA Grapalat" w:hAnsi="GHEA Grapalat" w:cs="Arial"/>
          <w:sz w:val="22"/>
          <w:szCs w:val="22"/>
        </w:rPr>
        <w:t>իրականացված</w:t>
      </w:r>
      <w:r w:rsidR="00113301" w:rsidRPr="00C921DE">
        <w:rPr>
          <w:rFonts w:ascii="GHEA Grapalat" w:hAnsi="GHEA Grapalat" w:cs="Arial"/>
          <w:sz w:val="22"/>
          <w:szCs w:val="22"/>
        </w:rPr>
        <w:t xml:space="preserve"> </w:t>
      </w:r>
      <w:r w:rsidRPr="00C921DE">
        <w:rPr>
          <w:rFonts w:ascii="GHEA Grapalat" w:hAnsi="GHEA Grapalat" w:cs="Arial"/>
          <w:sz w:val="22"/>
          <w:szCs w:val="22"/>
        </w:rPr>
        <w:t>շինարարական աշխատանքների ծավալների աճով:</w:t>
      </w:r>
    </w:p>
    <w:p w14:paraId="632E92A3" w14:textId="77777777" w:rsidR="00C56BD7" w:rsidRPr="00C921DE" w:rsidRDefault="001959A2" w:rsidP="001959A2">
      <w:pPr>
        <w:tabs>
          <w:tab w:val="num" w:pos="0"/>
        </w:tabs>
        <w:spacing w:line="360" w:lineRule="auto"/>
        <w:ind w:firstLine="561"/>
        <w:jc w:val="both"/>
        <w:rPr>
          <w:rFonts w:ascii="GHEA Grapalat" w:hAnsi="GHEA Grapalat" w:cs="Arial"/>
          <w:sz w:val="22"/>
          <w:szCs w:val="22"/>
          <w:lang w:val="en-US"/>
        </w:rPr>
      </w:pPr>
      <w:r w:rsidRPr="00C921DE">
        <w:rPr>
          <w:rFonts w:ascii="GHEA Grapalat" w:hAnsi="GHEA Grapalat" w:cs="Arial"/>
          <w:sz w:val="22"/>
          <w:szCs w:val="22"/>
          <w:lang w:val="en-US"/>
        </w:rPr>
        <w:t>Առողջապահական համակարգի պետական առևտրային և ոչ առևտրային կազմակերպություններին 2023 թվականին հատկացվել է 559.7 մլն դրամ ֆինանսական աջակցություն, որն ամբողջությամբ օգտագործվել է և ուղղվել</w:t>
      </w:r>
      <w:r w:rsidR="00E61C48" w:rsidRPr="00C921DE">
        <w:rPr>
          <w:rFonts w:ascii="GHEA Grapalat" w:hAnsi="GHEA Grapalat" w:cs="Arial"/>
          <w:sz w:val="22"/>
          <w:szCs w:val="22"/>
          <w:lang w:val="en-US"/>
        </w:rPr>
        <w:t xml:space="preserve"> 10</w:t>
      </w:r>
      <w:r w:rsidRPr="00C921DE">
        <w:rPr>
          <w:rFonts w:ascii="GHEA Grapalat" w:hAnsi="GHEA Grapalat" w:cs="Arial"/>
          <w:sz w:val="22"/>
          <w:szCs w:val="22"/>
          <w:lang w:val="en-US"/>
        </w:rPr>
        <w:t xml:space="preserve"> </w:t>
      </w:r>
      <w:r w:rsidR="00612061" w:rsidRPr="00C921DE">
        <w:rPr>
          <w:rFonts w:ascii="GHEA Grapalat" w:hAnsi="GHEA Grapalat" w:cs="Arial"/>
          <w:sz w:val="22"/>
          <w:szCs w:val="22"/>
          <w:lang w:val="en-US"/>
        </w:rPr>
        <w:t>ա</w:t>
      </w:r>
      <w:r w:rsidRPr="00C921DE">
        <w:rPr>
          <w:rFonts w:ascii="GHEA Grapalat" w:hAnsi="GHEA Grapalat" w:cs="Arial"/>
          <w:sz w:val="22"/>
          <w:szCs w:val="22"/>
          <w:lang w:val="en-US"/>
        </w:rPr>
        <w:t xml:space="preserve">ռողջապահական կազմակերպությունների բնականոն </w:t>
      </w:r>
      <w:r w:rsidR="00612061" w:rsidRPr="00C921DE">
        <w:rPr>
          <w:rFonts w:ascii="GHEA Grapalat" w:hAnsi="GHEA Grapalat" w:cs="Arial"/>
          <w:sz w:val="22"/>
          <w:szCs w:val="22"/>
          <w:lang w:val="en-US"/>
        </w:rPr>
        <w:t xml:space="preserve">գործունեության </w:t>
      </w:r>
      <w:r w:rsidRPr="00C921DE">
        <w:rPr>
          <w:rFonts w:ascii="GHEA Grapalat" w:hAnsi="GHEA Grapalat" w:cs="Arial"/>
          <w:sz w:val="22"/>
          <w:szCs w:val="22"/>
          <w:lang w:val="en-US"/>
        </w:rPr>
        <w:t>ապահովման</w:t>
      </w:r>
      <w:r w:rsidR="00612061" w:rsidRPr="00C921DE">
        <w:rPr>
          <w:rFonts w:ascii="GHEA Grapalat" w:hAnsi="GHEA Grapalat" w:cs="Arial"/>
          <w:sz w:val="22"/>
          <w:szCs w:val="22"/>
          <w:lang w:val="en-US"/>
        </w:rPr>
        <w:t>ը</w:t>
      </w:r>
      <w:r w:rsidRPr="00C921DE">
        <w:rPr>
          <w:rFonts w:ascii="GHEA Grapalat" w:hAnsi="GHEA Grapalat" w:cs="Arial"/>
          <w:sz w:val="22"/>
          <w:szCs w:val="22"/>
          <w:lang w:val="en-US"/>
        </w:rPr>
        <w:t>, ինչպես նաև շենքային պայմանների</w:t>
      </w:r>
      <w:r w:rsidR="00202FF2" w:rsidRPr="00C921DE">
        <w:rPr>
          <w:rFonts w:ascii="GHEA Grapalat" w:hAnsi="GHEA Grapalat" w:cs="Arial"/>
          <w:sz w:val="22"/>
          <w:szCs w:val="22"/>
          <w:lang w:val="en-US"/>
        </w:rPr>
        <w:t xml:space="preserve"> </w:t>
      </w:r>
      <w:r w:rsidRPr="00C921DE">
        <w:rPr>
          <w:rFonts w:ascii="GHEA Grapalat" w:hAnsi="GHEA Grapalat" w:cs="Arial"/>
          <w:sz w:val="22"/>
          <w:szCs w:val="22"/>
          <w:lang w:val="en-US"/>
        </w:rPr>
        <w:t>արդիականացման</w:t>
      </w:r>
      <w:r w:rsidR="00612061" w:rsidRPr="00C921DE">
        <w:rPr>
          <w:rFonts w:ascii="GHEA Grapalat" w:hAnsi="GHEA Grapalat" w:cs="Arial"/>
          <w:sz w:val="22"/>
          <w:szCs w:val="22"/>
          <w:lang w:val="en-US"/>
        </w:rPr>
        <w:t>ն ու</w:t>
      </w:r>
      <w:r w:rsidRPr="00C921DE">
        <w:rPr>
          <w:rFonts w:ascii="GHEA Grapalat" w:hAnsi="GHEA Grapalat" w:cs="Arial"/>
          <w:sz w:val="22"/>
          <w:szCs w:val="22"/>
          <w:lang w:val="en-US"/>
        </w:rPr>
        <w:t xml:space="preserve"> բարեկարգման</w:t>
      </w:r>
      <w:r w:rsidR="00612061" w:rsidRPr="00C921DE">
        <w:rPr>
          <w:rFonts w:ascii="GHEA Grapalat" w:hAnsi="GHEA Grapalat" w:cs="Arial"/>
          <w:sz w:val="22"/>
          <w:szCs w:val="22"/>
          <w:lang w:val="en-US"/>
        </w:rPr>
        <w:t>ը:</w:t>
      </w:r>
    </w:p>
    <w:p w14:paraId="0CBC5A46" w14:textId="7E1F12CF" w:rsidR="00612061" w:rsidRPr="00C921DE" w:rsidRDefault="00612061" w:rsidP="001959A2">
      <w:pPr>
        <w:tabs>
          <w:tab w:val="num" w:pos="0"/>
        </w:tabs>
        <w:spacing w:line="360" w:lineRule="auto"/>
        <w:ind w:firstLine="561"/>
        <w:jc w:val="both"/>
        <w:rPr>
          <w:rFonts w:ascii="GHEA Grapalat" w:hAnsi="GHEA Grapalat" w:cs="Arial"/>
          <w:sz w:val="22"/>
          <w:szCs w:val="22"/>
          <w:lang w:val="en-US"/>
        </w:rPr>
      </w:pPr>
      <w:r w:rsidRPr="00C921DE">
        <w:rPr>
          <w:rFonts w:ascii="GHEA Grapalat" w:hAnsi="GHEA Grapalat" w:cs="Arial"/>
          <w:sz w:val="22"/>
          <w:szCs w:val="22"/>
          <w:lang w:val="en-US"/>
        </w:rPr>
        <w:t>Առողջապահական կազմակերպությունների վերազինման միջոցառման շրջանակներում օգտագործվել է նախատեսված միջոցների 54%-ը՝ 622.6 մլն դրամ</w:t>
      </w:r>
      <w:r w:rsidR="00080BD8" w:rsidRPr="00C921DE">
        <w:rPr>
          <w:rFonts w:ascii="GHEA Grapalat" w:hAnsi="GHEA Grapalat" w:cs="Arial"/>
          <w:sz w:val="22"/>
          <w:szCs w:val="22"/>
          <w:lang w:val="en-US"/>
        </w:rPr>
        <w:t xml:space="preserve">՝ պայմանավորված գնման գործընթացի արդյունքում առաջացած տնտեսումներով, ինչպես նաև «Թալինի ԲԿ» ՓԲԸ-ի սարքավորումների ձեռքբերման համար հայտարարված գնման ընթացակարգերի մի մասի չկայացմամբ: Միջոցներն ուղղվել են 4 առողջապահական կազմակերպությունների` Թալինի, Վայոց </w:t>
      </w:r>
      <w:r w:rsidR="00080BD8" w:rsidRPr="00C921DE">
        <w:rPr>
          <w:rFonts w:ascii="GHEA Grapalat" w:hAnsi="GHEA Grapalat" w:cs="Arial"/>
          <w:sz w:val="22"/>
          <w:szCs w:val="22"/>
          <w:lang w:val="en-US"/>
        </w:rPr>
        <w:lastRenderedPageBreak/>
        <w:t>Ձորի, Արմավիրի բժշկական կենտրոնների և «Դսեղի առողջության կենտրոն» ՊՈԱԿ-ի վերազինմանը, ինչպես նաև գույքով համալրմանը:</w:t>
      </w:r>
    </w:p>
    <w:p w14:paraId="30DFE7DA" w14:textId="77777777" w:rsidR="00BF73F6" w:rsidRPr="00C921DE" w:rsidRDefault="00BF73F6" w:rsidP="001959A2">
      <w:pPr>
        <w:tabs>
          <w:tab w:val="num" w:pos="0"/>
        </w:tabs>
        <w:spacing w:line="360" w:lineRule="auto"/>
        <w:ind w:firstLine="561"/>
        <w:jc w:val="both"/>
        <w:rPr>
          <w:rFonts w:ascii="GHEA Grapalat" w:hAnsi="GHEA Grapalat" w:cs="Arial"/>
          <w:sz w:val="22"/>
          <w:szCs w:val="22"/>
          <w:lang w:val="en-US"/>
        </w:rPr>
      </w:pPr>
    </w:p>
    <w:p w14:paraId="18CE676C" w14:textId="615D9D43" w:rsidR="005125AD" w:rsidRPr="00C921DE" w:rsidRDefault="00C56BD7" w:rsidP="005125AD">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Times Armenian"/>
          <w:i/>
          <w:sz w:val="22"/>
          <w:szCs w:val="22"/>
          <w:u w:val="single"/>
        </w:rPr>
        <w:t>ՀՀ արդարադատության նախարարությանը</w:t>
      </w:r>
      <w:r w:rsidR="005125AD" w:rsidRPr="00C921DE">
        <w:rPr>
          <w:rFonts w:ascii="GHEA Grapalat" w:hAnsi="GHEA Grapalat" w:cs="Times Armenian"/>
          <w:sz w:val="22"/>
          <w:szCs w:val="22"/>
          <w:lang w:val="en-US"/>
        </w:rPr>
        <w:t xml:space="preserve"> </w:t>
      </w:r>
      <w:r w:rsidR="005125AD" w:rsidRPr="00C921DE">
        <w:rPr>
          <w:rFonts w:ascii="GHEA Grapalat" w:hAnsi="GHEA Grapalat" w:cs="GHEA Grapalat"/>
          <w:sz w:val="22"/>
          <w:szCs w:val="22"/>
        </w:rPr>
        <w:t xml:space="preserve">2023 թվականին ՀՀ պետական բյուջեից տրամադրվել է 25.3 մլրդ դրամ՝ կազմելով տարեկան ծրագրի 99.4%-ը: Նախարարության պատասխանատվությամբ հաշվետու ժամանակահատվածում իրականացվել է 8 ծրագիր: Շեղումը հիմնականում պայմանավորված է «Քրեակատարողական ծառայություններ» և «Հակակոռուպցիոն քաղաքականության մշակում, ծրագրերի համակարգում և մոնիտորինգի իրականացում» ծրագրերի կատարողականով: </w:t>
      </w:r>
      <w:r w:rsidR="005125AD" w:rsidRPr="00C921DE">
        <w:rPr>
          <w:rFonts w:ascii="GHEA Grapalat" w:hAnsi="GHEA Grapalat" w:cs="GHEA Grapalat"/>
          <w:sz w:val="22"/>
          <w:szCs w:val="22"/>
          <w:lang w:val="pt-BR"/>
        </w:rPr>
        <w:t xml:space="preserve">Նախորդ տարվա համեմատ ՀՀ արդարադատության նախարարության ծախսերն աճել են </w:t>
      </w:r>
      <w:bookmarkStart w:id="238" w:name="_Hlk140853005"/>
      <w:r w:rsidR="005125AD" w:rsidRPr="00C921DE">
        <w:rPr>
          <w:rFonts w:ascii="GHEA Grapalat" w:hAnsi="GHEA Grapalat" w:cs="GHEA Grapalat"/>
          <w:sz w:val="22"/>
          <w:szCs w:val="22"/>
          <w:lang w:val="pt-BR"/>
        </w:rPr>
        <w:t>9.3%-ով կամ 2.1 մլրդ դրամով</w:t>
      </w:r>
      <w:bookmarkEnd w:id="238"/>
      <w:r w:rsidR="005125AD" w:rsidRPr="00C921DE">
        <w:rPr>
          <w:rFonts w:ascii="GHEA Grapalat" w:hAnsi="GHEA Grapalat" w:cs="GHEA Grapalat"/>
          <w:sz w:val="22"/>
          <w:szCs w:val="22"/>
          <w:lang w:val="pt-BR"/>
        </w:rPr>
        <w:t>: Նշենք, որ նախկինում ՀՀ ԿԳՄՍ նախարարության պատասխանատվությամբ իրականացվ</w:t>
      </w:r>
      <w:r w:rsidR="00BC0AF6" w:rsidRPr="00C921DE">
        <w:rPr>
          <w:rFonts w:ascii="GHEA Grapalat" w:hAnsi="GHEA Grapalat" w:cs="GHEA Grapalat"/>
          <w:sz w:val="22"/>
          <w:szCs w:val="22"/>
          <w:lang w:val="pt-BR"/>
        </w:rPr>
        <w:t>ած</w:t>
      </w:r>
      <w:r w:rsidR="005125AD" w:rsidRPr="00C921DE">
        <w:rPr>
          <w:rFonts w:ascii="GHEA Grapalat" w:hAnsi="GHEA Grapalat" w:cs="GHEA Grapalat"/>
          <w:sz w:val="22"/>
          <w:szCs w:val="22"/>
          <w:lang w:val="pt-BR"/>
        </w:rPr>
        <w:t xml:space="preserve"> Ազգային արխիվի ծրագրի «Արխիվային ծառայություններ» միջոցառումը 2023 թվականին փոխանցվել է ՀՀ արդարադատության նախարարությանը՝ ներառվելով «Իրավական իրազեկում և տեղեկատվության ապահովում» ծրագրում:</w:t>
      </w:r>
      <w:r w:rsidR="005125AD" w:rsidRPr="00C921DE">
        <w:rPr>
          <w:rFonts w:ascii="GHEA Grapalat" w:hAnsi="GHEA Grapalat" w:cs="GHEA Grapalat"/>
          <w:sz w:val="22"/>
          <w:szCs w:val="22"/>
        </w:rPr>
        <w:t xml:space="preserve"> Ուստի 202</w:t>
      </w:r>
      <w:r w:rsidR="00BC0AF6" w:rsidRPr="00C921DE">
        <w:rPr>
          <w:rFonts w:ascii="GHEA Grapalat" w:hAnsi="GHEA Grapalat" w:cs="GHEA Grapalat"/>
          <w:sz w:val="22"/>
          <w:szCs w:val="22"/>
          <w:lang w:val="en-US"/>
        </w:rPr>
        <w:t>2</w:t>
      </w:r>
      <w:r w:rsidR="005125AD" w:rsidRPr="00C921DE">
        <w:rPr>
          <w:rFonts w:ascii="GHEA Grapalat" w:hAnsi="GHEA Grapalat" w:cs="GHEA Grapalat"/>
          <w:sz w:val="22"/>
          <w:szCs w:val="22"/>
        </w:rPr>
        <w:t xml:space="preserve"> թվականի համադրելի ցուցանիշի համեմատ ՀՀ արդարադատության նախարարության ծախսերի գծով արձանագրվել է </w:t>
      </w:r>
      <w:r w:rsidR="005125AD" w:rsidRPr="00C921DE">
        <w:rPr>
          <w:rFonts w:ascii="GHEA Grapalat" w:hAnsi="GHEA Grapalat" w:cs="GHEA Grapalat"/>
          <w:sz w:val="22"/>
          <w:szCs w:val="22"/>
          <w:lang w:val="pt-BR"/>
        </w:rPr>
        <w:t>6.5% (1.7 մլրդ դրամ) աճ՝ հիմնականում պայմանավորված</w:t>
      </w:r>
      <w:r w:rsidR="009674E8" w:rsidRPr="00C921DE">
        <w:rPr>
          <w:rFonts w:ascii="GHEA Grapalat" w:hAnsi="GHEA Grapalat" w:cs="GHEA Grapalat"/>
          <w:sz w:val="22"/>
          <w:szCs w:val="22"/>
          <w:lang w:val="pt-BR"/>
        </w:rPr>
        <w:t xml:space="preserve"> </w:t>
      </w:r>
      <w:r w:rsidR="005125AD" w:rsidRPr="00C921DE">
        <w:rPr>
          <w:rFonts w:ascii="GHEA Grapalat" w:hAnsi="GHEA Grapalat" w:cs="GHEA Grapalat"/>
          <w:sz w:val="22"/>
          <w:szCs w:val="22"/>
          <w:lang w:val="pt-BR"/>
        </w:rPr>
        <w:t>«Դատական և հանրային պաշտպանություն»</w:t>
      </w:r>
      <w:r w:rsidR="005125AD" w:rsidRPr="00C921DE">
        <w:rPr>
          <w:rFonts w:ascii="GHEA Grapalat" w:hAnsi="GHEA Grapalat" w:cs="GHEA Grapalat"/>
          <w:sz w:val="22"/>
          <w:szCs w:val="22"/>
        </w:rPr>
        <w:t>,</w:t>
      </w:r>
      <w:r w:rsidR="005125AD" w:rsidRPr="00C921DE">
        <w:rPr>
          <w:rFonts w:ascii="GHEA Grapalat" w:hAnsi="GHEA Grapalat" w:cs="GHEA Grapalat"/>
          <w:sz w:val="22"/>
          <w:szCs w:val="22"/>
          <w:lang w:val="pt-BR"/>
        </w:rPr>
        <w:t xml:space="preserve"> </w:t>
      </w:r>
      <w:r w:rsidR="005125AD" w:rsidRPr="00C921DE">
        <w:rPr>
          <w:rFonts w:ascii="GHEA Grapalat" w:hAnsi="GHEA Grapalat" w:cs="GHEA Grapalat"/>
          <w:sz w:val="22"/>
          <w:szCs w:val="22"/>
        </w:rPr>
        <w:t>«Արդարադատության ոլորտում քաղաքականության</w:t>
      </w:r>
      <w:r w:rsidR="009674E8" w:rsidRPr="00C921DE">
        <w:rPr>
          <w:rFonts w:ascii="GHEA Grapalat" w:hAnsi="GHEA Grapalat" w:cs="GHEA Grapalat"/>
          <w:sz w:val="22"/>
          <w:szCs w:val="22"/>
        </w:rPr>
        <w:t xml:space="preserve"> </w:t>
      </w:r>
      <w:r w:rsidR="005125AD" w:rsidRPr="00C921DE">
        <w:rPr>
          <w:rFonts w:ascii="GHEA Grapalat" w:hAnsi="GHEA Grapalat" w:cs="GHEA Grapalat"/>
          <w:sz w:val="22"/>
          <w:szCs w:val="22"/>
        </w:rPr>
        <w:t>մշակում, ծրագրերի համակարգում, խորհրդատվության և մոնիտորինգի իրականացում»,</w:t>
      </w:r>
      <w:r w:rsidR="005125AD" w:rsidRPr="00C921DE">
        <w:rPr>
          <w:rFonts w:ascii="GHEA Grapalat" w:hAnsi="GHEA Grapalat" w:cs="GHEA Grapalat"/>
          <w:sz w:val="22"/>
          <w:szCs w:val="22"/>
          <w:lang w:val="pt-BR"/>
        </w:rPr>
        <w:t xml:space="preserve"> «Քրեակատարողական ծառայություններ»</w:t>
      </w:r>
      <w:r w:rsidR="005125AD" w:rsidRPr="00C921DE">
        <w:rPr>
          <w:rFonts w:ascii="GHEA Grapalat" w:hAnsi="GHEA Grapalat" w:cs="GHEA Grapalat"/>
          <w:sz w:val="22"/>
          <w:szCs w:val="22"/>
        </w:rPr>
        <w:t xml:space="preserve"> </w:t>
      </w:r>
      <w:r w:rsidR="005125AD" w:rsidRPr="00C921DE">
        <w:rPr>
          <w:rFonts w:ascii="GHEA Grapalat" w:hAnsi="GHEA Grapalat" w:cs="GHEA Grapalat"/>
          <w:sz w:val="22"/>
          <w:szCs w:val="22"/>
          <w:lang w:val="pt-BR"/>
        </w:rPr>
        <w:t>և «Հարկադիր կատարման ծառայություններ» ծրագրերի գծով ծախսերի աճով:</w:t>
      </w:r>
      <w:r w:rsidR="005125AD" w:rsidRPr="00C921DE">
        <w:rPr>
          <w:rFonts w:ascii="GHEA Grapalat" w:hAnsi="GHEA Grapalat" w:cs="GHEA Grapalat"/>
          <w:sz w:val="22"/>
          <w:szCs w:val="22"/>
        </w:rPr>
        <w:t xml:space="preserve"> </w:t>
      </w:r>
    </w:p>
    <w:p w14:paraId="5F670CA6" w14:textId="77777777" w:rsidR="002E7349" w:rsidRPr="00C921DE" w:rsidRDefault="002E7349" w:rsidP="00A605DF">
      <w:pPr>
        <w:autoSpaceDE w:val="0"/>
        <w:autoSpaceDN w:val="0"/>
        <w:adjustRightInd w:val="0"/>
        <w:ind w:firstLine="567"/>
        <w:jc w:val="both"/>
        <w:rPr>
          <w:rFonts w:ascii="GHEA Grapalat" w:hAnsi="GHEA Grapalat" w:cs="GHEA Grapalat"/>
          <w:sz w:val="22"/>
          <w:szCs w:val="22"/>
        </w:rPr>
      </w:pPr>
    </w:p>
    <w:p w14:paraId="416249D0" w14:textId="77777777" w:rsidR="005125AD" w:rsidRPr="00C921DE" w:rsidRDefault="005125AD" w:rsidP="005125AD">
      <w:pPr>
        <w:keepNext/>
        <w:numPr>
          <w:ilvl w:val="0"/>
          <w:numId w:val="16"/>
        </w:numPr>
        <w:tabs>
          <w:tab w:val="left" w:pos="1080"/>
          <w:tab w:val="left" w:pos="1276"/>
        </w:tabs>
        <w:spacing w:before="120" w:after="120"/>
        <w:ind w:left="360"/>
        <w:rPr>
          <w:rFonts w:ascii="GHEA Grapalat" w:hAnsi="GHEA Grapalat"/>
          <w:b/>
          <w:bCs/>
          <w:i/>
          <w:noProof w:val="0"/>
          <w:sz w:val="18"/>
          <w:szCs w:val="18"/>
          <w:lang w:val="pt-BR"/>
        </w:rPr>
      </w:pPr>
      <w:r w:rsidRPr="00C921DE">
        <w:rPr>
          <w:rFonts w:ascii="GHEA Grapalat" w:hAnsi="GHEA Grapalat"/>
          <w:b/>
          <w:bCs/>
          <w:i/>
          <w:noProof w:val="0"/>
          <w:sz w:val="18"/>
          <w:szCs w:val="18"/>
          <w:lang w:val="pt-BR"/>
        </w:rPr>
        <w:t>202</w:t>
      </w:r>
      <w:r w:rsidRPr="00C921DE">
        <w:rPr>
          <w:rFonts w:ascii="GHEA Grapalat" w:hAnsi="GHEA Grapalat"/>
          <w:b/>
          <w:bCs/>
          <w:i/>
          <w:noProof w:val="0"/>
          <w:sz w:val="18"/>
          <w:szCs w:val="18"/>
        </w:rPr>
        <w:t>3թ</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ՀՀ</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արդարադատության</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նախարարության</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կողմից</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իրականացված</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ծրագրերը</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մլն</w:t>
      </w:r>
      <w:r w:rsidRPr="00C921DE">
        <w:rPr>
          <w:rFonts w:ascii="GHEA Grapalat" w:hAnsi="GHEA Grapalat"/>
          <w:b/>
          <w:bCs/>
          <w:i/>
          <w:noProof w:val="0"/>
          <w:sz w:val="18"/>
          <w:szCs w:val="18"/>
          <w:lang w:val="pt-BR"/>
        </w:rPr>
        <w:t xml:space="preserve"> </w:t>
      </w:r>
      <w:r w:rsidRPr="00C921DE">
        <w:rPr>
          <w:rFonts w:ascii="GHEA Grapalat" w:hAnsi="GHEA Grapalat"/>
          <w:b/>
          <w:bCs/>
          <w:i/>
          <w:noProof w:val="0"/>
          <w:sz w:val="18"/>
          <w:szCs w:val="18"/>
        </w:rPr>
        <w:t>դրամ</w:t>
      </w:r>
      <w:r w:rsidRPr="00C921DE">
        <w:rPr>
          <w:rFonts w:ascii="GHEA Grapalat" w:hAnsi="GHEA Grapalat"/>
          <w:b/>
          <w:bCs/>
          <w:i/>
          <w:noProof w:val="0"/>
          <w:sz w:val="18"/>
          <w:szCs w:val="18"/>
          <w:lang w:val="pt-BR"/>
        </w:rPr>
        <w:t>)</w:t>
      </w:r>
    </w:p>
    <w:tbl>
      <w:tblPr>
        <w:tblW w:w="10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272"/>
        <w:gridCol w:w="951"/>
        <w:gridCol w:w="954"/>
        <w:gridCol w:w="1203"/>
        <w:gridCol w:w="1203"/>
        <w:gridCol w:w="1048"/>
      </w:tblGrid>
      <w:tr w:rsidR="00B7454E" w:rsidRPr="00C921DE" w14:paraId="623CC94E" w14:textId="77777777" w:rsidTr="00A93642">
        <w:trPr>
          <w:trHeight w:val="300"/>
          <w:jc w:val="center"/>
        </w:trPr>
        <w:tc>
          <w:tcPr>
            <w:tcW w:w="3823" w:type="dxa"/>
            <w:noWrap/>
            <w:vAlign w:val="bottom"/>
          </w:tcPr>
          <w:p w14:paraId="72B69783" w14:textId="77777777" w:rsidR="00B7454E" w:rsidRPr="00C921DE" w:rsidRDefault="00B7454E" w:rsidP="00B7454E">
            <w:pPr>
              <w:rPr>
                <w:rFonts w:ascii="GHEA Grapalat" w:hAnsi="GHEA Grapalat" w:cs="Calibri"/>
                <w:b/>
                <w:sz w:val="18"/>
                <w:szCs w:val="18"/>
                <w:lang w:val="pt-BR"/>
              </w:rPr>
            </w:pPr>
          </w:p>
        </w:tc>
        <w:tc>
          <w:tcPr>
            <w:tcW w:w="1272" w:type="dxa"/>
          </w:tcPr>
          <w:p w14:paraId="61DF6C75" w14:textId="7777777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lang w:val="pt-BR"/>
              </w:rPr>
              <w:t>2022</w:t>
            </w:r>
            <w:r w:rsidRPr="00C921DE">
              <w:rPr>
                <w:rFonts w:ascii="GHEA Grapalat" w:hAnsi="GHEA Grapalat" w:cs="Calibri"/>
                <w:b/>
                <w:bCs/>
                <w:sz w:val="18"/>
                <w:szCs w:val="18"/>
                <w:lang w:val="en-US"/>
              </w:rPr>
              <w:t>թ</w:t>
            </w:r>
            <w:r w:rsidRPr="00C921DE">
              <w:rPr>
                <w:rFonts w:ascii="GHEA Grapalat" w:hAnsi="GHEA Grapalat" w:cs="Calibri"/>
                <w:b/>
                <w:bCs/>
                <w:sz w:val="18"/>
                <w:szCs w:val="18"/>
                <w:lang w:val="pt-BR"/>
              </w:rPr>
              <w:t xml:space="preserve">. </w:t>
            </w:r>
            <w:r w:rsidRPr="00C921DE">
              <w:rPr>
                <w:rFonts w:ascii="GHEA Grapalat" w:hAnsi="GHEA Grapalat" w:cs="Calibri"/>
                <w:b/>
                <w:bCs/>
                <w:sz w:val="18"/>
                <w:szCs w:val="18"/>
                <w:lang w:val="en-US"/>
              </w:rPr>
              <w:t>փաստ</w:t>
            </w:r>
            <w:r w:rsidRPr="00C921DE">
              <w:rPr>
                <w:rFonts w:ascii="GHEA Grapalat" w:hAnsi="GHEA Grapalat" w:cs="Calibri"/>
                <w:b/>
                <w:bCs/>
                <w:sz w:val="18"/>
                <w:szCs w:val="18"/>
                <w:lang w:val="pt-BR"/>
              </w:rPr>
              <w:t xml:space="preserve"> </w:t>
            </w:r>
            <w:r w:rsidRPr="00C921DE">
              <w:rPr>
                <w:rFonts w:ascii="GHEA Grapalat" w:hAnsi="GHEA Grapalat" w:cs="Calibri"/>
                <w:b/>
                <w:sz w:val="18"/>
                <w:szCs w:val="18"/>
              </w:rPr>
              <w:t>(202</w:t>
            </w:r>
            <w:r w:rsidRPr="00C921DE">
              <w:rPr>
                <w:rFonts w:ascii="GHEA Grapalat" w:hAnsi="GHEA Grapalat" w:cs="Calibri"/>
                <w:b/>
                <w:sz w:val="18"/>
                <w:szCs w:val="18"/>
                <w:lang w:val="pt-BR"/>
              </w:rPr>
              <w:t>3</w:t>
            </w:r>
            <w:r w:rsidRPr="00C921DE">
              <w:rPr>
                <w:rFonts w:ascii="GHEA Grapalat" w:hAnsi="GHEA Grapalat" w:cs="Calibri"/>
                <w:b/>
                <w:sz w:val="18"/>
                <w:szCs w:val="18"/>
              </w:rPr>
              <w:t>թ. հետ համադրելի)</w:t>
            </w:r>
          </w:p>
        </w:tc>
        <w:tc>
          <w:tcPr>
            <w:tcW w:w="951" w:type="dxa"/>
          </w:tcPr>
          <w:p w14:paraId="5350A5AF" w14:textId="42F97453"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954" w:type="dxa"/>
            <w:noWrap/>
          </w:tcPr>
          <w:p w14:paraId="57F11AF7" w14:textId="0014A252"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03" w:type="dxa"/>
          </w:tcPr>
          <w:p w14:paraId="57A46140" w14:textId="532CD5E0" w:rsidR="00B7454E" w:rsidRPr="00C921DE" w:rsidRDefault="00B7454E" w:rsidP="00B7454E">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03" w:type="dxa"/>
          </w:tcPr>
          <w:p w14:paraId="5833C730" w14:textId="31EEE42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48" w:type="dxa"/>
          </w:tcPr>
          <w:p w14:paraId="556D6EB4" w14:textId="77777777" w:rsidR="00B7454E" w:rsidRPr="00C921DE" w:rsidRDefault="00B7454E" w:rsidP="00B7454E">
            <w:pPr>
              <w:jc w:val="center"/>
              <w:rPr>
                <w:rFonts w:ascii="GHEA Grapalat" w:hAnsi="GHEA Grapalat" w:cs="Calibri"/>
                <w:b/>
                <w:sz w:val="18"/>
                <w:szCs w:val="18"/>
              </w:rPr>
            </w:pPr>
            <w:r w:rsidRPr="00C921DE">
              <w:rPr>
                <w:rFonts w:ascii="GHEA Grapalat" w:hAnsi="GHEA Grapalat" w:cs="Calibri"/>
                <w:b/>
                <w:bCs/>
                <w:sz w:val="18"/>
                <w:szCs w:val="18"/>
              </w:rPr>
              <w:t>2023թ. և 2022թ. տարբե-րությունը</w:t>
            </w:r>
          </w:p>
        </w:tc>
      </w:tr>
      <w:tr w:rsidR="005125AD" w:rsidRPr="00C921DE" w14:paraId="32F4C012" w14:textId="77777777" w:rsidTr="00A93642">
        <w:trPr>
          <w:trHeight w:val="331"/>
          <w:jc w:val="center"/>
        </w:trPr>
        <w:tc>
          <w:tcPr>
            <w:tcW w:w="3823" w:type="dxa"/>
            <w:vAlign w:val="bottom"/>
          </w:tcPr>
          <w:p w14:paraId="51038DFA" w14:textId="77777777" w:rsidR="005125AD" w:rsidRPr="00C921DE" w:rsidRDefault="005125AD" w:rsidP="00866CDC">
            <w:pPr>
              <w:rPr>
                <w:rFonts w:ascii="GHEA Grapalat" w:hAnsi="GHEA Grapalat" w:cs="Calibri"/>
                <w:b/>
                <w:sz w:val="18"/>
                <w:szCs w:val="18"/>
              </w:rPr>
            </w:pPr>
            <w:r w:rsidRPr="00C921DE">
              <w:rPr>
                <w:rFonts w:ascii="GHEA Grapalat" w:hAnsi="GHEA Grapalat" w:cs="Calibri"/>
                <w:b/>
                <w:sz w:val="18"/>
                <w:szCs w:val="18"/>
              </w:rPr>
              <w:t>ԸՆԴԱՄԵՆԸ</w:t>
            </w:r>
          </w:p>
        </w:tc>
        <w:tc>
          <w:tcPr>
            <w:tcW w:w="1272" w:type="dxa"/>
            <w:vAlign w:val="bottom"/>
          </w:tcPr>
          <w:p w14:paraId="106A8518" w14:textId="77777777" w:rsidR="005125AD" w:rsidRPr="00C921DE" w:rsidRDefault="005125AD"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23,781.2</w:t>
            </w:r>
          </w:p>
        </w:tc>
        <w:tc>
          <w:tcPr>
            <w:tcW w:w="951" w:type="dxa"/>
            <w:vAlign w:val="bottom"/>
          </w:tcPr>
          <w:p w14:paraId="618091F4" w14:textId="77777777" w:rsidR="005125AD" w:rsidRPr="00C921DE" w:rsidRDefault="005125AD"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25,481.0</w:t>
            </w:r>
          </w:p>
        </w:tc>
        <w:tc>
          <w:tcPr>
            <w:tcW w:w="954" w:type="dxa"/>
            <w:vAlign w:val="bottom"/>
          </w:tcPr>
          <w:p w14:paraId="1C6C2C3D" w14:textId="77777777" w:rsidR="005125AD" w:rsidRPr="00C921DE" w:rsidRDefault="005125AD"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25,33</w:t>
            </w:r>
            <w:r w:rsidRPr="00C921DE">
              <w:rPr>
                <w:rFonts w:ascii="GHEA Grapalat" w:hAnsi="GHEA Grapalat" w:cs="Calibri"/>
                <w:b/>
                <w:sz w:val="18"/>
                <w:szCs w:val="18"/>
              </w:rPr>
              <w:t>7</w:t>
            </w:r>
            <w:r w:rsidRPr="00C921DE">
              <w:rPr>
                <w:rFonts w:ascii="GHEA Grapalat" w:hAnsi="GHEA Grapalat" w:cs="Calibri"/>
                <w:b/>
                <w:sz w:val="18"/>
                <w:szCs w:val="18"/>
                <w:lang w:val="en-US"/>
              </w:rPr>
              <w:t>.5</w:t>
            </w:r>
          </w:p>
        </w:tc>
        <w:tc>
          <w:tcPr>
            <w:tcW w:w="1203" w:type="dxa"/>
            <w:vAlign w:val="bottom"/>
          </w:tcPr>
          <w:p w14:paraId="7CE9D787" w14:textId="77777777" w:rsidR="005125AD" w:rsidRPr="00C921DE" w:rsidRDefault="005125AD"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99.4</w:t>
            </w:r>
          </w:p>
        </w:tc>
        <w:tc>
          <w:tcPr>
            <w:tcW w:w="1203" w:type="dxa"/>
            <w:vAlign w:val="bottom"/>
          </w:tcPr>
          <w:p w14:paraId="31FE5F2A" w14:textId="77777777" w:rsidR="005125AD" w:rsidRPr="00C921DE" w:rsidRDefault="005125AD"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106.5</w:t>
            </w:r>
          </w:p>
        </w:tc>
        <w:tc>
          <w:tcPr>
            <w:tcW w:w="1048" w:type="dxa"/>
            <w:vAlign w:val="bottom"/>
          </w:tcPr>
          <w:p w14:paraId="06959153" w14:textId="77777777" w:rsidR="005125AD" w:rsidRPr="00C921DE" w:rsidRDefault="005125AD"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1,700.0</w:t>
            </w:r>
          </w:p>
        </w:tc>
      </w:tr>
      <w:tr w:rsidR="00A93642" w:rsidRPr="00C921DE" w14:paraId="7716E5C9" w14:textId="77777777" w:rsidTr="00A93642">
        <w:trPr>
          <w:trHeight w:val="300"/>
          <w:jc w:val="center"/>
        </w:trPr>
        <w:tc>
          <w:tcPr>
            <w:tcW w:w="3823" w:type="dxa"/>
            <w:vAlign w:val="bottom"/>
          </w:tcPr>
          <w:p w14:paraId="72793EBD" w14:textId="77777777" w:rsidR="00A93642" w:rsidRPr="00C921DE" w:rsidRDefault="00A93642" w:rsidP="00866CDC">
            <w:pPr>
              <w:rPr>
                <w:rFonts w:ascii="GHEA Grapalat" w:hAnsi="GHEA Grapalat" w:cs="Calibri"/>
                <w:sz w:val="18"/>
                <w:szCs w:val="18"/>
              </w:rPr>
            </w:pPr>
            <w:r w:rsidRPr="00C921DE">
              <w:rPr>
                <w:rFonts w:ascii="GHEA Grapalat" w:hAnsi="GHEA Grapalat" w:cs="Calibri"/>
                <w:sz w:val="18"/>
                <w:szCs w:val="18"/>
              </w:rPr>
              <w:t>Արդարադատության ոլորտում քաղաքականության</w:t>
            </w:r>
            <w:r w:rsidR="00202FF2" w:rsidRPr="00C921DE">
              <w:rPr>
                <w:rFonts w:ascii="GHEA Grapalat" w:hAnsi="GHEA Grapalat" w:cs="Calibri"/>
                <w:sz w:val="18"/>
                <w:szCs w:val="18"/>
              </w:rPr>
              <w:t xml:space="preserve"> </w:t>
            </w:r>
            <w:r w:rsidRPr="00C921DE">
              <w:rPr>
                <w:rFonts w:ascii="GHEA Grapalat" w:hAnsi="GHEA Grapalat" w:cs="Calibri"/>
                <w:sz w:val="18"/>
                <w:szCs w:val="18"/>
              </w:rPr>
              <w:t>մշակում, ծրագրերի համակարգում, խորհրդատվության և մոնիտորինգի իրականացում</w:t>
            </w:r>
          </w:p>
        </w:tc>
        <w:tc>
          <w:tcPr>
            <w:tcW w:w="1272" w:type="dxa"/>
            <w:vAlign w:val="bottom"/>
          </w:tcPr>
          <w:p w14:paraId="3068CE73" w14:textId="77777777" w:rsidR="00A93642" w:rsidRPr="00C921DE" w:rsidRDefault="00491A4F" w:rsidP="00866CDC">
            <w:pPr>
              <w:jc w:val="right"/>
              <w:rPr>
                <w:rFonts w:ascii="GHEA Grapalat" w:hAnsi="GHEA Grapalat" w:cs="Calibri"/>
                <w:sz w:val="18"/>
                <w:szCs w:val="18"/>
                <w:lang w:val="en-US"/>
              </w:rPr>
            </w:pPr>
            <w:r w:rsidRPr="00C921DE">
              <w:rPr>
                <w:rFonts w:ascii="GHEA Grapalat" w:hAnsi="GHEA Grapalat" w:cs="Calibri"/>
                <w:sz w:val="18"/>
                <w:szCs w:val="18"/>
                <w:lang w:val="en-US"/>
              </w:rPr>
              <w:t>1,969.2</w:t>
            </w:r>
          </w:p>
        </w:tc>
        <w:tc>
          <w:tcPr>
            <w:tcW w:w="951" w:type="dxa"/>
            <w:vAlign w:val="bottom"/>
          </w:tcPr>
          <w:p w14:paraId="3FC4D9EF" w14:textId="77777777" w:rsidR="00A93642" w:rsidRPr="00C921DE" w:rsidRDefault="00410BB9" w:rsidP="00866CDC">
            <w:pPr>
              <w:jc w:val="right"/>
              <w:rPr>
                <w:rFonts w:ascii="GHEA Grapalat" w:hAnsi="GHEA Grapalat" w:cs="Calibri"/>
                <w:sz w:val="18"/>
                <w:szCs w:val="18"/>
                <w:lang w:val="en-US"/>
              </w:rPr>
            </w:pPr>
            <w:r w:rsidRPr="00C921DE">
              <w:rPr>
                <w:rFonts w:ascii="GHEA Grapalat" w:hAnsi="GHEA Grapalat" w:cs="Calibri"/>
                <w:sz w:val="18"/>
                <w:szCs w:val="18"/>
                <w:lang w:val="en-US"/>
              </w:rPr>
              <w:t>2,393.1</w:t>
            </w:r>
          </w:p>
        </w:tc>
        <w:tc>
          <w:tcPr>
            <w:tcW w:w="954" w:type="dxa"/>
            <w:vAlign w:val="bottom"/>
          </w:tcPr>
          <w:p w14:paraId="7DE97C96" w14:textId="77777777" w:rsidR="00A93642"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2,384.8</w:t>
            </w:r>
          </w:p>
        </w:tc>
        <w:tc>
          <w:tcPr>
            <w:tcW w:w="1203" w:type="dxa"/>
            <w:vAlign w:val="bottom"/>
          </w:tcPr>
          <w:p w14:paraId="015D93BC" w14:textId="77777777" w:rsidR="00A93642"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99.7</w:t>
            </w:r>
          </w:p>
        </w:tc>
        <w:tc>
          <w:tcPr>
            <w:tcW w:w="1203" w:type="dxa"/>
            <w:vAlign w:val="bottom"/>
          </w:tcPr>
          <w:p w14:paraId="7DF955E8" w14:textId="77777777" w:rsidR="00A93642" w:rsidRPr="00C921DE" w:rsidRDefault="00253824" w:rsidP="00866CDC">
            <w:pPr>
              <w:jc w:val="right"/>
              <w:rPr>
                <w:rFonts w:ascii="GHEA Grapalat" w:hAnsi="GHEA Grapalat" w:cs="Calibri"/>
                <w:sz w:val="18"/>
                <w:szCs w:val="18"/>
                <w:lang w:val="en-US"/>
              </w:rPr>
            </w:pPr>
            <w:r w:rsidRPr="00C921DE">
              <w:rPr>
                <w:rFonts w:ascii="GHEA Grapalat" w:hAnsi="GHEA Grapalat" w:cs="Calibri"/>
                <w:sz w:val="18"/>
                <w:szCs w:val="18"/>
                <w:lang w:val="en-US"/>
              </w:rPr>
              <w:t>121.1</w:t>
            </w:r>
          </w:p>
        </w:tc>
        <w:tc>
          <w:tcPr>
            <w:tcW w:w="1048" w:type="dxa"/>
            <w:vAlign w:val="bottom"/>
          </w:tcPr>
          <w:p w14:paraId="6161917A" w14:textId="77777777" w:rsidR="00A93642" w:rsidRPr="00C921DE" w:rsidRDefault="00253824" w:rsidP="00866CDC">
            <w:pPr>
              <w:jc w:val="right"/>
              <w:rPr>
                <w:rFonts w:ascii="GHEA Grapalat" w:hAnsi="GHEA Grapalat" w:cs="Calibri"/>
                <w:sz w:val="18"/>
                <w:szCs w:val="18"/>
                <w:lang w:val="en-US"/>
              </w:rPr>
            </w:pPr>
            <w:r w:rsidRPr="00C921DE">
              <w:rPr>
                <w:rFonts w:ascii="GHEA Grapalat" w:hAnsi="GHEA Grapalat" w:cs="Calibri"/>
                <w:sz w:val="18"/>
                <w:szCs w:val="18"/>
                <w:lang w:val="en-US"/>
              </w:rPr>
              <w:t>415.6</w:t>
            </w:r>
          </w:p>
        </w:tc>
      </w:tr>
      <w:tr w:rsidR="00A93642" w:rsidRPr="00C921DE" w14:paraId="4C089C06" w14:textId="77777777" w:rsidTr="00A93642">
        <w:trPr>
          <w:trHeight w:val="300"/>
          <w:jc w:val="center"/>
        </w:trPr>
        <w:tc>
          <w:tcPr>
            <w:tcW w:w="3823" w:type="dxa"/>
            <w:vAlign w:val="bottom"/>
          </w:tcPr>
          <w:p w14:paraId="447A4283" w14:textId="77777777" w:rsidR="00A93642" w:rsidRPr="00C921DE" w:rsidRDefault="00A93642" w:rsidP="00866CDC">
            <w:pPr>
              <w:rPr>
                <w:rFonts w:ascii="GHEA Grapalat" w:hAnsi="GHEA Grapalat" w:cs="Calibri"/>
                <w:sz w:val="18"/>
                <w:szCs w:val="18"/>
              </w:rPr>
            </w:pPr>
            <w:r w:rsidRPr="00C921DE">
              <w:rPr>
                <w:rFonts w:ascii="GHEA Grapalat" w:hAnsi="GHEA Grapalat" w:cs="Calibri"/>
                <w:sz w:val="18"/>
                <w:szCs w:val="18"/>
              </w:rPr>
              <w:t>Դատական և հանրային պաշտպանություն</w:t>
            </w:r>
          </w:p>
        </w:tc>
        <w:tc>
          <w:tcPr>
            <w:tcW w:w="1272" w:type="dxa"/>
            <w:vAlign w:val="bottom"/>
          </w:tcPr>
          <w:p w14:paraId="2156640C" w14:textId="77777777" w:rsidR="00A93642" w:rsidRPr="00C921DE" w:rsidRDefault="00491A4F" w:rsidP="00866CDC">
            <w:pPr>
              <w:jc w:val="right"/>
              <w:rPr>
                <w:rFonts w:ascii="GHEA Grapalat" w:hAnsi="GHEA Grapalat" w:cs="Calibri"/>
                <w:sz w:val="18"/>
                <w:szCs w:val="18"/>
                <w:lang w:val="en-US"/>
              </w:rPr>
            </w:pPr>
            <w:r w:rsidRPr="00C921DE">
              <w:rPr>
                <w:rFonts w:ascii="GHEA Grapalat" w:hAnsi="GHEA Grapalat" w:cs="Calibri"/>
                <w:sz w:val="18"/>
                <w:szCs w:val="18"/>
                <w:lang w:val="en-US"/>
              </w:rPr>
              <w:t>1,596.2</w:t>
            </w:r>
          </w:p>
        </w:tc>
        <w:tc>
          <w:tcPr>
            <w:tcW w:w="951" w:type="dxa"/>
            <w:vAlign w:val="bottom"/>
          </w:tcPr>
          <w:p w14:paraId="0A48ECA4" w14:textId="77777777" w:rsidR="00A93642" w:rsidRPr="00C921DE" w:rsidRDefault="00410BB9" w:rsidP="00866CDC">
            <w:pPr>
              <w:jc w:val="right"/>
              <w:rPr>
                <w:rFonts w:ascii="GHEA Grapalat" w:hAnsi="GHEA Grapalat" w:cs="Calibri"/>
                <w:sz w:val="18"/>
                <w:szCs w:val="18"/>
                <w:lang w:val="en-US"/>
              </w:rPr>
            </w:pPr>
            <w:r w:rsidRPr="00C921DE">
              <w:rPr>
                <w:rFonts w:ascii="GHEA Grapalat" w:hAnsi="GHEA Grapalat" w:cs="Calibri"/>
                <w:sz w:val="18"/>
                <w:szCs w:val="18"/>
                <w:lang w:val="en-US"/>
              </w:rPr>
              <w:t>2,239.3</w:t>
            </w:r>
          </w:p>
        </w:tc>
        <w:tc>
          <w:tcPr>
            <w:tcW w:w="954" w:type="dxa"/>
            <w:vAlign w:val="bottom"/>
          </w:tcPr>
          <w:p w14:paraId="2AAAFF9C" w14:textId="77777777" w:rsidR="00A93642"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2,234.1</w:t>
            </w:r>
          </w:p>
        </w:tc>
        <w:tc>
          <w:tcPr>
            <w:tcW w:w="1203" w:type="dxa"/>
            <w:vAlign w:val="bottom"/>
          </w:tcPr>
          <w:p w14:paraId="7D1CC7B4" w14:textId="77777777" w:rsidR="00A93642"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99.8</w:t>
            </w:r>
          </w:p>
        </w:tc>
        <w:tc>
          <w:tcPr>
            <w:tcW w:w="1203" w:type="dxa"/>
            <w:vAlign w:val="bottom"/>
          </w:tcPr>
          <w:p w14:paraId="542641E5" w14:textId="77777777" w:rsidR="00A93642" w:rsidRPr="00C921DE" w:rsidRDefault="00253824" w:rsidP="00866CDC">
            <w:pPr>
              <w:jc w:val="right"/>
              <w:rPr>
                <w:rFonts w:ascii="GHEA Grapalat" w:hAnsi="GHEA Grapalat" w:cs="Calibri"/>
                <w:sz w:val="18"/>
                <w:szCs w:val="18"/>
                <w:lang w:val="en-US"/>
              </w:rPr>
            </w:pPr>
            <w:r w:rsidRPr="00C921DE">
              <w:rPr>
                <w:rFonts w:ascii="GHEA Grapalat" w:hAnsi="GHEA Grapalat" w:cs="Calibri"/>
                <w:sz w:val="18"/>
                <w:szCs w:val="18"/>
                <w:lang w:val="en-US"/>
              </w:rPr>
              <w:t>140.0</w:t>
            </w:r>
          </w:p>
        </w:tc>
        <w:tc>
          <w:tcPr>
            <w:tcW w:w="1048" w:type="dxa"/>
            <w:vAlign w:val="bottom"/>
          </w:tcPr>
          <w:p w14:paraId="5ABAD19F" w14:textId="77777777" w:rsidR="00A93642" w:rsidRPr="00C921DE" w:rsidRDefault="00253824" w:rsidP="00866CDC">
            <w:pPr>
              <w:jc w:val="right"/>
              <w:rPr>
                <w:rFonts w:ascii="GHEA Grapalat" w:hAnsi="GHEA Grapalat" w:cs="Calibri"/>
                <w:sz w:val="18"/>
                <w:szCs w:val="18"/>
                <w:lang w:val="en-US"/>
              </w:rPr>
            </w:pPr>
            <w:r w:rsidRPr="00C921DE">
              <w:rPr>
                <w:rFonts w:ascii="GHEA Grapalat" w:hAnsi="GHEA Grapalat" w:cs="Calibri"/>
                <w:sz w:val="18"/>
                <w:szCs w:val="18"/>
                <w:lang w:val="en-US"/>
              </w:rPr>
              <w:t>637.9</w:t>
            </w:r>
          </w:p>
        </w:tc>
      </w:tr>
      <w:tr w:rsidR="005125AD" w:rsidRPr="00C921DE" w14:paraId="3D03B3D5" w14:textId="77777777" w:rsidTr="00A93642">
        <w:trPr>
          <w:trHeight w:val="300"/>
          <w:jc w:val="center"/>
        </w:trPr>
        <w:tc>
          <w:tcPr>
            <w:tcW w:w="3823" w:type="dxa"/>
            <w:vAlign w:val="bottom"/>
          </w:tcPr>
          <w:p w14:paraId="0156752A" w14:textId="77777777" w:rsidR="005125AD" w:rsidRPr="00C921DE" w:rsidRDefault="005125AD" w:rsidP="00866CDC">
            <w:pPr>
              <w:rPr>
                <w:rFonts w:ascii="GHEA Grapalat" w:hAnsi="GHEA Grapalat" w:cs="Calibri"/>
                <w:sz w:val="18"/>
                <w:szCs w:val="18"/>
              </w:rPr>
            </w:pPr>
            <w:r w:rsidRPr="00C921DE">
              <w:rPr>
                <w:rFonts w:ascii="GHEA Grapalat" w:hAnsi="GHEA Grapalat" w:cs="Calibri"/>
                <w:sz w:val="18"/>
                <w:szCs w:val="18"/>
              </w:rPr>
              <w:t>Քրեակատարողական ծառայություններ</w:t>
            </w:r>
          </w:p>
        </w:tc>
        <w:tc>
          <w:tcPr>
            <w:tcW w:w="1272" w:type="dxa"/>
            <w:vAlign w:val="bottom"/>
          </w:tcPr>
          <w:p w14:paraId="6CD97DB5"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14,011.7</w:t>
            </w:r>
          </w:p>
        </w:tc>
        <w:tc>
          <w:tcPr>
            <w:tcW w:w="951" w:type="dxa"/>
            <w:vAlign w:val="bottom"/>
          </w:tcPr>
          <w:p w14:paraId="6EB88476"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14,440.7</w:t>
            </w:r>
          </w:p>
        </w:tc>
        <w:tc>
          <w:tcPr>
            <w:tcW w:w="954" w:type="dxa"/>
            <w:vAlign w:val="bottom"/>
          </w:tcPr>
          <w:p w14:paraId="37BE840D"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14,353.3</w:t>
            </w:r>
          </w:p>
        </w:tc>
        <w:tc>
          <w:tcPr>
            <w:tcW w:w="1203" w:type="dxa"/>
            <w:vAlign w:val="bottom"/>
          </w:tcPr>
          <w:p w14:paraId="22DCB0D4"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99.4</w:t>
            </w:r>
          </w:p>
        </w:tc>
        <w:tc>
          <w:tcPr>
            <w:tcW w:w="1203" w:type="dxa"/>
            <w:vAlign w:val="bottom"/>
          </w:tcPr>
          <w:p w14:paraId="07788126"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102.4</w:t>
            </w:r>
          </w:p>
        </w:tc>
        <w:tc>
          <w:tcPr>
            <w:tcW w:w="1048" w:type="dxa"/>
            <w:vAlign w:val="bottom"/>
          </w:tcPr>
          <w:p w14:paraId="34FF30E6"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341.6</w:t>
            </w:r>
          </w:p>
        </w:tc>
      </w:tr>
      <w:tr w:rsidR="005125AD" w:rsidRPr="00C921DE" w14:paraId="36033A8A" w14:textId="77777777" w:rsidTr="00A93642">
        <w:trPr>
          <w:trHeight w:val="300"/>
          <w:jc w:val="center"/>
        </w:trPr>
        <w:tc>
          <w:tcPr>
            <w:tcW w:w="3823" w:type="dxa"/>
            <w:vAlign w:val="bottom"/>
          </w:tcPr>
          <w:p w14:paraId="5216C8C5" w14:textId="77777777" w:rsidR="005125AD" w:rsidRPr="00C921DE" w:rsidRDefault="005125AD" w:rsidP="00866CDC">
            <w:pPr>
              <w:rPr>
                <w:rFonts w:ascii="GHEA Grapalat" w:hAnsi="GHEA Grapalat" w:cs="Calibri"/>
                <w:sz w:val="18"/>
                <w:szCs w:val="18"/>
              </w:rPr>
            </w:pPr>
            <w:r w:rsidRPr="00C921DE">
              <w:rPr>
                <w:rFonts w:ascii="GHEA Grapalat" w:hAnsi="GHEA Grapalat" w:cs="Calibri"/>
                <w:sz w:val="18"/>
                <w:szCs w:val="18"/>
              </w:rPr>
              <w:t>Հարկադիր կատարման ծառայություններ</w:t>
            </w:r>
          </w:p>
        </w:tc>
        <w:tc>
          <w:tcPr>
            <w:tcW w:w="1272" w:type="dxa"/>
            <w:vAlign w:val="bottom"/>
          </w:tcPr>
          <w:p w14:paraId="4F2117F7" w14:textId="77777777" w:rsidR="005125AD" w:rsidRPr="00C921DE" w:rsidRDefault="005125AD" w:rsidP="00866CDC">
            <w:pPr>
              <w:jc w:val="right"/>
              <w:rPr>
                <w:rFonts w:ascii="GHEA Grapalat" w:hAnsi="GHEA Grapalat" w:cs="Calibri"/>
                <w:sz w:val="18"/>
                <w:szCs w:val="18"/>
              </w:rPr>
            </w:pPr>
            <w:r w:rsidRPr="00C921DE">
              <w:rPr>
                <w:rFonts w:ascii="GHEA Grapalat" w:hAnsi="GHEA Grapalat" w:cs="Calibri"/>
                <w:sz w:val="18"/>
                <w:szCs w:val="18"/>
                <w:lang w:val="en-US"/>
              </w:rPr>
              <w:t>3,505.4</w:t>
            </w:r>
            <w:r w:rsidRPr="00C921DE">
              <w:rPr>
                <w:rFonts w:ascii="GHEA Grapalat" w:hAnsi="GHEA Grapalat" w:cs="Calibri"/>
                <w:sz w:val="18"/>
                <w:szCs w:val="18"/>
              </w:rPr>
              <w:t xml:space="preserve"> </w:t>
            </w:r>
          </w:p>
        </w:tc>
        <w:tc>
          <w:tcPr>
            <w:tcW w:w="951" w:type="dxa"/>
            <w:vAlign w:val="bottom"/>
          </w:tcPr>
          <w:p w14:paraId="43A135DF"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3,754.8</w:t>
            </w:r>
          </w:p>
        </w:tc>
        <w:tc>
          <w:tcPr>
            <w:tcW w:w="954" w:type="dxa"/>
            <w:vAlign w:val="bottom"/>
          </w:tcPr>
          <w:p w14:paraId="1A9C8F5F" w14:textId="77777777" w:rsidR="005125AD" w:rsidRPr="00C921DE" w:rsidRDefault="005125AD" w:rsidP="00866CDC">
            <w:pPr>
              <w:jc w:val="right"/>
              <w:rPr>
                <w:rFonts w:ascii="GHEA Grapalat" w:hAnsi="GHEA Grapalat" w:cs="Calibri"/>
                <w:sz w:val="18"/>
                <w:szCs w:val="18"/>
              </w:rPr>
            </w:pPr>
            <w:r w:rsidRPr="00C921DE">
              <w:rPr>
                <w:rFonts w:ascii="GHEA Grapalat" w:hAnsi="GHEA Grapalat" w:cs="Calibri"/>
                <w:sz w:val="18"/>
                <w:szCs w:val="18"/>
                <w:lang w:val="en-US"/>
              </w:rPr>
              <w:t>3,749.7</w:t>
            </w:r>
            <w:r w:rsidRPr="00C921DE">
              <w:rPr>
                <w:rFonts w:ascii="GHEA Grapalat" w:hAnsi="GHEA Grapalat" w:cs="Calibri"/>
                <w:sz w:val="18"/>
                <w:szCs w:val="18"/>
              </w:rPr>
              <w:t xml:space="preserve"> </w:t>
            </w:r>
          </w:p>
        </w:tc>
        <w:tc>
          <w:tcPr>
            <w:tcW w:w="1203" w:type="dxa"/>
            <w:vAlign w:val="bottom"/>
          </w:tcPr>
          <w:p w14:paraId="0334DD72"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99.9</w:t>
            </w:r>
          </w:p>
        </w:tc>
        <w:tc>
          <w:tcPr>
            <w:tcW w:w="1203" w:type="dxa"/>
            <w:vAlign w:val="bottom"/>
          </w:tcPr>
          <w:p w14:paraId="1E201F28"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107.0</w:t>
            </w:r>
          </w:p>
        </w:tc>
        <w:tc>
          <w:tcPr>
            <w:tcW w:w="1048" w:type="dxa"/>
            <w:vAlign w:val="bottom"/>
          </w:tcPr>
          <w:p w14:paraId="5157F29C" w14:textId="77777777" w:rsidR="005125AD" w:rsidRPr="00C921DE" w:rsidRDefault="005125AD" w:rsidP="00866CDC">
            <w:pPr>
              <w:jc w:val="right"/>
              <w:rPr>
                <w:rFonts w:ascii="GHEA Grapalat" w:hAnsi="GHEA Grapalat" w:cs="Calibri"/>
                <w:sz w:val="18"/>
                <w:szCs w:val="18"/>
                <w:lang w:val="en-US"/>
              </w:rPr>
            </w:pPr>
            <w:r w:rsidRPr="00C921DE">
              <w:rPr>
                <w:rFonts w:ascii="GHEA Grapalat" w:hAnsi="GHEA Grapalat" w:cs="Calibri"/>
                <w:sz w:val="18"/>
                <w:szCs w:val="18"/>
                <w:lang w:val="en-US"/>
              </w:rPr>
              <w:t>244.4</w:t>
            </w:r>
          </w:p>
        </w:tc>
      </w:tr>
      <w:tr w:rsidR="005125AD" w:rsidRPr="00C921DE" w14:paraId="0A9259A0" w14:textId="77777777" w:rsidTr="00A93642">
        <w:trPr>
          <w:trHeight w:val="300"/>
          <w:jc w:val="center"/>
        </w:trPr>
        <w:tc>
          <w:tcPr>
            <w:tcW w:w="3823" w:type="dxa"/>
            <w:vAlign w:val="bottom"/>
          </w:tcPr>
          <w:p w14:paraId="34E9A13E" w14:textId="77777777" w:rsidR="005125AD" w:rsidRPr="00C921DE" w:rsidRDefault="005125AD" w:rsidP="00866CDC">
            <w:pPr>
              <w:rPr>
                <w:rFonts w:ascii="GHEA Grapalat" w:hAnsi="GHEA Grapalat" w:cs="Calibri"/>
                <w:sz w:val="18"/>
                <w:szCs w:val="18"/>
              </w:rPr>
            </w:pPr>
            <w:r w:rsidRPr="00C921DE">
              <w:rPr>
                <w:rFonts w:ascii="GHEA Grapalat" w:hAnsi="GHEA Grapalat" w:cs="Calibri"/>
                <w:sz w:val="18"/>
                <w:szCs w:val="18"/>
              </w:rPr>
              <w:t>Այլ ծրագրեր</w:t>
            </w:r>
          </w:p>
        </w:tc>
        <w:tc>
          <w:tcPr>
            <w:tcW w:w="1272" w:type="dxa"/>
            <w:vAlign w:val="bottom"/>
          </w:tcPr>
          <w:p w14:paraId="01DB8A97" w14:textId="77777777" w:rsidR="005125AD" w:rsidRPr="00C921DE" w:rsidRDefault="00410BB9" w:rsidP="00866CDC">
            <w:pPr>
              <w:jc w:val="right"/>
              <w:rPr>
                <w:rFonts w:ascii="GHEA Grapalat" w:hAnsi="GHEA Grapalat" w:cs="Calibri"/>
                <w:sz w:val="18"/>
                <w:szCs w:val="18"/>
                <w:lang w:val="en-US"/>
              </w:rPr>
            </w:pPr>
            <w:r w:rsidRPr="00C921DE">
              <w:rPr>
                <w:rFonts w:ascii="GHEA Grapalat" w:hAnsi="GHEA Grapalat" w:cs="Calibri"/>
                <w:sz w:val="18"/>
                <w:szCs w:val="18"/>
                <w:lang w:val="en-US"/>
              </w:rPr>
              <w:t>2,698.7</w:t>
            </w:r>
          </w:p>
        </w:tc>
        <w:tc>
          <w:tcPr>
            <w:tcW w:w="951" w:type="dxa"/>
            <w:vAlign w:val="bottom"/>
          </w:tcPr>
          <w:p w14:paraId="5E6065C5" w14:textId="77777777" w:rsidR="005125AD"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2,653.2</w:t>
            </w:r>
          </w:p>
        </w:tc>
        <w:tc>
          <w:tcPr>
            <w:tcW w:w="954" w:type="dxa"/>
            <w:vAlign w:val="bottom"/>
          </w:tcPr>
          <w:p w14:paraId="332D2923" w14:textId="77777777" w:rsidR="005125AD"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2,615.6</w:t>
            </w:r>
          </w:p>
        </w:tc>
        <w:tc>
          <w:tcPr>
            <w:tcW w:w="1203" w:type="dxa"/>
            <w:vAlign w:val="bottom"/>
          </w:tcPr>
          <w:p w14:paraId="668FE3C7" w14:textId="77777777" w:rsidR="005125AD" w:rsidRPr="00C921DE" w:rsidRDefault="00FB3F38" w:rsidP="00866CDC">
            <w:pPr>
              <w:jc w:val="right"/>
              <w:rPr>
                <w:rFonts w:ascii="GHEA Grapalat" w:hAnsi="GHEA Grapalat" w:cs="Calibri"/>
                <w:sz w:val="18"/>
                <w:szCs w:val="18"/>
                <w:lang w:val="en-US"/>
              </w:rPr>
            </w:pPr>
            <w:r w:rsidRPr="00C921DE">
              <w:rPr>
                <w:rFonts w:ascii="GHEA Grapalat" w:hAnsi="GHEA Grapalat" w:cs="Calibri"/>
                <w:sz w:val="18"/>
                <w:szCs w:val="18"/>
                <w:lang w:val="en-US"/>
              </w:rPr>
              <w:t>98.6</w:t>
            </w:r>
          </w:p>
        </w:tc>
        <w:tc>
          <w:tcPr>
            <w:tcW w:w="1203" w:type="dxa"/>
            <w:vAlign w:val="bottom"/>
          </w:tcPr>
          <w:p w14:paraId="39222EBF" w14:textId="77777777" w:rsidR="005125AD" w:rsidRPr="00C921DE" w:rsidRDefault="00253824" w:rsidP="00866CDC">
            <w:pPr>
              <w:jc w:val="right"/>
              <w:rPr>
                <w:rFonts w:ascii="GHEA Grapalat" w:hAnsi="GHEA Grapalat" w:cs="Calibri"/>
                <w:sz w:val="18"/>
                <w:szCs w:val="18"/>
                <w:lang w:val="en-US"/>
              </w:rPr>
            </w:pPr>
            <w:r w:rsidRPr="00C921DE">
              <w:rPr>
                <w:rFonts w:ascii="GHEA Grapalat" w:hAnsi="GHEA Grapalat" w:cs="Calibri"/>
                <w:sz w:val="18"/>
                <w:szCs w:val="18"/>
                <w:lang w:val="en-US"/>
              </w:rPr>
              <w:t>96.9</w:t>
            </w:r>
          </w:p>
        </w:tc>
        <w:tc>
          <w:tcPr>
            <w:tcW w:w="1048" w:type="dxa"/>
            <w:vAlign w:val="bottom"/>
          </w:tcPr>
          <w:p w14:paraId="6F682CFA" w14:textId="77777777" w:rsidR="005125AD" w:rsidRPr="00C921DE" w:rsidRDefault="00253824" w:rsidP="00866CDC">
            <w:pPr>
              <w:jc w:val="right"/>
              <w:rPr>
                <w:rFonts w:ascii="GHEA Grapalat" w:hAnsi="GHEA Grapalat" w:cs="Calibri"/>
                <w:sz w:val="18"/>
                <w:szCs w:val="18"/>
                <w:lang w:val="en-US"/>
              </w:rPr>
            </w:pPr>
            <w:r w:rsidRPr="00C921DE">
              <w:rPr>
                <w:rFonts w:ascii="GHEA Grapalat" w:hAnsi="GHEA Grapalat" w:cs="Calibri"/>
                <w:sz w:val="18"/>
                <w:szCs w:val="18"/>
                <w:lang w:val="en-US"/>
              </w:rPr>
              <w:t>(83.1)</w:t>
            </w:r>
          </w:p>
        </w:tc>
      </w:tr>
    </w:tbl>
    <w:p w14:paraId="2B850AB2" w14:textId="77777777" w:rsidR="005125AD" w:rsidRPr="00C921DE" w:rsidRDefault="005125AD" w:rsidP="00A605DF">
      <w:pPr>
        <w:autoSpaceDE w:val="0"/>
        <w:autoSpaceDN w:val="0"/>
        <w:adjustRightInd w:val="0"/>
        <w:ind w:firstLine="567"/>
        <w:jc w:val="both"/>
        <w:rPr>
          <w:rFonts w:ascii="GHEA Grapalat" w:hAnsi="GHEA Grapalat" w:cs="GHEA Grapalat"/>
          <w:sz w:val="22"/>
          <w:szCs w:val="22"/>
        </w:rPr>
      </w:pPr>
    </w:p>
    <w:p w14:paraId="29F811A7" w14:textId="22127BC4" w:rsidR="00EA4D41" w:rsidRPr="00C921DE" w:rsidRDefault="00EA4D41" w:rsidP="00EA4D41">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Արդարադատության ոլորտում քաղաքականության մշակման, ծրագրերի համակարգման, խորհրդատվություն և մոնիտորինգի իրականացման</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ծրագրի շրջանակներո</w:t>
      </w:r>
      <w:r w:rsidR="000C5836" w:rsidRPr="00C921DE">
        <w:rPr>
          <w:rFonts w:ascii="GHEA Grapalat" w:hAnsi="GHEA Grapalat" w:cs="GHEA Grapalat"/>
          <w:sz w:val="22"/>
          <w:szCs w:val="22"/>
          <w:lang w:val="en-US"/>
        </w:rPr>
        <w:t>ւ</w:t>
      </w:r>
      <w:r w:rsidRPr="00C921DE">
        <w:rPr>
          <w:rFonts w:ascii="GHEA Grapalat" w:hAnsi="GHEA Grapalat" w:cs="GHEA Grapalat"/>
          <w:sz w:val="22"/>
          <w:szCs w:val="22"/>
          <w:lang w:val="en-US"/>
        </w:rPr>
        <w:t>մ</w:t>
      </w:r>
      <w:r w:rsidRPr="00C921DE">
        <w:rPr>
          <w:rFonts w:ascii="GHEA Grapalat" w:hAnsi="GHEA Grapalat" w:cs="GHEA Grapalat"/>
          <w:sz w:val="22"/>
          <w:szCs w:val="22"/>
        </w:rPr>
        <w:t xml:space="preserve"> 2023 թվականին </w:t>
      </w:r>
      <w:r w:rsidRPr="00C921DE">
        <w:rPr>
          <w:rFonts w:ascii="GHEA Grapalat" w:hAnsi="GHEA Grapalat" w:cs="GHEA Grapalat"/>
          <w:sz w:val="22"/>
          <w:szCs w:val="22"/>
          <w:lang w:val="en-US"/>
        </w:rPr>
        <w:lastRenderedPageBreak/>
        <w:t>օգտագործ</w:t>
      </w:r>
      <w:r w:rsidRPr="00C921DE">
        <w:rPr>
          <w:rFonts w:ascii="GHEA Grapalat" w:hAnsi="GHEA Grapalat" w:cs="GHEA Grapalat"/>
          <w:sz w:val="22"/>
          <w:szCs w:val="22"/>
        </w:rPr>
        <w:t>վել է 2.4 մլրդ դրամ՝ 99.7%-ով</w:t>
      </w:r>
      <w:r w:rsidRPr="00C921DE">
        <w:rPr>
          <w:rFonts w:ascii="GHEA Grapalat" w:hAnsi="GHEA Grapalat" w:cs="GHEA Grapalat"/>
          <w:sz w:val="22"/>
          <w:szCs w:val="22"/>
          <w:lang w:val="en-US"/>
        </w:rPr>
        <w:t xml:space="preserve"> ապահովելով</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ծրագր</w:t>
      </w:r>
      <w:r w:rsidRPr="00C921DE">
        <w:rPr>
          <w:rFonts w:ascii="GHEA Grapalat" w:hAnsi="GHEA Grapalat" w:cs="GHEA Grapalat"/>
          <w:sz w:val="22"/>
          <w:szCs w:val="22"/>
        </w:rPr>
        <w:t xml:space="preserve">ված ցուցանիշը: Նախորդ տարվա համեմատ ծրագրի ծախսերն աճել են </w:t>
      </w:r>
      <w:r w:rsidR="00595E6F" w:rsidRPr="00C921DE">
        <w:rPr>
          <w:rFonts w:ascii="GHEA Grapalat" w:hAnsi="GHEA Grapalat" w:cs="GHEA Grapalat"/>
          <w:sz w:val="22"/>
          <w:szCs w:val="22"/>
          <w:lang w:val="en-US"/>
        </w:rPr>
        <w:t xml:space="preserve">21.1%-ով կամ </w:t>
      </w:r>
      <w:r w:rsidRPr="00C921DE">
        <w:rPr>
          <w:rFonts w:ascii="GHEA Grapalat" w:hAnsi="GHEA Grapalat" w:cs="GHEA Grapalat"/>
          <w:sz w:val="22"/>
          <w:szCs w:val="22"/>
        </w:rPr>
        <w:t xml:space="preserve">415.6 մլն դրամով՝ հիմնականում պայմանավորված </w:t>
      </w:r>
      <w:r w:rsidR="00595E6F" w:rsidRPr="00C921DE">
        <w:rPr>
          <w:rFonts w:ascii="GHEA Grapalat" w:hAnsi="GHEA Grapalat" w:cs="GHEA Grapalat"/>
          <w:sz w:val="22"/>
          <w:szCs w:val="22"/>
          <w:lang w:val="en-US"/>
        </w:rPr>
        <w:t xml:space="preserve">ՀՀ արդարադատության նախարարությունում </w:t>
      </w:r>
      <w:r w:rsidRPr="00C921DE">
        <w:rPr>
          <w:rFonts w:ascii="GHEA Grapalat" w:hAnsi="GHEA Grapalat" w:cs="GHEA Grapalat"/>
          <w:sz w:val="22"/>
          <w:szCs w:val="22"/>
        </w:rPr>
        <w:t>հաստիքային միավորների ավել</w:t>
      </w:r>
      <w:r w:rsidR="00595E6F" w:rsidRPr="00C921DE">
        <w:rPr>
          <w:rFonts w:ascii="GHEA Grapalat" w:hAnsi="GHEA Grapalat" w:cs="GHEA Grapalat"/>
          <w:sz w:val="22"/>
          <w:szCs w:val="22"/>
          <w:lang w:val="en-US"/>
        </w:rPr>
        <w:t>ա</w:t>
      </w:r>
      <w:r w:rsidRPr="00C921DE">
        <w:rPr>
          <w:rFonts w:ascii="GHEA Grapalat" w:hAnsi="GHEA Grapalat" w:cs="GHEA Grapalat"/>
          <w:sz w:val="22"/>
          <w:szCs w:val="22"/>
        </w:rPr>
        <w:t>ցմա</w:t>
      </w:r>
      <w:r w:rsidR="00595E6F" w:rsidRPr="00C921DE">
        <w:rPr>
          <w:rFonts w:ascii="GHEA Grapalat" w:hAnsi="GHEA Grapalat" w:cs="GHEA Grapalat"/>
          <w:sz w:val="22"/>
          <w:szCs w:val="22"/>
          <w:lang w:val="en-US"/>
        </w:rPr>
        <w:t>մբ և</w:t>
      </w:r>
      <w:r w:rsidRPr="00C921DE">
        <w:rPr>
          <w:rFonts w:ascii="GHEA Grapalat" w:hAnsi="GHEA Grapalat" w:cs="GHEA Grapalat"/>
          <w:sz w:val="22"/>
          <w:szCs w:val="22"/>
        </w:rPr>
        <w:t xml:space="preserve"> բազային դրու</w:t>
      </w:r>
      <w:r w:rsidR="000C5836" w:rsidRPr="00C921DE">
        <w:rPr>
          <w:rFonts w:ascii="GHEA Grapalat" w:hAnsi="GHEA Grapalat" w:cs="GHEA Grapalat"/>
          <w:sz w:val="22"/>
          <w:szCs w:val="22"/>
          <w:lang w:val="en-US"/>
        </w:rPr>
        <w:t>յ</w:t>
      </w:r>
      <w:r w:rsidRPr="00C921DE">
        <w:rPr>
          <w:rFonts w:ascii="GHEA Grapalat" w:hAnsi="GHEA Grapalat" w:cs="GHEA Grapalat"/>
          <w:sz w:val="22"/>
          <w:szCs w:val="22"/>
        </w:rPr>
        <w:t xml:space="preserve">քաչափի փոփոխությամբ: Բացի </w:t>
      </w:r>
      <w:r w:rsidR="00595E6F" w:rsidRPr="00C921DE">
        <w:rPr>
          <w:rFonts w:ascii="GHEA Grapalat" w:hAnsi="GHEA Grapalat" w:cs="GHEA Grapalat"/>
          <w:sz w:val="22"/>
          <w:szCs w:val="22"/>
          <w:lang w:val="en-US"/>
        </w:rPr>
        <w:t>այդ,</w:t>
      </w:r>
      <w:r w:rsidRPr="00C921DE">
        <w:rPr>
          <w:rFonts w:ascii="GHEA Grapalat" w:hAnsi="GHEA Grapalat" w:cs="GHEA Grapalat"/>
          <w:sz w:val="22"/>
          <w:szCs w:val="22"/>
        </w:rPr>
        <w:t xml:space="preserve"> 2023 թվականին լրացուցիչ միջոցներ են հատկացվել Հայաստանում ստեղծվող արբիտրաժային նոր կենտրոնի նյութատեխնիկական, ներառյալ՝ շենքային պայմանների ապահովման նպատակով: </w:t>
      </w:r>
    </w:p>
    <w:p w14:paraId="2CC9F5FB" w14:textId="77777777" w:rsidR="00517121" w:rsidRPr="00C921DE" w:rsidRDefault="00517121" w:rsidP="00517121">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Դատական և հանրային պաշտպանության</w:t>
      </w:r>
      <w:r w:rsidRPr="00C921DE">
        <w:rPr>
          <w:rFonts w:ascii="GHEA Grapalat" w:hAnsi="GHEA Grapalat" w:cs="GHEA Grapalat"/>
          <w:sz w:val="22"/>
          <w:szCs w:val="22"/>
        </w:rPr>
        <w:t xml:space="preserve"> ծրագրին</w:t>
      </w:r>
      <w:r w:rsidR="00B0260C" w:rsidRPr="00C921DE">
        <w:rPr>
          <w:rFonts w:ascii="GHEA Grapalat" w:hAnsi="GHEA Grapalat" w:cs="GHEA Grapalat"/>
          <w:sz w:val="22"/>
          <w:szCs w:val="22"/>
          <w:lang w:val="en-US"/>
        </w:rPr>
        <w:t xml:space="preserve"> տրամադրվել է </w:t>
      </w:r>
      <w:r w:rsidR="00B0260C" w:rsidRPr="00C921DE">
        <w:rPr>
          <w:rFonts w:ascii="GHEA Grapalat" w:hAnsi="GHEA Grapalat" w:cs="GHEA Grapalat"/>
          <w:sz w:val="22"/>
          <w:szCs w:val="22"/>
        </w:rPr>
        <w:t>2.2 մլրդ դրամ,</w:t>
      </w:r>
      <w:r w:rsidRPr="00C921DE">
        <w:rPr>
          <w:rFonts w:ascii="GHEA Grapalat" w:hAnsi="GHEA Grapalat" w:cs="GHEA Grapalat"/>
          <w:sz w:val="22"/>
          <w:szCs w:val="22"/>
        </w:rPr>
        <w:t xml:space="preserve"> որը կատարվել է 99.8%-ով: Միջոցների զգալի մասը՝ ավելի քան 1.2 մլրդ դրամ ուղղվել է Փորձաքննությունների ծառայությունների տրամադրման միջոցառմանը՝ ապահովելով 100% կատարողական: </w:t>
      </w:r>
      <w:r w:rsidR="00B0260C" w:rsidRPr="00C921DE">
        <w:rPr>
          <w:rFonts w:ascii="GHEA Grapalat" w:hAnsi="GHEA Grapalat" w:cs="GHEA Grapalat"/>
          <w:sz w:val="22"/>
          <w:szCs w:val="22"/>
        </w:rPr>
        <w:t>Միջոցառման շրջանակներում կատարվել է 21169 փորձաքննություն՝</w:t>
      </w:r>
      <w:r w:rsidR="00B0260C" w:rsidRPr="00C921DE">
        <w:rPr>
          <w:rFonts w:ascii="GHEA Grapalat" w:hAnsi="GHEA Grapalat" w:cs="GHEA Grapalat"/>
          <w:sz w:val="22"/>
          <w:szCs w:val="22"/>
          <w:lang w:val="en-US"/>
        </w:rPr>
        <w:t xml:space="preserve"> կանխատեսված </w:t>
      </w:r>
      <w:r w:rsidR="000D229D" w:rsidRPr="00C921DE">
        <w:rPr>
          <w:rFonts w:ascii="GHEA Grapalat" w:hAnsi="GHEA Grapalat" w:cs="GHEA Grapalat"/>
          <w:sz w:val="22"/>
          <w:szCs w:val="22"/>
          <w:lang w:val="en-US"/>
        </w:rPr>
        <w:t>19433-ի և</w:t>
      </w:r>
      <w:r w:rsidR="00B0260C" w:rsidRPr="00C921DE">
        <w:rPr>
          <w:rFonts w:ascii="GHEA Grapalat" w:hAnsi="GHEA Grapalat" w:cs="GHEA Grapalat"/>
          <w:sz w:val="22"/>
          <w:szCs w:val="22"/>
        </w:rPr>
        <w:t xml:space="preserve"> նախորդ տարվա 10611-ի դիմաց:</w:t>
      </w:r>
      <w:r w:rsidR="00B0260C"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Պետական պատվերի շրջանակում իրականացվող փորձաքննությունների ծառայությունների մատուցվող ծավալը և գումար</w:t>
      </w:r>
      <w:r w:rsidR="000D229D"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ուղիղ համեմատական կախվածություն ունեն ինչպես կատարված հանցագործությունների քանակի</w:t>
      </w:r>
      <w:r w:rsidR="000D229D" w:rsidRPr="00C921DE">
        <w:rPr>
          <w:rFonts w:ascii="GHEA Grapalat" w:hAnsi="GHEA Grapalat" w:cs="GHEA Grapalat"/>
          <w:sz w:val="22"/>
          <w:szCs w:val="22"/>
          <w:lang w:val="en-US"/>
        </w:rPr>
        <w:t>ց</w:t>
      </w:r>
      <w:r w:rsidRPr="00C921DE">
        <w:rPr>
          <w:rFonts w:ascii="GHEA Grapalat" w:hAnsi="GHEA Grapalat" w:cs="GHEA Grapalat"/>
          <w:sz w:val="22"/>
          <w:szCs w:val="22"/>
        </w:rPr>
        <w:t>, այնպես էլ դրանց տեսակի</w:t>
      </w:r>
      <w:r w:rsidR="000D229D" w:rsidRPr="00C921DE">
        <w:rPr>
          <w:rFonts w:ascii="GHEA Grapalat" w:hAnsi="GHEA Grapalat" w:cs="GHEA Grapalat"/>
          <w:sz w:val="22"/>
          <w:szCs w:val="22"/>
          <w:lang w:val="en-US"/>
        </w:rPr>
        <w:t>ց</w:t>
      </w:r>
      <w:r w:rsidRPr="00C921DE">
        <w:rPr>
          <w:rFonts w:ascii="GHEA Grapalat" w:hAnsi="GHEA Grapalat" w:cs="GHEA Grapalat"/>
          <w:sz w:val="22"/>
          <w:szCs w:val="22"/>
        </w:rPr>
        <w:t xml:space="preserve">, ինչի պատճառով ծավալի ակնկալվող փոփոխությունը հնարավոր չէ ճշգրիտ կանխատեսել: Նախորդ տարվա համեմատ Դատական և հանրային պաշտպանության ծրագրի ծախսերն աճել են 40%-ով կամ 637.9 մլն դրամով՝ հիմնականում պայմանավորված Փորձաքննությունների ծառայությունների տրամադրման ծախսերի աճով, որոնք 72.5%-ով կամ </w:t>
      </w:r>
      <w:r w:rsidR="000D229D" w:rsidRPr="00C921DE">
        <w:rPr>
          <w:rFonts w:ascii="GHEA Grapalat" w:hAnsi="GHEA Grapalat" w:cs="GHEA Grapalat"/>
          <w:sz w:val="22"/>
          <w:szCs w:val="22"/>
        </w:rPr>
        <w:t>519</w:t>
      </w:r>
      <w:r w:rsidR="000D229D" w:rsidRPr="00C921DE">
        <w:rPr>
          <w:rFonts w:ascii="Calibri" w:hAnsi="Calibri" w:cs="Calibri"/>
          <w:sz w:val="22"/>
          <w:szCs w:val="22"/>
          <w:lang w:val="en-US"/>
        </w:rPr>
        <w:t> </w:t>
      </w:r>
      <w:r w:rsidRPr="00C921DE">
        <w:rPr>
          <w:rFonts w:ascii="GHEA Grapalat" w:hAnsi="GHEA Grapalat" w:cs="GHEA Grapalat"/>
          <w:sz w:val="22"/>
          <w:szCs w:val="22"/>
        </w:rPr>
        <w:t xml:space="preserve">մլն դրամով գերազանցել են 2022 թվականի ցուցանիշը: </w:t>
      </w:r>
    </w:p>
    <w:p w14:paraId="5AEE6E81" w14:textId="77777777" w:rsidR="005125AD" w:rsidRPr="00C921DE" w:rsidRDefault="005125AD" w:rsidP="005125AD">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Քրեակատարողական ծառայությունների</w:t>
      </w:r>
      <w:r w:rsidRPr="00C921DE">
        <w:rPr>
          <w:rFonts w:ascii="GHEA Grapalat" w:hAnsi="GHEA Grapalat" w:cs="GHEA Grapalat"/>
          <w:sz w:val="22"/>
          <w:szCs w:val="22"/>
        </w:rPr>
        <w:t xml:space="preserve"> ծրագրի</w:t>
      </w:r>
      <w:r w:rsidR="00950317" w:rsidRPr="00C921DE">
        <w:rPr>
          <w:rFonts w:ascii="GHEA Grapalat" w:hAnsi="GHEA Grapalat" w:cs="GHEA Grapalat"/>
          <w:sz w:val="22"/>
          <w:szCs w:val="22"/>
          <w:lang w:val="en-US"/>
        </w:rPr>
        <w:t xml:space="preserve"> ծախսերը</w:t>
      </w:r>
      <w:r w:rsidRPr="00C921DE">
        <w:rPr>
          <w:rFonts w:ascii="GHEA Grapalat" w:hAnsi="GHEA Grapalat" w:cs="GHEA Grapalat"/>
          <w:sz w:val="22"/>
          <w:szCs w:val="22"/>
        </w:rPr>
        <w:t xml:space="preserve"> հաշվետու տարում </w:t>
      </w:r>
      <w:r w:rsidR="00950317" w:rsidRPr="00C921DE">
        <w:rPr>
          <w:rFonts w:ascii="GHEA Grapalat" w:hAnsi="GHEA Grapalat" w:cs="GHEA Grapalat"/>
          <w:sz w:val="22"/>
          <w:szCs w:val="22"/>
          <w:lang w:val="en-US"/>
        </w:rPr>
        <w:t>կազմել են</w:t>
      </w:r>
      <w:r w:rsidRPr="00C921DE">
        <w:rPr>
          <w:rFonts w:ascii="GHEA Grapalat" w:hAnsi="GHEA Grapalat" w:cs="GHEA Grapalat"/>
          <w:sz w:val="22"/>
          <w:szCs w:val="22"/>
        </w:rPr>
        <w:t xml:space="preserve"> շուրջ 14.4</w:t>
      </w:r>
      <w:r w:rsidR="00B15DB1" w:rsidRPr="00C921DE">
        <w:rPr>
          <w:rFonts w:ascii="Calibri" w:hAnsi="Calibri" w:cs="Calibri"/>
          <w:sz w:val="22"/>
          <w:szCs w:val="22"/>
          <w:lang w:val="en-US"/>
        </w:rPr>
        <w:t> </w:t>
      </w:r>
      <w:r w:rsidRPr="00C921DE">
        <w:rPr>
          <w:rFonts w:ascii="GHEA Grapalat" w:hAnsi="GHEA Grapalat" w:cs="GHEA Grapalat"/>
          <w:sz w:val="22"/>
          <w:szCs w:val="22"/>
        </w:rPr>
        <w:t xml:space="preserve">մլրդ դրամ կամ </w:t>
      </w:r>
      <w:r w:rsidR="00950317" w:rsidRPr="00C921DE">
        <w:rPr>
          <w:rFonts w:ascii="GHEA Grapalat" w:hAnsi="GHEA Grapalat" w:cs="GHEA Grapalat"/>
          <w:sz w:val="22"/>
          <w:szCs w:val="22"/>
          <w:lang w:val="en-US"/>
        </w:rPr>
        <w:t xml:space="preserve">ծրագրված ցուցանիշի </w:t>
      </w:r>
      <w:r w:rsidRPr="00C921DE">
        <w:rPr>
          <w:rFonts w:ascii="GHEA Grapalat" w:hAnsi="GHEA Grapalat" w:cs="GHEA Grapalat"/>
          <w:sz w:val="22"/>
          <w:szCs w:val="22"/>
        </w:rPr>
        <w:t>99.4%-ը: Շեղումը հիմնականում արձանագրվել է պրոբացիայի ծառայություններին ուղղված ծախսերում: Նախորդ տարվա համեմատ «Քրեակատարողական ծառայություններ» ծրագրի ծախսերն աճել են 2.4%-ով (341.6 մլն դրամով):</w:t>
      </w:r>
    </w:p>
    <w:p w14:paraId="08124048" w14:textId="77777777" w:rsidR="005125AD" w:rsidRPr="00C921DE" w:rsidRDefault="005125AD" w:rsidP="005125AD">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Ծրագրի շրջանակներում հատկացումների գերակշիռ մասն ուղղվել է «Քրեակատարողական ծառայություններ» միջոցառմանը, որի շրջանակներում իրականացվել է 2487 դատապարտյալների և կալանքի տակ գտնվող անձանց վերահսկողություն, կալանավայրերում դատապարտյալների կացության ապահովում, դատապարտյալների սոցիալ-հոգեբանական վերականգնում և ուսուցում</w:t>
      </w:r>
      <w:r w:rsidR="00950317" w:rsidRPr="00C921DE">
        <w:rPr>
          <w:rFonts w:ascii="GHEA Grapalat" w:hAnsi="GHEA Grapalat" w:cs="GHEA Grapalat"/>
          <w:sz w:val="22"/>
          <w:szCs w:val="22"/>
          <w:lang w:val="en-US"/>
        </w:rPr>
        <w:t xml:space="preserve">՝ </w:t>
      </w:r>
      <w:r w:rsidR="00950317" w:rsidRPr="00C921DE">
        <w:rPr>
          <w:rFonts w:ascii="GHEA Grapalat" w:hAnsi="GHEA Grapalat" w:cs="GHEA Grapalat"/>
          <w:sz w:val="22"/>
          <w:szCs w:val="22"/>
        </w:rPr>
        <w:t>կանխատեսված 3000-ի դիմաց</w:t>
      </w:r>
      <w:r w:rsidRPr="00C921DE">
        <w:rPr>
          <w:rFonts w:ascii="GHEA Grapalat" w:hAnsi="GHEA Grapalat" w:cs="GHEA Grapalat"/>
          <w:sz w:val="22"/>
          <w:szCs w:val="22"/>
        </w:rPr>
        <w:t>: Միջոցառման ծախսերը կատարվել են 99.8%-ով՝ կազմելով 12 մլրդ դրամ</w:t>
      </w:r>
      <w:r w:rsidR="00CA413F" w:rsidRPr="00C921DE">
        <w:rPr>
          <w:rFonts w:ascii="GHEA Grapalat" w:hAnsi="GHEA Grapalat" w:cs="GHEA Grapalat"/>
          <w:sz w:val="22"/>
          <w:szCs w:val="22"/>
          <w:lang w:val="en-US"/>
        </w:rPr>
        <w:t>, իսկ նախորդ տարվա համեմատ</w:t>
      </w:r>
      <w:r w:rsidRPr="00C921DE">
        <w:rPr>
          <w:rFonts w:ascii="GHEA Grapalat" w:hAnsi="GHEA Grapalat" w:cs="GHEA Grapalat"/>
          <w:sz w:val="22"/>
          <w:szCs w:val="22"/>
        </w:rPr>
        <w:t xml:space="preserve"> աճել են 11.6%-ով</w:t>
      </w:r>
      <w:r w:rsidR="00950317" w:rsidRPr="00C921DE">
        <w:rPr>
          <w:rFonts w:ascii="GHEA Grapalat" w:hAnsi="GHEA Grapalat" w:cs="GHEA Grapalat"/>
          <w:sz w:val="22"/>
          <w:szCs w:val="22"/>
          <w:lang w:val="en-US"/>
        </w:rPr>
        <w:t xml:space="preserve"> կամ </w:t>
      </w:r>
      <w:r w:rsidR="00950317" w:rsidRPr="00C921DE">
        <w:rPr>
          <w:rFonts w:ascii="GHEA Grapalat" w:hAnsi="GHEA Grapalat" w:cs="GHEA Grapalat"/>
          <w:sz w:val="22"/>
          <w:szCs w:val="22"/>
        </w:rPr>
        <w:t>1.2 մլրդ դրամով</w:t>
      </w:r>
      <w:r w:rsidRPr="00C921DE">
        <w:rPr>
          <w:rFonts w:ascii="GHEA Grapalat" w:hAnsi="GHEA Grapalat" w:cs="GHEA Grapalat"/>
          <w:sz w:val="22"/>
          <w:szCs w:val="22"/>
        </w:rPr>
        <w:t xml:space="preserve">՝ </w:t>
      </w:r>
      <w:r w:rsidR="00CA413F" w:rsidRPr="00C921DE">
        <w:rPr>
          <w:rFonts w:ascii="GHEA Grapalat" w:hAnsi="GHEA Grapalat" w:cs="GHEA Grapalat"/>
          <w:sz w:val="22"/>
          <w:szCs w:val="22"/>
        </w:rPr>
        <w:t xml:space="preserve">պայմանավորված </w:t>
      </w:r>
      <w:r w:rsidRPr="00C921DE">
        <w:rPr>
          <w:rFonts w:ascii="GHEA Grapalat" w:hAnsi="GHEA Grapalat" w:cs="GHEA Grapalat"/>
          <w:sz w:val="22"/>
          <w:szCs w:val="22"/>
        </w:rPr>
        <w:t xml:space="preserve">աշխատավարձի բազային դրույքաչափի </w:t>
      </w:r>
      <w:r w:rsidR="000E1837" w:rsidRPr="00C921DE">
        <w:rPr>
          <w:rFonts w:ascii="GHEA Grapalat" w:hAnsi="GHEA Grapalat" w:cs="GHEA Grapalat"/>
          <w:sz w:val="22"/>
          <w:szCs w:val="22"/>
          <w:lang w:val="en-US"/>
        </w:rPr>
        <w:t>բարձրացմ</w:t>
      </w:r>
      <w:r w:rsidRPr="00C921DE">
        <w:rPr>
          <w:rFonts w:ascii="GHEA Grapalat" w:hAnsi="GHEA Grapalat" w:cs="GHEA Grapalat"/>
          <w:sz w:val="22"/>
          <w:szCs w:val="22"/>
        </w:rPr>
        <w:t>ամբ:</w:t>
      </w:r>
    </w:p>
    <w:p w14:paraId="3F38AF79" w14:textId="6C45BD1F" w:rsidR="005125AD" w:rsidRPr="00C921DE" w:rsidRDefault="005125AD" w:rsidP="005125AD">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ՀՀ արդարադատության նախարարության պրոբացիայի ծառայության կարողությունների զարգացման և տեխնիկական հագեցվածության ապահովման միջոցառման շրջանակներում պրոբացիայի շահառուների նկատմամբ էլեկտրոնային միջոցներով հսկողություն կիրառելու </w:t>
      </w:r>
      <w:r w:rsidRPr="00C921DE">
        <w:rPr>
          <w:rFonts w:ascii="GHEA Grapalat" w:hAnsi="GHEA Grapalat" w:cs="GHEA Grapalat"/>
          <w:sz w:val="22"/>
          <w:szCs w:val="22"/>
        </w:rPr>
        <w:lastRenderedPageBreak/>
        <w:t>նպատակով ձեռք են բերվել Էլեկտրոնային հսկողության սարքեր և պրոբացիայի ծառայությանն անհրաժեշտ վարչական սարքավորումներ: Միջոցառման շրջանակներում նախատեսված 547.4 մլն դրամն օգտագործվել է ամբողջ ծավալով</w:t>
      </w:r>
      <w:r w:rsidR="00D51A10" w:rsidRPr="00C921DE">
        <w:rPr>
          <w:rFonts w:ascii="GHEA Grapalat" w:hAnsi="GHEA Grapalat" w:cs="GHEA Grapalat"/>
          <w:sz w:val="22"/>
          <w:szCs w:val="22"/>
          <w:lang w:val="en-US"/>
        </w:rPr>
        <w:t xml:space="preserve"> և</w:t>
      </w:r>
      <w:r w:rsidR="00B11BBA" w:rsidRPr="00C921DE">
        <w:rPr>
          <w:rFonts w:ascii="GHEA Grapalat" w:hAnsi="GHEA Grapalat" w:cs="GHEA Grapalat"/>
          <w:sz w:val="22"/>
          <w:szCs w:val="22"/>
          <w:lang w:val="en-US"/>
        </w:rPr>
        <w:t xml:space="preserve"> 542.2 մլն դրամով գերազ</w:t>
      </w:r>
      <w:r w:rsidR="008225C1" w:rsidRPr="00C921DE">
        <w:rPr>
          <w:rFonts w:ascii="GHEA Grapalat" w:hAnsi="GHEA Grapalat" w:cs="GHEA Grapalat"/>
          <w:sz w:val="22"/>
          <w:szCs w:val="22"/>
          <w:lang w:val="en-US"/>
        </w:rPr>
        <w:t>ա</w:t>
      </w:r>
      <w:r w:rsidR="00B11BBA" w:rsidRPr="00C921DE">
        <w:rPr>
          <w:rFonts w:ascii="GHEA Grapalat" w:hAnsi="GHEA Grapalat" w:cs="GHEA Grapalat"/>
          <w:sz w:val="22"/>
          <w:szCs w:val="22"/>
          <w:lang w:val="en-US"/>
        </w:rPr>
        <w:t>նցել նախորդ տարվա ցուցանիշը:</w:t>
      </w:r>
    </w:p>
    <w:p w14:paraId="7CB079F6" w14:textId="77777777" w:rsidR="005125AD" w:rsidRPr="00C921DE" w:rsidRDefault="005125AD" w:rsidP="005125AD">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Հարկադիր կատարման ծառայությունների</w:t>
      </w:r>
      <w:r w:rsidRPr="00C921DE">
        <w:rPr>
          <w:rFonts w:ascii="GHEA Grapalat" w:hAnsi="GHEA Grapalat" w:cs="GHEA Grapalat"/>
          <w:sz w:val="22"/>
          <w:szCs w:val="22"/>
        </w:rPr>
        <w:t xml:space="preserve"> ծրագրի շրջանակներում հաշվետու տարում օգտագործվել է ավելի քան 3.7 մլրդ դրամ՝ ապահովելով 99.9% կատարողական</w:t>
      </w:r>
      <w:r w:rsidR="00092144" w:rsidRPr="00C921DE">
        <w:rPr>
          <w:rFonts w:ascii="GHEA Grapalat" w:hAnsi="GHEA Grapalat" w:cs="GHEA Grapalat"/>
          <w:sz w:val="22"/>
          <w:szCs w:val="22"/>
          <w:lang w:val="en-US"/>
        </w:rPr>
        <w:t xml:space="preserve"> և</w:t>
      </w:r>
      <w:r w:rsidRPr="00C921DE">
        <w:rPr>
          <w:rFonts w:ascii="GHEA Grapalat" w:hAnsi="GHEA Grapalat" w:cs="GHEA Grapalat"/>
          <w:sz w:val="22"/>
          <w:szCs w:val="22"/>
        </w:rPr>
        <w:t xml:space="preserve"> 7%-ով (244.4 մլն դրամով) գերազանցել</w:t>
      </w:r>
      <w:r w:rsidR="00092144" w:rsidRPr="00C921DE">
        <w:rPr>
          <w:rFonts w:ascii="GHEA Grapalat" w:hAnsi="GHEA Grapalat" w:cs="GHEA Grapalat"/>
          <w:sz w:val="22"/>
          <w:szCs w:val="22"/>
          <w:lang w:val="en-US"/>
        </w:rPr>
        <w:t>ով</w:t>
      </w:r>
      <w:r w:rsidRPr="00C921DE">
        <w:rPr>
          <w:rFonts w:ascii="GHEA Grapalat" w:hAnsi="GHEA Grapalat" w:cs="GHEA Grapalat"/>
          <w:sz w:val="22"/>
          <w:szCs w:val="22"/>
        </w:rPr>
        <w:t xml:space="preserve"> նախորդ տարվա ցուցանիշը՝ պայմանավորված </w:t>
      </w:r>
      <w:r w:rsidR="00092144" w:rsidRPr="00C921DE">
        <w:rPr>
          <w:rFonts w:ascii="GHEA Grapalat" w:hAnsi="GHEA Grapalat" w:cs="GHEA Grapalat"/>
          <w:sz w:val="22"/>
          <w:szCs w:val="22"/>
        </w:rPr>
        <w:t xml:space="preserve">բարձր կատարողականի համար դրամական խրախուսման նպատակով </w:t>
      </w:r>
      <w:r w:rsidRPr="00C921DE">
        <w:rPr>
          <w:rFonts w:ascii="GHEA Grapalat" w:hAnsi="GHEA Grapalat" w:cs="GHEA Grapalat"/>
          <w:sz w:val="22"/>
          <w:szCs w:val="22"/>
        </w:rPr>
        <w:t xml:space="preserve">Հարկադիր կատարման ծառայությանը լրացուցիչ միջոցների հատկացմամբ: </w:t>
      </w:r>
    </w:p>
    <w:p w14:paraId="1943DDBD" w14:textId="77777777" w:rsidR="005125AD" w:rsidRPr="00C921DE" w:rsidRDefault="000F2F10" w:rsidP="005125AD">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ՀՀ արդարադատության նախարարության կողմից իրականացված այլ ծրագրերին տրամադրված </w:t>
      </w:r>
      <w:r w:rsidRPr="00C921DE">
        <w:rPr>
          <w:rFonts w:ascii="GHEA Grapalat" w:hAnsi="GHEA Grapalat" w:cs="GHEA Grapalat"/>
          <w:sz w:val="22"/>
          <w:szCs w:val="22"/>
          <w:lang w:val="en-US"/>
        </w:rPr>
        <w:t>2.6</w:t>
      </w:r>
      <w:r w:rsidRPr="00C921DE">
        <w:rPr>
          <w:rFonts w:ascii="GHEA Grapalat" w:hAnsi="GHEA Grapalat" w:cs="GHEA Grapalat"/>
          <w:sz w:val="22"/>
          <w:szCs w:val="22"/>
        </w:rPr>
        <w:t xml:space="preserve"> մլրդ դրամից</w:t>
      </w:r>
      <w:r w:rsidR="00CA1B6C" w:rsidRPr="00C921DE">
        <w:rPr>
          <w:rFonts w:ascii="GHEA Grapalat" w:hAnsi="GHEA Grapalat" w:cs="GHEA Grapalat"/>
          <w:sz w:val="22"/>
          <w:szCs w:val="22"/>
          <w:lang w:val="en-US"/>
        </w:rPr>
        <w:t xml:space="preserve"> </w:t>
      </w:r>
      <w:r w:rsidR="00CA1B6C" w:rsidRPr="00C921DE">
        <w:rPr>
          <w:rFonts w:ascii="GHEA Grapalat" w:hAnsi="GHEA Grapalat" w:cs="GHEA Grapalat"/>
          <w:sz w:val="22"/>
          <w:szCs w:val="22"/>
        </w:rPr>
        <w:t>718.9 մլն դրամ</w:t>
      </w:r>
      <w:r w:rsidR="00CA1B6C" w:rsidRPr="00C921DE">
        <w:rPr>
          <w:rFonts w:ascii="GHEA Grapalat" w:hAnsi="GHEA Grapalat" w:cs="GHEA Grapalat"/>
          <w:sz w:val="22"/>
          <w:szCs w:val="22"/>
          <w:lang w:val="en-US"/>
        </w:rPr>
        <w:t xml:space="preserve">ն օգտագործվել է </w:t>
      </w:r>
      <w:r w:rsidR="005125AD" w:rsidRPr="00C921DE">
        <w:rPr>
          <w:rFonts w:ascii="GHEA Grapalat" w:hAnsi="GHEA Grapalat" w:cs="GHEA Grapalat"/>
          <w:i/>
          <w:sz w:val="22"/>
          <w:szCs w:val="22"/>
        </w:rPr>
        <w:t>Հակակոռուպցիոն քաղաքականության մշակման, ծրագրերի համակարգման և մոնիտորինգի իրականացման</w:t>
      </w:r>
      <w:r w:rsidR="005125AD" w:rsidRPr="00C921DE">
        <w:rPr>
          <w:rFonts w:ascii="GHEA Grapalat" w:hAnsi="GHEA Grapalat" w:cs="GHEA Grapalat"/>
          <w:sz w:val="22"/>
          <w:szCs w:val="22"/>
        </w:rPr>
        <w:t xml:space="preserve"> ծրագրի</w:t>
      </w:r>
      <w:r w:rsidR="00CA1B6C" w:rsidRPr="00C921DE">
        <w:rPr>
          <w:rFonts w:ascii="GHEA Grapalat" w:hAnsi="GHEA Grapalat" w:cs="GHEA Grapalat"/>
          <w:sz w:val="22"/>
          <w:szCs w:val="22"/>
          <w:lang w:val="en-US"/>
        </w:rPr>
        <w:t xml:space="preserve"> շրջանակներում</w:t>
      </w:r>
      <w:r w:rsidR="005125AD" w:rsidRPr="00C921DE">
        <w:rPr>
          <w:rFonts w:ascii="GHEA Grapalat" w:hAnsi="GHEA Grapalat" w:cs="GHEA Grapalat"/>
          <w:sz w:val="22"/>
          <w:szCs w:val="22"/>
        </w:rPr>
        <w:t>՝ կազմելով ծրագրված ցուցանիշի 95.4%-ը: Շեղումը հիմնականում պայմանավորված է «Հակակոռուպցիոն դատարանի շենքային պայմանների ապահովում» միջոցառման կատարողականով. 2023 թվականին Երևանի Աջափնյակ համայնքի Արա Սարգսյան 5/1 հասցեում տեղակայված շենքի վերակառուցման շինարարական աշխատանքներն ամբողջությամբ չեն ավարտվել, որը պայմանավորված է շինարարական աշխատանքների կատարման ընթացքում ԲԴԽ առաջարկությամբ կատարված փոփոխություններով։ Այս միջոցառման շրջանակներում հաշվետու ժամանակահատվածում օգտագործվել է շուրջ 301.8 մլն դրամ կամ նախատեսված միջոցների 90.8%</w:t>
      </w:r>
      <w:r w:rsidR="00CA1B6C" w:rsidRPr="00C921DE">
        <w:rPr>
          <w:rFonts w:ascii="GHEA Grapalat" w:hAnsi="GHEA Grapalat" w:cs="GHEA Grapalat"/>
          <w:sz w:val="22"/>
          <w:szCs w:val="22"/>
        </w:rPr>
        <w:noBreakHyphen/>
      </w:r>
      <w:r w:rsidR="005125AD" w:rsidRPr="00C921DE">
        <w:rPr>
          <w:rFonts w:ascii="GHEA Grapalat" w:hAnsi="GHEA Grapalat" w:cs="GHEA Grapalat"/>
          <w:sz w:val="22"/>
          <w:szCs w:val="22"/>
        </w:rPr>
        <w:t>ը: Նախորդ տարվա համեմատ ծրագրի ծախսերը նվազել են 12.5%-ով</w:t>
      </w:r>
      <w:r w:rsidR="006F72A3" w:rsidRPr="00C921DE">
        <w:rPr>
          <w:rFonts w:ascii="GHEA Grapalat" w:hAnsi="GHEA Grapalat" w:cs="GHEA Grapalat"/>
          <w:sz w:val="22"/>
          <w:szCs w:val="22"/>
          <w:lang w:val="en-US"/>
        </w:rPr>
        <w:t>՝</w:t>
      </w:r>
      <w:r w:rsidR="005125AD" w:rsidRPr="00C921DE">
        <w:rPr>
          <w:rFonts w:ascii="GHEA Grapalat" w:hAnsi="GHEA Grapalat" w:cs="GHEA Grapalat"/>
          <w:sz w:val="22"/>
          <w:szCs w:val="22"/>
        </w:rPr>
        <w:t xml:space="preserve"> հիմնականում պայմանավորված 2022 թվականին Հակակոռուպցիոն կոմիտեի տեխնիկական հագեցվածության և տրանսպորտային սարքավորումներով հագեցվածության ապահովման նպատակով միջոցների հատկացմամբ:</w:t>
      </w:r>
    </w:p>
    <w:p w14:paraId="5B9E4971" w14:textId="77777777" w:rsidR="005125AD" w:rsidRPr="00C921DE" w:rsidRDefault="005125AD" w:rsidP="005125AD">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«Էլեկտրոնային ռեսուրսների ստեղծման կամ արդիականացման նախագծերի ապահովում» միջոցառման շրջանակներում </w:t>
      </w:r>
      <w:r w:rsidR="006F72A3" w:rsidRPr="00C921DE">
        <w:rPr>
          <w:rFonts w:ascii="GHEA Grapalat" w:hAnsi="GHEA Grapalat" w:cs="GHEA Grapalat"/>
          <w:sz w:val="22"/>
          <w:szCs w:val="22"/>
        </w:rPr>
        <w:t xml:space="preserve">հատկացված </w:t>
      </w:r>
      <w:r w:rsidRPr="00C921DE">
        <w:rPr>
          <w:rFonts w:ascii="GHEA Grapalat" w:hAnsi="GHEA Grapalat" w:cs="GHEA Grapalat"/>
          <w:sz w:val="22"/>
          <w:szCs w:val="22"/>
        </w:rPr>
        <w:t>417.1 մլն դրամ</w:t>
      </w:r>
      <w:r w:rsidR="006F72A3" w:rsidRPr="00C921DE">
        <w:rPr>
          <w:rFonts w:ascii="GHEA Grapalat" w:hAnsi="GHEA Grapalat" w:cs="GHEA Grapalat"/>
          <w:sz w:val="22"/>
          <w:szCs w:val="22"/>
        </w:rPr>
        <w:t>ն</w:t>
      </w:r>
      <w:r w:rsidR="002D0D40" w:rsidRPr="00C921DE">
        <w:rPr>
          <w:rFonts w:ascii="GHEA Grapalat" w:hAnsi="GHEA Grapalat" w:cs="GHEA Grapalat"/>
          <w:sz w:val="22"/>
          <w:szCs w:val="22"/>
        </w:rPr>
        <w:t xml:space="preserve"> ամբողջությամբ</w:t>
      </w:r>
      <w:r w:rsidR="006F72A3" w:rsidRPr="00C921DE">
        <w:rPr>
          <w:rFonts w:ascii="GHEA Grapalat" w:hAnsi="GHEA Grapalat" w:cs="GHEA Grapalat"/>
          <w:sz w:val="22"/>
          <w:szCs w:val="22"/>
        </w:rPr>
        <w:t xml:space="preserve"> օգտագործվել է</w:t>
      </w:r>
      <w:r w:rsidRPr="00C921DE">
        <w:rPr>
          <w:rFonts w:ascii="GHEA Grapalat" w:hAnsi="GHEA Grapalat" w:cs="GHEA Grapalat"/>
          <w:sz w:val="22"/>
          <w:szCs w:val="22"/>
        </w:rPr>
        <w:t xml:space="preserve">, որն ուղղվել է </w:t>
      </w:r>
      <w:r w:rsidR="005E013D" w:rsidRPr="00C921DE">
        <w:rPr>
          <w:rFonts w:ascii="GHEA Grapalat" w:hAnsi="GHEA Grapalat" w:cs="GHEA Grapalat"/>
          <w:sz w:val="22"/>
          <w:szCs w:val="22"/>
        </w:rPr>
        <w:t>քաղաքացիական դատավարության թվայնացման աշխատանքների ծախսերի փոխհատուցմանը, էլեկտրոնային հաշտարարության տեղեկատվական համակարգի մշակման և վարչական դատավարության թվայնացման ծառայությունների ձեռքբերմանը։</w:t>
      </w:r>
    </w:p>
    <w:p w14:paraId="62744D37" w14:textId="77777777" w:rsidR="00C56BD7" w:rsidRPr="00C921DE" w:rsidRDefault="00C56BD7" w:rsidP="00C56BD7">
      <w:pPr>
        <w:spacing w:line="360" w:lineRule="auto"/>
        <w:ind w:firstLine="561"/>
        <w:jc w:val="both"/>
        <w:rPr>
          <w:rFonts w:ascii="GHEA Grapalat" w:hAnsi="GHEA Grapalat" w:cs="Times Armenian"/>
          <w:sz w:val="22"/>
          <w:szCs w:val="22"/>
        </w:rPr>
      </w:pPr>
    </w:p>
    <w:p w14:paraId="2FFE23F3" w14:textId="73A221A7" w:rsidR="005728BA" w:rsidRPr="00C921DE" w:rsidRDefault="00C56BD7" w:rsidP="005728BA">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Էկոնոմիկայի նախարարության</w:t>
      </w:r>
      <w:r w:rsidRPr="00C921DE">
        <w:rPr>
          <w:rFonts w:ascii="GHEA Grapalat" w:hAnsi="GHEA Grapalat" w:cs="GHEA Grapalat"/>
          <w:sz w:val="22"/>
          <w:szCs w:val="22"/>
        </w:rPr>
        <w:t xml:space="preserve"> </w:t>
      </w:r>
      <w:r w:rsidR="005728BA" w:rsidRPr="00C921DE">
        <w:rPr>
          <w:rFonts w:ascii="GHEA Grapalat" w:hAnsi="GHEA Grapalat" w:cs="Times Armenian"/>
          <w:sz w:val="22"/>
          <w:szCs w:val="22"/>
        </w:rPr>
        <w:t>պատասխանատվությամբ 2023</w:t>
      </w:r>
      <w:r w:rsidR="005728BA" w:rsidRPr="00C921DE">
        <w:rPr>
          <w:rFonts w:ascii="GHEA Grapalat" w:hAnsi="GHEA Grapalat" w:cs="GHEA Grapalat"/>
          <w:sz w:val="22"/>
          <w:szCs w:val="22"/>
        </w:rPr>
        <w:t xml:space="preserve"> թվականի </w:t>
      </w:r>
      <w:r w:rsidR="005728BA" w:rsidRPr="00C921DE">
        <w:rPr>
          <w:rFonts w:ascii="GHEA Grapalat" w:hAnsi="GHEA Grapalat" w:cs="Sylfaen"/>
          <w:sz w:val="22"/>
          <w:szCs w:val="22"/>
        </w:rPr>
        <w:t>ընթացք</w:t>
      </w:r>
      <w:r w:rsidR="005728BA" w:rsidRPr="00C921DE">
        <w:rPr>
          <w:rFonts w:ascii="GHEA Grapalat" w:hAnsi="GHEA Grapalat" w:cs="GHEA Grapalat"/>
          <w:sz w:val="22"/>
          <w:szCs w:val="22"/>
        </w:rPr>
        <w:t>ում կատարվել է պետական բյուջեի 11 ծրագիր: Ծախսերը կազմել են 62.7 մլրդ դրամ կամ նախատեսվածի 95.9%</w:t>
      </w:r>
      <w:r w:rsidR="005728BA" w:rsidRPr="00C921DE">
        <w:rPr>
          <w:rFonts w:ascii="GHEA Grapalat" w:hAnsi="GHEA Grapalat" w:cs="GHEA Grapalat"/>
          <w:sz w:val="22"/>
          <w:szCs w:val="22"/>
        </w:rPr>
        <w:noBreakHyphen/>
        <w:t xml:space="preserve">ը: Ծրագրված ցուցանիշից շեղումը հիմնականում պայմանավորված է Ներդրումների և </w:t>
      </w:r>
      <w:r w:rsidR="005728BA" w:rsidRPr="00C921DE">
        <w:rPr>
          <w:rFonts w:ascii="GHEA Grapalat" w:hAnsi="GHEA Grapalat" w:cs="GHEA Grapalat"/>
          <w:sz w:val="22"/>
          <w:szCs w:val="22"/>
        </w:rPr>
        <w:lastRenderedPageBreak/>
        <w:t>արտահանման խթանման, Գիտելիքահենք, նորարարական տնտեսությանը և փոքր ու միջին ձեռնարկատիրությանն աջակցության, Գյուղատնտեսության արդիականացման և Զբոսաշրջության զարգացման ծրագրերի կատարողականով: Նախորդ տարվա համեմատ ՀՀ Էկոնոմիկայի նախարարության պատասխանատվությամբ իրականացվող ծրագրերի գծով ծախսերն աճել են 18.1%</w:t>
      </w:r>
      <w:r w:rsidR="005728BA" w:rsidRPr="00C921DE">
        <w:rPr>
          <w:rFonts w:ascii="GHEA Grapalat" w:hAnsi="GHEA Grapalat" w:cs="GHEA Grapalat"/>
          <w:sz w:val="22"/>
          <w:szCs w:val="22"/>
        </w:rPr>
        <w:noBreakHyphen/>
        <w:t xml:space="preserve">ով կամ 9.6 մլրդ դրամով: </w:t>
      </w:r>
      <w:r w:rsidR="00C64EC6" w:rsidRPr="00C921DE">
        <w:rPr>
          <w:rFonts w:ascii="GHEA Grapalat" w:hAnsi="GHEA Grapalat" w:cs="GHEA Grapalat"/>
          <w:sz w:val="22"/>
          <w:szCs w:val="22"/>
        </w:rPr>
        <w:t>2023 թվականին</w:t>
      </w:r>
      <w:r w:rsidR="005728BA" w:rsidRPr="00C921DE">
        <w:rPr>
          <w:rFonts w:ascii="GHEA Grapalat" w:hAnsi="GHEA Grapalat" w:cs="GHEA Grapalat"/>
          <w:sz w:val="22"/>
          <w:szCs w:val="22"/>
        </w:rPr>
        <w:t xml:space="preserve"> լաբորատոր փորձարկումների միջոցով գյուղատնտեսական կենդանիների հիվանդությունների լաբորատոր ախտորոշման և կենդանական ծագում ունեցող հումքի և նյութի լաբորատոր փորձաքննության ու դաբաղ հիվանդության շճահետազոտության միջոցառումները ՀՀ Էկոնոմիկայի նախարարության Անասնաբուժական ծառայությունների ծրագրից փոխանցվել են ՀՀ վարչապետի աշխատակազմին՝ Տեսչական վերահսկողության ծրագրին, իսկ Հայաստանի Հանրապետությունում և արտերկրում ներդրումային և ՊՄԳ ծրագրերի իրականացմանը պետական աջակցության միջոցառումը ՀՀ Վարչապետի աշխատակազմի «ՀՀ Վարչապետի լիազորությունների իրականացման ապահովում» ծրագրից փոխանցվել է ՀՀ Էկոնոմիկայի նախարարությանը՝ Ներդրումների և արտահանման խթանման ծրագրին: </w:t>
      </w:r>
      <w:r w:rsidR="00C64EC6" w:rsidRPr="00C921DE">
        <w:rPr>
          <w:rFonts w:ascii="GHEA Grapalat" w:hAnsi="GHEA Grapalat" w:cs="GHEA Grapalat"/>
          <w:sz w:val="22"/>
          <w:szCs w:val="22"/>
          <w:lang w:val="en-US"/>
        </w:rPr>
        <w:t>Նշված տեղաշարժերը հաշվի առած՝</w:t>
      </w:r>
      <w:r w:rsidR="005728BA" w:rsidRPr="00C921DE">
        <w:rPr>
          <w:rFonts w:ascii="GHEA Grapalat" w:hAnsi="GHEA Grapalat" w:cs="GHEA Grapalat"/>
          <w:sz w:val="22"/>
          <w:szCs w:val="22"/>
        </w:rPr>
        <w:t xml:space="preserve"> 2022 թվականի համադրելի ցուցանիշի համեմատ ՀՀ Էկոնոմիկայի նախարարության պատասխանատվությամբ իրականացվող </w:t>
      </w:r>
      <w:r w:rsidR="00825877" w:rsidRPr="00C921DE">
        <w:rPr>
          <w:rFonts w:ascii="GHEA Grapalat" w:hAnsi="GHEA Grapalat" w:cs="GHEA Grapalat"/>
          <w:sz w:val="22"/>
          <w:szCs w:val="22"/>
        </w:rPr>
        <w:t>ծախսերի աճը</w:t>
      </w:r>
      <w:r w:rsidR="005728BA" w:rsidRPr="00C921DE">
        <w:rPr>
          <w:rFonts w:ascii="GHEA Grapalat" w:hAnsi="GHEA Grapalat" w:cs="GHEA Grapalat"/>
          <w:sz w:val="22"/>
          <w:szCs w:val="22"/>
        </w:rPr>
        <w:t xml:space="preserve"> </w:t>
      </w:r>
      <w:r w:rsidR="00825877" w:rsidRPr="00C921DE">
        <w:rPr>
          <w:rFonts w:ascii="GHEA Grapalat" w:hAnsi="GHEA Grapalat" w:cs="GHEA Grapalat"/>
          <w:sz w:val="22"/>
          <w:szCs w:val="22"/>
          <w:lang w:val="en-US"/>
        </w:rPr>
        <w:t xml:space="preserve">կազմում է </w:t>
      </w:r>
      <w:r w:rsidR="005728BA" w:rsidRPr="00C921DE">
        <w:rPr>
          <w:rFonts w:ascii="GHEA Grapalat" w:hAnsi="GHEA Grapalat" w:cs="GHEA Grapalat"/>
          <w:sz w:val="22"/>
          <w:szCs w:val="22"/>
        </w:rPr>
        <w:t>14.9</w:t>
      </w:r>
      <w:r w:rsidR="00825877" w:rsidRPr="00C921DE">
        <w:rPr>
          <w:rFonts w:ascii="GHEA Grapalat" w:hAnsi="GHEA Grapalat" w:cs="GHEA Grapalat"/>
          <w:sz w:val="22"/>
          <w:szCs w:val="22"/>
        </w:rPr>
        <w:t>%</w:t>
      </w:r>
      <w:r w:rsidR="005728BA" w:rsidRPr="00C921DE">
        <w:rPr>
          <w:rFonts w:ascii="GHEA Grapalat" w:hAnsi="GHEA Grapalat" w:cs="GHEA Grapalat"/>
          <w:sz w:val="22"/>
          <w:szCs w:val="22"/>
        </w:rPr>
        <w:t xml:space="preserve"> կամ 8.1 մլրդ դրա</w:t>
      </w:r>
      <w:r w:rsidR="00825877" w:rsidRPr="00C921DE">
        <w:rPr>
          <w:rFonts w:ascii="GHEA Grapalat" w:hAnsi="GHEA Grapalat" w:cs="GHEA Grapalat"/>
          <w:sz w:val="22"/>
          <w:szCs w:val="22"/>
        </w:rPr>
        <w:t>մ</w:t>
      </w:r>
      <w:r w:rsidR="005728BA" w:rsidRPr="00C921DE">
        <w:rPr>
          <w:rFonts w:ascii="GHEA Grapalat" w:hAnsi="GHEA Grapalat" w:cs="GHEA Grapalat"/>
          <w:sz w:val="22"/>
          <w:szCs w:val="22"/>
        </w:rPr>
        <w:t>, որը հիմնականում պայմանավորված է Գյուղատնտեսության արդիականացման, Բուսաբուծության խթանման և բույսերի պաշտպանության, Գիտելիքահենք, նորարարական տնտեսությանը և փոքր ու միջին ձեռնարկատիրությանն աջակցության և Զբոսաշրջության զարգացման ծրագրերի գծով ծախսերի աճով:</w:t>
      </w:r>
    </w:p>
    <w:p w14:paraId="4602EC33" w14:textId="77777777" w:rsidR="002E7349" w:rsidRPr="00C921DE" w:rsidRDefault="002E7349" w:rsidP="00A605DF">
      <w:pPr>
        <w:autoSpaceDE w:val="0"/>
        <w:autoSpaceDN w:val="0"/>
        <w:adjustRightInd w:val="0"/>
        <w:ind w:firstLine="567"/>
        <w:jc w:val="both"/>
        <w:rPr>
          <w:rFonts w:ascii="GHEA Grapalat" w:hAnsi="GHEA Grapalat" w:cs="GHEA Grapalat"/>
          <w:sz w:val="22"/>
          <w:szCs w:val="22"/>
        </w:rPr>
      </w:pPr>
    </w:p>
    <w:p w14:paraId="33EBC80D" w14:textId="77777777" w:rsidR="005728BA" w:rsidRPr="00C921DE" w:rsidRDefault="005728BA" w:rsidP="005728BA">
      <w:pPr>
        <w:keepNext/>
        <w:numPr>
          <w:ilvl w:val="0"/>
          <w:numId w:val="16"/>
        </w:numPr>
        <w:tabs>
          <w:tab w:val="left" w:pos="1080"/>
          <w:tab w:val="left" w:pos="1276"/>
        </w:tabs>
        <w:spacing w:before="120" w:after="120"/>
        <w:ind w:left="360"/>
        <w:rPr>
          <w:rFonts w:ascii="GHEA Grapalat" w:hAnsi="GHEA Grapalat"/>
          <w:b/>
          <w:bCs/>
          <w:i/>
          <w:noProof w:val="0"/>
          <w:sz w:val="18"/>
          <w:szCs w:val="18"/>
          <w:lang w:val="pt-BR"/>
        </w:rPr>
      </w:pPr>
      <w:r w:rsidRPr="00C921DE">
        <w:rPr>
          <w:rFonts w:ascii="GHEA Grapalat" w:hAnsi="GHEA Grapalat"/>
          <w:b/>
          <w:bCs/>
          <w:i/>
          <w:noProof w:val="0"/>
          <w:sz w:val="18"/>
          <w:szCs w:val="18"/>
          <w:lang w:val="pt-BR"/>
        </w:rPr>
        <w:t>2023թ. ՀՀ էկոնոմիկայի նախարարության կողմից իրականացված ծրագրերը (մլն դրամ)</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1276"/>
        <w:gridCol w:w="992"/>
        <w:gridCol w:w="992"/>
        <w:gridCol w:w="1276"/>
        <w:gridCol w:w="1276"/>
        <w:gridCol w:w="1084"/>
      </w:tblGrid>
      <w:tr w:rsidR="00AC5938" w:rsidRPr="00C921DE" w14:paraId="6A546B77" w14:textId="77777777" w:rsidTr="00AC5938">
        <w:trPr>
          <w:trHeight w:val="300"/>
          <w:jc w:val="center"/>
        </w:trPr>
        <w:tc>
          <w:tcPr>
            <w:tcW w:w="3539" w:type="dxa"/>
            <w:noWrap/>
            <w:vAlign w:val="bottom"/>
          </w:tcPr>
          <w:p w14:paraId="776665A6" w14:textId="77777777" w:rsidR="00AC5938" w:rsidRPr="00C921DE" w:rsidRDefault="00AC5938" w:rsidP="00AC5938">
            <w:pPr>
              <w:ind w:left="-228"/>
              <w:rPr>
                <w:noProof w:val="0"/>
                <w:sz w:val="20"/>
                <w:szCs w:val="20"/>
                <w:lang w:val="pt-BR"/>
              </w:rPr>
            </w:pPr>
          </w:p>
        </w:tc>
        <w:tc>
          <w:tcPr>
            <w:tcW w:w="1276" w:type="dxa"/>
          </w:tcPr>
          <w:p w14:paraId="2E5683B9" w14:textId="77777777"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2022թ. փաստ</w:t>
            </w:r>
          </w:p>
          <w:p w14:paraId="480811C5" w14:textId="77777777"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(2023թ. հետ համադրելի)</w:t>
            </w:r>
          </w:p>
        </w:tc>
        <w:tc>
          <w:tcPr>
            <w:tcW w:w="992" w:type="dxa"/>
          </w:tcPr>
          <w:p w14:paraId="789E89EE" w14:textId="3F199AF4"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992" w:type="dxa"/>
            <w:noWrap/>
          </w:tcPr>
          <w:p w14:paraId="751E67B8" w14:textId="28363C65"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76" w:type="dxa"/>
          </w:tcPr>
          <w:p w14:paraId="2A7DEC37" w14:textId="789B48DB"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76" w:type="dxa"/>
          </w:tcPr>
          <w:p w14:paraId="3BDBC2E3" w14:textId="55FF7E8D" w:rsidR="00AC5938" w:rsidRPr="00C921DE" w:rsidRDefault="00AC5938" w:rsidP="00AC5938">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84" w:type="dxa"/>
          </w:tcPr>
          <w:p w14:paraId="78D04E2F" w14:textId="77777777" w:rsidR="00AC5938" w:rsidRPr="00C921DE" w:rsidRDefault="00AC5938" w:rsidP="00AC5938">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և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տարբե-րությունը</w:t>
            </w:r>
          </w:p>
        </w:tc>
      </w:tr>
      <w:tr w:rsidR="005728BA" w:rsidRPr="00C921DE" w14:paraId="26489B82" w14:textId="77777777" w:rsidTr="00AC5938">
        <w:trPr>
          <w:trHeight w:val="331"/>
          <w:jc w:val="center"/>
        </w:trPr>
        <w:tc>
          <w:tcPr>
            <w:tcW w:w="3539" w:type="dxa"/>
            <w:vAlign w:val="bottom"/>
          </w:tcPr>
          <w:p w14:paraId="43ABA0F4" w14:textId="77777777" w:rsidR="005728BA" w:rsidRPr="00C921DE" w:rsidRDefault="005728BA" w:rsidP="003169EA">
            <w:pPr>
              <w:rPr>
                <w:rFonts w:ascii="GHEA Grapalat" w:hAnsi="GHEA Grapalat" w:cs="Calibri"/>
                <w:b/>
                <w:sz w:val="20"/>
                <w:szCs w:val="20"/>
              </w:rPr>
            </w:pPr>
            <w:r w:rsidRPr="00C921DE">
              <w:rPr>
                <w:rFonts w:ascii="GHEA Grapalat" w:hAnsi="GHEA Grapalat" w:cs="Calibri"/>
                <w:b/>
                <w:sz w:val="20"/>
                <w:szCs w:val="20"/>
              </w:rPr>
              <w:t>ԸՆԴԱՄԵՆԸ</w:t>
            </w:r>
          </w:p>
        </w:tc>
        <w:tc>
          <w:tcPr>
            <w:tcW w:w="1276" w:type="dxa"/>
            <w:vAlign w:val="bottom"/>
          </w:tcPr>
          <w:p w14:paraId="2A4A799F" w14:textId="77777777" w:rsidR="005728BA" w:rsidRPr="00C921DE" w:rsidRDefault="005728BA" w:rsidP="003169EA">
            <w:pPr>
              <w:jc w:val="right"/>
              <w:rPr>
                <w:rFonts w:ascii="GHEA Grapalat" w:hAnsi="GHEA Grapalat"/>
                <w:b/>
                <w:bCs/>
                <w:sz w:val="18"/>
                <w:szCs w:val="18"/>
                <w:lang w:val="en-US"/>
              </w:rPr>
            </w:pPr>
            <w:r w:rsidRPr="00C921DE">
              <w:rPr>
                <w:rFonts w:ascii="GHEA Grapalat" w:hAnsi="GHEA Grapalat"/>
                <w:b/>
                <w:bCs/>
                <w:sz w:val="18"/>
                <w:szCs w:val="18"/>
                <w:lang w:val="en-US"/>
              </w:rPr>
              <w:t>54</w:t>
            </w:r>
            <w:r w:rsidRPr="00C921DE">
              <w:rPr>
                <w:rFonts w:ascii="GHEA Grapalat" w:hAnsi="GHEA Grapalat"/>
                <w:b/>
                <w:bCs/>
                <w:sz w:val="18"/>
                <w:szCs w:val="18"/>
              </w:rPr>
              <w:t>,</w:t>
            </w:r>
            <w:r w:rsidRPr="00C921DE">
              <w:rPr>
                <w:rFonts w:ascii="GHEA Grapalat" w:hAnsi="GHEA Grapalat"/>
                <w:b/>
                <w:bCs/>
                <w:sz w:val="18"/>
                <w:szCs w:val="18"/>
                <w:lang w:val="en-US"/>
              </w:rPr>
              <w:t>5</w:t>
            </w:r>
            <w:r w:rsidRPr="00C921DE">
              <w:rPr>
                <w:rFonts w:ascii="GHEA Grapalat" w:hAnsi="GHEA Grapalat"/>
                <w:b/>
                <w:bCs/>
                <w:sz w:val="18"/>
                <w:szCs w:val="18"/>
              </w:rPr>
              <w:t>9</w:t>
            </w:r>
            <w:r w:rsidRPr="00C921DE">
              <w:rPr>
                <w:rFonts w:ascii="GHEA Grapalat" w:hAnsi="GHEA Grapalat"/>
                <w:b/>
                <w:bCs/>
                <w:sz w:val="18"/>
                <w:szCs w:val="18"/>
                <w:lang w:val="en-US"/>
              </w:rPr>
              <w:t>5</w:t>
            </w:r>
            <w:r w:rsidRPr="00C921DE">
              <w:rPr>
                <w:rFonts w:ascii="GHEA Grapalat" w:hAnsi="GHEA Grapalat"/>
                <w:b/>
                <w:bCs/>
                <w:sz w:val="18"/>
                <w:szCs w:val="18"/>
              </w:rPr>
              <w:t>.</w:t>
            </w:r>
            <w:r w:rsidRPr="00C921DE">
              <w:rPr>
                <w:rFonts w:ascii="GHEA Grapalat" w:hAnsi="GHEA Grapalat"/>
                <w:b/>
                <w:bCs/>
                <w:sz w:val="18"/>
                <w:szCs w:val="18"/>
                <w:lang w:val="en-US"/>
              </w:rPr>
              <w:t>1</w:t>
            </w:r>
          </w:p>
        </w:tc>
        <w:tc>
          <w:tcPr>
            <w:tcW w:w="992" w:type="dxa"/>
            <w:vAlign w:val="bottom"/>
          </w:tcPr>
          <w:p w14:paraId="06289F75" w14:textId="77777777" w:rsidR="005728BA" w:rsidRPr="00C921DE" w:rsidRDefault="005728BA" w:rsidP="003169EA">
            <w:pPr>
              <w:jc w:val="right"/>
              <w:rPr>
                <w:rFonts w:ascii="GHEA Grapalat" w:hAnsi="GHEA Grapalat"/>
                <w:b/>
                <w:bCs/>
                <w:sz w:val="18"/>
                <w:szCs w:val="18"/>
              </w:rPr>
            </w:pPr>
            <w:r w:rsidRPr="00C921DE">
              <w:rPr>
                <w:rFonts w:ascii="GHEA Grapalat" w:hAnsi="GHEA Grapalat"/>
                <w:b/>
                <w:bCs/>
                <w:sz w:val="18"/>
                <w:szCs w:val="18"/>
              </w:rPr>
              <w:t>65,406.5</w:t>
            </w:r>
          </w:p>
        </w:tc>
        <w:tc>
          <w:tcPr>
            <w:tcW w:w="992" w:type="dxa"/>
            <w:vAlign w:val="bottom"/>
          </w:tcPr>
          <w:p w14:paraId="5F7A050C" w14:textId="77777777" w:rsidR="005728BA" w:rsidRPr="00C921DE" w:rsidRDefault="005728BA" w:rsidP="003169EA">
            <w:pPr>
              <w:jc w:val="right"/>
              <w:rPr>
                <w:rFonts w:ascii="GHEA Grapalat" w:hAnsi="GHEA Grapalat"/>
                <w:b/>
                <w:bCs/>
                <w:sz w:val="18"/>
                <w:szCs w:val="18"/>
                <w:lang w:val="en-US"/>
              </w:rPr>
            </w:pPr>
            <w:r w:rsidRPr="00C921DE">
              <w:rPr>
                <w:rFonts w:ascii="GHEA Grapalat" w:hAnsi="GHEA Grapalat"/>
                <w:b/>
                <w:bCs/>
                <w:sz w:val="18"/>
                <w:szCs w:val="18"/>
              </w:rPr>
              <w:t>62,722.2</w:t>
            </w:r>
          </w:p>
        </w:tc>
        <w:tc>
          <w:tcPr>
            <w:tcW w:w="1276" w:type="dxa"/>
            <w:vAlign w:val="bottom"/>
          </w:tcPr>
          <w:p w14:paraId="67208A61" w14:textId="77777777" w:rsidR="005728BA" w:rsidRPr="00C921DE" w:rsidRDefault="005728BA" w:rsidP="003169EA">
            <w:pPr>
              <w:jc w:val="right"/>
              <w:rPr>
                <w:rFonts w:ascii="GHEA Grapalat" w:hAnsi="GHEA Grapalat"/>
                <w:b/>
                <w:bCs/>
                <w:sz w:val="18"/>
                <w:szCs w:val="18"/>
              </w:rPr>
            </w:pPr>
            <w:r w:rsidRPr="00C921DE">
              <w:rPr>
                <w:rFonts w:ascii="GHEA Grapalat" w:hAnsi="GHEA Grapalat"/>
                <w:b/>
                <w:bCs/>
                <w:sz w:val="18"/>
                <w:szCs w:val="18"/>
              </w:rPr>
              <w:t>95.9</w:t>
            </w:r>
          </w:p>
        </w:tc>
        <w:tc>
          <w:tcPr>
            <w:tcW w:w="1276" w:type="dxa"/>
            <w:vAlign w:val="bottom"/>
          </w:tcPr>
          <w:p w14:paraId="66699017" w14:textId="77777777" w:rsidR="005728BA" w:rsidRPr="00C921DE" w:rsidRDefault="005728BA" w:rsidP="003169EA">
            <w:pPr>
              <w:jc w:val="right"/>
              <w:rPr>
                <w:rFonts w:ascii="GHEA Grapalat" w:hAnsi="GHEA Grapalat"/>
                <w:b/>
                <w:bCs/>
                <w:sz w:val="18"/>
                <w:szCs w:val="18"/>
              </w:rPr>
            </w:pPr>
            <w:r w:rsidRPr="00C921DE">
              <w:rPr>
                <w:rFonts w:ascii="GHEA Grapalat" w:hAnsi="GHEA Grapalat"/>
                <w:b/>
                <w:bCs/>
                <w:sz w:val="18"/>
                <w:szCs w:val="18"/>
              </w:rPr>
              <w:t>114.9</w:t>
            </w:r>
          </w:p>
        </w:tc>
        <w:tc>
          <w:tcPr>
            <w:tcW w:w="1084" w:type="dxa"/>
            <w:vAlign w:val="bottom"/>
          </w:tcPr>
          <w:p w14:paraId="7AC9AEEC" w14:textId="77777777" w:rsidR="005728BA" w:rsidRPr="00C921DE" w:rsidRDefault="005728BA" w:rsidP="003169EA">
            <w:pPr>
              <w:jc w:val="right"/>
              <w:rPr>
                <w:rFonts w:ascii="GHEA Grapalat" w:hAnsi="GHEA Grapalat"/>
                <w:b/>
                <w:bCs/>
                <w:sz w:val="18"/>
                <w:szCs w:val="18"/>
              </w:rPr>
            </w:pPr>
            <w:r w:rsidRPr="00C921DE">
              <w:rPr>
                <w:rFonts w:ascii="GHEA Grapalat" w:hAnsi="GHEA Grapalat"/>
                <w:b/>
                <w:bCs/>
                <w:sz w:val="18"/>
                <w:szCs w:val="18"/>
              </w:rPr>
              <w:t>8,127.1</w:t>
            </w:r>
          </w:p>
        </w:tc>
      </w:tr>
      <w:tr w:rsidR="005728BA" w:rsidRPr="00C921DE" w14:paraId="5998F7F1" w14:textId="77777777" w:rsidTr="00AC5938">
        <w:trPr>
          <w:trHeight w:val="331"/>
          <w:jc w:val="center"/>
        </w:trPr>
        <w:tc>
          <w:tcPr>
            <w:tcW w:w="3539" w:type="dxa"/>
            <w:vAlign w:val="bottom"/>
          </w:tcPr>
          <w:p w14:paraId="4A8282CC"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Գյուղատնտեսության խթանման ծրագիր</w:t>
            </w:r>
          </w:p>
        </w:tc>
        <w:tc>
          <w:tcPr>
            <w:tcW w:w="1276" w:type="dxa"/>
            <w:vAlign w:val="bottom"/>
          </w:tcPr>
          <w:p w14:paraId="0BE0AB46"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20</w:t>
            </w:r>
            <w:r w:rsidRPr="00C921DE">
              <w:rPr>
                <w:rFonts w:ascii="GHEA Grapalat" w:hAnsi="GHEA Grapalat"/>
                <w:sz w:val="18"/>
                <w:szCs w:val="18"/>
              </w:rPr>
              <w:t>,</w:t>
            </w:r>
            <w:r w:rsidRPr="00C921DE">
              <w:rPr>
                <w:rFonts w:ascii="GHEA Grapalat" w:hAnsi="GHEA Grapalat"/>
                <w:sz w:val="18"/>
                <w:szCs w:val="18"/>
                <w:lang w:val="en-US"/>
              </w:rPr>
              <w:t>7</w:t>
            </w:r>
            <w:r w:rsidRPr="00C921DE">
              <w:rPr>
                <w:rFonts w:ascii="GHEA Grapalat" w:hAnsi="GHEA Grapalat"/>
                <w:sz w:val="18"/>
                <w:szCs w:val="18"/>
              </w:rPr>
              <w:t>5</w:t>
            </w:r>
            <w:r w:rsidRPr="00C921DE">
              <w:rPr>
                <w:rFonts w:ascii="GHEA Grapalat" w:hAnsi="GHEA Grapalat"/>
                <w:sz w:val="18"/>
                <w:szCs w:val="18"/>
                <w:lang w:val="en-US"/>
              </w:rPr>
              <w:t>1</w:t>
            </w:r>
            <w:r w:rsidRPr="00C921DE">
              <w:rPr>
                <w:rFonts w:ascii="GHEA Grapalat" w:hAnsi="GHEA Grapalat"/>
                <w:sz w:val="18"/>
                <w:szCs w:val="18"/>
              </w:rPr>
              <w:t>.</w:t>
            </w:r>
            <w:r w:rsidRPr="00C921DE">
              <w:rPr>
                <w:rFonts w:ascii="GHEA Grapalat" w:hAnsi="GHEA Grapalat"/>
                <w:sz w:val="18"/>
                <w:szCs w:val="18"/>
                <w:lang w:val="en-US"/>
              </w:rPr>
              <w:t>6</w:t>
            </w:r>
          </w:p>
        </w:tc>
        <w:tc>
          <w:tcPr>
            <w:tcW w:w="992" w:type="dxa"/>
            <w:vAlign w:val="bottom"/>
          </w:tcPr>
          <w:p w14:paraId="451743C4"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16</w:t>
            </w:r>
            <w:r w:rsidRPr="00C921DE">
              <w:rPr>
                <w:rFonts w:ascii="GHEA Grapalat" w:hAnsi="GHEA Grapalat"/>
                <w:sz w:val="18"/>
                <w:szCs w:val="18"/>
              </w:rPr>
              <w:t>,20</w:t>
            </w:r>
            <w:r w:rsidRPr="00C921DE">
              <w:rPr>
                <w:rFonts w:ascii="GHEA Grapalat" w:hAnsi="GHEA Grapalat"/>
                <w:sz w:val="18"/>
                <w:szCs w:val="18"/>
                <w:lang w:val="en-US"/>
              </w:rPr>
              <w:t>3</w:t>
            </w:r>
            <w:r w:rsidRPr="00C921DE">
              <w:rPr>
                <w:rFonts w:ascii="GHEA Grapalat" w:hAnsi="GHEA Grapalat"/>
                <w:sz w:val="18"/>
                <w:szCs w:val="18"/>
              </w:rPr>
              <w:t>.</w:t>
            </w:r>
            <w:r w:rsidRPr="00C921DE">
              <w:rPr>
                <w:rFonts w:ascii="GHEA Grapalat" w:hAnsi="GHEA Grapalat"/>
                <w:sz w:val="18"/>
                <w:szCs w:val="18"/>
                <w:lang w:val="en-US"/>
              </w:rPr>
              <w:t>1</w:t>
            </w:r>
          </w:p>
        </w:tc>
        <w:tc>
          <w:tcPr>
            <w:tcW w:w="992" w:type="dxa"/>
            <w:vAlign w:val="bottom"/>
          </w:tcPr>
          <w:p w14:paraId="288F9DE8"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16</w:t>
            </w:r>
            <w:r w:rsidRPr="00C921DE">
              <w:rPr>
                <w:rFonts w:ascii="GHEA Grapalat" w:hAnsi="GHEA Grapalat"/>
                <w:sz w:val="18"/>
                <w:szCs w:val="18"/>
              </w:rPr>
              <w:t>,</w:t>
            </w:r>
            <w:r w:rsidRPr="00C921DE">
              <w:rPr>
                <w:rFonts w:ascii="GHEA Grapalat" w:hAnsi="GHEA Grapalat"/>
                <w:sz w:val="18"/>
                <w:szCs w:val="18"/>
                <w:lang w:val="en-US"/>
              </w:rPr>
              <w:t>176</w:t>
            </w:r>
            <w:r w:rsidRPr="00C921DE">
              <w:rPr>
                <w:rFonts w:ascii="GHEA Grapalat" w:hAnsi="GHEA Grapalat"/>
                <w:sz w:val="18"/>
                <w:szCs w:val="18"/>
              </w:rPr>
              <w:t>.</w:t>
            </w:r>
            <w:r w:rsidRPr="00C921DE">
              <w:rPr>
                <w:rFonts w:ascii="GHEA Grapalat" w:hAnsi="GHEA Grapalat"/>
                <w:sz w:val="18"/>
                <w:szCs w:val="18"/>
                <w:lang w:val="en-US"/>
              </w:rPr>
              <w:t>6</w:t>
            </w:r>
          </w:p>
        </w:tc>
        <w:tc>
          <w:tcPr>
            <w:tcW w:w="1276" w:type="dxa"/>
            <w:vAlign w:val="bottom"/>
          </w:tcPr>
          <w:p w14:paraId="28A98FBF"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rPr>
              <w:t>99.8</w:t>
            </w:r>
          </w:p>
        </w:tc>
        <w:tc>
          <w:tcPr>
            <w:tcW w:w="1276" w:type="dxa"/>
            <w:vAlign w:val="bottom"/>
          </w:tcPr>
          <w:p w14:paraId="0BFC4A49"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7</w:t>
            </w:r>
            <w:r w:rsidRPr="00C921DE">
              <w:rPr>
                <w:rFonts w:ascii="GHEA Grapalat" w:hAnsi="GHEA Grapalat"/>
                <w:sz w:val="18"/>
                <w:szCs w:val="18"/>
              </w:rPr>
              <w:t>8.</w:t>
            </w:r>
            <w:r w:rsidRPr="00C921DE">
              <w:rPr>
                <w:rFonts w:ascii="GHEA Grapalat" w:hAnsi="GHEA Grapalat"/>
                <w:sz w:val="18"/>
                <w:szCs w:val="18"/>
                <w:lang w:val="en-US"/>
              </w:rPr>
              <w:t>0</w:t>
            </w:r>
          </w:p>
        </w:tc>
        <w:tc>
          <w:tcPr>
            <w:tcW w:w="1084" w:type="dxa"/>
            <w:vAlign w:val="bottom"/>
          </w:tcPr>
          <w:p w14:paraId="68BA9953"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rPr>
              <w:t>(</w:t>
            </w: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575</w:t>
            </w:r>
            <w:r w:rsidRPr="00C921DE">
              <w:rPr>
                <w:rFonts w:ascii="GHEA Grapalat" w:hAnsi="GHEA Grapalat"/>
                <w:sz w:val="18"/>
                <w:szCs w:val="18"/>
              </w:rPr>
              <w:t>.</w:t>
            </w:r>
            <w:r w:rsidRPr="00C921DE">
              <w:rPr>
                <w:rFonts w:ascii="GHEA Grapalat" w:hAnsi="GHEA Grapalat"/>
                <w:sz w:val="18"/>
                <w:szCs w:val="18"/>
                <w:lang w:val="en-US"/>
              </w:rPr>
              <w:t>0</w:t>
            </w:r>
            <w:r w:rsidRPr="00C921DE">
              <w:rPr>
                <w:rFonts w:ascii="GHEA Grapalat" w:hAnsi="GHEA Grapalat"/>
                <w:sz w:val="18"/>
                <w:szCs w:val="18"/>
              </w:rPr>
              <w:t>)</w:t>
            </w:r>
          </w:p>
        </w:tc>
      </w:tr>
      <w:tr w:rsidR="005728BA" w:rsidRPr="00C921DE" w14:paraId="7AEB3946" w14:textId="77777777" w:rsidTr="00AC5938">
        <w:trPr>
          <w:trHeight w:val="331"/>
          <w:jc w:val="center"/>
        </w:trPr>
        <w:tc>
          <w:tcPr>
            <w:tcW w:w="3539" w:type="dxa"/>
            <w:vAlign w:val="bottom"/>
          </w:tcPr>
          <w:p w14:paraId="5C6CBCE1"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Բուսաբուծության խթանում և բույսերի պաշտպանություն</w:t>
            </w:r>
          </w:p>
        </w:tc>
        <w:tc>
          <w:tcPr>
            <w:tcW w:w="1276" w:type="dxa"/>
            <w:vAlign w:val="bottom"/>
          </w:tcPr>
          <w:p w14:paraId="5296E5E5"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rPr>
              <w:t>1</w:t>
            </w:r>
            <w:r w:rsidRPr="00C921DE">
              <w:rPr>
                <w:rFonts w:ascii="GHEA Grapalat" w:hAnsi="GHEA Grapalat"/>
                <w:sz w:val="18"/>
                <w:szCs w:val="18"/>
                <w:lang w:val="en-US"/>
              </w:rPr>
              <w:t>4</w:t>
            </w:r>
            <w:r w:rsidRPr="00C921DE">
              <w:rPr>
                <w:rFonts w:ascii="GHEA Grapalat" w:hAnsi="GHEA Grapalat"/>
                <w:sz w:val="18"/>
                <w:szCs w:val="18"/>
              </w:rPr>
              <w:t>3.5</w:t>
            </w:r>
          </w:p>
        </w:tc>
        <w:tc>
          <w:tcPr>
            <w:tcW w:w="992" w:type="dxa"/>
            <w:vAlign w:val="bottom"/>
          </w:tcPr>
          <w:p w14:paraId="01FE5A16"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89</w:t>
            </w:r>
            <w:r w:rsidRPr="00C921DE">
              <w:rPr>
                <w:rFonts w:ascii="GHEA Grapalat" w:hAnsi="GHEA Grapalat"/>
                <w:sz w:val="18"/>
                <w:szCs w:val="18"/>
              </w:rPr>
              <w:t>9.</w:t>
            </w:r>
            <w:r w:rsidRPr="00C921DE">
              <w:rPr>
                <w:rFonts w:ascii="GHEA Grapalat" w:hAnsi="GHEA Grapalat"/>
                <w:sz w:val="18"/>
                <w:szCs w:val="18"/>
                <w:lang w:val="en-US"/>
              </w:rPr>
              <w:t>9</w:t>
            </w:r>
          </w:p>
        </w:tc>
        <w:tc>
          <w:tcPr>
            <w:tcW w:w="992" w:type="dxa"/>
            <w:vAlign w:val="bottom"/>
          </w:tcPr>
          <w:p w14:paraId="15D2B3F2"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898</w:t>
            </w:r>
            <w:r w:rsidRPr="00C921DE">
              <w:rPr>
                <w:rFonts w:ascii="GHEA Grapalat" w:hAnsi="GHEA Grapalat"/>
                <w:sz w:val="18"/>
                <w:szCs w:val="18"/>
              </w:rPr>
              <w:t>.</w:t>
            </w:r>
            <w:r w:rsidRPr="00C921DE">
              <w:rPr>
                <w:rFonts w:ascii="GHEA Grapalat" w:hAnsi="GHEA Grapalat"/>
                <w:sz w:val="18"/>
                <w:szCs w:val="18"/>
                <w:lang w:val="en-US"/>
              </w:rPr>
              <w:t>8</w:t>
            </w:r>
          </w:p>
        </w:tc>
        <w:tc>
          <w:tcPr>
            <w:tcW w:w="1276" w:type="dxa"/>
            <w:vAlign w:val="bottom"/>
          </w:tcPr>
          <w:p w14:paraId="4F4DF600"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100</w:t>
            </w:r>
            <w:r w:rsidRPr="00C921DE">
              <w:rPr>
                <w:rFonts w:ascii="GHEA Grapalat" w:hAnsi="GHEA Grapalat"/>
                <w:sz w:val="18"/>
                <w:szCs w:val="18"/>
              </w:rPr>
              <w:t>.</w:t>
            </w:r>
            <w:r w:rsidRPr="00C921DE">
              <w:rPr>
                <w:rFonts w:ascii="GHEA Grapalat" w:hAnsi="GHEA Grapalat"/>
                <w:sz w:val="18"/>
                <w:szCs w:val="18"/>
                <w:lang w:val="en-US"/>
              </w:rPr>
              <w:t>0</w:t>
            </w:r>
          </w:p>
        </w:tc>
        <w:tc>
          <w:tcPr>
            <w:tcW w:w="1276" w:type="dxa"/>
            <w:vAlign w:val="bottom"/>
          </w:tcPr>
          <w:p w14:paraId="7CE3397C"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3,</w:t>
            </w:r>
            <w:r w:rsidRPr="00C921DE">
              <w:rPr>
                <w:rFonts w:ascii="GHEA Grapalat" w:hAnsi="GHEA Grapalat"/>
                <w:sz w:val="18"/>
                <w:szCs w:val="18"/>
              </w:rPr>
              <w:t>4</w:t>
            </w:r>
            <w:r w:rsidRPr="00C921DE">
              <w:rPr>
                <w:rFonts w:ascii="GHEA Grapalat" w:hAnsi="GHEA Grapalat"/>
                <w:sz w:val="18"/>
                <w:szCs w:val="18"/>
                <w:lang w:val="en-US"/>
              </w:rPr>
              <w:t>14</w:t>
            </w:r>
            <w:r w:rsidRPr="00C921DE">
              <w:rPr>
                <w:rFonts w:ascii="GHEA Grapalat" w:hAnsi="GHEA Grapalat"/>
                <w:sz w:val="18"/>
                <w:szCs w:val="18"/>
              </w:rPr>
              <w:t>.</w:t>
            </w:r>
            <w:r w:rsidRPr="00C921DE">
              <w:rPr>
                <w:rFonts w:ascii="GHEA Grapalat" w:hAnsi="GHEA Grapalat"/>
                <w:sz w:val="18"/>
                <w:szCs w:val="18"/>
                <w:lang w:val="en-US"/>
              </w:rPr>
              <w:t>7</w:t>
            </w:r>
          </w:p>
        </w:tc>
        <w:tc>
          <w:tcPr>
            <w:tcW w:w="1084" w:type="dxa"/>
            <w:vAlign w:val="bottom"/>
          </w:tcPr>
          <w:p w14:paraId="342141EF"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w:t>
            </w:r>
            <w:r w:rsidRPr="00C921DE">
              <w:rPr>
                <w:rFonts w:ascii="GHEA Grapalat" w:hAnsi="GHEA Grapalat"/>
                <w:sz w:val="18"/>
                <w:szCs w:val="18"/>
              </w:rPr>
              <w:t>,7</w:t>
            </w:r>
            <w:r w:rsidRPr="00C921DE">
              <w:rPr>
                <w:rFonts w:ascii="GHEA Grapalat" w:hAnsi="GHEA Grapalat"/>
                <w:sz w:val="18"/>
                <w:szCs w:val="18"/>
                <w:lang w:val="en-US"/>
              </w:rPr>
              <w:t>55</w:t>
            </w:r>
            <w:r w:rsidRPr="00C921DE">
              <w:rPr>
                <w:rFonts w:ascii="GHEA Grapalat" w:hAnsi="GHEA Grapalat"/>
                <w:sz w:val="18"/>
                <w:szCs w:val="18"/>
              </w:rPr>
              <w:t>.</w:t>
            </w:r>
            <w:r w:rsidRPr="00C921DE">
              <w:rPr>
                <w:rFonts w:ascii="GHEA Grapalat" w:hAnsi="GHEA Grapalat"/>
                <w:sz w:val="18"/>
                <w:szCs w:val="18"/>
                <w:lang w:val="en-US"/>
              </w:rPr>
              <w:t>3</w:t>
            </w:r>
          </w:p>
        </w:tc>
      </w:tr>
      <w:tr w:rsidR="005728BA" w:rsidRPr="00C921DE" w14:paraId="71116D76" w14:textId="77777777" w:rsidTr="00AC5938">
        <w:trPr>
          <w:trHeight w:val="300"/>
          <w:jc w:val="center"/>
        </w:trPr>
        <w:tc>
          <w:tcPr>
            <w:tcW w:w="3539" w:type="dxa"/>
            <w:vAlign w:val="bottom"/>
          </w:tcPr>
          <w:p w14:paraId="2D012F43"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Գյուղական ենթակառուցվածքների վերականգնում և զարգացում</w:t>
            </w:r>
          </w:p>
        </w:tc>
        <w:tc>
          <w:tcPr>
            <w:tcW w:w="1276" w:type="dxa"/>
            <w:vAlign w:val="bottom"/>
          </w:tcPr>
          <w:p w14:paraId="217EE87F"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1,547.7</w:t>
            </w:r>
          </w:p>
        </w:tc>
        <w:tc>
          <w:tcPr>
            <w:tcW w:w="992" w:type="dxa"/>
            <w:vAlign w:val="bottom"/>
          </w:tcPr>
          <w:p w14:paraId="1CAA0ABC"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lang w:val="en-US"/>
              </w:rPr>
              <w:t>74.5</w:t>
            </w:r>
          </w:p>
        </w:tc>
        <w:tc>
          <w:tcPr>
            <w:tcW w:w="992" w:type="dxa"/>
            <w:vAlign w:val="bottom"/>
          </w:tcPr>
          <w:p w14:paraId="426A836C"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66.5</w:t>
            </w:r>
          </w:p>
        </w:tc>
        <w:tc>
          <w:tcPr>
            <w:tcW w:w="1276" w:type="dxa"/>
            <w:vAlign w:val="bottom"/>
          </w:tcPr>
          <w:p w14:paraId="0B4097C3"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89.3</w:t>
            </w:r>
          </w:p>
        </w:tc>
        <w:tc>
          <w:tcPr>
            <w:tcW w:w="1276" w:type="dxa"/>
            <w:vAlign w:val="bottom"/>
          </w:tcPr>
          <w:p w14:paraId="480AB8EE"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4.3</w:t>
            </w:r>
          </w:p>
        </w:tc>
        <w:tc>
          <w:tcPr>
            <w:tcW w:w="1084" w:type="dxa"/>
            <w:vAlign w:val="bottom"/>
          </w:tcPr>
          <w:p w14:paraId="5E6558ED"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(1,481.2)</w:t>
            </w:r>
          </w:p>
        </w:tc>
      </w:tr>
      <w:tr w:rsidR="005728BA" w:rsidRPr="00C921DE" w14:paraId="0A1ABB7E" w14:textId="77777777" w:rsidTr="00AC5938">
        <w:trPr>
          <w:trHeight w:val="300"/>
          <w:jc w:val="center"/>
        </w:trPr>
        <w:tc>
          <w:tcPr>
            <w:tcW w:w="3539" w:type="dxa"/>
          </w:tcPr>
          <w:p w14:paraId="44A14140"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Գիտելիքահենք, նորարարական տնտեսությանը և փոքր ու միջին ձեռնարկատիրությանը աջակցություն</w:t>
            </w:r>
          </w:p>
        </w:tc>
        <w:tc>
          <w:tcPr>
            <w:tcW w:w="1276" w:type="dxa"/>
            <w:vAlign w:val="bottom"/>
          </w:tcPr>
          <w:p w14:paraId="795117FA"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311</w:t>
            </w:r>
            <w:r w:rsidRPr="00C921DE">
              <w:rPr>
                <w:rFonts w:ascii="GHEA Grapalat" w:hAnsi="GHEA Grapalat"/>
                <w:sz w:val="18"/>
                <w:szCs w:val="18"/>
              </w:rPr>
              <w:t>.</w:t>
            </w:r>
            <w:r w:rsidRPr="00C921DE">
              <w:rPr>
                <w:rFonts w:ascii="GHEA Grapalat" w:hAnsi="GHEA Grapalat"/>
                <w:sz w:val="18"/>
                <w:szCs w:val="18"/>
                <w:lang w:val="en-US"/>
              </w:rPr>
              <w:t>8</w:t>
            </w:r>
          </w:p>
        </w:tc>
        <w:tc>
          <w:tcPr>
            <w:tcW w:w="992" w:type="dxa"/>
            <w:vAlign w:val="bottom"/>
          </w:tcPr>
          <w:p w14:paraId="3711C8F5"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9</w:t>
            </w:r>
            <w:r w:rsidRPr="00C921DE">
              <w:rPr>
                <w:rFonts w:ascii="GHEA Grapalat" w:hAnsi="GHEA Grapalat"/>
                <w:sz w:val="18"/>
                <w:szCs w:val="18"/>
              </w:rPr>
              <w:t>,</w:t>
            </w:r>
            <w:r w:rsidRPr="00C921DE">
              <w:rPr>
                <w:rFonts w:ascii="GHEA Grapalat" w:hAnsi="GHEA Grapalat"/>
                <w:sz w:val="18"/>
                <w:szCs w:val="18"/>
                <w:lang w:val="en-US"/>
              </w:rPr>
              <w:t>3</w:t>
            </w:r>
            <w:r w:rsidRPr="00C921DE">
              <w:rPr>
                <w:rFonts w:ascii="GHEA Grapalat" w:hAnsi="GHEA Grapalat"/>
                <w:sz w:val="18"/>
                <w:szCs w:val="18"/>
              </w:rPr>
              <w:t>0</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1</w:t>
            </w:r>
          </w:p>
        </w:tc>
        <w:tc>
          <w:tcPr>
            <w:tcW w:w="992" w:type="dxa"/>
            <w:vAlign w:val="bottom"/>
          </w:tcPr>
          <w:p w14:paraId="405731A6"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8</w:t>
            </w:r>
            <w:r w:rsidRPr="00C921DE">
              <w:rPr>
                <w:rFonts w:ascii="GHEA Grapalat" w:hAnsi="GHEA Grapalat"/>
                <w:sz w:val="18"/>
                <w:szCs w:val="18"/>
              </w:rPr>
              <w:t>,7</w:t>
            </w:r>
            <w:r w:rsidRPr="00C921DE">
              <w:rPr>
                <w:rFonts w:ascii="GHEA Grapalat" w:hAnsi="GHEA Grapalat"/>
                <w:sz w:val="18"/>
                <w:szCs w:val="18"/>
                <w:lang w:val="en-US"/>
              </w:rPr>
              <w:t>33</w:t>
            </w:r>
            <w:r w:rsidRPr="00C921DE">
              <w:rPr>
                <w:rFonts w:ascii="GHEA Grapalat" w:hAnsi="GHEA Grapalat"/>
                <w:sz w:val="18"/>
                <w:szCs w:val="18"/>
              </w:rPr>
              <w:t>.</w:t>
            </w:r>
            <w:r w:rsidRPr="00C921DE">
              <w:rPr>
                <w:rFonts w:ascii="GHEA Grapalat" w:hAnsi="GHEA Grapalat"/>
                <w:sz w:val="18"/>
                <w:szCs w:val="18"/>
                <w:lang w:val="en-US"/>
              </w:rPr>
              <w:t>8</w:t>
            </w:r>
          </w:p>
        </w:tc>
        <w:tc>
          <w:tcPr>
            <w:tcW w:w="1276" w:type="dxa"/>
            <w:vAlign w:val="bottom"/>
          </w:tcPr>
          <w:p w14:paraId="6C18948E"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rPr>
              <w:t>9</w:t>
            </w:r>
            <w:r w:rsidRPr="00C921DE">
              <w:rPr>
                <w:rFonts w:ascii="GHEA Grapalat" w:hAnsi="GHEA Grapalat"/>
                <w:sz w:val="18"/>
                <w:szCs w:val="18"/>
                <w:lang w:val="en-US"/>
              </w:rPr>
              <w:t>3</w:t>
            </w:r>
            <w:r w:rsidRPr="00C921DE">
              <w:rPr>
                <w:rFonts w:ascii="GHEA Grapalat" w:hAnsi="GHEA Grapalat"/>
                <w:sz w:val="18"/>
                <w:szCs w:val="18"/>
              </w:rPr>
              <w:t>.8</w:t>
            </w:r>
          </w:p>
        </w:tc>
        <w:tc>
          <w:tcPr>
            <w:tcW w:w="1276" w:type="dxa"/>
            <w:vAlign w:val="bottom"/>
          </w:tcPr>
          <w:p w14:paraId="0607F0F8"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202</w:t>
            </w:r>
            <w:r w:rsidRPr="00C921DE">
              <w:rPr>
                <w:rFonts w:ascii="GHEA Grapalat" w:hAnsi="GHEA Grapalat"/>
                <w:sz w:val="18"/>
                <w:szCs w:val="18"/>
              </w:rPr>
              <w:t>.</w:t>
            </w:r>
            <w:r w:rsidRPr="00C921DE">
              <w:rPr>
                <w:rFonts w:ascii="GHEA Grapalat" w:hAnsi="GHEA Grapalat"/>
                <w:sz w:val="18"/>
                <w:szCs w:val="18"/>
                <w:lang w:val="en-US"/>
              </w:rPr>
              <w:t>6</w:t>
            </w:r>
          </w:p>
        </w:tc>
        <w:tc>
          <w:tcPr>
            <w:tcW w:w="1084" w:type="dxa"/>
            <w:vAlign w:val="bottom"/>
          </w:tcPr>
          <w:p w14:paraId="79B4046D"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4</w:t>
            </w:r>
            <w:r w:rsidRPr="00C921DE">
              <w:rPr>
                <w:rFonts w:ascii="GHEA Grapalat" w:hAnsi="GHEA Grapalat"/>
                <w:sz w:val="18"/>
                <w:szCs w:val="18"/>
              </w:rPr>
              <w:t>2</w:t>
            </w:r>
            <w:r w:rsidRPr="00C921DE">
              <w:rPr>
                <w:rFonts w:ascii="GHEA Grapalat" w:hAnsi="GHEA Grapalat"/>
                <w:sz w:val="18"/>
                <w:szCs w:val="18"/>
                <w:lang w:val="en-US"/>
              </w:rPr>
              <w:t>2</w:t>
            </w:r>
            <w:r w:rsidRPr="00C921DE">
              <w:rPr>
                <w:rFonts w:ascii="GHEA Grapalat" w:hAnsi="GHEA Grapalat"/>
                <w:sz w:val="18"/>
                <w:szCs w:val="18"/>
              </w:rPr>
              <w:t>.</w:t>
            </w:r>
            <w:r w:rsidRPr="00C921DE">
              <w:rPr>
                <w:rFonts w:ascii="GHEA Grapalat" w:hAnsi="GHEA Grapalat"/>
                <w:sz w:val="18"/>
                <w:szCs w:val="18"/>
                <w:lang w:val="en-US"/>
              </w:rPr>
              <w:t>0</w:t>
            </w:r>
          </w:p>
        </w:tc>
      </w:tr>
      <w:tr w:rsidR="005728BA" w:rsidRPr="00C921DE" w14:paraId="311E32F7" w14:textId="77777777" w:rsidTr="00AC5938">
        <w:trPr>
          <w:trHeight w:val="300"/>
          <w:jc w:val="center"/>
        </w:trPr>
        <w:tc>
          <w:tcPr>
            <w:tcW w:w="3539" w:type="dxa"/>
            <w:vAlign w:val="bottom"/>
          </w:tcPr>
          <w:p w14:paraId="3E9787D9"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Ներդրումների և արտահանման խթանման ծրագիր</w:t>
            </w:r>
          </w:p>
        </w:tc>
        <w:tc>
          <w:tcPr>
            <w:tcW w:w="1276" w:type="dxa"/>
            <w:vAlign w:val="bottom"/>
          </w:tcPr>
          <w:p w14:paraId="564356B7"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2</w:t>
            </w:r>
            <w:r w:rsidRPr="00C921DE">
              <w:rPr>
                <w:rFonts w:ascii="GHEA Grapalat" w:hAnsi="GHEA Grapalat"/>
                <w:sz w:val="18"/>
                <w:szCs w:val="18"/>
              </w:rPr>
              <w:t>,</w:t>
            </w:r>
            <w:r w:rsidRPr="00C921DE">
              <w:rPr>
                <w:rFonts w:ascii="GHEA Grapalat" w:hAnsi="GHEA Grapalat"/>
                <w:sz w:val="18"/>
                <w:szCs w:val="18"/>
                <w:lang w:val="en-US"/>
              </w:rPr>
              <w:t>266</w:t>
            </w:r>
            <w:r w:rsidRPr="00C921DE">
              <w:rPr>
                <w:rFonts w:ascii="GHEA Grapalat" w:hAnsi="GHEA Grapalat"/>
                <w:sz w:val="18"/>
                <w:szCs w:val="18"/>
              </w:rPr>
              <w:t>.</w:t>
            </w:r>
            <w:r w:rsidRPr="00C921DE">
              <w:rPr>
                <w:rFonts w:ascii="GHEA Grapalat" w:hAnsi="GHEA Grapalat"/>
                <w:sz w:val="18"/>
                <w:szCs w:val="18"/>
                <w:lang w:val="en-US"/>
              </w:rPr>
              <w:t>1</w:t>
            </w:r>
          </w:p>
        </w:tc>
        <w:tc>
          <w:tcPr>
            <w:tcW w:w="992" w:type="dxa"/>
            <w:vAlign w:val="bottom"/>
          </w:tcPr>
          <w:p w14:paraId="70627DDF"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643</w:t>
            </w:r>
            <w:r w:rsidRPr="00C921DE">
              <w:rPr>
                <w:rFonts w:ascii="GHEA Grapalat" w:hAnsi="GHEA Grapalat"/>
                <w:sz w:val="18"/>
                <w:szCs w:val="18"/>
              </w:rPr>
              <w:t>.</w:t>
            </w:r>
            <w:r w:rsidRPr="00C921DE">
              <w:rPr>
                <w:rFonts w:ascii="GHEA Grapalat" w:hAnsi="GHEA Grapalat"/>
                <w:sz w:val="18"/>
                <w:szCs w:val="18"/>
                <w:lang w:val="en-US"/>
              </w:rPr>
              <w:t>0</w:t>
            </w:r>
          </w:p>
        </w:tc>
        <w:tc>
          <w:tcPr>
            <w:tcW w:w="992" w:type="dxa"/>
            <w:vAlign w:val="bottom"/>
          </w:tcPr>
          <w:p w14:paraId="0D83DA96"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3</w:t>
            </w:r>
            <w:r w:rsidRPr="00C921DE">
              <w:rPr>
                <w:rFonts w:ascii="GHEA Grapalat" w:hAnsi="GHEA Grapalat"/>
                <w:sz w:val="18"/>
                <w:szCs w:val="18"/>
              </w:rPr>
              <w:t>,</w:t>
            </w:r>
            <w:r w:rsidRPr="00C921DE">
              <w:rPr>
                <w:rFonts w:ascii="GHEA Grapalat" w:hAnsi="GHEA Grapalat"/>
                <w:sz w:val="18"/>
                <w:szCs w:val="18"/>
                <w:lang w:val="en-US"/>
              </w:rPr>
              <w:t>325</w:t>
            </w:r>
            <w:r w:rsidRPr="00C921DE">
              <w:rPr>
                <w:rFonts w:ascii="GHEA Grapalat" w:hAnsi="GHEA Grapalat"/>
                <w:sz w:val="18"/>
                <w:szCs w:val="18"/>
              </w:rPr>
              <w:t>.</w:t>
            </w:r>
            <w:r w:rsidRPr="00C921DE">
              <w:rPr>
                <w:rFonts w:ascii="GHEA Grapalat" w:hAnsi="GHEA Grapalat"/>
                <w:sz w:val="18"/>
                <w:szCs w:val="18"/>
                <w:lang w:val="en-US"/>
              </w:rPr>
              <w:t>2</w:t>
            </w:r>
          </w:p>
        </w:tc>
        <w:tc>
          <w:tcPr>
            <w:tcW w:w="1276" w:type="dxa"/>
            <w:vAlign w:val="bottom"/>
          </w:tcPr>
          <w:p w14:paraId="166568AA"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lang w:val="en-US"/>
              </w:rPr>
              <w:t>71.6</w:t>
            </w:r>
          </w:p>
        </w:tc>
        <w:tc>
          <w:tcPr>
            <w:tcW w:w="1276" w:type="dxa"/>
            <w:vAlign w:val="bottom"/>
          </w:tcPr>
          <w:p w14:paraId="4B6CEFC3"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rPr>
              <w:t>14</w:t>
            </w:r>
            <w:r w:rsidRPr="00C921DE">
              <w:rPr>
                <w:rFonts w:ascii="GHEA Grapalat" w:hAnsi="GHEA Grapalat"/>
                <w:sz w:val="18"/>
                <w:szCs w:val="18"/>
                <w:lang w:val="en-US"/>
              </w:rPr>
              <w:t>6</w:t>
            </w:r>
            <w:r w:rsidRPr="00C921DE">
              <w:rPr>
                <w:rFonts w:ascii="GHEA Grapalat" w:hAnsi="GHEA Grapalat"/>
                <w:sz w:val="18"/>
                <w:szCs w:val="18"/>
              </w:rPr>
              <w:t>.</w:t>
            </w:r>
            <w:r w:rsidRPr="00C921DE">
              <w:rPr>
                <w:rFonts w:ascii="GHEA Grapalat" w:hAnsi="GHEA Grapalat"/>
                <w:sz w:val="18"/>
                <w:szCs w:val="18"/>
                <w:lang w:val="en-US"/>
              </w:rPr>
              <w:t>7</w:t>
            </w:r>
          </w:p>
        </w:tc>
        <w:tc>
          <w:tcPr>
            <w:tcW w:w="1084" w:type="dxa"/>
            <w:vAlign w:val="bottom"/>
          </w:tcPr>
          <w:p w14:paraId="2D36F9E9"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w:t>
            </w:r>
            <w:r w:rsidRPr="00C921DE">
              <w:rPr>
                <w:rFonts w:ascii="GHEA Grapalat" w:hAnsi="GHEA Grapalat"/>
                <w:sz w:val="18"/>
                <w:szCs w:val="18"/>
              </w:rPr>
              <w:t>,</w:t>
            </w:r>
            <w:r w:rsidRPr="00C921DE">
              <w:rPr>
                <w:rFonts w:ascii="GHEA Grapalat" w:hAnsi="GHEA Grapalat"/>
                <w:sz w:val="18"/>
                <w:szCs w:val="18"/>
                <w:lang w:val="en-US"/>
              </w:rPr>
              <w:t>059</w:t>
            </w:r>
            <w:r w:rsidRPr="00C921DE">
              <w:rPr>
                <w:rFonts w:ascii="GHEA Grapalat" w:hAnsi="GHEA Grapalat"/>
                <w:sz w:val="18"/>
                <w:szCs w:val="18"/>
              </w:rPr>
              <w:t>.</w:t>
            </w:r>
            <w:r w:rsidRPr="00C921DE">
              <w:rPr>
                <w:rFonts w:ascii="GHEA Grapalat" w:hAnsi="GHEA Grapalat"/>
                <w:sz w:val="18"/>
                <w:szCs w:val="18"/>
                <w:lang w:val="en-US"/>
              </w:rPr>
              <w:t>1</w:t>
            </w:r>
          </w:p>
        </w:tc>
      </w:tr>
      <w:tr w:rsidR="005728BA" w:rsidRPr="00C921DE" w14:paraId="227C9938" w14:textId="77777777" w:rsidTr="00AC5938">
        <w:trPr>
          <w:trHeight w:val="300"/>
          <w:jc w:val="center"/>
        </w:trPr>
        <w:tc>
          <w:tcPr>
            <w:tcW w:w="3539" w:type="dxa"/>
            <w:vAlign w:val="bottom"/>
          </w:tcPr>
          <w:p w14:paraId="6E9606F8"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lastRenderedPageBreak/>
              <w:t>Գյուղատնտեսության արդիականացման ծրագիր</w:t>
            </w:r>
          </w:p>
        </w:tc>
        <w:tc>
          <w:tcPr>
            <w:tcW w:w="1276" w:type="dxa"/>
            <w:vAlign w:val="bottom"/>
          </w:tcPr>
          <w:p w14:paraId="0C963EC0"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12</w:t>
            </w:r>
            <w:r w:rsidRPr="00C921DE">
              <w:rPr>
                <w:rFonts w:ascii="GHEA Grapalat" w:hAnsi="GHEA Grapalat"/>
                <w:sz w:val="18"/>
                <w:szCs w:val="18"/>
              </w:rPr>
              <w:t>,</w:t>
            </w:r>
            <w:r w:rsidRPr="00C921DE">
              <w:rPr>
                <w:rFonts w:ascii="GHEA Grapalat" w:hAnsi="GHEA Grapalat"/>
                <w:sz w:val="18"/>
                <w:szCs w:val="18"/>
                <w:lang w:val="en-US"/>
              </w:rPr>
              <w:t>181</w:t>
            </w:r>
            <w:r w:rsidRPr="00C921DE">
              <w:rPr>
                <w:rFonts w:ascii="GHEA Grapalat" w:hAnsi="GHEA Grapalat"/>
                <w:sz w:val="18"/>
                <w:szCs w:val="18"/>
              </w:rPr>
              <w:t>.</w:t>
            </w:r>
            <w:r w:rsidRPr="00C921DE">
              <w:rPr>
                <w:rFonts w:ascii="GHEA Grapalat" w:hAnsi="GHEA Grapalat"/>
                <w:sz w:val="18"/>
                <w:szCs w:val="18"/>
                <w:lang w:val="en-US"/>
              </w:rPr>
              <w:t>1</w:t>
            </w:r>
          </w:p>
        </w:tc>
        <w:tc>
          <w:tcPr>
            <w:tcW w:w="992" w:type="dxa"/>
            <w:vAlign w:val="bottom"/>
          </w:tcPr>
          <w:p w14:paraId="7AF1F987"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74</w:t>
            </w:r>
            <w:r w:rsidRPr="00C921DE">
              <w:rPr>
                <w:rFonts w:ascii="GHEA Grapalat" w:hAnsi="GHEA Grapalat"/>
                <w:sz w:val="18"/>
                <w:szCs w:val="18"/>
              </w:rPr>
              <w:t>0.</w:t>
            </w:r>
            <w:r w:rsidRPr="00C921DE">
              <w:rPr>
                <w:rFonts w:ascii="GHEA Grapalat" w:hAnsi="GHEA Grapalat"/>
                <w:sz w:val="18"/>
                <w:szCs w:val="18"/>
                <w:lang w:val="en-US"/>
              </w:rPr>
              <w:t>4</w:t>
            </w:r>
          </w:p>
        </w:tc>
        <w:tc>
          <w:tcPr>
            <w:tcW w:w="992" w:type="dxa"/>
            <w:vAlign w:val="bottom"/>
          </w:tcPr>
          <w:p w14:paraId="2FFEAF92"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521</w:t>
            </w:r>
            <w:r w:rsidRPr="00C921DE">
              <w:rPr>
                <w:rFonts w:ascii="GHEA Grapalat" w:hAnsi="GHEA Grapalat"/>
                <w:sz w:val="18"/>
                <w:szCs w:val="18"/>
              </w:rPr>
              <w:t>.</w:t>
            </w:r>
            <w:r w:rsidRPr="00C921DE">
              <w:rPr>
                <w:rFonts w:ascii="GHEA Grapalat" w:hAnsi="GHEA Grapalat"/>
                <w:sz w:val="18"/>
                <w:szCs w:val="18"/>
                <w:lang w:val="en-US"/>
              </w:rPr>
              <w:t>5</w:t>
            </w:r>
          </w:p>
        </w:tc>
        <w:tc>
          <w:tcPr>
            <w:tcW w:w="1276" w:type="dxa"/>
            <w:vAlign w:val="bottom"/>
          </w:tcPr>
          <w:p w14:paraId="58A253DF"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rPr>
              <w:t>98.</w:t>
            </w:r>
            <w:r w:rsidRPr="00C921DE">
              <w:rPr>
                <w:rFonts w:ascii="GHEA Grapalat" w:hAnsi="GHEA Grapalat"/>
                <w:sz w:val="18"/>
                <w:szCs w:val="18"/>
                <w:lang w:val="en-US"/>
              </w:rPr>
              <w:t>8</w:t>
            </w:r>
          </w:p>
        </w:tc>
        <w:tc>
          <w:tcPr>
            <w:tcW w:w="1276" w:type="dxa"/>
            <w:vAlign w:val="bottom"/>
          </w:tcPr>
          <w:p w14:paraId="66787810"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rPr>
              <w:t>14</w:t>
            </w:r>
            <w:r w:rsidRPr="00C921DE">
              <w:rPr>
                <w:rFonts w:ascii="GHEA Grapalat" w:hAnsi="GHEA Grapalat"/>
                <w:sz w:val="18"/>
                <w:szCs w:val="18"/>
                <w:lang w:val="en-US"/>
              </w:rPr>
              <w:t>3</w:t>
            </w:r>
            <w:r w:rsidRPr="00C921DE">
              <w:rPr>
                <w:rFonts w:ascii="GHEA Grapalat" w:hAnsi="GHEA Grapalat"/>
                <w:sz w:val="18"/>
                <w:szCs w:val="18"/>
              </w:rPr>
              <w:t>.</w:t>
            </w:r>
            <w:r w:rsidRPr="00C921DE">
              <w:rPr>
                <w:rFonts w:ascii="GHEA Grapalat" w:hAnsi="GHEA Grapalat"/>
                <w:sz w:val="18"/>
                <w:szCs w:val="18"/>
                <w:lang w:val="en-US"/>
              </w:rPr>
              <w:t>8</w:t>
            </w:r>
          </w:p>
        </w:tc>
        <w:tc>
          <w:tcPr>
            <w:tcW w:w="1084" w:type="dxa"/>
            <w:vAlign w:val="bottom"/>
          </w:tcPr>
          <w:p w14:paraId="36A2E6CA"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3</w:t>
            </w:r>
            <w:r w:rsidRPr="00C921DE">
              <w:rPr>
                <w:rFonts w:ascii="GHEA Grapalat" w:hAnsi="GHEA Grapalat"/>
                <w:sz w:val="18"/>
                <w:szCs w:val="18"/>
              </w:rPr>
              <w:t>4</w:t>
            </w:r>
            <w:r w:rsidRPr="00C921DE">
              <w:rPr>
                <w:rFonts w:ascii="GHEA Grapalat" w:hAnsi="GHEA Grapalat"/>
                <w:sz w:val="18"/>
                <w:szCs w:val="18"/>
                <w:lang w:val="en-US"/>
              </w:rPr>
              <w:t>0</w:t>
            </w:r>
            <w:r w:rsidRPr="00C921DE">
              <w:rPr>
                <w:rFonts w:ascii="GHEA Grapalat" w:hAnsi="GHEA Grapalat"/>
                <w:sz w:val="18"/>
                <w:szCs w:val="18"/>
              </w:rPr>
              <w:t>.</w:t>
            </w:r>
            <w:r w:rsidRPr="00C921DE">
              <w:rPr>
                <w:rFonts w:ascii="GHEA Grapalat" w:hAnsi="GHEA Grapalat"/>
                <w:sz w:val="18"/>
                <w:szCs w:val="18"/>
                <w:lang w:val="en-US"/>
              </w:rPr>
              <w:t>4</w:t>
            </w:r>
          </w:p>
        </w:tc>
      </w:tr>
      <w:tr w:rsidR="005728BA" w:rsidRPr="00C921DE" w14:paraId="07892141" w14:textId="77777777" w:rsidTr="00AC5938">
        <w:trPr>
          <w:trHeight w:val="300"/>
          <w:jc w:val="center"/>
        </w:trPr>
        <w:tc>
          <w:tcPr>
            <w:tcW w:w="3539" w:type="dxa"/>
            <w:vAlign w:val="bottom"/>
          </w:tcPr>
          <w:p w14:paraId="210EB7E9"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Զբոսաշրջության զարգացման ծրագիր</w:t>
            </w:r>
          </w:p>
        </w:tc>
        <w:tc>
          <w:tcPr>
            <w:tcW w:w="1276" w:type="dxa"/>
            <w:vAlign w:val="bottom"/>
          </w:tcPr>
          <w:p w14:paraId="4CB232D2"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2,441.0</w:t>
            </w:r>
          </w:p>
        </w:tc>
        <w:tc>
          <w:tcPr>
            <w:tcW w:w="992" w:type="dxa"/>
            <w:vAlign w:val="bottom"/>
          </w:tcPr>
          <w:p w14:paraId="6B547F93"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6</w:t>
            </w:r>
            <w:r w:rsidRPr="00C921DE">
              <w:rPr>
                <w:rFonts w:ascii="GHEA Grapalat" w:hAnsi="GHEA Grapalat"/>
                <w:sz w:val="18"/>
                <w:szCs w:val="18"/>
              </w:rPr>
              <w:t>,</w:t>
            </w:r>
            <w:r w:rsidRPr="00C921DE">
              <w:rPr>
                <w:rFonts w:ascii="GHEA Grapalat" w:hAnsi="GHEA Grapalat"/>
                <w:sz w:val="18"/>
                <w:szCs w:val="18"/>
                <w:lang w:val="en-US"/>
              </w:rPr>
              <w:t>584</w:t>
            </w:r>
            <w:r w:rsidRPr="00C921DE">
              <w:rPr>
                <w:rFonts w:ascii="GHEA Grapalat" w:hAnsi="GHEA Grapalat"/>
                <w:sz w:val="18"/>
                <w:szCs w:val="18"/>
              </w:rPr>
              <w:t>.</w:t>
            </w:r>
            <w:r w:rsidRPr="00C921DE">
              <w:rPr>
                <w:rFonts w:ascii="GHEA Grapalat" w:hAnsi="GHEA Grapalat"/>
                <w:sz w:val="18"/>
                <w:szCs w:val="18"/>
                <w:lang w:val="en-US"/>
              </w:rPr>
              <w:t>2</w:t>
            </w:r>
          </w:p>
        </w:tc>
        <w:tc>
          <w:tcPr>
            <w:tcW w:w="992" w:type="dxa"/>
            <w:vAlign w:val="bottom"/>
          </w:tcPr>
          <w:p w14:paraId="23AF09B7"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6</w:t>
            </w:r>
            <w:r w:rsidRPr="00C921DE">
              <w:rPr>
                <w:rFonts w:ascii="GHEA Grapalat" w:hAnsi="GHEA Grapalat"/>
                <w:sz w:val="18"/>
                <w:szCs w:val="18"/>
              </w:rPr>
              <w:t>,</w:t>
            </w:r>
            <w:r w:rsidRPr="00C921DE">
              <w:rPr>
                <w:rFonts w:ascii="GHEA Grapalat" w:hAnsi="GHEA Grapalat"/>
                <w:sz w:val="18"/>
                <w:szCs w:val="18"/>
                <w:lang w:val="en-US"/>
              </w:rPr>
              <w:t>381</w:t>
            </w:r>
            <w:r w:rsidRPr="00C921DE">
              <w:rPr>
                <w:rFonts w:ascii="GHEA Grapalat" w:hAnsi="GHEA Grapalat"/>
                <w:sz w:val="18"/>
                <w:szCs w:val="18"/>
              </w:rPr>
              <w:t>.</w:t>
            </w:r>
            <w:r w:rsidRPr="00C921DE">
              <w:rPr>
                <w:rFonts w:ascii="GHEA Grapalat" w:hAnsi="GHEA Grapalat"/>
                <w:sz w:val="18"/>
                <w:szCs w:val="18"/>
                <w:lang w:val="en-US"/>
              </w:rPr>
              <w:t>0</w:t>
            </w:r>
          </w:p>
        </w:tc>
        <w:tc>
          <w:tcPr>
            <w:tcW w:w="1276" w:type="dxa"/>
            <w:vAlign w:val="bottom"/>
          </w:tcPr>
          <w:p w14:paraId="0D1466C2"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96.9</w:t>
            </w:r>
          </w:p>
        </w:tc>
        <w:tc>
          <w:tcPr>
            <w:tcW w:w="1276" w:type="dxa"/>
            <w:vAlign w:val="bottom"/>
          </w:tcPr>
          <w:p w14:paraId="62B6D992"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261.4</w:t>
            </w:r>
          </w:p>
        </w:tc>
        <w:tc>
          <w:tcPr>
            <w:tcW w:w="1084" w:type="dxa"/>
            <w:vAlign w:val="bottom"/>
          </w:tcPr>
          <w:p w14:paraId="1BC59F9E"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3</w:t>
            </w:r>
            <w:r w:rsidRPr="00C921DE">
              <w:rPr>
                <w:rFonts w:ascii="GHEA Grapalat" w:hAnsi="GHEA Grapalat"/>
                <w:sz w:val="18"/>
                <w:szCs w:val="18"/>
              </w:rPr>
              <w:t>,</w:t>
            </w:r>
            <w:r w:rsidRPr="00C921DE">
              <w:rPr>
                <w:rFonts w:ascii="GHEA Grapalat" w:hAnsi="GHEA Grapalat"/>
                <w:sz w:val="18"/>
                <w:szCs w:val="18"/>
                <w:lang w:val="en-US"/>
              </w:rPr>
              <w:t>940</w:t>
            </w:r>
            <w:r w:rsidRPr="00C921DE">
              <w:rPr>
                <w:rFonts w:ascii="GHEA Grapalat" w:hAnsi="GHEA Grapalat"/>
                <w:sz w:val="18"/>
                <w:szCs w:val="18"/>
              </w:rPr>
              <w:t>.</w:t>
            </w:r>
            <w:r w:rsidRPr="00C921DE">
              <w:rPr>
                <w:rFonts w:ascii="GHEA Grapalat" w:hAnsi="GHEA Grapalat"/>
                <w:sz w:val="18"/>
                <w:szCs w:val="18"/>
                <w:lang w:val="en-US"/>
              </w:rPr>
              <w:t>0</w:t>
            </w:r>
          </w:p>
        </w:tc>
      </w:tr>
      <w:tr w:rsidR="005728BA" w:rsidRPr="00C921DE" w14:paraId="14025345" w14:textId="77777777" w:rsidTr="00AC5938">
        <w:trPr>
          <w:trHeight w:val="1196"/>
          <w:jc w:val="center"/>
        </w:trPr>
        <w:tc>
          <w:tcPr>
            <w:tcW w:w="3539" w:type="dxa"/>
            <w:vAlign w:val="bottom"/>
          </w:tcPr>
          <w:p w14:paraId="32CD7E93" w14:textId="77777777" w:rsidR="005728BA" w:rsidRPr="00C921DE" w:rsidRDefault="005728BA" w:rsidP="003169EA">
            <w:pPr>
              <w:rPr>
                <w:rFonts w:ascii="GHEA Grapalat" w:hAnsi="GHEA Grapalat"/>
                <w:sz w:val="20"/>
                <w:szCs w:val="20"/>
              </w:rPr>
            </w:pPr>
            <w:r w:rsidRPr="00C921DE">
              <w:rPr>
                <w:rFonts w:ascii="GHEA Grapalat" w:hAnsi="GHEA Grapalat"/>
                <w:sz w:val="20"/>
                <w:szCs w:val="20"/>
              </w:rPr>
              <w:t>Ճգնաժամերի հակազդման և արտակարգ իրավիճակների հետևանքների նվազեցման և վերացման ծրագիր</w:t>
            </w:r>
          </w:p>
        </w:tc>
        <w:tc>
          <w:tcPr>
            <w:tcW w:w="1276" w:type="dxa"/>
            <w:vAlign w:val="bottom"/>
          </w:tcPr>
          <w:p w14:paraId="107D9D94"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5</w:t>
            </w:r>
            <w:r w:rsidRPr="00C921DE">
              <w:rPr>
                <w:rFonts w:ascii="GHEA Grapalat" w:hAnsi="GHEA Grapalat"/>
                <w:sz w:val="18"/>
                <w:szCs w:val="18"/>
              </w:rPr>
              <w:t>,7</w:t>
            </w:r>
            <w:r w:rsidRPr="00C921DE">
              <w:rPr>
                <w:rFonts w:ascii="GHEA Grapalat" w:hAnsi="GHEA Grapalat"/>
                <w:sz w:val="18"/>
                <w:szCs w:val="18"/>
                <w:lang w:val="en-US"/>
              </w:rPr>
              <w:t>64</w:t>
            </w:r>
            <w:r w:rsidRPr="00C921DE">
              <w:rPr>
                <w:rFonts w:ascii="GHEA Grapalat" w:hAnsi="GHEA Grapalat"/>
                <w:sz w:val="18"/>
                <w:szCs w:val="18"/>
              </w:rPr>
              <w:t>.</w:t>
            </w:r>
            <w:r w:rsidRPr="00C921DE">
              <w:rPr>
                <w:rFonts w:ascii="GHEA Grapalat" w:hAnsi="GHEA Grapalat"/>
                <w:sz w:val="18"/>
                <w:szCs w:val="18"/>
                <w:lang w:val="en-US"/>
              </w:rPr>
              <w:t>1</w:t>
            </w:r>
          </w:p>
        </w:tc>
        <w:tc>
          <w:tcPr>
            <w:tcW w:w="992" w:type="dxa"/>
            <w:vAlign w:val="bottom"/>
          </w:tcPr>
          <w:p w14:paraId="3E12F7E1" w14:textId="77777777" w:rsidR="005728BA" w:rsidRPr="00C921DE" w:rsidRDefault="005728BA" w:rsidP="003169EA">
            <w:pPr>
              <w:jc w:val="right"/>
              <w:rPr>
                <w:rFonts w:ascii="GHEA Grapalat" w:hAnsi="GHEA Grapalat"/>
                <w:sz w:val="18"/>
                <w:szCs w:val="18"/>
              </w:rPr>
            </w:pPr>
          </w:p>
        </w:tc>
        <w:tc>
          <w:tcPr>
            <w:tcW w:w="992" w:type="dxa"/>
            <w:vAlign w:val="bottom"/>
          </w:tcPr>
          <w:p w14:paraId="78BC46A8" w14:textId="77777777" w:rsidR="005728BA" w:rsidRPr="00C921DE" w:rsidRDefault="005728BA" w:rsidP="003169EA">
            <w:pPr>
              <w:jc w:val="right"/>
              <w:rPr>
                <w:rFonts w:ascii="GHEA Grapalat" w:hAnsi="GHEA Grapalat"/>
                <w:sz w:val="18"/>
                <w:szCs w:val="18"/>
              </w:rPr>
            </w:pPr>
          </w:p>
        </w:tc>
        <w:tc>
          <w:tcPr>
            <w:tcW w:w="1276" w:type="dxa"/>
            <w:vAlign w:val="bottom"/>
          </w:tcPr>
          <w:p w14:paraId="69EF85A7" w14:textId="77777777" w:rsidR="005728BA" w:rsidRPr="00C921DE" w:rsidRDefault="005728BA" w:rsidP="003169EA">
            <w:pPr>
              <w:jc w:val="right"/>
              <w:rPr>
                <w:rFonts w:ascii="GHEA Grapalat" w:hAnsi="GHEA Grapalat"/>
                <w:sz w:val="18"/>
                <w:szCs w:val="18"/>
              </w:rPr>
            </w:pPr>
          </w:p>
        </w:tc>
        <w:tc>
          <w:tcPr>
            <w:tcW w:w="1276" w:type="dxa"/>
            <w:vAlign w:val="bottom"/>
          </w:tcPr>
          <w:p w14:paraId="24E743CB" w14:textId="77777777" w:rsidR="005728BA" w:rsidRPr="00C921DE" w:rsidRDefault="005728BA" w:rsidP="003169EA">
            <w:pPr>
              <w:jc w:val="right"/>
              <w:rPr>
                <w:rFonts w:ascii="GHEA Grapalat" w:hAnsi="GHEA Grapalat"/>
                <w:sz w:val="18"/>
                <w:szCs w:val="18"/>
              </w:rPr>
            </w:pPr>
          </w:p>
        </w:tc>
        <w:tc>
          <w:tcPr>
            <w:tcW w:w="1084" w:type="dxa"/>
            <w:vAlign w:val="bottom"/>
          </w:tcPr>
          <w:p w14:paraId="57207A58"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rPr>
              <w:t>(</w:t>
            </w: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764</w:t>
            </w:r>
            <w:r w:rsidRPr="00C921DE">
              <w:rPr>
                <w:rFonts w:ascii="GHEA Grapalat" w:hAnsi="GHEA Grapalat"/>
                <w:sz w:val="18"/>
                <w:szCs w:val="18"/>
              </w:rPr>
              <w:t>.</w:t>
            </w:r>
            <w:r w:rsidRPr="00C921DE">
              <w:rPr>
                <w:rFonts w:ascii="GHEA Grapalat" w:hAnsi="GHEA Grapalat"/>
                <w:sz w:val="18"/>
                <w:szCs w:val="18"/>
                <w:lang w:val="en-US"/>
              </w:rPr>
              <w:t>1</w:t>
            </w:r>
            <w:r w:rsidRPr="00C921DE">
              <w:rPr>
                <w:rFonts w:ascii="GHEA Grapalat" w:hAnsi="GHEA Grapalat"/>
                <w:sz w:val="18"/>
                <w:szCs w:val="18"/>
              </w:rPr>
              <w:t>)</w:t>
            </w:r>
          </w:p>
        </w:tc>
      </w:tr>
      <w:tr w:rsidR="005728BA" w:rsidRPr="00C921DE" w14:paraId="26E224DC" w14:textId="77777777" w:rsidTr="00AC5938">
        <w:trPr>
          <w:trHeight w:val="449"/>
          <w:jc w:val="center"/>
        </w:trPr>
        <w:tc>
          <w:tcPr>
            <w:tcW w:w="3539" w:type="dxa"/>
            <w:vAlign w:val="bottom"/>
          </w:tcPr>
          <w:p w14:paraId="3841349D" w14:textId="77777777" w:rsidR="005728BA" w:rsidRPr="00C921DE" w:rsidRDefault="005728BA" w:rsidP="003169EA">
            <w:pPr>
              <w:rPr>
                <w:rFonts w:ascii="GHEA Grapalat" w:hAnsi="GHEA Grapalat"/>
                <w:sz w:val="20"/>
                <w:szCs w:val="20"/>
                <w:lang w:val="en-US"/>
              </w:rPr>
            </w:pPr>
            <w:r w:rsidRPr="00C921DE">
              <w:rPr>
                <w:rFonts w:ascii="GHEA Grapalat" w:hAnsi="GHEA Grapalat"/>
                <w:sz w:val="20"/>
                <w:szCs w:val="20"/>
              </w:rPr>
              <w:t>Այլ ծրագրեր</w:t>
            </w:r>
          </w:p>
        </w:tc>
        <w:tc>
          <w:tcPr>
            <w:tcW w:w="1276" w:type="dxa"/>
            <w:vAlign w:val="bottom"/>
          </w:tcPr>
          <w:p w14:paraId="388C4DDE"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188.3</w:t>
            </w:r>
          </w:p>
        </w:tc>
        <w:tc>
          <w:tcPr>
            <w:tcW w:w="992" w:type="dxa"/>
            <w:vAlign w:val="bottom"/>
          </w:tcPr>
          <w:p w14:paraId="79940786"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954</w:t>
            </w:r>
            <w:r w:rsidRPr="00C921DE">
              <w:rPr>
                <w:rFonts w:ascii="GHEA Grapalat" w:hAnsi="GHEA Grapalat"/>
                <w:sz w:val="18"/>
                <w:szCs w:val="18"/>
              </w:rPr>
              <w:t>.</w:t>
            </w:r>
            <w:r w:rsidRPr="00C921DE">
              <w:rPr>
                <w:rFonts w:ascii="GHEA Grapalat" w:hAnsi="GHEA Grapalat"/>
                <w:sz w:val="18"/>
                <w:szCs w:val="18"/>
                <w:lang w:val="en-US"/>
              </w:rPr>
              <w:t>2</w:t>
            </w:r>
          </w:p>
        </w:tc>
        <w:tc>
          <w:tcPr>
            <w:tcW w:w="992" w:type="dxa"/>
            <w:vAlign w:val="bottom"/>
          </w:tcPr>
          <w:p w14:paraId="3EF1A3A1"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618.9</w:t>
            </w:r>
          </w:p>
        </w:tc>
        <w:tc>
          <w:tcPr>
            <w:tcW w:w="1276" w:type="dxa"/>
            <w:vAlign w:val="bottom"/>
          </w:tcPr>
          <w:p w14:paraId="571F2C62"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94.4</w:t>
            </w:r>
          </w:p>
        </w:tc>
        <w:tc>
          <w:tcPr>
            <w:tcW w:w="1276" w:type="dxa"/>
            <w:vAlign w:val="bottom"/>
          </w:tcPr>
          <w:p w14:paraId="61F67DB9" w14:textId="77777777" w:rsidR="005728BA" w:rsidRPr="00C921DE" w:rsidRDefault="005728BA" w:rsidP="003169EA">
            <w:pPr>
              <w:jc w:val="right"/>
              <w:rPr>
                <w:rFonts w:ascii="GHEA Grapalat" w:hAnsi="GHEA Grapalat"/>
                <w:sz w:val="18"/>
                <w:szCs w:val="18"/>
                <w:lang w:val="en-US"/>
              </w:rPr>
            </w:pPr>
            <w:r w:rsidRPr="00C921DE">
              <w:rPr>
                <w:rFonts w:ascii="GHEA Grapalat" w:hAnsi="GHEA Grapalat"/>
                <w:sz w:val="18"/>
                <w:szCs w:val="18"/>
                <w:lang w:val="en-US"/>
              </w:rPr>
              <w:t>108.3</w:t>
            </w:r>
          </w:p>
        </w:tc>
        <w:tc>
          <w:tcPr>
            <w:tcW w:w="1084" w:type="dxa"/>
            <w:vAlign w:val="bottom"/>
          </w:tcPr>
          <w:p w14:paraId="4841FF0B" w14:textId="77777777" w:rsidR="005728BA" w:rsidRPr="00C921DE" w:rsidRDefault="005728BA" w:rsidP="003169EA">
            <w:pPr>
              <w:jc w:val="right"/>
              <w:rPr>
                <w:rFonts w:ascii="GHEA Grapalat" w:hAnsi="GHEA Grapalat"/>
                <w:sz w:val="18"/>
                <w:szCs w:val="18"/>
              </w:rPr>
            </w:pPr>
            <w:r w:rsidRPr="00C921DE">
              <w:rPr>
                <w:rFonts w:ascii="GHEA Grapalat" w:hAnsi="GHEA Grapalat"/>
                <w:sz w:val="18"/>
                <w:szCs w:val="18"/>
                <w:lang w:val="en-US"/>
              </w:rPr>
              <w:t>430.5</w:t>
            </w:r>
          </w:p>
        </w:tc>
      </w:tr>
    </w:tbl>
    <w:p w14:paraId="4CACD9EC" w14:textId="77777777" w:rsidR="005728BA" w:rsidRPr="00C921DE" w:rsidRDefault="005728BA" w:rsidP="002F0436">
      <w:pPr>
        <w:autoSpaceDE w:val="0"/>
        <w:autoSpaceDN w:val="0"/>
        <w:adjustRightInd w:val="0"/>
        <w:ind w:firstLine="567"/>
        <w:jc w:val="both"/>
        <w:rPr>
          <w:rFonts w:ascii="GHEA Grapalat" w:hAnsi="GHEA Grapalat" w:cs="GHEA Grapalat"/>
          <w:sz w:val="22"/>
          <w:szCs w:val="22"/>
          <w:lang w:val="en-US"/>
        </w:rPr>
      </w:pPr>
    </w:p>
    <w:p w14:paraId="1E310FF3" w14:textId="1E14EA65"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GHEA Grapalat"/>
          <w:sz w:val="22"/>
          <w:szCs w:val="22"/>
        </w:rPr>
        <w:t xml:space="preserve">Հաշվետու տարում </w:t>
      </w:r>
      <w:r w:rsidRPr="00C921DE">
        <w:rPr>
          <w:rFonts w:ascii="GHEA Grapalat" w:hAnsi="GHEA Grapalat" w:cs="GHEA Grapalat"/>
          <w:i/>
          <w:sz w:val="22"/>
          <w:szCs w:val="22"/>
        </w:rPr>
        <w:t>Գյուղատնտեսության խթանման</w:t>
      </w:r>
      <w:r w:rsidRPr="00C921DE">
        <w:rPr>
          <w:rFonts w:ascii="GHEA Grapalat" w:hAnsi="GHEA Grapalat" w:cs="GHEA Grapalat"/>
          <w:sz w:val="22"/>
          <w:szCs w:val="22"/>
        </w:rPr>
        <w:t xml:space="preserve"> </w:t>
      </w:r>
      <w:r w:rsidRPr="00C921DE">
        <w:rPr>
          <w:rFonts w:ascii="GHEA Grapalat" w:hAnsi="GHEA Grapalat"/>
          <w:sz w:val="22"/>
          <w:szCs w:val="22"/>
        </w:rPr>
        <w:t xml:space="preserve">ծրագրի շրջանակներում օգտագործվել է շուրջ </w:t>
      </w:r>
      <w:r w:rsidRPr="00C921DE">
        <w:rPr>
          <w:rFonts w:ascii="GHEA Grapalat" w:hAnsi="GHEA Grapalat"/>
          <w:sz w:val="22"/>
          <w:szCs w:val="22"/>
          <w:lang w:val="en-US"/>
        </w:rPr>
        <w:t xml:space="preserve">16.2 </w:t>
      </w:r>
      <w:r w:rsidRPr="00C921DE">
        <w:rPr>
          <w:rFonts w:ascii="GHEA Grapalat" w:hAnsi="GHEA Grapalat"/>
          <w:sz w:val="22"/>
          <w:szCs w:val="22"/>
        </w:rPr>
        <w:t xml:space="preserve">մլրդ դրամ կամ </w:t>
      </w:r>
      <w:r w:rsidRPr="00C921DE">
        <w:rPr>
          <w:rFonts w:ascii="GHEA Grapalat" w:hAnsi="GHEA Grapalat"/>
          <w:sz w:val="22"/>
          <w:szCs w:val="22"/>
          <w:lang w:val="en-US"/>
        </w:rPr>
        <w:t>նախատեսված</w:t>
      </w:r>
      <w:r w:rsidR="00383CF6" w:rsidRPr="00C921DE">
        <w:rPr>
          <w:rFonts w:ascii="GHEA Grapalat" w:hAnsi="GHEA Grapalat"/>
          <w:sz w:val="22"/>
          <w:szCs w:val="22"/>
          <w:lang w:val="en-US"/>
        </w:rPr>
        <w:t xml:space="preserve"> միջոցներ</w:t>
      </w:r>
      <w:r w:rsidRPr="00C921DE">
        <w:rPr>
          <w:rFonts w:ascii="GHEA Grapalat" w:hAnsi="GHEA Grapalat"/>
          <w:sz w:val="22"/>
          <w:szCs w:val="22"/>
          <w:lang w:val="en-US"/>
        </w:rPr>
        <w:t>ի</w:t>
      </w:r>
      <w:r w:rsidRPr="00C921DE">
        <w:rPr>
          <w:rFonts w:ascii="GHEA Grapalat" w:hAnsi="GHEA Grapalat"/>
          <w:sz w:val="22"/>
          <w:szCs w:val="22"/>
        </w:rPr>
        <w:t xml:space="preserve"> 99.</w:t>
      </w:r>
      <w:r w:rsidRPr="00C921DE">
        <w:rPr>
          <w:rFonts w:ascii="GHEA Grapalat" w:hAnsi="GHEA Grapalat"/>
          <w:sz w:val="22"/>
          <w:szCs w:val="22"/>
          <w:lang w:val="en-US"/>
        </w:rPr>
        <w:t>8</w:t>
      </w:r>
      <w:r w:rsidRPr="00C921DE">
        <w:rPr>
          <w:rFonts w:ascii="GHEA Grapalat" w:hAnsi="GHEA Grapalat"/>
          <w:sz w:val="22"/>
          <w:szCs w:val="22"/>
        </w:rPr>
        <w:t>%-ը: Նախորդ տարվա՝ 2023 թվականի հետ համադրելի ցուցանիշի համեմատ Գյուղատնտեսության խթանման ծրագրի ծախսերը նվազել</w:t>
      </w:r>
      <w:r w:rsidRPr="00C921DE">
        <w:rPr>
          <w:rFonts w:ascii="Calibri" w:hAnsi="Calibri" w:cs="Calibri"/>
          <w:sz w:val="22"/>
          <w:szCs w:val="22"/>
        </w:rPr>
        <w:t> </w:t>
      </w:r>
      <w:r w:rsidRPr="00C921DE">
        <w:rPr>
          <w:rFonts w:ascii="GHEA Grapalat" w:hAnsi="GHEA Grapalat" w:cs="GHEA Grapalat"/>
          <w:sz w:val="22"/>
          <w:szCs w:val="22"/>
        </w:rPr>
        <w:t>են</w:t>
      </w:r>
      <w:r w:rsidRPr="00C921DE">
        <w:rPr>
          <w:rFonts w:ascii="GHEA Grapalat" w:hAnsi="GHEA Grapalat"/>
          <w:sz w:val="22"/>
          <w:szCs w:val="22"/>
        </w:rPr>
        <w:t xml:space="preserve"> 22%</w:t>
      </w:r>
      <w:r w:rsidRPr="00C921DE">
        <w:rPr>
          <w:rFonts w:ascii="GHEA Grapalat" w:hAnsi="GHEA Grapalat"/>
          <w:sz w:val="22"/>
          <w:szCs w:val="22"/>
        </w:rPr>
        <w:noBreakHyphen/>
        <w:t>ով կամ շուրջ 4.6 մլրդ դրամով, որը հիմնականո</w:t>
      </w:r>
      <w:r w:rsidR="00383CF6" w:rsidRPr="00C921DE">
        <w:rPr>
          <w:rFonts w:ascii="GHEA Grapalat" w:hAnsi="GHEA Grapalat"/>
          <w:sz w:val="22"/>
          <w:szCs w:val="22"/>
        </w:rPr>
        <w:t>ւմ պայմանավորված է 2022 թվականի</w:t>
      </w:r>
      <w:r w:rsidR="00383CF6" w:rsidRPr="00C921DE">
        <w:rPr>
          <w:rFonts w:ascii="GHEA Grapalat" w:hAnsi="GHEA Grapalat"/>
          <w:sz w:val="22"/>
          <w:szCs w:val="22"/>
          <w:lang w:val="en-US"/>
        </w:rPr>
        <w:t>ն</w:t>
      </w:r>
      <w:r w:rsidRPr="00C921DE">
        <w:rPr>
          <w:rFonts w:ascii="GHEA Grapalat" w:hAnsi="GHEA Grapalat"/>
          <w:sz w:val="22"/>
          <w:szCs w:val="22"/>
        </w:rPr>
        <w:t xml:space="preserve"> ՀՀ-ում հողօգտագործողներին մատչելի գներով ազոտական, ֆոսֆորական և կալիումական պարարտանյութերի ձեռքբերմանն աջակցության միջոցառման շրջանակներում շուրջ 3.7 մլրդ դրամի հատկացմամբ, որը 2023 թվականին չի նախատեսվել, ինչպես նաև գյուղատնտեսական վարկերի տոկոսադրույքների սուբսիդավորման ծախսերի նվազմամբ:</w:t>
      </w:r>
    </w:p>
    <w:p w14:paraId="5B3D8F41" w14:textId="0B2A361C"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Ծրագրի շրջանակներում իրականացվել են </w:t>
      </w:r>
      <w:r w:rsidR="00383CF6" w:rsidRPr="00C921DE">
        <w:rPr>
          <w:rFonts w:ascii="GHEA Grapalat" w:hAnsi="GHEA Grapalat" w:cs="Sylfaen"/>
          <w:sz w:val="22"/>
          <w:szCs w:val="22"/>
          <w:lang w:val="en-US"/>
        </w:rPr>
        <w:t>9</w:t>
      </w:r>
      <w:r w:rsidRPr="00C921DE">
        <w:rPr>
          <w:rFonts w:ascii="GHEA Grapalat" w:hAnsi="GHEA Grapalat" w:cs="Sylfaen"/>
          <w:sz w:val="22"/>
          <w:szCs w:val="22"/>
        </w:rPr>
        <w:t xml:space="preserve"> միջոցառումներ, որոնցից </w:t>
      </w:r>
      <w:r w:rsidR="00383CF6" w:rsidRPr="00C921DE">
        <w:rPr>
          <w:rFonts w:ascii="GHEA Grapalat" w:hAnsi="GHEA Grapalat" w:cs="Sylfaen"/>
          <w:sz w:val="22"/>
          <w:szCs w:val="22"/>
          <w:lang w:val="en-US"/>
        </w:rPr>
        <w:t>5-</w:t>
      </w:r>
      <w:r w:rsidRPr="00C921DE">
        <w:rPr>
          <w:rFonts w:ascii="GHEA Grapalat" w:hAnsi="GHEA Grapalat" w:cs="Sylfaen"/>
          <w:sz w:val="22"/>
          <w:szCs w:val="22"/>
        </w:rPr>
        <w:t>ի գծով արձանագրվել է 100% կատարողական</w:t>
      </w:r>
      <w:r w:rsidR="00097202" w:rsidRPr="00C921DE">
        <w:rPr>
          <w:rFonts w:ascii="GHEA Grapalat" w:hAnsi="GHEA Grapalat" w:cs="Sylfaen"/>
          <w:sz w:val="22"/>
          <w:szCs w:val="22"/>
          <w:lang w:val="en-US"/>
        </w:rPr>
        <w:t>՝ կազմելով 14.8 մլրդ դրամ</w:t>
      </w:r>
      <w:r w:rsidRPr="00C921DE">
        <w:rPr>
          <w:rFonts w:ascii="GHEA Grapalat" w:hAnsi="GHEA Grapalat" w:cs="Sylfaen"/>
          <w:sz w:val="22"/>
          <w:szCs w:val="22"/>
        </w:rPr>
        <w:t>:</w:t>
      </w:r>
    </w:p>
    <w:p w14:paraId="63AD905F" w14:textId="1B00691C"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Գյուղատնտեսական վարկերի տոկոսադրույքների սուբսիդավորման միջոցառման նպատակն է գյուղական համայնքներում գյուղատնտեսության համար առաջ</w:t>
      </w:r>
      <w:r w:rsidRPr="00C921DE">
        <w:rPr>
          <w:rFonts w:ascii="GHEA Grapalat" w:hAnsi="GHEA Grapalat"/>
          <w:sz w:val="22"/>
          <w:szCs w:val="22"/>
        </w:rPr>
        <w:softHyphen/>
        <w:t>նահերթ համարվող ոլորտներում զբաղված ֆիզիկական և իրավաբանական անձանց տրամադրվող վարկերի տոկոսադրույքների մասնակի սուբսիդավորման միջոցով վարկավորման մատչելիության մակարդակի բարձրացումը: 2023 թվականին միջոցառման շահառուների թիվը կազմել է 40396, որոնք նախորդ տարիներից սուբսիդավորվող տնտեսավարող սուբյեկտներն են</w:t>
      </w:r>
      <w:r w:rsidR="00DB3C66" w:rsidRPr="00C921DE">
        <w:rPr>
          <w:rFonts w:ascii="GHEA Grapalat" w:hAnsi="GHEA Grapalat"/>
          <w:sz w:val="22"/>
          <w:szCs w:val="22"/>
          <w:lang w:val="en-US"/>
        </w:rPr>
        <w:t xml:space="preserve">՝ պայմանավորված նրանով, որ </w:t>
      </w:r>
      <w:r w:rsidR="00DB3C66" w:rsidRPr="00C921DE">
        <w:rPr>
          <w:rFonts w:ascii="GHEA Grapalat" w:hAnsi="GHEA Grapalat"/>
          <w:sz w:val="22"/>
          <w:szCs w:val="22"/>
        </w:rPr>
        <w:t>ՀՀ կառավարության 2022 թվականի սեպտեմբերի 16-ի թիվ 1424-Լ որոշմա</w:t>
      </w:r>
      <w:r w:rsidR="00DB3C66" w:rsidRPr="00C921DE">
        <w:rPr>
          <w:rFonts w:ascii="GHEA Grapalat" w:hAnsi="GHEA Grapalat"/>
          <w:sz w:val="22"/>
          <w:szCs w:val="22"/>
          <w:lang w:val="en-US"/>
        </w:rPr>
        <w:t>մբ</w:t>
      </w:r>
      <w:r w:rsidR="00DB3C66" w:rsidRPr="00C921DE">
        <w:rPr>
          <w:rFonts w:ascii="GHEA Grapalat" w:hAnsi="GHEA Grapalat"/>
          <w:sz w:val="22"/>
          <w:szCs w:val="22"/>
        </w:rPr>
        <w:t xml:space="preserve"> 2023 թվականի հունվարի 1-ից դադարեցվել է Գյուղատնտեսության ոլորտին տրամադրվող վարկերի տոկոսադրույքների սուբսիդավորման ծրագիրը</w:t>
      </w:r>
      <w:r w:rsidRPr="00C921DE">
        <w:rPr>
          <w:rFonts w:ascii="GHEA Grapalat" w:hAnsi="GHEA Grapalat"/>
          <w:sz w:val="22"/>
          <w:szCs w:val="22"/>
        </w:rPr>
        <w:t xml:space="preserve">: </w:t>
      </w:r>
      <w:r w:rsidR="00DB3C66" w:rsidRPr="00C921DE">
        <w:rPr>
          <w:rFonts w:ascii="GHEA Grapalat" w:hAnsi="GHEA Grapalat"/>
          <w:sz w:val="22"/>
          <w:szCs w:val="22"/>
          <w:lang w:val="en-US"/>
        </w:rPr>
        <w:t>Արդյունքում ն</w:t>
      </w:r>
      <w:r w:rsidR="00DB3C66" w:rsidRPr="00C921DE">
        <w:rPr>
          <w:rFonts w:ascii="GHEA Grapalat" w:hAnsi="GHEA Grapalat"/>
          <w:sz w:val="22"/>
          <w:szCs w:val="22"/>
        </w:rPr>
        <w:t>ախորդ տարվա համեմատ նշված միջոցառման ծախսերը նվազել են 27.4%-ով կամ 3.2 մլրդ դրամով</w:t>
      </w:r>
      <w:r w:rsidR="00DB3C66" w:rsidRPr="00C921DE">
        <w:rPr>
          <w:rFonts w:ascii="GHEA Grapalat" w:hAnsi="GHEA Grapalat"/>
          <w:sz w:val="22"/>
          <w:szCs w:val="22"/>
          <w:lang w:val="en-US"/>
        </w:rPr>
        <w:t>:</w:t>
      </w:r>
      <w:r w:rsidR="00DB3C66" w:rsidRPr="00C921DE">
        <w:rPr>
          <w:rFonts w:ascii="GHEA Grapalat" w:hAnsi="GHEA Grapalat"/>
          <w:sz w:val="22"/>
          <w:szCs w:val="22"/>
        </w:rPr>
        <w:t xml:space="preserve"> </w:t>
      </w:r>
      <w:r w:rsidRPr="00C921DE">
        <w:rPr>
          <w:rFonts w:ascii="GHEA Grapalat" w:hAnsi="GHEA Grapalat"/>
          <w:sz w:val="22"/>
          <w:szCs w:val="22"/>
        </w:rPr>
        <w:t>Միջոցառման ծախսերը կազմել են շուրջ 8.5 մլրդ դրամ՝ ապահովելով 100% կատարողական: Նշենք, որ 2022 թվականին միջոցառման շահառուների թիվը կազմել էր 71542, որից 59704-ը նախորդ տարիներից սուբսիդավորվող տնտեսավարող սուբյեկտներն էին:</w:t>
      </w:r>
    </w:p>
    <w:p w14:paraId="14886B99" w14:textId="769A1657"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 xml:space="preserve">Գյուղատնտեսական հումքի մթերումների (գնումների) նպատակով ագրովերամշակման ոլորտին տրամադրվող վարկերի տոկոսադրույքների սուբսիդավորման միջոցառման նպատակը </w:t>
      </w:r>
      <w:r w:rsidRPr="00C921DE">
        <w:rPr>
          <w:rFonts w:ascii="GHEA Grapalat" w:hAnsi="GHEA Grapalat"/>
          <w:sz w:val="22"/>
          <w:szCs w:val="22"/>
        </w:rPr>
        <w:lastRenderedPageBreak/>
        <w:t xml:space="preserve">գյուղատնտեսական մթերքներ վերամշակող արդյունաբերության ոլորտում զբաղված իրավաբանական անձանց՝ պտուղբանջարեղենի և խաղողի մթերումների նպատակով տրամադրվող վարկերի տոկոսադրույքի մասնակի սուբսիդավորման միջոցով վարկավորման մատչելիության բարձրացումն է: 2023 թվականի ընթացքում միջոցառման շահառուների թիվը նախատեսված 234-ի փոխարեն կազմել է 287, որից 163-ը նախորդ տարիներից սուբսիդավորվող տնտեսավարող սուբյեկտներն են: Ցուցանիշի գերազանցումը պայմանավորված է </w:t>
      </w:r>
      <w:r w:rsidR="00EC54FD" w:rsidRPr="00C921DE">
        <w:rPr>
          <w:rFonts w:ascii="GHEA Grapalat" w:hAnsi="GHEA Grapalat"/>
          <w:sz w:val="22"/>
          <w:szCs w:val="22"/>
          <w:lang w:val="en-US"/>
        </w:rPr>
        <w:t>ծրագրի</w:t>
      </w:r>
      <w:r w:rsidRPr="00C921DE">
        <w:rPr>
          <w:rFonts w:ascii="GHEA Grapalat" w:hAnsi="GHEA Grapalat"/>
          <w:sz w:val="22"/>
          <w:szCs w:val="22"/>
        </w:rPr>
        <w:t xml:space="preserve"> նկատմամբ բարձր պահանջարկով: 2022 թվականին միջոցառման շահառուների թիվը կազմել էր 259, որից 124</w:t>
      </w:r>
      <w:r w:rsidRPr="00C921DE">
        <w:rPr>
          <w:rFonts w:ascii="GHEA Grapalat" w:hAnsi="GHEA Grapalat"/>
          <w:sz w:val="22"/>
          <w:szCs w:val="22"/>
        </w:rPr>
        <w:noBreakHyphen/>
        <w:t xml:space="preserve">ը նախորդ տարիներից սուբսիդավորվող տնտեսավարող սուբյեկտներն էին: Միջոցառման շրջանակներում 2023 թվականին օգտագործվել է 3.8 մլրդ դրամ՝ ապահովելով 100% կատարողական: Նախորդ տարվա համեմատ նշված միջոցառման ծախսերն աճել են 2.1%-ով կամ 77.3 մլն դրամով՝ պայմանավորված </w:t>
      </w:r>
      <w:r w:rsidR="00F21A97" w:rsidRPr="00C921DE">
        <w:rPr>
          <w:rFonts w:ascii="GHEA Grapalat" w:hAnsi="GHEA Grapalat"/>
          <w:sz w:val="22"/>
          <w:szCs w:val="22"/>
          <w:lang w:val="en-US"/>
        </w:rPr>
        <w:t>շահ</w:t>
      </w:r>
      <w:r w:rsidRPr="00C921DE">
        <w:rPr>
          <w:rFonts w:ascii="GHEA Grapalat" w:hAnsi="GHEA Grapalat"/>
          <w:sz w:val="22"/>
          <w:szCs w:val="22"/>
        </w:rPr>
        <w:t>առուների թվի աճով:</w:t>
      </w:r>
    </w:p>
    <w:p w14:paraId="50949350" w14:textId="757385E4"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lang w:val="en-US"/>
        </w:rPr>
      </w:pPr>
      <w:r w:rsidRPr="00C921DE">
        <w:rPr>
          <w:rFonts w:ascii="GHEA Grapalat" w:hAnsi="GHEA Grapalat" w:cs="Sylfaen"/>
          <w:sz w:val="22"/>
          <w:szCs w:val="22"/>
        </w:rPr>
        <w:t>«Կոնյակի սպիրտի</w:t>
      </w:r>
      <w:r w:rsidRPr="00C921DE">
        <w:rPr>
          <w:rFonts w:ascii="GHEA Grapalat" w:hAnsi="GHEA Grapalat" w:cs="GHEA Grapalat"/>
          <w:sz w:val="22"/>
          <w:szCs w:val="22"/>
        </w:rPr>
        <w:t xml:space="preserve"> իրացման (արտահանման) աջակցության ծրագիր» միջոցառման շրջանակներում տրամադրվող աջակցությունը նախատեսվել է կոնյակի սպիրտ և շշալցված կոնյակ իրացնող (հարյուր հազար լիտրից ավելի) տնտեսավարող սուբյեկտներին պետական տուրքի գծով </w:t>
      </w:r>
      <w:r w:rsidRPr="00C921DE">
        <w:rPr>
          <w:rFonts w:ascii="GHEA Grapalat" w:hAnsi="GHEA Grapalat" w:cs="Sylfaen"/>
          <w:sz w:val="22"/>
          <w:szCs w:val="22"/>
        </w:rPr>
        <w:t>կատարված վճարների փոխհատուցման նպատակով: Միջոցառման շրջանակներում աջակցություն է տրամադրվել մեծածավալ իրացում ունեցող 7 տնտեսավարողների՝ նրանց կողմից իրացված 13413.2</w:t>
      </w:r>
      <w:r w:rsidRPr="00C921DE">
        <w:rPr>
          <w:rFonts w:ascii="Courier New" w:hAnsi="Courier New" w:cs="Courier New"/>
          <w:sz w:val="22"/>
          <w:szCs w:val="22"/>
        </w:rPr>
        <w:t> </w:t>
      </w:r>
      <w:r w:rsidRPr="00C921DE">
        <w:rPr>
          <w:rFonts w:ascii="GHEA Grapalat" w:hAnsi="GHEA Grapalat" w:cs="Sylfaen"/>
          <w:sz w:val="22"/>
          <w:szCs w:val="22"/>
        </w:rPr>
        <w:t xml:space="preserve">հազար լիտր կոնյակի սպիրտի համար: Ծախսերը կազմել են ավելի քան 1.3 մլրդ դրամ՝ ապահովելով 100% կատարողական: </w:t>
      </w:r>
      <w:r w:rsidRPr="00C921DE">
        <w:rPr>
          <w:rFonts w:ascii="GHEA Grapalat" w:hAnsi="GHEA Grapalat"/>
          <w:sz w:val="22"/>
          <w:szCs w:val="22"/>
        </w:rPr>
        <w:t xml:space="preserve">2022 թվականին միջոցառման </w:t>
      </w:r>
      <w:r w:rsidRPr="00C921DE">
        <w:rPr>
          <w:rFonts w:ascii="GHEA Grapalat" w:hAnsi="GHEA Grapalat" w:cs="Sylfaen"/>
          <w:sz w:val="22"/>
          <w:szCs w:val="22"/>
        </w:rPr>
        <w:t>շրջանակներում աջակցություն է տրամադրվել մեծածավալ իրացում ունեցող 8 տնտեսավարողների՝ նրանց կողմից իրացված 5745.5</w:t>
      </w:r>
      <w:r w:rsidRPr="00C921DE">
        <w:rPr>
          <w:rFonts w:ascii="Courier New" w:hAnsi="Courier New" w:cs="Courier New"/>
          <w:sz w:val="22"/>
          <w:szCs w:val="22"/>
        </w:rPr>
        <w:t> </w:t>
      </w:r>
      <w:r w:rsidRPr="00C921DE">
        <w:rPr>
          <w:rFonts w:ascii="GHEA Grapalat" w:hAnsi="GHEA Grapalat" w:cs="Sylfaen"/>
          <w:sz w:val="22"/>
          <w:szCs w:val="22"/>
        </w:rPr>
        <w:t xml:space="preserve">հազար լիտր կոնյակի սպիրտի համար: </w:t>
      </w:r>
      <w:r w:rsidRPr="00C921DE">
        <w:rPr>
          <w:rFonts w:ascii="GHEA Grapalat" w:hAnsi="GHEA Grapalat"/>
          <w:sz w:val="22"/>
          <w:szCs w:val="22"/>
        </w:rPr>
        <w:t xml:space="preserve">Նախորդ տարվա համեմատ նշված միջոցառման ծախսերն աճել են 2.3 անգամ կամ 766.8 մլն դրամով՝ պայմանավորված 2022 թվականին </w:t>
      </w:r>
      <w:r w:rsidRPr="00C921DE">
        <w:rPr>
          <w:rFonts w:ascii="GHEA Grapalat" w:hAnsi="GHEA Grapalat" w:cs="Sylfaen"/>
          <w:sz w:val="22"/>
          <w:szCs w:val="22"/>
        </w:rPr>
        <w:t>Վերին Լարսի անցակետի տևական ժամանակով փակ լինելու</w:t>
      </w:r>
      <w:r w:rsidR="00641D94" w:rsidRPr="00C921DE">
        <w:rPr>
          <w:rFonts w:ascii="GHEA Grapalat" w:hAnsi="GHEA Grapalat" w:cs="Sylfaen"/>
          <w:sz w:val="22"/>
          <w:szCs w:val="22"/>
        </w:rPr>
        <w:t xml:space="preserve"> կամ խիստ սահմանափակ թողունակություն ունենալու </w:t>
      </w:r>
      <w:r w:rsidR="00641D94" w:rsidRPr="00C921DE">
        <w:rPr>
          <w:rFonts w:ascii="GHEA Grapalat" w:hAnsi="GHEA Grapalat" w:cs="Sylfaen"/>
          <w:sz w:val="22"/>
          <w:szCs w:val="22"/>
          <w:lang w:val="en-US"/>
        </w:rPr>
        <w:t>հանգամանքով, որի հետ կապված՝ 2023 թվականին</w:t>
      </w:r>
      <w:r w:rsidR="00641D94" w:rsidRPr="00C921DE">
        <w:rPr>
          <w:rFonts w:ascii="GHEA Grapalat" w:hAnsi="GHEA Grapalat" w:cs="Sylfaen"/>
          <w:sz w:val="22"/>
          <w:szCs w:val="22"/>
        </w:rPr>
        <w:t xml:space="preserve"> իրացված կոնյակի սպիրտի ծավալ</w:t>
      </w:r>
      <w:r w:rsidR="00E96166" w:rsidRPr="00C921DE">
        <w:rPr>
          <w:rFonts w:ascii="GHEA Grapalat" w:hAnsi="GHEA Grapalat" w:cs="Sylfaen"/>
          <w:sz w:val="22"/>
          <w:szCs w:val="22"/>
          <w:lang w:val="en-US"/>
        </w:rPr>
        <w:t>ներ</w:t>
      </w:r>
      <w:r w:rsidR="00E96166" w:rsidRPr="00C921DE">
        <w:rPr>
          <w:rFonts w:ascii="GHEA Grapalat" w:hAnsi="GHEA Grapalat" w:cs="Sylfaen"/>
          <w:sz w:val="22"/>
          <w:szCs w:val="22"/>
        </w:rPr>
        <w:t>ը զգալիորեն գերազանցել են</w:t>
      </w:r>
      <w:r w:rsidR="00641D94" w:rsidRPr="00C921DE">
        <w:rPr>
          <w:rFonts w:ascii="GHEA Grapalat" w:hAnsi="GHEA Grapalat" w:cs="Sylfaen"/>
          <w:sz w:val="22"/>
          <w:szCs w:val="22"/>
        </w:rPr>
        <w:t xml:space="preserve"> </w:t>
      </w:r>
      <w:r w:rsidR="00641D94" w:rsidRPr="00C921DE">
        <w:rPr>
          <w:rFonts w:ascii="GHEA Grapalat" w:hAnsi="GHEA Grapalat" w:cs="Sylfaen"/>
          <w:sz w:val="22"/>
          <w:szCs w:val="22"/>
          <w:lang w:val="en-US"/>
        </w:rPr>
        <w:t>2022 թվականի ծավալները:</w:t>
      </w:r>
    </w:p>
    <w:p w14:paraId="6EE44FE2" w14:textId="02269F37"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Գերմանիայի զարգացման վարկերի բանկի (KFW) հետ համատեղ գյուղատնտեսության ոլորտում ապահովագրական համակարգի ներդրման փորձնական ծրագրի իրականացման համար պետական աջակցության շրջանակներում կնքվել է 10192 ապահովագրական պայմանագիր, որի շրջանակներում ապահովագրվել են 11662 հա տարածքներ՝</w:t>
      </w:r>
      <w:r w:rsidR="00CB37E9" w:rsidRPr="00C921DE">
        <w:rPr>
          <w:rFonts w:ascii="GHEA Grapalat" w:hAnsi="GHEA Grapalat"/>
          <w:sz w:val="22"/>
          <w:szCs w:val="22"/>
        </w:rPr>
        <w:t xml:space="preserve"> </w:t>
      </w:r>
      <w:r w:rsidRPr="00C921DE">
        <w:rPr>
          <w:rFonts w:ascii="GHEA Grapalat" w:hAnsi="GHEA Grapalat"/>
          <w:sz w:val="22"/>
          <w:szCs w:val="22"/>
        </w:rPr>
        <w:t>նախատեսված 10000 հա-ի փոխարեն: Արդյունքային ցուցանիշի գծով արձանագրված գերակատարումը պայմանավորված է նոր պրոդուկտների և իրազեկվածության մակարդակի բարձրացման հետևանքով ծրագրի նկատմամբ պահանջարկի ա</w:t>
      </w:r>
      <w:r w:rsidR="00271441" w:rsidRPr="00C921DE">
        <w:rPr>
          <w:rFonts w:ascii="GHEA Grapalat" w:hAnsi="GHEA Grapalat"/>
          <w:sz w:val="22"/>
          <w:szCs w:val="22"/>
          <w:lang w:val="en-US"/>
        </w:rPr>
        <w:t>ճով</w:t>
      </w:r>
      <w:r w:rsidRPr="00C921DE">
        <w:rPr>
          <w:rFonts w:ascii="GHEA Grapalat" w:hAnsi="GHEA Grapalat"/>
          <w:sz w:val="22"/>
          <w:szCs w:val="22"/>
        </w:rPr>
        <w:t xml:space="preserve">: </w:t>
      </w:r>
      <w:r w:rsidR="00271441" w:rsidRPr="00C921DE">
        <w:rPr>
          <w:rFonts w:ascii="GHEA Grapalat" w:hAnsi="GHEA Grapalat"/>
          <w:sz w:val="22"/>
          <w:szCs w:val="22"/>
          <w:lang w:val="en-US"/>
        </w:rPr>
        <w:t xml:space="preserve">Նշենք, որ </w:t>
      </w:r>
      <w:r w:rsidRPr="00C921DE">
        <w:rPr>
          <w:rFonts w:ascii="GHEA Grapalat" w:hAnsi="GHEA Grapalat"/>
          <w:sz w:val="22"/>
          <w:szCs w:val="22"/>
        </w:rPr>
        <w:t>2022 թվականին միջոցառման շրջանակներում կնքվել է</w:t>
      </w:r>
      <w:r w:rsidR="00271441" w:rsidRPr="00C921DE">
        <w:rPr>
          <w:rFonts w:ascii="GHEA Grapalat" w:hAnsi="GHEA Grapalat"/>
          <w:sz w:val="22"/>
          <w:szCs w:val="22"/>
          <w:lang w:val="en-US"/>
        </w:rPr>
        <w:t>ր</w:t>
      </w:r>
      <w:r w:rsidRPr="00C921DE">
        <w:rPr>
          <w:rFonts w:ascii="GHEA Grapalat" w:hAnsi="GHEA Grapalat"/>
          <w:sz w:val="22"/>
          <w:szCs w:val="22"/>
        </w:rPr>
        <w:t xml:space="preserve"> 5091 ապահովագրական պայմանագիր 6444 հա ապահովագրվող</w:t>
      </w:r>
      <w:r w:rsidR="00CB37E9" w:rsidRPr="00C921DE">
        <w:rPr>
          <w:rFonts w:ascii="GHEA Grapalat" w:hAnsi="GHEA Grapalat"/>
          <w:sz w:val="22"/>
          <w:szCs w:val="22"/>
        </w:rPr>
        <w:t xml:space="preserve"> </w:t>
      </w:r>
      <w:r w:rsidRPr="00C921DE">
        <w:rPr>
          <w:rFonts w:ascii="GHEA Grapalat" w:hAnsi="GHEA Grapalat" w:cs="GHEA Grapalat"/>
          <w:sz w:val="22"/>
          <w:szCs w:val="22"/>
        </w:rPr>
        <w:t>տարածքների համար:</w:t>
      </w:r>
      <w:r w:rsidR="00327628" w:rsidRPr="00C921DE">
        <w:rPr>
          <w:rFonts w:ascii="GHEA Grapalat" w:hAnsi="GHEA Grapalat" w:cs="GHEA Grapalat"/>
          <w:sz w:val="22"/>
          <w:szCs w:val="22"/>
          <w:lang w:val="en-US"/>
        </w:rPr>
        <w:t xml:space="preserve"> </w:t>
      </w:r>
      <w:r w:rsidR="00327628" w:rsidRPr="00C921DE">
        <w:rPr>
          <w:rFonts w:ascii="GHEA Grapalat" w:hAnsi="GHEA Grapalat"/>
          <w:sz w:val="22"/>
          <w:szCs w:val="22"/>
        </w:rPr>
        <w:t xml:space="preserve">Միջոցառման </w:t>
      </w:r>
      <w:r w:rsidR="00327628" w:rsidRPr="00C921DE">
        <w:rPr>
          <w:rFonts w:ascii="GHEA Grapalat" w:hAnsi="GHEA Grapalat"/>
          <w:sz w:val="22"/>
          <w:szCs w:val="22"/>
        </w:rPr>
        <w:lastRenderedPageBreak/>
        <w:t xml:space="preserve">շրջանակներում օգտագործվել </w:t>
      </w:r>
      <w:r w:rsidR="00327628" w:rsidRPr="00C921DE">
        <w:rPr>
          <w:rFonts w:ascii="GHEA Grapalat" w:hAnsi="GHEA Grapalat"/>
          <w:sz w:val="22"/>
          <w:szCs w:val="22"/>
          <w:lang w:val="en-US"/>
        </w:rPr>
        <w:t>է</w:t>
      </w:r>
      <w:r w:rsidR="00327628" w:rsidRPr="00C921DE">
        <w:rPr>
          <w:rFonts w:ascii="GHEA Grapalat" w:hAnsi="GHEA Grapalat"/>
          <w:sz w:val="22"/>
          <w:szCs w:val="22"/>
        </w:rPr>
        <w:t xml:space="preserve"> շուրջ 1.1 մլրդ դրամ՝ ապահովելով 98.9% կատարողական: </w:t>
      </w:r>
      <w:r w:rsidRPr="00C921DE">
        <w:rPr>
          <w:rFonts w:ascii="GHEA Grapalat" w:hAnsi="GHEA Grapalat" w:cs="GHEA Grapalat"/>
          <w:sz w:val="22"/>
          <w:szCs w:val="22"/>
        </w:rPr>
        <w:t xml:space="preserve">Նախորդ տարվա համեմատ նշված միջոցառման ծախսերն աճել են 2.1 անգամ կամ 586.3 մլն դրամով՝ </w:t>
      </w:r>
      <w:r w:rsidRPr="00C921DE">
        <w:rPr>
          <w:rFonts w:ascii="GHEA Grapalat" w:hAnsi="GHEA Grapalat"/>
          <w:sz w:val="22"/>
          <w:szCs w:val="22"/>
        </w:rPr>
        <w:t xml:space="preserve">պայմանավորված </w:t>
      </w:r>
      <w:r w:rsidR="00327628" w:rsidRPr="00C921DE">
        <w:rPr>
          <w:rFonts w:ascii="GHEA Grapalat" w:hAnsi="GHEA Grapalat"/>
          <w:sz w:val="22"/>
          <w:szCs w:val="22"/>
        </w:rPr>
        <w:t xml:space="preserve">կնքված ապահովագրական պայմանագրերի թվի </w:t>
      </w:r>
      <w:r w:rsidR="00327628" w:rsidRPr="00C921DE">
        <w:rPr>
          <w:rFonts w:ascii="GHEA Grapalat" w:hAnsi="GHEA Grapalat"/>
          <w:sz w:val="22"/>
          <w:szCs w:val="22"/>
          <w:lang w:val="en-US"/>
        </w:rPr>
        <w:t xml:space="preserve">և </w:t>
      </w:r>
      <w:r w:rsidRPr="00C921DE">
        <w:rPr>
          <w:rFonts w:ascii="GHEA Grapalat" w:hAnsi="GHEA Grapalat"/>
          <w:sz w:val="22"/>
          <w:szCs w:val="22"/>
        </w:rPr>
        <w:t>ապահովագրվող տարածքների ա</w:t>
      </w:r>
      <w:r w:rsidR="00AF1A3B" w:rsidRPr="00C921DE">
        <w:rPr>
          <w:rFonts w:ascii="GHEA Grapalat" w:hAnsi="GHEA Grapalat"/>
          <w:sz w:val="22"/>
          <w:szCs w:val="22"/>
          <w:lang w:val="en-US"/>
        </w:rPr>
        <w:t>վելացմամբ</w:t>
      </w:r>
      <w:r w:rsidRPr="00C921DE">
        <w:rPr>
          <w:rFonts w:ascii="GHEA Grapalat" w:hAnsi="GHEA Grapalat"/>
          <w:sz w:val="22"/>
          <w:szCs w:val="22"/>
        </w:rPr>
        <w:t>:</w:t>
      </w:r>
    </w:p>
    <w:p w14:paraId="47D9798D" w14:textId="2D0C195F" w:rsidR="005728BA" w:rsidRPr="00C921DE" w:rsidRDefault="005728BA" w:rsidP="005728BA">
      <w:pPr>
        <w:tabs>
          <w:tab w:val="left" w:pos="8931"/>
        </w:tabs>
        <w:spacing w:line="360" w:lineRule="auto"/>
        <w:ind w:firstLine="561"/>
        <w:jc w:val="both"/>
        <w:rPr>
          <w:rFonts w:ascii="GHEA Grapalat" w:hAnsi="GHEA Grapalat" w:cs="Sylfaen"/>
          <w:sz w:val="22"/>
          <w:szCs w:val="22"/>
        </w:rPr>
      </w:pPr>
      <w:r w:rsidRPr="00C921DE">
        <w:rPr>
          <w:rFonts w:ascii="GHEA Grapalat" w:hAnsi="GHEA Grapalat"/>
          <w:sz w:val="22"/>
          <w:szCs w:val="22"/>
        </w:rPr>
        <w:t xml:space="preserve">2023 թվականին </w:t>
      </w:r>
      <w:r w:rsidRPr="00C921DE">
        <w:rPr>
          <w:rFonts w:ascii="GHEA Grapalat" w:hAnsi="GHEA Grapalat" w:cs="GHEA Grapalat"/>
          <w:i/>
          <w:sz w:val="22"/>
          <w:szCs w:val="22"/>
        </w:rPr>
        <w:t>Բուսաբուծության խթանման և բույսերի պաշտպանության</w:t>
      </w:r>
      <w:r w:rsidRPr="00C921DE">
        <w:rPr>
          <w:rFonts w:ascii="GHEA Grapalat" w:hAnsi="GHEA Grapalat" w:cs="GHEA Grapalat"/>
          <w:sz w:val="22"/>
          <w:szCs w:val="22"/>
        </w:rPr>
        <w:t xml:space="preserve"> ծրագրի շրջանակներում օգտագործվել է շուրջ 4.9 մլրդ դրամ՝ </w:t>
      </w:r>
      <w:r w:rsidRPr="00C921DE">
        <w:rPr>
          <w:rFonts w:ascii="GHEA Grapalat" w:hAnsi="GHEA Grapalat"/>
          <w:sz w:val="22"/>
          <w:szCs w:val="22"/>
        </w:rPr>
        <w:t>ապահովելով 100% կատարողական:</w:t>
      </w:r>
      <w:r w:rsidR="00CB37E9" w:rsidRPr="00C921DE">
        <w:rPr>
          <w:rFonts w:ascii="GHEA Grapalat" w:hAnsi="GHEA Grapalat"/>
          <w:sz w:val="22"/>
          <w:szCs w:val="22"/>
        </w:rPr>
        <w:t xml:space="preserve"> </w:t>
      </w:r>
      <w:r w:rsidRPr="00C921DE">
        <w:rPr>
          <w:rFonts w:ascii="GHEA Grapalat" w:hAnsi="GHEA Grapalat" w:cs="GHEA Grapalat"/>
          <w:sz w:val="22"/>
          <w:szCs w:val="22"/>
        </w:rPr>
        <w:t>Նախորդ տարվա համեմատ Բուսաբուծության խթանման և բույսերի պաշտպանության ծրագրի ծախսերն աճել են 34.1 անգամ (4.8 մլրդ դրամով)՝ հիմնականում պայմանավորված</w:t>
      </w:r>
      <w:r w:rsidRPr="00C921DE">
        <w:rPr>
          <w:rFonts w:ascii="GHEA Grapalat" w:hAnsi="GHEA Grapalat"/>
          <w:sz w:val="22"/>
          <w:szCs w:val="22"/>
        </w:rPr>
        <w:t xml:space="preserve"> 2023 թվականին </w:t>
      </w:r>
      <w:r w:rsidRPr="00C921DE">
        <w:rPr>
          <w:rFonts w:ascii="GHEA Grapalat" w:hAnsi="GHEA Grapalat" w:cs="Sylfaen"/>
          <w:sz w:val="22"/>
          <w:szCs w:val="22"/>
        </w:rPr>
        <w:t>ՀՀ-ում աշնանացան ցորենի արտադրության խթանման նպատակով փոխհատուցման տրամադրմամբ, որը նախորդ տարի չէր իրականացվել:</w:t>
      </w:r>
      <w:r w:rsidRPr="00C921DE">
        <w:rPr>
          <w:rFonts w:ascii="GHEA Grapalat" w:hAnsi="GHEA Grapalat" w:cs="GHEA Grapalat"/>
          <w:sz w:val="22"/>
          <w:szCs w:val="22"/>
        </w:rPr>
        <w:t xml:space="preserve"> Ծ</w:t>
      </w:r>
      <w:r w:rsidRPr="00C921DE">
        <w:rPr>
          <w:rFonts w:ascii="GHEA Grapalat" w:hAnsi="GHEA Grapalat" w:cs="Sylfaen"/>
          <w:sz w:val="22"/>
          <w:szCs w:val="22"/>
        </w:rPr>
        <w:t>րագրի շրջանակներում իրականացվել են հինգ միջոցառումներ:</w:t>
      </w:r>
    </w:p>
    <w:p w14:paraId="2BD0F86B" w14:textId="3A4F1C7F" w:rsidR="00EC3D0C" w:rsidRPr="00C921DE" w:rsidRDefault="00E21E67" w:rsidP="005728BA">
      <w:pPr>
        <w:tabs>
          <w:tab w:val="left" w:pos="8931"/>
        </w:tabs>
        <w:spacing w:line="360" w:lineRule="auto"/>
        <w:ind w:firstLine="561"/>
        <w:jc w:val="both"/>
        <w:rPr>
          <w:rFonts w:ascii="GHEA Grapalat" w:hAnsi="GHEA Grapalat" w:cs="Sylfaen"/>
          <w:sz w:val="22"/>
          <w:szCs w:val="22"/>
        </w:rPr>
      </w:pPr>
      <w:r w:rsidRPr="00C921DE">
        <w:rPr>
          <w:rFonts w:ascii="GHEA Grapalat" w:hAnsi="GHEA Grapalat" w:cs="Sylfaen"/>
          <w:sz w:val="22"/>
          <w:szCs w:val="22"/>
          <w:lang w:val="en-US"/>
        </w:rPr>
        <w:t>ՀՀ-ում</w:t>
      </w:r>
      <w:r w:rsidR="005728BA" w:rsidRPr="00C921DE">
        <w:rPr>
          <w:rFonts w:ascii="GHEA Grapalat" w:hAnsi="GHEA Grapalat" w:cs="Sylfaen"/>
          <w:sz w:val="22"/>
          <w:szCs w:val="22"/>
        </w:rPr>
        <w:t xml:space="preserve"> աշնանացան ցորենի արտադրության խթանման նպատակով փոխհատուցման տրամադրման միջոցառման շրջանակներում աջակցություն է հատկացվել 22483 շահառուի</w:t>
      </w:r>
      <w:r w:rsidR="00BC7627" w:rsidRPr="00C921DE">
        <w:rPr>
          <w:rFonts w:ascii="GHEA Grapalat" w:hAnsi="GHEA Grapalat" w:cs="Sylfaen"/>
          <w:sz w:val="22"/>
          <w:szCs w:val="22"/>
          <w:lang w:val="en-US"/>
        </w:rPr>
        <w:t xml:space="preserve">՝ </w:t>
      </w:r>
      <w:r w:rsidR="00BC7627" w:rsidRPr="00C921DE">
        <w:rPr>
          <w:rFonts w:ascii="GHEA Grapalat" w:hAnsi="GHEA Grapalat" w:cs="Sylfaen"/>
          <w:sz w:val="22"/>
          <w:szCs w:val="22"/>
        </w:rPr>
        <w:t>աշնանացան ցորենի</w:t>
      </w:r>
      <w:r w:rsidR="005728BA" w:rsidRPr="00C921DE">
        <w:rPr>
          <w:rFonts w:ascii="GHEA Grapalat" w:hAnsi="GHEA Grapalat" w:cs="Sylfaen"/>
          <w:sz w:val="22"/>
          <w:szCs w:val="22"/>
        </w:rPr>
        <w:t xml:space="preserve"> 55,278.9 հա </w:t>
      </w:r>
      <w:r w:rsidRPr="00C921DE">
        <w:rPr>
          <w:rFonts w:ascii="GHEA Grapalat" w:hAnsi="GHEA Grapalat" w:cs="Sylfaen"/>
          <w:sz w:val="22"/>
          <w:szCs w:val="22"/>
        </w:rPr>
        <w:t>ցանքատարածություններ</w:t>
      </w:r>
      <w:r w:rsidRPr="00C921DE">
        <w:rPr>
          <w:rFonts w:ascii="GHEA Grapalat" w:hAnsi="GHEA Grapalat" w:cs="Sylfaen"/>
          <w:sz w:val="22"/>
          <w:szCs w:val="22"/>
          <w:lang w:val="en-US"/>
        </w:rPr>
        <w:t xml:space="preserve">ի </w:t>
      </w:r>
      <w:r w:rsidR="005728BA" w:rsidRPr="00C921DE">
        <w:rPr>
          <w:rFonts w:ascii="GHEA Grapalat" w:hAnsi="GHEA Grapalat" w:cs="Sylfaen"/>
          <w:sz w:val="22"/>
          <w:szCs w:val="22"/>
        </w:rPr>
        <w:t>ցանք</w:t>
      </w:r>
      <w:r w:rsidR="00BC7627" w:rsidRPr="00C921DE">
        <w:rPr>
          <w:rFonts w:ascii="GHEA Grapalat" w:hAnsi="GHEA Grapalat" w:cs="Sylfaen"/>
          <w:sz w:val="22"/>
          <w:szCs w:val="22"/>
          <w:lang w:val="en-US"/>
        </w:rPr>
        <w:t>ի</w:t>
      </w:r>
      <w:r w:rsidR="005728BA" w:rsidRPr="00C921DE">
        <w:rPr>
          <w:rFonts w:ascii="GHEA Grapalat" w:hAnsi="GHEA Grapalat" w:cs="Sylfaen"/>
          <w:sz w:val="22"/>
          <w:szCs w:val="22"/>
        </w:rPr>
        <w:t xml:space="preserve"> համար</w:t>
      </w:r>
      <w:r w:rsidRPr="00C921DE">
        <w:rPr>
          <w:rFonts w:ascii="GHEA Grapalat" w:hAnsi="GHEA Grapalat" w:cs="Sylfaen"/>
          <w:sz w:val="22"/>
          <w:szCs w:val="22"/>
          <w:lang w:val="en-US"/>
        </w:rPr>
        <w:t>, որից</w:t>
      </w:r>
      <w:r w:rsidR="005728BA" w:rsidRPr="00C921DE">
        <w:rPr>
          <w:rFonts w:ascii="GHEA Grapalat" w:hAnsi="GHEA Grapalat" w:cs="Sylfaen"/>
          <w:sz w:val="22"/>
          <w:szCs w:val="22"/>
        </w:rPr>
        <w:t xml:space="preserve"> 14402.1 հա կազմել են աշնանացան ցորենի հավաստագրված սերմով ապահովված ցանքատարածությունները, իսկ 40876.8 հա-ը՝ չհավաստագրված սերմով ապահովված ցանքատարածությունները: Միջոցառմանը հատկացված շուրջ</w:t>
      </w:r>
      <w:r w:rsidR="00EC3D0C" w:rsidRPr="00C921DE">
        <w:rPr>
          <w:rFonts w:ascii="GHEA Grapalat" w:hAnsi="GHEA Grapalat" w:cs="Sylfaen"/>
          <w:sz w:val="22"/>
          <w:szCs w:val="22"/>
          <w:lang w:val="en-US"/>
        </w:rPr>
        <w:t xml:space="preserve"> </w:t>
      </w:r>
      <w:r w:rsidR="00C0291F" w:rsidRPr="00C921DE">
        <w:rPr>
          <w:rFonts w:ascii="GHEA Grapalat" w:hAnsi="GHEA Grapalat" w:cs="Sylfaen"/>
          <w:sz w:val="22"/>
          <w:szCs w:val="22"/>
        </w:rPr>
        <w:t>4.6 մլրդ դրա</w:t>
      </w:r>
      <w:r w:rsidR="00C0291F" w:rsidRPr="00C921DE">
        <w:rPr>
          <w:rFonts w:ascii="GHEA Grapalat" w:hAnsi="GHEA Grapalat" w:cs="Sylfaen"/>
          <w:sz w:val="22"/>
          <w:szCs w:val="22"/>
          <w:lang w:val="en-US"/>
        </w:rPr>
        <w:t>մը, ինչպես նաև</w:t>
      </w:r>
      <w:r w:rsidR="005728BA" w:rsidRPr="00C921DE">
        <w:rPr>
          <w:rFonts w:ascii="GHEA Grapalat" w:hAnsi="GHEA Grapalat" w:cs="Sylfaen"/>
          <w:sz w:val="22"/>
          <w:szCs w:val="22"/>
        </w:rPr>
        <w:t xml:space="preserve"> </w:t>
      </w:r>
      <w:r w:rsidR="00C0291F" w:rsidRPr="00C921DE">
        <w:rPr>
          <w:rFonts w:ascii="GHEA Grapalat" w:hAnsi="GHEA Grapalat" w:cs="Sylfaen"/>
          <w:sz w:val="22"/>
          <w:szCs w:val="22"/>
        </w:rPr>
        <w:t>Հ</w:t>
      </w:r>
      <w:r w:rsidR="00C0291F" w:rsidRPr="00C921DE">
        <w:rPr>
          <w:rFonts w:ascii="GHEA Grapalat" w:hAnsi="GHEA Grapalat" w:cs="Sylfaen"/>
          <w:sz w:val="22"/>
          <w:szCs w:val="22"/>
          <w:lang w:val="en-US"/>
        </w:rPr>
        <w:t>Հ-ո</w:t>
      </w:r>
      <w:r w:rsidR="00C0291F" w:rsidRPr="00C921DE">
        <w:rPr>
          <w:rFonts w:ascii="GHEA Grapalat" w:hAnsi="GHEA Grapalat" w:cs="Sylfaen"/>
          <w:sz w:val="22"/>
          <w:szCs w:val="22"/>
        </w:rPr>
        <w:t>ւմ աշնանացան ցորենի ցանքատարածությունների</w:t>
      </w:r>
      <w:r w:rsidR="00C0291F" w:rsidRPr="00C921DE">
        <w:rPr>
          <w:rFonts w:ascii="GHEA Grapalat" w:hAnsi="GHEA Grapalat"/>
          <w:sz w:val="22"/>
          <w:szCs w:val="22"/>
        </w:rPr>
        <w:t xml:space="preserve"> մոնիթորինգի իրականացմանն աջակցության </w:t>
      </w:r>
      <w:r w:rsidR="00B23807" w:rsidRPr="00C921DE">
        <w:rPr>
          <w:rFonts w:ascii="GHEA Grapalat" w:hAnsi="GHEA Grapalat"/>
          <w:sz w:val="22"/>
          <w:szCs w:val="22"/>
          <w:lang w:val="en-US"/>
        </w:rPr>
        <w:t>նպատակով հատկացված</w:t>
      </w:r>
      <w:r w:rsidR="00C0291F" w:rsidRPr="00C921DE">
        <w:rPr>
          <w:rFonts w:ascii="GHEA Grapalat" w:hAnsi="GHEA Grapalat"/>
          <w:sz w:val="22"/>
          <w:szCs w:val="22"/>
        </w:rPr>
        <w:t xml:space="preserve"> 158.1 մլն դրամ</w:t>
      </w:r>
      <w:r w:rsidR="00B23807" w:rsidRPr="00C921DE">
        <w:rPr>
          <w:rFonts w:ascii="GHEA Grapalat" w:hAnsi="GHEA Grapalat"/>
          <w:sz w:val="22"/>
          <w:szCs w:val="22"/>
          <w:lang w:val="en-US"/>
        </w:rPr>
        <w:t>ն</w:t>
      </w:r>
      <w:r w:rsidR="00C0291F" w:rsidRPr="00C921DE">
        <w:rPr>
          <w:rFonts w:ascii="GHEA Grapalat" w:hAnsi="GHEA Grapalat" w:cs="Sylfaen"/>
          <w:sz w:val="22"/>
          <w:szCs w:val="22"/>
        </w:rPr>
        <w:t xml:space="preserve"> </w:t>
      </w:r>
      <w:r w:rsidR="005728BA" w:rsidRPr="00C921DE">
        <w:rPr>
          <w:rFonts w:ascii="GHEA Grapalat" w:hAnsi="GHEA Grapalat" w:cs="Sylfaen"/>
          <w:sz w:val="22"/>
          <w:szCs w:val="22"/>
        </w:rPr>
        <w:t xml:space="preserve">ամբողջությամբ օգտագործվել </w:t>
      </w:r>
      <w:r w:rsidR="00B23807" w:rsidRPr="00C921DE">
        <w:rPr>
          <w:rFonts w:ascii="GHEA Grapalat" w:hAnsi="GHEA Grapalat" w:cs="Sylfaen"/>
          <w:sz w:val="22"/>
          <w:szCs w:val="22"/>
          <w:lang w:val="en-US"/>
        </w:rPr>
        <w:t>են</w:t>
      </w:r>
      <w:r w:rsidR="005728BA" w:rsidRPr="00C921DE">
        <w:rPr>
          <w:rFonts w:ascii="GHEA Grapalat" w:hAnsi="GHEA Grapalat" w:cs="Sylfaen"/>
          <w:sz w:val="22"/>
          <w:szCs w:val="22"/>
        </w:rPr>
        <w:t xml:space="preserve">: </w:t>
      </w:r>
    </w:p>
    <w:p w14:paraId="66EF2D57" w14:textId="635D6680" w:rsidR="00163A8D" w:rsidRPr="00C921DE" w:rsidRDefault="005728BA" w:rsidP="005728BA">
      <w:pPr>
        <w:tabs>
          <w:tab w:val="left" w:pos="8931"/>
        </w:tabs>
        <w:spacing w:line="360" w:lineRule="auto"/>
        <w:ind w:firstLine="561"/>
        <w:jc w:val="both"/>
        <w:rPr>
          <w:rFonts w:ascii="GHEA Grapalat" w:hAnsi="GHEA Grapalat" w:cs="Sylfaen"/>
          <w:sz w:val="22"/>
          <w:szCs w:val="22"/>
        </w:rPr>
      </w:pPr>
      <w:r w:rsidRPr="00C921DE">
        <w:rPr>
          <w:rFonts w:ascii="GHEA Grapalat" w:hAnsi="GHEA Grapalat"/>
          <w:sz w:val="22"/>
          <w:szCs w:val="22"/>
        </w:rPr>
        <w:t>Հաշվետու տարում</w:t>
      </w:r>
      <w:r w:rsidRPr="00C921DE">
        <w:rPr>
          <w:rFonts w:ascii="GHEA Grapalat" w:hAnsi="GHEA Grapalat" w:cs="GHEA Grapalat"/>
          <w:sz w:val="22"/>
          <w:szCs w:val="22"/>
        </w:rPr>
        <w:t xml:space="preserve"> </w:t>
      </w:r>
      <w:r w:rsidRPr="00C921DE">
        <w:rPr>
          <w:rFonts w:ascii="GHEA Grapalat" w:hAnsi="GHEA Grapalat" w:cs="GHEA Grapalat"/>
          <w:i/>
          <w:sz w:val="22"/>
          <w:szCs w:val="22"/>
        </w:rPr>
        <w:t xml:space="preserve">Գիտելիքահենք, նորարարական տնտեսությանը և փոքր ու միջին ձեռնարկատիրությանն աջակցության </w:t>
      </w:r>
      <w:r w:rsidRPr="00C921DE">
        <w:rPr>
          <w:rFonts w:ascii="GHEA Grapalat" w:hAnsi="GHEA Grapalat" w:cs="GHEA Grapalat"/>
          <w:sz w:val="22"/>
          <w:szCs w:val="22"/>
        </w:rPr>
        <w:t>ծրագրի շրջանակներում օգտագործվել է 8.7 մլրդ դրամ կամ նախատեսված միջոցների 93.8%-ը:</w:t>
      </w:r>
      <w:r w:rsidRPr="00C921DE">
        <w:rPr>
          <w:rFonts w:ascii="GHEA Grapalat" w:hAnsi="GHEA Grapalat"/>
          <w:sz w:val="22"/>
          <w:szCs w:val="22"/>
        </w:rPr>
        <w:t xml:space="preserve"> Շեղումը հիմնականում պայմանավորված է բարձր որակավորում ունեցող մասնագետների ներգրավման նպատակով տնտեսավարողներին աջակցության </w:t>
      </w:r>
      <w:r w:rsidRPr="00C921DE">
        <w:rPr>
          <w:rFonts w:ascii="GHEA Grapalat" w:hAnsi="GHEA Grapalat" w:cs="Sylfaen"/>
          <w:sz w:val="22"/>
          <w:szCs w:val="22"/>
        </w:rPr>
        <w:t xml:space="preserve">միջոցառման կատարողականով: </w:t>
      </w:r>
    </w:p>
    <w:p w14:paraId="2CC9CDBC" w14:textId="59A37562" w:rsidR="00163A8D" w:rsidRPr="00C921DE" w:rsidRDefault="00163A8D" w:rsidP="00163A8D">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lang w:val="en-US"/>
        </w:rPr>
        <w:t>ՀՀ</w:t>
      </w:r>
      <w:r w:rsidRPr="00C921DE">
        <w:rPr>
          <w:rFonts w:ascii="GHEA Grapalat" w:hAnsi="GHEA Grapalat"/>
          <w:sz w:val="22"/>
          <w:szCs w:val="22"/>
        </w:rPr>
        <w:t xml:space="preserve"> տարածքում գործող ընկերությունների արտադրողականության բարձրացման նպատակով բարձր որակավորում ունեցող մասնագետների ներգրավման նպատակով տնտեսավարողներին աջակցության </w:t>
      </w:r>
      <w:r w:rsidRPr="00C921DE">
        <w:rPr>
          <w:rFonts w:ascii="GHEA Grapalat" w:hAnsi="GHEA Grapalat" w:cs="Sylfaen"/>
          <w:sz w:val="22"/>
          <w:szCs w:val="22"/>
        </w:rPr>
        <w:t xml:space="preserve">միջոցառման </w:t>
      </w:r>
      <w:r w:rsidRPr="00C921DE">
        <w:rPr>
          <w:rFonts w:ascii="GHEA Grapalat" w:hAnsi="GHEA Grapalat"/>
          <w:sz w:val="22"/>
          <w:szCs w:val="22"/>
        </w:rPr>
        <w:t xml:space="preserve">շրջանակներում </w:t>
      </w:r>
      <w:r w:rsidRPr="00C921DE">
        <w:rPr>
          <w:rFonts w:ascii="GHEA Grapalat" w:hAnsi="GHEA Grapalat" w:cs="Sylfaen"/>
          <w:sz w:val="22"/>
          <w:szCs w:val="22"/>
        </w:rPr>
        <w:t>աջակցություն է տրամադրվել 29 ընկերությունների</w:t>
      </w:r>
      <w:r w:rsidRPr="00C921DE">
        <w:rPr>
          <w:rFonts w:ascii="GHEA Grapalat" w:hAnsi="GHEA Grapalat" w:cs="Sylfaen"/>
          <w:sz w:val="22"/>
          <w:szCs w:val="22"/>
          <w:lang w:val="en-US"/>
        </w:rPr>
        <w:t>, որոնց</w:t>
      </w:r>
      <w:r w:rsidRPr="00C921DE">
        <w:rPr>
          <w:rFonts w:ascii="GHEA Grapalat" w:hAnsi="GHEA Grapalat" w:cs="Sylfaen"/>
          <w:sz w:val="22"/>
          <w:szCs w:val="22"/>
        </w:rPr>
        <w:t xml:space="preserve"> կողմից ներգրավված բարձր որակավորում ունեցող մասնագետների թիվը նախատեսված 218</w:t>
      </w:r>
      <w:r w:rsidRPr="00C921DE">
        <w:rPr>
          <w:rFonts w:ascii="GHEA Grapalat" w:hAnsi="GHEA Grapalat" w:cs="Sylfaen"/>
          <w:sz w:val="22"/>
          <w:szCs w:val="22"/>
        </w:rPr>
        <w:noBreakHyphen/>
        <w:t>ի դիմաց կազմել է 368: Ցուցանիշի գերազանցումը պայմանավորված է միջոցառման նկատմամբ բարձր պահանջարկով: Միջոցառման ծախսերը կազմել են 790.9 մլն դրամ՝ ապահովելով 62.1% կատարողական: Շեղումը պայմանավորված է նրանով, որ ՆՁԱԿ</w:t>
      </w:r>
      <w:r w:rsidRPr="00C921DE">
        <w:rPr>
          <w:rFonts w:ascii="GHEA Grapalat" w:hAnsi="GHEA Grapalat" w:cs="Sylfaen"/>
          <w:sz w:val="22"/>
          <w:szCs w:val="22"/>
          <w:lang w:val="en-US"/>
        </w:rPr>
        <w:t xml:space="preserve"> (Նորամուծության և ձեռներեցության ազգային կենտրոն) </w:t>
      </w:r>
      <w:r w:rsidRPr="00C921DE">
        <w:rPr>
          <w:rFonts w:ascii="GHEA Grapalat" w:hAnsi="GHEA Grapalat" w:cs="Sylfaen"/>
          <w:sz w:val="22"/>
          <w:szCs w:val="22"/>
        </w:rPr>
        <w:t xml:space="preserve">ՊՈԱԿ-ի կողմից ներկայացվել է հայտ միայն 7 ամիսների փոխհատուցման </w:t>
      </w:r>
      <w:r w:rsidRPr="00C921DE">
        <w:rPr>
          <w:rFonts w:ascii="GHEA Grapalat" w:hAnsi="GHEA Grapalat" w:cs="Sylfaen"/>
          <w:sz w:val="22"/>
          <w:szCs w:val="22"/>
        </w:rPr>
        <w:lastRenderedPageBreak/>
        <w:t xml:space="preserve">համար, իսկ մյուս 5 ամիսների հայտերը ներկայացվել են 2024 թվականին: Բացի այդ, ցուցանիշները հաշվարկվել են </w:t>
      </w:r>
      <w:r w:rsidRPr="00C921DE">
        <w:rPr>
          <w:rFonts w:ascii="GHEA Grapalat" w:hAnsi="GHEA Grapalat"/>
          <w:sz w:val="22"/>
          <w:szCs w:val="22"/>
        </w:rPr>
        <w:t>նախատեսվածից բարձր արժեքով: Միջոցառումը մեկնարկել է 2023 թվականին:</w:t>
      </w:r>
    </w:p>
    <w:p w14:paraId="74BECB8C" w14:textId="31D2F9C2" w:rsidR="00AE1DAA" w:rsidRPr="00C921DE" w:rsidRDefault="00AE1DAA" w:rsidP="00AE1DAA">
      <w:pPr>
        <w:tabs>
          <w:tab w:val="left" w:pos="8931"/>
        </w:tabs>
        <w:spacing w:line="360" w:lineRule="auto"/>
        <w:ind w:firstLine="561"/>
        <w:jc w:val="both"/>
        <w:rPr>
          <w:rFonts w:ascii="GHEA Grapalat" w:hAnsi="GHEA Grapalat"/>
          <w:sz w:val="22"/>
          <w:szCs w:val="22"/>
        </w:rPr>
      </w:pPr>
      <w:r w:rsidRPr="00C921DE">
        <w:rPr>
          <w:rFonts w:ascii="GHEA Grapalat" w:hAnsi="GHEA Grapalat"/>
          <w:sz w:val="22"/>
          <w:szCs w:val="22"/>
          <w:lang w:val="en-US"/>
        </w:rPr>
        <w:t>Տ</w:t>
      </w:r>
      <w:r w:rsidRPr="00C921DE">
        <w:rPr>
          <w:rFonts w:ascii="GHEA Grapalat" w:hAnsi="GHEA Grapalat"/>
          <w:sz w:val="22"/>
          <w:szCs w:val="22"/>
        </w:rPr>
        <w:t xml:space="preserve">նտեսության արդիականացման միջոցառմանը պետական աջակցության </w:t>
      </w:r>
      <w:r w:rsidR="005728BA" w:rsidRPr="00C921DE">
        <w:rPr>
          <w:rFonts w:ascii="GHEA Grapalat" w:hAnsi="GHEA Grapalat"/>
          <w:sz w:val="22"/>
          <w:szCs w:val="22"/>
        </w:rPr>
        <w:t>շրջանակներում արտադրական հնարավորությունների արդիականացման և նոր տեխնոլոգիաների ներմուծման խթանման նպատակով մատչելի պայմաններով վարկերի տրամադրման միջոցով կանխատեսված 1400-ի փոխարեն աջակցություն է ստացել 1851</w:t>
      </w:r>
      <w:r w:rsidR="005728BA" w:rsidRPr="00C921DE">
        <w:rPr>
          <w:rFonts w:ascii="Calibri" w:hAnsi="Calibri" w:cs="Calibri"/>
          <w:sz w:val="22"/>
          <w:szCs w:val="22"/>
        </w:rPr>
        <w:t> </w:t>
      </w:r>
      <w:r w:rsidR="005728BA" w:rsidRPr="00C921DE">
        <w:rPr>
          <w:rFonts w:ascii="GHEA Grapalat" w:hAnsi="GHEA Grapalat"/>
          <w:sz w:val="22"/>
          <w:szCs w:val="22"/>
        </w:rPr>
        <w:t>տնտեսավարող, որից 475-ը նախորդ տարիներից սուբսիդավորվող տնտեսավարող սուբյեկտներն են: Միջոցառման շրջանակներում ձեռք են բերվել 2852 միավոր սարքավորումներ և սարքավորման բաղկացուցիչներ՝ նախատեսված 600-ի դիմաց: Ցուցանիշների գերազանցումը պայմանավորված է միջոցառման նկատմամբ բարձր պահանջարկով:</w:t>
      </w:r>
      <w:r w:rsidR="002D4DE0" w:rsidRPr="00C921DE">
        <w:rPr>
          <w:rFonts w:ascii="GHEA Grapalat" w:hAnsi="GHEA Grapalat"/>
          <w:sz w:val="22"/>
          <w:szCs w:val="22"/>
          <w:lang w:val="en-US"/>
        </w:rPr>
        <w:t xml:space="preserve"> Նշենք, որ </w:t>
      </w:r>
      <w:r w:rsidR="002D4DE0" w:rsidRPr="00C921DE">
        <w:rPr>
          <w:rFonts w:ascii="GHEA Grapalat" w:hAnsi="GHEA Grapalat"/>
          <w:sz w:val="22"/>
          <w:szCs w:val="22"/>
        </w:rPr>
        <w:t>2022 թվականին սուբսիդավորվող տնտես</w:t>
      </w:r>
      <w:r w:rsidR="002D4DE0" w:rsidRPr="00C921DE">
        <w:rPr>
          <w:rFonts w:ascii="GHEA Grapalat" w:hAnsi="GHEA Grapalat"/>
          <w:sz w:val="22"/>
          <w:szCs w:val="22"/>
          <w:lang w:val="en-US"/>
        </w:rPr>
        <w:t>ա</w:t>
      </w:r>
      <w:r w:rsidR="002D4DE0" w:rsidRPr="00C921DE">
        <w:rPr>
          <w:rFonts w:ascii="GHEA Grapalat" w:hAnsi="GHEA Grapalat"/>
          <w:sz w:val="22"/>
          <w:szCs w:val="22"/>
        </w:rPr>
        <w:t>վարողների քանակը կազմել է</w:t>
      </w:r>
      <w:r w:rsidR="002D4DE0" w:rsidRPr="00C921DE">
        <w:rPr>
          <w:rFonts w:ascii="GHEA Grapalat" w:hAnsi="GHEA Grapalat"/>
          <w:sz w:val="22"/>
          <w:szCs w:val="22"/>
          <w:lang w:val="en-US"/>
        </w:rPr>
        <w:t>ր</w:t>
      </w:r>
      <w:r w:rsidR="002D4DE0" w:rsidRPr="00C921DE">
        <w:rPr>
          <w:rFonts w:ascii="GHEA Grapalat" w:hAnsi="GHEA Grapalat"/>
          <w:sz w:val="22"/>
          <w:szCs w:val="22"/>
        </w:rPr>
        <w:t xml:space="preserve"> 1201 վարկառու:</w:t>
      </w:r>
      <w:r w:rsidR="005728BA" w:rsidRPr="00C921DE">
        <w:rPr>
          <w:rFonts w:ascii="GHEA Grapalat" w:hAnsi="GHEA Grapalat"/>
          <w:sz w:val="22"/>
          <w:szCs w:val="22"/>
        </w:rPr>
        <w:t xml:space="preserve"> Միջոցառման ծախսերը կազմել են շուրջ 7.9 մլրդ դրամ՝ ապահովելով 98.9% կատարողական: Շեղումը պայմանավորված է նրանով, որ սուբսիդավորվող վարկերը տրամադրվել են նախատեսվածից փոքր ծավալներով: 2022 թվականին նշված միջոցառում</w:t>
      </w:r>
      <w:r w:rsidR="004E4273" w:rsidRPr="00C921DE">
        <w:rPr>
          <w:rFonts w:ascii="GHEA Grapalat" w:hAnsi="GHEA Grapalat"/>
          <w:sz w:val="22"/>
          <w:szCs w:val="22"/>
          <w:lang w:val="en-US"/>
        </w:rPr>
        <w:t>ն</w:t>
      </w:r>
      <w:r w:rsidR="005728BA" w:rsidRPr="00C921DE">
        <w:rPr>
          <w:rFonts w:ascii="GHEA Grapalat" w:hAnsi="GHEA Grapalat"/>
          <w:sz w:val="22"/>
          <w:szCs w:val="22"/>
        </w:rPr>
        <w:t xml:space="preserve"> իրականացվել է Ճգնաժամերի հակազդման և արտակարգ իրավիճակների հետևանքների նվազեցման և վերացման</w:t>
      </w:r>
      <w:r w:rsidR="00CB37E9" w:rsidRPr="00C921DE">
        <w:rPr>
          <w:rFonts w:ascii="GHEA Grapalat" w:hAnsi="GHEA Grapalat"/>
          <w:sz w:val="22"/>
          <w:szCs w:val="22"/>
        </w:rPr>
        <w:t xml:space="preserve"> </w:t>
      </w:r>
      <w:r w:rsidR="005728BA" w:rsidRPr="00C921DE">
        <w:rPr>
          <w:rFonts w:ascii="GHEA Grapalat" w:hAnsi="GHEA Grapalat"/>
          <w:sz w:val="22"/>
          <w:szCs w:val="22"/>
        </w:rPr>
        <w:t>ծրագրի շրջանակներում: Նախորդ տարվա համադրելի ցուցանիշի համեմատ նշված միջոցառման ծախսերն աճել են 82.7%-ով կամ շուրջ 3.6 մլրդ դրամով</w:t>
      </w:r>
      <w:r w:rsidR="002D4DE0" w:rsidRPr="00C921DE">
        <w:rPr>
          <w:rFonts w:ascii="GHEA Grapalat" w:hAnsi="GHEA Grapalat"/>
          <w:sz w:val="22"/>
          <w:szCs w:val="22"/>
          <w:lang w:val="en-US"/>
        </w:rPr>
        <w:t>՝</w:t>
      </w:r>
      <w:r w:rsidR="005728BA" w:rsidRPr="00C921DE">
        <w:rPr>
          <w:rFonts w:ascii="GHEA Grapalat" w:hAnsi="GHEA Grapalat"/>
          <w:sz w:val="22"/>
          <w:szCs w:val="22"/>
        </w:rPr>
        <w:t xml:space="preserve"> պայմանավորված ՀՀ կառավարության 2023 թվականի մայիսի 18-ի թիվ 831-Լ որոշմա</w:t>
      </w:r>
      <w:r w:rsidR="002D4DE0" w:rsidRPr="00C921DE">
        <w:rPr>
          <w:rFonts w:ascii="GHEA Grapalat" w:hAnsi="GHEA Grapalat"/>
          <w:sz w:val="22"/>
          <w:szCs w:val="22"/>
          <w:lang w:val="en-US"/>
        </w:rPr>
        <w:t>մբ</w:t>
      </w:r>
      <w:r w:rsidR="005728BA" w:rsidRPr="00C921DE">
        <w:rPr>
          <w:rFonts w:ascii="GHEA Grapalat" w:hAnsi="GHEA Grapalat"/>
          <w:sz w:val="22"/>
          <w:szCs w:val="22"/>
        </w:rPr>
        <w:t xml:space="preserve"> միջոցառման ուղղություններ</w:t>
      </w:r>
      <w:r w:rsidR="002D4DE0" w:rsidRPr="00C921DE">
        <w:rPr>
          <w:rFonts w:ascii="GHEA Grapalat" w:hAnsi="GHEA Grapalat"/>
          <w:sz w:val="22"/>
          <w:szCs w:val="22"/>
          <w:lang w:val="en-US"/>
        </w:rPr>
        <w:t>ի ավելացմամբ</w:t>
      </w:r>
      <w:r w:rsidR="005728BA" w:rsidRPr="00C921DE">
        <w:rPr>
          <w:rFonts w:ascii="GHEA Grapalat" w:hAnsi="GHEA Grapalat"/>
          <w:sz w:val="22"/>
          <w:szCs w:val="22"/>
        </w:rPr>
        <w:t xml:space="preserve"> ու շահառուների շրջանակ</w:t>
      </w:r>
      <w:r w:rsidR="002D4DE0" w:rsidRPr="00C921DE">
        <w:rPr>
          <w:rFonts w:ascii="GHEA Grapalat" w:hAnsi="GHEA Grapalat"/>
          <w:sz w:val="22"/>
          <w:szCs w:val="22"/>
          <w:lang w:val="en-US"/>
        </w:rPr>
        <w:t>ի ընդլայնմամբ</w:t>
      </w:r>
      <w:r w:rsidR="005728BA" w:rsidRPr="00C921DE">
        <w:rPr>
          <w:rFonts w:ascii="GHEA Grapalat" w:hAnsi="GHEA Grapalat"/>
          <w:sz w:val="22"/>
          <w:szCs w:val="22"/>
        </w:rPr>
        <w:t xml:space="preserve">։ </w:t>
      </w:r>
      <w:r w:rsidRPr="00C921DE">
        <w:rPr>
          <w:rFonts w:ascii="GHEA Grapalat" w:hAnsi="GHEA Grapalat"/>
          <w:sz w:val="22"/>
          <w:szCs w:val="22"/>
          <w:lang w:val="en-US"/>
        </w:rPr>
        <w:t>Նշվածով պայմանավորված՝ ն</w:t>
      </w:r>
      <w:r w:rsidRPr="00C921DE">
        <w:rPr>
          <w:rFonts w:ascii="GHEA Grapalat" w:hAnsi="GHEA Grapalat"/>
          <w:sz w:val="22"/>
          <w:szCs w:val="22"/>
        </w:rPr>
        <w:t xml:space="preserve">ախորդ տարվա համեմատ </w:t>
      </w:r>
      <w:r w:rsidRPr="00C921DE">
        <w:rPr>
          <w:rFonts w:ascii="GHEA Grapalat" w:hAnsi="GHEA Grapalat" w:cs="Sylfaen"/>
          <w:sz w:val="22"/>
          <w:szCs w:val="22"/>
        </w:rPr>
        <w:t xml:space="preserve">Գիտելիքահենք, </w:t>
      </w:r>
      <w:r w:rsidRPr="00C921DE">
        <w:rPr>
          <w:rFonts w:ascii="GHEA Grapalat" w:hAnsi="GHEA Grapalat"/>
          <w:sz w:val="22"/>
          <w:szCs w:val="22"/>
        </w:rPr>
        <w:t>նորարարական տնտեսությանը և փոքր ու միջին ձեռնարկատիրությանն աջակցության ծրագրի ծախսերն աճել են 2 անգամ կամ 4.4</w:t>
      </w:r>
      <w:r w:rsidRPr="00C921DE">
        <w:rPr>
          <w:rFonts w:ascii="Calibri" w:hAnsi="Calibri" w:cs="Calibri"/>
          <w:sz w:val="22"/>
          <w:szCs w:val="22"/>
          <w:lang w:val="en-US"/>
        </w:rPr>
        <w:t> </w:t>
      </w:r>
      <w:r w:rsidRPr="00C921DE">
        <w:rPr>
          <w:rFonts w:ascii="GHEA Grapalat" w:hAnsi="GHEA Grapalat"/>
          <w:sz w:val="22"/>
          <w:szCs w:val="22"/>
        </w:rPr>
        <w:t>մլրդ դրամով, որը հիմնականում պայմանավորված է ծախսերի աճով:</w:t>
      </w:r>
    </w:p>
    <w:p w14:paraId="449E018E" w14:textId="343AB795" w:rsidR="005728BA" w:rsidRPr="00C921DE" w:rsidRDefault="005728BA" w:rsidP="005728BA">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sz w:val="22"/>
          <w:szCs w:val="22"/>
        </w:rPr>
        <w:t xml:space="preserve">2023 թվականին </w:t>
      </w:r>
      <w:r w:rsidRPr="00C921DE">
        <w:rPr>
          <w:rFonts w:ascii="GHEA Grapalat" w:hAnsi="GHEA Grapalat" w:cs="GHEA Grapalat"/>
          <w:i/>
          <w:sz w:val="22"/>
          <w:szCs w:val="22"/>
        </w:rPr>
        <w:t>Ներդրումների և արտահանման խթանման</w:t>
      </w:r>
      <w:r w:rsidRPr="00C921DE">
        <w:rPr>
          <w:rFonts w:ascii="GHEA Grapalat" w:hAnsi="GHEA Grapalat" w:cs="GHEA Grapalat"/>
          <w:sz w:val="22"/>
          <w:szCs w:val="22"/>
        </w:rPr>
        <w:t xml:space="preserve"> ծրագրի շրջանակներում օգտագործվել է 3.3 մլրդ դրամ կամ նախատեսված միջոցների 71.6%-ը: Շեղումը հիմնականում պայմանավորված է ներդրումներ իրականացնող կազմակերպություններին ենթակառուցվածքների կառուցման ձևաչափով oժանդակելու համար նախատեսված շուրջ 1.3 մլրդ դրամ միջոցները չօգտագործելու հանգամանքով: Վերջինս պայմանավորված է նրանով, որ ծրագրի շրջանակներում աջակցություն տրամադրելու համար յուրաքանչյուր հայտի մասով ընդունվում է կառավարության անհատական որոշում, կառավարության կողմից </w:t>
      </w:r>
      <w:r w:rsidR="0016657D" w:rsidRPr="00C921DE">
        <w:rPr>
          <w:rFonts w:ascii="GHEA Grapalat" w:hAnsi="GHEA Grapalat" w:cs="GHEA Grapalat"/>
          <w:sz w:val="22"/>
          <w:szCs w:val="22"/>
          <w:lang w:val="en-US"/>
        </w:rPr>
        <w:t>ընդուն</w:t>
      </w:r>
      <w:r w:rsidRPr="00C921DE">
        <w:rPr>
          <w:rFonts w:ascii="GHEA Grapalat" w:hAnsi="GHEA Grapalat" w:cs="GHEA Grapalat"/>
          <w:sz w:val="22"/>
          <w:szCs w:val="22"/>
        </w:rPr>
        <w:t xml:space="preserve">վել է 4 որոշում, սակայն գումար փոխանցելու որոշումը երկարատև քննարկման արդյունքում հետաձգվել է: Այնուհետև ՀՀ կառավարության 2023 թվականի դեկտեմբերի 7-ի թիվ 2144-Ն որոշմամբ </w:t>
      </w:r>
      <w:r w:rsidRPr="00C921DE">
        <w:rPr>
          <w:rFonts w:ascii="GHEA Grapalat" w:hAnsi="GHEA Grapalat"/>
          <w:sz w:val="22"/>
          <w:szCs w:val="22"/>
        </w:rPr>
        <w:t>առաջադրվել</w:t>
      </w:r>
      <w:r w:rsidR="00D30540" w:rsidRPr="00C921DE">
        <w:rPr>
          <w:rFonts w:ascii="GHEA Grapalat" w:hAnsi="GHEA Grapalat"/>
          <w:sz w:val="22"/>
          <w:szCs w:val="22"/>
          <w:lang w:val="en-US"/>
        </w:rPr>
        <w:t xml:space="preserve"> են </w:t>
      </w:r>
      <w:r w:rsidR="00D30540" w:rsidRPr="00C921DE">
        <w:rPr>
          <w:rFonts w:ascii="GHEA Grapalat" w:hAnsi="GHEA Grapalat" w:cs="GHEA Grapalat"/>
          <w:sz w:val="22"/>
          <w:szCs w:val="22"/>
        </w:rPr>
        <w:t>նոր պայմաններ</w:t>
      </w:r>
      <w:r w:rsidRPr="00C921DE">
        <w:rPr>
          <w:rFonts w:ascii="GHEA Grapalat" w:hAnsi="GHEA Grapalat"/>
          <w:sz w:val="22"/>
          <w:szCs w:val="22"/>
        </w:rPr>
        <w:t xml:space="preserve">, որի հետևանքով հնարավոր չի եղել միջոցառման շրջանակներում ընդունված 4 որոշումների հիման վրա ընկերությունների հետ պայմանագրեր կնքել, </w:t>
      </w:r>
      <w:r w:rsidR="0016657D" w:rsidRPr="00C921DE">
        <w:rPr>
          <w:rFonts w:ascii="GHEA Grapalat" w:hAnsi="GHEA Grapalat"/>
          <w:sz w:val="22"/>
          <w:szCs w:val="22"/>
          <w:lang w:val="en-US"/>
        </w:rPr>
        <w:t xml:space="preserve">և </w:t>
      </w:r>
      <w:r w:rsidRPr="00C921DE">
        <w:rPr>
          <w:rFonts w:ascii="GHEA Grapalat" w:hAnsi="GHEA Grapalat"/>
          <w:sz w:val="22"/>
          <w:szCs w:val="22"/>
        </w:rPr>
        <w:t xml:space="preserve">պայմանագրերի կնքումը տեղափոխվել է 2024 </w:t>
      </w:r>
      <w:r w:rsidRPr="00C921DE">
        <w:rPr>
          <w:rFonts w:ascii="GHEA Grapalat" w:hAnsi="GHEA Grapalat"/>
          <w:sz w:val="22"/>
          <w:szCs w:val="22"/>
        </w:rPr>
        <w:lastRenderedPageBreak/>
        <w:t>թվական: Նախորդ տարվա համեմատ Ներդրումների և արտահանման խթանման ծրագրի ծախսերն աճել</w:t>
      </w:r>
      <w:r w:rsidRPr="00C921DE">
        <w:rPr>
          <w:rFonts w:ascii="GHEA Grapalat" w:hAnsi="GHEA Grapalat" w:cs="GHEA Grapalat"/>
          <w:sz w:val="22"/>
          <w:szCs w:val="22"/>
        </w:rPr>
        <w:t xml:space="preserve"> են 46.7%-ով կամ 1.1 մլրդ դրամով, որը հիմնականում պայմանավորված է ՀՀ տարածքից բեռների արտահանման և/կամ ՀՀ տարածք ներմուծման նպատակով լոգիստիկ ծառայությունների ձեռք բերմանն աջակցության, Հանրային ներդրումային ծրագրերի տեխնիկատնտեսական ուսումնասիրության </w:t>
      </w:r>
      <w:r w:rsidR="00FB53F4" w:rsidRPr="00C921DE">
        <w:rPr>
          <w:rFonts w:ascii="GHEA Grapalat" w:hAnsi="GHEA Grapalat" w:cs="GHEA Grapalat"/>
          <w:sz w:val="22"/>
          <w:szCs w:val="22"/>
          <w:lang w:val="en-US"/>
        </w:rPr>
        <w:t>և</w:t>
      </w:r>
      <w:r w:rsidRPr="00C921DE">
        <w:rPr>
          <w:rFonts w:ascii="GHEA Grapalat" w:hAnsi="GHEA Grapalat" w:cs="GHEA Grapalat"/>
          <w:sz w:val="22"/>
          <w:szCs w:val="22"/>
        </w:rPr>
        <w:t xml:space="preserve"> ԷՔՍՊՈ 2025 Օսակա, Կանսայ, Ճապոնիա համաշխարհային ցուցահանդեսին Հայաստանի Հանրապետության մասնակցության կազմակերպման աշխատանքների համար միջոցների հատկացմամբ, որոնք 2022 թվականին չէին նախատեսվել:</w:t>
      </w:r>
    </w:p>
    <w:p w14:paraId="7CAE6B64" w14:textId="616AAD38"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sz w:val="22"/>
          <w:szCs w:val="22"/>
        </w:rPr>
        <w:t>Ներդրումների և արտահանման խթանման ծրագրի շրջանակներում իրականացված վեց միջոցառումներից երկուսի գծով արձանագրվել է 100% կատարողական: Մասնավորապես՝ Հայաստանի Հանրապետությունում</w:t>
      </w:r>
      <w:r w:rsidRPr="00C921DE">
        <w:rPr>
          <w:rFonts w:ascii="GHEA Grapalat" w:hAnsi="GHEA Grapalat" w:cs="Sylfaen"/>
          <w:sz w:val="22"/>
          <w:szCs w:val="22"/>
        </w:rPr>
        <w:t xml:space="preserve"> և արտերկրում ներդրումային և ՊՄԳ ծրագրերի իրականացմանը պետական աջակցության միջոցառման շրջանակներում օգտագործվել է 1.8 մլրդ դրամ: Նշված գումարը պայմանագրով նախատեսված դրույթների համաձայն հանդիսանում է կան</w:t>
      </w:r>
      <w:r w:rsidR="00FB53F4" w:rsidRPr="00C921DE">
        <w:rPr>
          <w:rFonts w:ascii="GHEA Grapalat" w:hAnsi="GHEA Grapalat" w:cs="Sylfaen"/>
          <w:sz w:val="22"/>
          <w:szCs w:val="22"/>
        </w:rPr>
        <w:t xml:space="preserve">խավճար, իսկ աշխատանքների իրականացումը նախատեսվում </w:t>
      </w:r>
      <w:r w:rsidR="00FB53F4" w:rsidRPr="00C921DE">
        <w:rPr>
          <w:rFonts w:ascii="GHEA Grapalat" w:hAnsi="GHEA Grapalat" w:cs="Sylfaen"/>
          <w:sz w:val="22"/>
          <w:szCs w:val="22"/>
          <w:lang w:val="en-US"/>
        </w:rPr>
        <w:t>է</w:t>
      </w:r>
      <w:r w:rsidRPr="00C921DE">
        <w:rPr>
          <w:rFonts w:ascii="GHEA Grapalat" w:hAnsi="GHEA Grapalat" w:cs="Sylfaen"/>
          <w:sz w:val="22"/>
          <w:szCs w:val="22"/>
        </w:rPr>
        <w:t xml:space="preserve"> 2024 թվականի</w:t>
      </w:r>
      <w:r w:rsidR="00FB53F4" w:rsidRPr="00C921DE">
        <w:rPr>
          <w:rFonts w:ascii="GHEA Grapalat" w:hAnsi="GHEA Grapalat" w:cs="Sylfaen"/>
          <w:sz w:val="22"/>
          <w:szCs w:val="22"/>
          <w:lang w:val="en-US"/>
        </w:rPr>
        <w:t>ն</w:t>
      </w:r>
      <w:r w:rsidRPr="00C921DE">
        <w:rPr>
          <w:rFonts w:ascii="GHEA Grapalat" w:hAnsi="GHEA Grapalat" w:cs="Sylfaen"/>
          <w:sz w:val="22"/>
          <w:szCs w:val="22"/>
        </w:rPr>
        <w:t>:</w:t>
      </w:r>
    </w:p>
    <w:p w14:paraId="4A5ACE1E" w14:textId="09217EEC"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ՀՀ տարածքից բեռների արտահանման և/կամ ՀՀ տարածք ներմուծման նպատակով լոգիստիկ ծառայությունների ձեռք բերմանն աջակցության միջոցառման շրջանակներում նախատեսված 9-ի դիմաց իրականացվել են 4</w:t>
      </w:r>
      <w:r w:rsidRPr="00C921DE">
        <w:rPr>
          <w:rFonts w:ascii="GHEA Grapalat" w:hAnsi="GHEA Grapalat"/>
          <w:sz w:val="22"/>
          <w:szCs w:val="22"/>
        </w:rPr>
        <w:t xml:space="preserve"> փոխադրումներ: Շեղումը պայմանավորված է նրանով, որ ռուս-ուկրաինական հակամարտության հետևանքով </w:t>
      </w:r>
      <w:r w:rsidR="009E7ADD" w:rsidRPr="00C921DE">
        <w:rPr>
          <w:rFonts w:ascii="GHEA Grapalat" w:hAnsi="GHEA Grapalat"/>
          <w:sz w:val="22"/>
          <w:szCs w:val="22"/>
          <w:lang w:val="en-US"/>
        </w:rPr>
        <w:t xml:space="preserve">կտրուկ </w:t>
      </w:r>
      <w:r w:rsidR="009E7ADD" w:rsidRPr="00C921DE">
        <w:rPr>
          <w:rFonts w:ascii="GHEA Grapalat" w:hAnsi="GHEA Grapalat"/>
          <w:sz w:val="22"/>
          <w:szCs w:val="22"/>
        </w:rPr>
        <w:t xml:space="preserve">բարձրացել են </w:t>
      </w:r>
      <w:r w:rsidR="00BD2087" w:rsidRPr="00C921DE">
        <w:rPr>
          <w:rFonts w:ascii="GHEA Grapalat" w:hAnsi="GHEA Grapalat"/>
          <w:sz w:val="22"/>
          <w:szCs w:val="22"/>
        </w:rPr>
        <w:t>լաստանավերի ու նավերի վարձակալության գները, ուստի</w:t>
      </w:r>
      <w:r w:rsidR="009E7ADD" w:rsidRPr="00C921DE">
        <w:rPr>
          <w:rFonts w:ascii="GHEA Grapalat" w:hAnsi="GHEA Grapalat"/>
          <w:sz w:val="22"/>
          <w:szCs w:val="22"/>
        </w:rPr>
        <w:t xml:space="preserve"> </w:t>
      </w:r>
      <w:r w:rsidR="00D149AC" w:rsidRPr="00C921DE">
        <w:rPr>
          <w:rFonts w:ascii="GHEA Grapalat" w:hAnsi="GHEA Grapalat"/>
          <w:sz w:val="22"/>
          <w:szCs w:val="22"/>
          <w:lang w:val="en-US"/>
        </w:rPr>
        <w:t>Կ</w:t>
      </w:r>
      <w:r w:rsidR="00BD2087" w:rsidRPr="00C921DE">
        <w:rPr>
          <w:rFonts w:ascii="GHEA Grapalat" w:hAnsi="GHEA Grapalat"/>
          <w:sz w:val="22"/>
          <w:szCs w:val="22"/>
          <w:lang w:val="en-US"/>
        </w:rPr>
        <w:t>առավարության որոշմամբ</w:t>
      </w:r>
      <w:r w:rsidR="00610314" w:rsidRPr="00C921DE">
        <w:rPr>
          <w:rFonts w:ascii="GHEA Grapalat" w:hAnsi="GHEA Grapalat"/>
          <w:sz w:val="22"/>
          <w:szCs w:val="22"/>
        </w:rPr>
        <w:t xml:space="preserve"> մեկ ամբողջական չվերթի փոխհատուցման գումարը</w:t>
      </w:r>
      <w:r w:rsidR="00BD2087" w:rsidRPr="00C921DE">
        <w:rPr>
          <w:rFonts w:ascii="GHEA Grapalat" w:hAnsi="GHEA Grapalat"/>
          <w:sz w:val="22"/>
          <w:szCs w:val="22"/>
          <w:lang w:val="en-US"/>
        </w:rPr>
        <w:t xml:space="preserve"> նախկին 60 մլն դրամի փոխարեն</w:t>
      </w:r>
      <w:r w:rsidR="00BD2087" w:rsidRPr="00C921DE">
        <w:rPr>
          <w:rFonts w:ascii="GHEA Grapalat" w:hAnsi="GHEA Grapalat"/>
          <w:sz w:val="22"/>
          <w:szCs w:val="22"/>
        </w:rPr>
        <w:t xml:space="preserve"> սահմանվել է 120</w:t>
      </w:r>
      <w:r w:rsidR="00610314" w:rsidRPr="00C921DE">
        <w:rPr>
          <w:rFonts w:ascii="GHEA Grapalat" w:hAnsi="GHEA Grapalat"/>
          <w:sz w:val="22"/>
          <w:szCs w:val="22"/>
        </w:rPr>
        <w:t xml:space="preserve"> </w:t>
      </w:r>
      <w:r w:rsidR="00BD2087" w:rsidRPr="00C921DE">
        <w:rPr>
          <w:rFonts w:ascii="GHEA Grapalat" w:hAnsi="GHEA Grapalat"/>
          <w:sz w:val="22"/>
          <w:szCs w:val="22"/>
          <w:lang w:val="en-US"/>
        </w:rPr>
        <w:t>մլն</w:t>
      </w:r>
      <w:r w:rsidR="00610314" w:rsidRPr="00C921DE">
        <w:rPr>
          <w:rFonts w:ascii="GHEA Grapalat" w:hAnsi="GHEA Grapalat"/>
          <w:sz w:val="22"/>
          <w:szCs w:val="22"/>
        </w:rPr>
        <w:t xml:space="preserve"> դրամ</w:t>
      </w:r>
      <w:r w:rsidR="00BD2087" w:rsidRPr="00C921DE">
        <w:rPr>
          <w:rFonts w:ascii="GHEA Grapalat" w:hAnsi="GHEA Grapalat"/>
          <w:sz w:val="22"/>
          <w:szCs w:val="22"/>
          <w:lang w:val="en-US"/>
        </w:rPr>
        <w:t xml:space="preserve">, </w:t>
      </w:r>
      <w:r w:rsidR="00BD2087" w:rsidRPr="00C921DE">
        <w:rPr>
          <w:rFonts w:ascii="GHEA Grapalat" w:hAnsi="GHEA Grapalat"/>
          <w:sz w:val="22"/>
          <w:szCs w:val="22"/>
        </w:rPr>
        <w:t>նախատեսվել են</w:t>
      </w:r>
      <w:r w:rsidR="00610314" w:rsidRPr="00C921DE">
        <w:rPr>
          <w:rFonts w:ascii="GHEA Grapalat" w:hAnsi="GHEA Grapalat"/>
          <w:sz w:val="22"/>
          <w:szCs w:val="22"/>
        </w:rPr>
        <w:t xml:space="preserve"> նաև նավով փոխադրումներ, որի բեռնատարողությունը մի քանի անգամ բարձր է լաստանավի</w:t>
      </w:r>
      <w:r w:rsidR="00E01B45" w:rsidRPr="00C921DE">
        <w:rPr>
          <w:rFonts w:ascii="GHEA Grapalat" w:hAnsi="GHEA Grapalat"/>
          <w:sz w:val="22"/>
          <w:szCs w:val="22"/>
          <w:lang w:val="en-US"/>
        </w:rPr>
        <w:t xml:space="preserve"> բեռնատարողությունից</w:t>
      </w:r>
      <w:r w:rsidRPr="00C921DE">
        <w:rPr>
          <w:rFonts w:ascii="GHEA Grapalat" w:hAnsi="GHEA Grapalat"/>
          <w:sz w:val="22"/>
          <w:szCs w:val="22"/>
        </w:rPr>
        <w:t>: Արդյունքում</w:t>
      </w:r>
      <w:r w:rsidRPr="00C921DE">
        <w:rPr>
          <w:rFonts w:ascii="GHEA Grapalat" w:hAnsi="GHEA Grapalat" w:cs="Sylfaen"/>
          <w:sz w:val="22"/>
          <w:szCs w:val="22"/>
        </w:rPr>
        <w:t xml:space="preserve"> միջոցառման ծախսերը կատարվել են 94.2%-ով՝ կազմելով 470.9 մլն դրամ</w:t>
      </w:r>
      <w:r w:rsidR="00076656" w:rsidRPr="00C921DE">
        <w:rPr>
          <w:rFonts w:ascii="GHEA Grapalat" w:hAnsi="GHEA Grapalat" w:cs="Sylfaen"/>
          <w:sz w:val="22"/>
          <w:szCs w:val="22"/>
          <w:lang w:val="en-US"/>
        </w:rPr>
        <w:t>, որը պայմանավորված է տնտեսումներով</w:t>
      </w:r>
      <w:r w:rsidRPr="00C921DE">
        <w:rPr>
          <w:rFonts w:ascii="GHEA Grapalat" w:hAnsi="GHEA Grapalat" w:cs="Sylfaen"/>
          <w:sz w:val="22"/>
          <w:szCs w:val="22"/>
        </w:rPr>
        <w:t>:</w:t>
      </w:r>
    </w:p>
    <w:p w14:paraId="18A2393B" w14:textId="48C639A0"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Sylfaen"/>
          <w:sz w:val="22"/>
          <w:szCs w:val="22"/>
        </w:rPr>
        <w:t>ՀՀ արտահանմանն ուղղված արդյունաբերական քաղաքականության ռազմավարությամբ նախատեսված միջոցառումների</w:t>
      </w:r>
      <w:r w:rsidRPr="00C921DE">
        <w:rPr>
          <w:rFonts w:ascii="GHEA Grapalat" w:hAnsi="GHEA Grapalat"/>
          <w:sz w:val="22"/>
          <w:szCs w:val="22"/>
        </w:rPr>
        <w:t xml:space="preserve"> շրջանակներում կազմակերպվել և իրականացվել է արտերկրում հայկական արտադրանքի վերաբերյալ գովազդի և հասարակական կարծիքի ձևավորման (PR) 5 միջոցառում</w:t>
      </w:r>
      <w:r w:rsidR="00740C40" w:rsidRPr="00C921DE">
        <w:rPr>
          <w:rFonts w:ascii="GHEA Grapalat" w:hAnsi="GHEA Grapalat"/>
          <w:sz w:val="22"/>
          <w:szCs w:val="22"/>
          <w:lang w:val="en-US"/>
        </w:rPr>
        <w:t xml:space="preserve">՝ </w:t>
      </w:r>
      <w:r w:rsidR="00740C40" w:rsidRPr="00C921DE">
        <w:rPr>
          <w:rFonts w:ascii="GHEA Grapalat" w:hAnsi="GHEA Grapalat"/>
          <w:sz w:val="22"/>
          <w:szCs w:val="22"/>
        </w:rPr>
        <w:t>նախատեսված 4-ի դիմաց</w:t>
      </w:r>
      <w:r w:rsidRPr="00C921DE">
        <w:rPr>
          <w:rFonts w:ascii="GHEA Grapalat" w:hAnsi="GHEA Grapalat"/>
          <w:sz w:val="22"/>
          <w:szCs w:val="22"/>
        </w:rPr>
        <w:t>, ապահովվել է մասնակցությունը 7 միջազգային ցուցահանդեսների, նախատեսված 5-ի դիմաց ապահովվել է 9 գործարար համաժողովների (ֆորումների), ինչպես</w:t>
      </w:r>
      <w:r w:rsidRPr="00C921DE">
        <w:rPr>
          <w:rFonts w:ascii="GHEA Grapalat" w:hAnsi="GHEA Grapalat" w:cs="GHEA Grapalat"/>
          <w:sz w:val="22"/>
          <w:szCs w:val="22"/>
        </w:rPr>
        <w:t xml:space="preserve"> նաև այլ համանման </w:t>
      </w:r>
      <w:r w:rsidRPr="00C921DE">
        <w:rPr>
          <w:rFonts w:ascii="GHEA Grapalat" w:hAnsi="GHEA Grapalat"/>
          <w:sz w:val="22"/>
          <w:szCs w:val="22"/>
        </w:rPr>
        <w:t>միջոցառումների մասնակցությունը և (կամ) կազմակերպումը: Նշենք, որ 2022 թվականին ապահովվել է</w:t>
      </w:r>
      <w:r w:rsidR="00740C40" w:rsidRPr="00C921DE">
        <w:rPr>
          <w:rFonts w:ascii="GHEA Grapalat" w:hAnsi="GHEA Grapalat"/>
          <w:sz w:val="22"/>
          <w:szCs w:val="22"/>
          <w:lang w:val="en-US"/>
        </w:rPr>
        <w:t>ր</w:t>
      </w:r>
      <w:r w:rsidRPr="00C921DE">
        <w:rPr>
          <w:rFonts w:ascii="GHEA Grapalat" w:hAnsi="GHEA Grapalat"/>
          <w:sz w:val="22"/>
          <w:szCs w:val="22"/>
        </w:rPr>
        <w:t xml:space="preserve"> </w:t>
      </w:r>
      <w:r w:rsidR="00740C40" w:rsidRPr="00C921DE">
        <w:rPr>
          <w:rFonts w:ascii="GHEA Grapalat" w:hAnsi="GHEA Grapalat"/>
          <w:sz w:val="22"/>
          <w:szCs w:val="22"/>
        </w:rPr>
        <w:t xml:space="preserve">մասնակցություն </w:t>
      </w:r>
      <w:r w:rsidRPr="00C921DE">
        <w:rPr>
          <w:rFonts w:ascii="GHEA Grapalat" w:hAnsi="GHEA Grapalat"/>
          <w:sz w:val="22"/>
          <w:szCs w:val="22"/>
        </w:rPr>
        <w:t xml:space="preserve">4 միջազգային ցուցահանդեսների և 1 միջազգային տնտեսական համաժողովի: Միջոցառման շրջանակներում ծախսերը կազմել են 307.9 մլն դրամ կամ ծրագրված ցուցանիշի 96.2%-ը: Շեղումը հիմնականում պայմանավորված է նրանով, որ մեկ ցուցահանդեսի համար վճարվել է միայն առաջին փուլով </w:t>
      </w:r>
      <w:r w:rsidRPr="00C921DE">
        <w:rPr>
          <w:rFonts w:ascii="GHEA Grapalat" w:hAnsi="GHEA Grapalat"/>
          <w:sz w:val="22"/>
          <w:szCs w:val="22"/>
        </w:rPr>
        <w:lastRenderedPageBreak/>
        <w:t xml:space="preserve">նախատեսված գումարը, իսկ երկրորդ փուլի վճարումը համապատասխան փաստաթղթերը կառուցապատող ընկերության կողմից ուշ ներկայացվելու պատճառով տեղափոխվել է 2024 թվական: Նախորդ տարվա համեմատ նշված միջոցառման ծախսերն աճել են 40.2%-ով կամ շուրջ 88.3 մլն դրամով՝ </w:t>
      </w:r>
      <w:r w:rsidR="005A6C42" w:rsidRPr="00C921DE">
        <w:rPr>
          <w:rFonts w:ascii="GHEA Grapalat" w:hAnsi="GHEA Grapalat"/>
          <w:sz w:val="22"/>
          <w:szCs w:val="22"/>
          <w:lang w:val="en-US"/>
        </w:rPr>
        <w:t>պայմանավորված իրականացված միջոցառումների</w:t>
      </w:r>
      <w:r w:rsidRPr="00C921DE">
        <w:rPr>
          <w:rFonts w:ascii="GHEA Grapalat" w:hAnsi="GHEA Grapalat"/>
          <w:sz w:val="22"/>
          <w:szCs w:val="22"/>
        </w:rPr>
        <w:t xml:space="preserve"> ծավալով:</w:t>
      </w:r>
    </w:p>
    <w:p w14:paraId="227A483A" w14:textId="1755F386" w:rsidR="005728BA" w:rsidRPr="00C921DE" w:rsidRDefault="005728BA" w:rsidP="005728BA">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sz w:val="22"/>
          <w:szCs w:val="22"/>
        </w:rPr>
        <w:t xml:space="preserve">2023 թվականին </w:t>
      </w:r>
      <w:r w:rsidRPr="00C921DE">
        <w:rPr>
          <w:rFonts w:ascii="GHEA Grapalat" w:hAnsi="GHEA Grapalat" w:cs="GHEA Grapalat"/>
          <w:i/>
          <w:sz w:val="22"/>
          <w:szCs w:val="22"/>
        </w:rPr>
        <w:t>Գյուղատնտեսության արդիականացման</w:t>
      </w:r>
      <w:r w:rsidRPr="00C921DE">
        <w:rPr>
          <w:rFonts w:ascii="GHEA Grapalat" w:hAnsi="GHEA Grapalat" w:cs="GHEA Grapalat"/>
          <w:sz w:val="22"/>
          <w:szCs w:val="22"/>
        </w:rPr>
        <w:t xml:space="preserve"> ծրագրի շրջանակներում օգտագործվել է 17.5</w:t>
      </w:r>
      <w:r w:rsidRPr="00C921DE">
        <w:rPr>
          <w:rFonts w:ascii="Courier New" w:hAnsi="Courier New" w:cs="Courier New"/>
          <w:sz w:val="22"/>
          <w:szCs w:val="22"/>
        </w:rPr>
        <w:t> </w:t>
      </w:r>
      <w:r w:rsidRPr="00C921DE">
        <w:rPr>
          <w:rFonts w:ascii="GHEA Grapalat" w:hAnsi="GHEA Grapalat" w:cs="GHEA Grapalat"/>
          <w:sz w:val="22"/>
          <w:szCs w:val="22"/>
        </w:rPr>
        <w:t xml:space="preserve">մլրդ դրամ՝ ապահովելով 98.8% կատարողական: Նախորդ տարվա համեմատ նշված ծրագրի ծախսերն աճել են 43.8%-ով (ավելի քան 5.3 մլրդ դրամով), որը հիմնականում պայմանավորված է </w:t>
      </w:r>
      <w:r w:rsidR="002A7F84" w:rsidRPr="00C921DE">
        <w:rPr>
          <w:rFonts w:ascii="GHEA Grapalat" w:hAnsi="GHEA Grapalat" w:cs="GHEA Grapalat"/>
          <w:sz w:val="22"/>
          <w:szCs w:val="22"/>
          <w:lang w:val="en-US"/>
        </w:rPr>
        <w:t>ՀՀ-</w:t>
      </w:r>
      <w:r w:rsidRPr="00C921DE">
        <w:rPr>
          <w:rFonts w:ascii="GHEA Grapalat" w:hAnsi="GHEA Grapalat" w:cs="GHEA Grapalat"/>
          <w:sz w:val="22"/>
          <w:szCs w:val="22"/>
        </w:rPr>
        <w:t xml:space="preserve">ում ինտենսիվ այգեգործության զարգացման նպատակով վարկերի տոկոսադրույքների սուբսիդավորման և ծախսերի մասնակի փոխհատուցման, ինչպես նաև </w:t>
      </w:r>
      <w:r w:rsidR="002A7F84" w:rsidRPr="00C921DE">
        <w:rPr>
          <w:rFonts w:ascii="GHEA Grapalat" w:hAnsi="GHEA Grapalat" w:cs="GHEA Grapalat"/>
          <w:sz w:val="22"/>
          <w:szCs w:val="22"/>
          <w:lang w:val="en-US"/>
        </w:rPr>
        <w:t>ՀՀ</w:t>
      </w:r>
      <w:r w:rsidRPr="00C921DE">
        <w:rPr>
          <w:rFonts w:ascii="GHEA Grapalat" w:hAnsi="GHEA Grapalat" w:cs="GHEA Grapalat"/>
          <w:sz w:val="22"/>
          <w:szCs w:val="22"/>
        </w:rPr>
        <w:t xml:space="preserve"> ագրոպարենային ոլորտի սարքավորումների</w:t>
      </w:r>
      <w:r w:rsidR="00CB37E9" w:rsidRPr="00C921DE">
        <w:rPr>
          <w:rFonts w:ascii="GHEA Grapalat" w:hAnsi="GHEA Grapalat" w:cs="GHEA Grapalat"/>
          <w:sz w:val="22"/>
          <w:szCs w:val="22"/>
        </w:rPr>
        <w:t xml:space="preserve"> </w:t>
      </w:r>
      <w:r w:rsidRPr="00C921DE">
        <w:rPr>
          <w:rFonts w:ascii="GHEA Grapalat" w:hAnsi="GHEA Grapalat" w:cs="GHEA Grapalat"/>
          <w:sz w:val="22"/>
          <w:szCs w:val="22"/>
        </w:rPr>
        <w:t>լիզինգի</w:t>
      </w:r>
      <w:r w:rsidR="00CB37E9" w:rsidRPr="00C921DE">
        <w:rPr>
          <w:rFonts w:ascii="GHEA Grapalat" w:hAnsi="GHEA Grapalat" w:cs="GHEA Grapalat"/>
          <w:sz w:val="22"/>
          <w:szCs w:val="22"/>
        </w:rPr>
        <w:t xml:space="preserve"> </w:t>
      </w:r>
      <w:r w:rsidRPr="00C921DE">
        <w:rPr>
          <w:rFonts w:ascii="GHEA Grapalat" w:hAnsi="GHEA Grapalat" w:cs="GHEA Grapalat"/>
          <w:sz w:val="22"/>
          <w:szCs w:val="22"/>
        </w:rPr>
        <w:t>աջակցության ծրագրի գծով կատարված ծախսերի աճով:</w:t>
      </w:r>
    </w:p>
    <w:p w14:paraId="4831B0F6" w14:textId="01F89E5B"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Ծրագրի շրջանակներում իրականացվել են </w:t>
      </w:r>
      <w:r w:rsidR="001A51BB" w:rsidRPr="00C921DE">
        <w:rPr>
          <w:rFonts w:ascii="GHEA Grapalat" w:hAnsi="GHEA Grapalat" w:cs="Sylfaen"/>
          <w:sz w:val="22"/>
          <w:szCs w:val="22"/>
          <w:lang w:val="en-US"/>
        </w:rPr>
        <w:t>13</w:t>
      </w:r>
      <w:r w:rsidRPr="00C921DE">
        <w:rPr>
          <w:rFonts w:ascii="GHEA Grapalat" w:hAnsi="GHEA Grapalat" w:cs="Sylfaen"/>
          <w:sz w:val="22"/>
          <w:szCs w:val="22"/>
        </w:rPr>
        <w:t xml:space="preserve"> միջոցառումներ, որոնցից </w:t>
      </w:r>
      <w:r w:rsidR="001A51BB" w:rsidRPr="00C921DE">
        <w:rPr>
          <w:rFonts w:ascii="GHEA Grapalat" w:hAnsi="GHEA Grapalat" w:cs="Sylfaen"/>
          <w:sz w:val="22"/>
          <w:szCs w:val="22"/>
          <w:lang w:val="en-US"/>
        </w:rPr>
        <w:t>8-ի</w:t>
      </w:r>
      <w:r w:rsidRPr="00C921DE">
        <w:rPr>
          <w:rFonts w:ascii="GHEA Grapalat" w:hAnsi="GHEA Grapalat" w:cs="Sylfaen"/>
          <w:sz w:val="22"/>
          <w:szCs w:val="22"/>
        </w:rPr>
        <w:t xml:space="preserve"> գծով արձանագրվել է </w:t>
      </w:r>
      <w:r w:rsidR="001A51BB" w:rsidRPr="00C921DE">
        <w:rPr>
          <w:rFonts w:ascii="GHEA Grapalat" w:hAnsi="GHEA Grapalat" w:cs="Sylfaen"/>
          <w:sz w:val="22"/>
          <w:szCs w:val="22"/>
          <w:lang w:val="en-US"/>
        </w:rPr>
        <w:t xml:space="preserve">ծախսերի </w:t>
      </w:r>
      <w:r w:rsidRPr="00C921DE">
        <w:rPr>
          <w:rFonts w:ascii="GHEA Grapalat" w:hAnsi="GHEA Grapalat" w:cs="Sylfaen"/>
          <w:sz w:val="22"/>
          <w:szCs w:val="22"/>
        </w:rPr>
        <w:t>100% կատարողական</w:t>
      </w:r>
      <w:r w:rsidR="001A51BB" w:rsidRPr="00C921DE">
        <w:rPr>
          <w:rFonts w:ascii="GHEA Grapalat" w:hAnsi="GHEA Grapalat" w:cs="Sylfaen"/>
          <w:sz w:val="22"/>
          <w:szCs w:val="22"/>
          <w:lang w:val="en-US"/>
        </w:rPr>
        <w:t>՝ կազմելով 17 մլրդ դրամ</w:t>
      </w:r>
      <w:r w:rsidRPr="00C921DE">
        <w:rPr>
          <w:rFonts w:ascii="GHEA Grapalat" w:hAnsi="GHEA Grapalat" w:cs="Sylfaen"/>
          <w:sz w:val="22"/>
          <w:szCs w:val="22"/>
        </w:rPr>
        <w:t>:</w:t>
      </w:r>
    </w:p>
    <w:p w14:paraId="355EA9AE" w14:textId="5FACAE6C"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Հաշվետու տարում </w:t>
      </w:r>
      <w:r w:rsidR="001A51BB" w:rsidRPr="00C921DE">
        <w:rPr>
          <w:rFonts w:ascii="GHEA Grapalat" w:hAnsi="GHEA Grapalat" w:cs="Sylfaen"/>
          <w:sz w:val="22"/>
          <w:szCs w:val="22"/>
          <w:lang w:val="en-US"/>
        </w:rPr>
        <w:t>ՀՀ-</w:t>
      </w:r>
      <w:r w:rsidRPr="00C921DE">
        <w:rPr>
          <w:rFonts w:ascii="GHEA Grapalat" w:hAnsi="GHEA Grapalat" w:cs="Sylfaen"/>
          <w:sz w:val="22"/>
          <w:szCs w:val="22"/>
        </w:rPr>
        <w:t>ում ինտենսիվ այգեգործության զարգացման նպատակով սուբսիդավորման միջոցառման շրջանակներում հիմնվել են 3619.12 հա ինտենսիվ պտղատու այգիներ, որից 2102.3 հա-ը՝ նախորդ տարիներին, տեղակայվել են 76.3 հա կարկտապաշտպան ցանցային համակարգեր, որից 50.2 հա-ը՝ նախորդ տարիներին, մշակվել են բարձրարժեք մշակաբույսերի ցանքատարածություններ 3.18 հա տարածքի վրա, ներդրվել են 576 հա ոռոգման արդիական համակարգեր, որից 418 հա-ը՝ նախորդ տարիներին: Միջոցառման շրջանակներում ամբողջությամբ ապահովվել են կանխատեսված ա</w:t>
      </w:r>
      <w:r w:rsidR="00247F20" w:rsidRPr="00C921DE">
        <w:rPr>
          <w:rFonts w:ascii="GHEA Grapalat" w:hAnsi="GHEA Grapalat" w:cs="Sylfaen"/>
          <w:sz w:val="22"/>
          <w:szCs w:val="22"/>
        </w:rPr>
        <w:t>րդյունքային ցուցանիշները</w:t>
      </w:r>
      <w:r w:rsidRPr="00C921DE">
        <w:rPr>
          <w:rFonts w:ascii="GHEA Grapalat" w:hAnsi="GHEA Grapalat" w:cs="Sylfaen"/>
          <w:sz w:val="22"/>
          <w:szCs w:val="22"/>
        </w:rPr>
        <w:t>: Միջոցառմանն ուղղվել է ավելի քան 8.9 մլրդ դրամ՝ ապահովելով 100% կատարողական: Նախորդ տարվա համեմատ նշված միջոցառման ծախսերն աճել են 2.2 անգամ կամ 4.8 մլրդ դրամով, որը պայմանավորված է միջոցառման նկատմամբ բարձր պահանջարկի հետևանքով կատարված աշխատանքների ծավալ</w:t>
      </w:r>
      <w:r w:rsidR="00416318" w:rsidRPr="00C921DE">
        <w:rPr>
          <w:rFonts w:ascii="GHEA Grapalat" w:hAnsi="GHEA Grapalat" w:cs="Sylfaen"/>
          <w:sz w:val="22"/>
          <w:szCs w:val="22"/>
          <w:lang w:val="en-US"/>
        </w:rPr>
        <w:t>ներ</w:t>
      </w:r>
      <w:r w:rsidRPr="00C921DE">
        <w:rPr>
          <w:rFonts w:ascii="GHEA Grapalat" w:hAnsi="GHEA Grapalat" w:cs="Sylfaen"/>
          <w:sz w:val="22"/>
          <w:szCs w:val="22"/>
        </w:rPr>
        <w:t>ի աճով:</w:t>
      </w:r>
    </w:p>
    <w:p w14:paraId="129038B6" w14:textId="69CF718D" w:rsidR="001D64B5" w:rsidRPr="00C921DE" w:rsidRDefault="001D64B5" w:rsidP="001D64B5">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Հայաստանի Հանրապետությունում ինտենսիվ այգեգործության զարգացման նպատակով ծախսերի փոխհատուցման միջոցառման շրջանակներում հիմնվել են 75.72 հա նոր ինտենսիվ պտղատու այգիներ</w:t>
      </w:r>
      <w:r w:rsidRPr="00C921DE">
        <w:rPr>
          <w:rFonts w:ascii="GHEA Grapalat" w:hAnsi="GHEA Grapalat" w:cs="Sylfaen"/>
          <w:sz w:val="22"/>
          <w:szCs w:val="22"/>
          <w:lang w:val="en-US"/>
        </w:rPr>
        <w:t xml:space="preserve">՝ </w:t>
      </w:r>
      <w:r w:rsidRPr="00C921DE">
        <w:rPr>
          <w:rFonts w:ascii="GHEA Grapalat" w:hAnsi="GHEA Grapalat" w:cs="Sylfaen"/>
          <w:sz w:val="22"/>
          <w:szCs w:val="22"/>
        </w:rPr>
        <w:t>նախատեսված 76 հա-ի դիմաց: Շեղումը պայմանավորված է նրանով, որ նոր ընթացակարգով հաստատված մոնի</w:t>
      </w:r>
      <w:r w:rsidRPr="00C921DE">
        <w:rPr>
          <w:rFonts w:ascii="GHEA Grapalat" w:hAnsi="GHEA Grapalat" w:cs="Sylfaen"/>
          <w:sz w:val="22"/>
          <w:szCs w:val="22"/>
          <w:lang w:val="en-US"/>
        </w:rPr>
        <w:t>տ</w:t>
      </w:r>
      <w:r w:rsidRPr="00C921DE">
        <w:rPr>
          <w:rFonts w:ascii="GHEA Grapalat" w:hAnsi="GHEA Grapalat" w:cs="Sylfaen"/>
          <w:sz w:val="22"/>
          <w:szCs w:val="22"/>
        </w:rPr>
        <w:t>որինգի արդյունքում հիմնված այգիներում արձանագրվել են մի շարք անհամապատասխանություններ, ինչի արդյունքում ձգձգվել է փոխհատուցման գործընթացը: Բացի այդ, ներդրվել են 111.6 հա ոռոգման արդիական համակարգեր</w:t>
      </w:r>
      <w:r w:rsidRPr="00C921DE">
        <w:rPr>
          <w:rFonts w:ascii="GHEA Grapalat" w:hAnsi="GHEA Grapalat" w:cs="Sylfaen"/>
          <w:sz w:val="22"/>
          <w:szCs w:val="22"/>
          <w:lang w:val="en-US"/>
        </w:rPr>
        <w:t xml:space="preserve">՝ </w:t>
      </w:r>
      <w:r w:rsidRPr="00C921DE">
        <w:rPr>
          <w:rFonts w:ascii="GHEA Grapalat" w:hAnsi="GHEA Grapalat" w:cs="Sylfaen"/>
          <w:sz w:val="22"/>
          <w:szCs w:val="22"/>
        </w:rPr>
        <w:t>նախատեսված 100 հա-ի դիմաց: Ցուցանիշի գերազանցումը պայմանավորված է տնտես</w:t>
      </w:r>
      <w:r w:rsidRPr="00C921DE">
        <w:rPr>
          <w:rFonts w:ascii="GHEA Grapalat" w:hAnsi="GHEA Grapalat" w:cs="Sylfaen"/>
          <w:sz w:val="22"/>
          <w:szCs w:val="22"/>
          <w:lang w:val="en-US"/>
        </w:rPr>
        <w:t>ա</w:t>
      </w:r>
      <w:r w:rsidRPr="00C921DE">
        <w:rPr>
          <w:rFonts w:ascii="GHEA Grapalat" w:hAnsi="GHEA Grapalat" w:cs="Sylfaen"/>
          <w:sz w:val="22"/>
          <w:szCs w:val="22"/>
        </w:rPr>
        <w:t>վարողների իրազեկվածության մակարդակի բարձրացման հետևանքով միջոցառման նկատմամբ բարձր պահանջարկով:</w:t>
      </w:r>
      <w:r w:rsidRPr="00C921DE">
        <w:rPr>
          <w:rFonts w:ascii="GHEA Grapalat" w:hAnsi="GHEA Grapalat"/>
          <w:sz w:val="22"/>
          <w:szCs w:val="22"/>
        </w:rPr>
        <w:t xml:space="preserve"> Նշենք, որ </w:t>
      </w:r>
      <w:r w:rsidRPr="00C921DE">
        <w:rPr>
          <w:rFonts w:ascii="GHEA Grapalat" w:hAnsi="GHEA Grapalat"/>
          <w:sz w:val="22"/>
          <w:szCs w:val="22"/>
        </w:rPr>
        <w:lastRenderedPageBreak/>
        <w:t xml:space="preserve">2022 թվականին միջոցառման </w:t>
      </w:r>
      <w:r w:rsidRPr="00C921DE">
        <w:rPr>
          <w:rFonts w:ascii="GHEA Grapalat" w:hAnsi="GHEA Grapalat" w:cs="Sylfaen"/>
          <w:sz w:val="22"/>
          <w:szCs w:val="22"/>
        </w:rPr>
        <w:t>շրջանակներում հիմնվել էին 39.01 հա նոր ինտենսիվ պտղատու այգիներ և ներդրվել 43.9 հա ոռոգման արդիական համակարգեր: Միջոցառման ծախսերը կազմել են շուրջ 1.3 մլրդ դրամ՝ ապահովելով 100% կատարողական: Նախորդ տարվա համեմատ նշված ծախսերն աճել են 3.2 անգամ կամ 874.5 մլն դրամով, որը պայմանավորված է կատարված աշխատանքների ծավալ</w:t>
      </w:r>
      <w:r w:rsidRPr="00C921DE">
        <w:rPr>
          <w:rFonts w:ascii="GHEA Grapalat" w:hAnsi="GHEA Grapalat" w:cs="Sylfaen"/>
          <w:sz w:val="22"/>
          <w:szCs w:val="22"/>
          <w:lang w:val="en-US"/>
        </w:rPr>
        <w:t>ների աճով</w:t>
      </w:r>
      <w:r w:rsidRPr="00C921DE">
        <w:rPr>
          <w:rFonts w:ascii="GHEA Grapalat" w:hAnsi="GHEA Grapalat" w:cs="Sylfaen"/>
          <w:sz w:val="22"/>
          <w:szCs w:val="22"/>
        </w:rPr>
        <w:t>։</w:t>
      </w:r>
    </w:p>
    <w:p w14:paraId="0BA049A9" w14:textId="77777777"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Հայաստանի Հանրապետության ագրոպարենային ոլորտի սարքավորումների լիզինգի պետական աջակցության ծրագրի շրջանակներում հաշվետու տարում նախատեսված 686-ի դիմաց սուբսիդավորումից օգտվել է 713 շահառու, որից 594-ը նախորդ տարիներից սուբսիդավորվող տնտեսավարող սուբյեկտներն են: Ծրագրված ցուցանիշի գերազանցումը պայմանավորված է միջոցառման նկատմամբ բարձր պահանջարկով: 2023 թվականին միջոցառման շրջանակներում ձեռք է բերվել 495 միավոր սարքավորում՝ նախորդ տարվա 710-ի դիմաց: Միջոցառման ծախսերը կազմել են շուրջ 3.6 մլրդ դրամ՝ ապահովելով 100% կատարողական: Նախորդ տարվա համեմատ նշված ծախսերն աճել են 24.4%-ով կամ 696.4 մլն դրամով, որը պայմանավորված է շահառուների թվի աճով։ </w:t>
      </w:r>
    </w:p>
    <w:p w14:paraId="1F369CE2" w14:textId="50CBB962"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Հայաստանի Հանրապետությունում խաղողի, ժամանակակից տեխնոլոգիաներով մշակվող ինտենսիվ</w:t>
      </w:r>
      <w:r w:rsidRPr="00C921DE">
        <w:rPr>
          <w:rFonts w:ascii="GHEA Grapalat" w:hAnsi="GHEA Grapalat" w:cs="GHEA Grapalat"/>
          <w:sz w:val="22"/>
          <w:szCs w:val="22"/>
        </w:rPr>
        <w:t xml:space="preserve"> պտղատու այգիների և հատապտղանոցների հիմնման համար վարկային տոկոսադրույքների սուբսիդավորման միջոցառման նպատակն է՝ այգետնկումների խթանմամբ հանրապետությունում զարգացնել պտղաբուծությունը և խաղողագործությունը, ավելացնել խաղողի, պտղի և հատապտղի արտադրության, </w:t>
      </w:r>
      <w:r w:rsidRPr="00C921DE">
        <w:rPr>
          <w:rFonts w:ascii="GHEA Grapalat" w:hAnsi="GHEA Grapalat" w:cs="Sylfaen"/>
          <w:sz w:val="22"/>
          <w:szCs w:val="22"/>
        </w:rPr>
        <w:t xml:space="preserve">պտուղների և հատապտուղների ներմուծման փոխարինման ու արտահանման ծավալները: Միջոցառման շրջանակներում </w:t>
      </w:r>
      <w:r w:rsidR="00683188" w:rsidRPr="00C921DE">
        <w:rPr>
          <w:rFonts w:ascii="GHEA Grapalat" w:hAnsi="GHEA Grapalat" w:cs="Sylfaen"/>
          <w:sz w:val="22"/>
          <w:szCs w:val="22"/>
          <w:lang w:val="en-US"/>
        </w:rPr>
        <w:t>իրականաց</w:t>
      </w:r>
      <w:r w:rsidRPr="00C921DE">
        <w:rPr>
          <w:rFonts w:ascii="GHEA Grapalat" w:hAnsi="GHEA Grapalat" w:cs="Sylfaen"/>
          <w:sz w:val="22"/>
          <w:szCs w:val="22"/>
        </w:rPr>
        <w:t>վել է նախորդ տարիներին հիմնված 1446.1 հա ինտենսիվ պտղատու այգիների համար վարկերի տոկոսադրույքների սուբսիդավորում: Միջոցառման ծախսերը կազմել են 2.3 մլրդ դրամ՝ ապահովելով 100% կատարողական: Նախորդ տարվա համեմատ նշված միջոցառման ծախսերն աճել են 4.4%-ով կամ 98.4 մլն դրամով, ինչը հիմնականում պայմանավորված է նրանով, որ ֆինանսական կառույցների կողմից նախորդ տարիներին կնքված վարկային պայմանագրերի գումարների գծով մոնի</w:t>
      </w:r>
      <w:r w:rsidR="00683188" w:rsidRPr="00C921DE">
        <w:rPr>
          <w:rFonts w:ascii="GHEA Grapalat" w:hAnsi="GHEA Grapalat" w:cs="Sylfaen"/>
          <w:sz w:val="22"/>
          <w:szCs w:val="22"/>
          <w:lang w:val="en-US"/>
        </w:rPr>
        <w:t>տ</w:t>
      </w:r>
      <w:r w:rsidRPr="00C921DE">
        <w:rPr>
          <w:rFonts w:ascii="GHEA Grapalat" w:hAnsi="GHEA Grapalat" w:cs="Sylfaen"/>
          <w:sz w:val="22"/>
          <w:szCs w:val="22"/>
        </w:rPr>
        <w:t>որինգի արդյունքում կատարվել են ճշգրտումներ, որի հետևանքով փոփոխվել են սուբսիդավորման ենթակա գումարները։</w:t>
      </w:r>
    </w:p>
    <w:p w14:paraId="1BBCE726" w14:textId="55C72DB6" w:rsidR="005728BA" w:rsidRPr="00C921DE" w:rsidRDefault="005728BA" w:rsidP="005728BA">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Հայաստանի Հանրապետության գյուղատնտեսական տեխնիկայի լիզինգի աջակցության ծրագրի շրջանակներում տոկոսադրույքների սուբսիդավորում ստացող շահառուների թիվը կանխատեսված 1670-ի փոխարեն կազմել է 1786, որից 1320-ը նախորդ տարիներից սուբսիդավորվող տնտեսավարող սուբյեկտներն են: Նշենք, որ նախորդ տարի ծրագրից օգտվել էր 1514 շահառու: </w:t>
      </w:r>
      <w:r w:rsidRPr="00C921DE">
        <w:rPr>
          <w:rFonts w:ascii="GHEA Grapalat" w:hAnsi="GHEA Grapalat"/>
          <w:sz w:val="22"/>
          <w:szCs w:val="22"/>
        </w:rPr>
        <w:t xml:space="preserve">Շահառուների թվի </w:t>
      </w:r>
      <w:r w:rsidRPr="00C921DE">
        <w:rPr>
          <w:rFonts w:ascii="GHEA Grapalat" w:hAnsi="GHEA Grapalat" w:cs="Sylfaen"/>
          <w:sz w:val="22"/>
          <w:szCs w:val="22"/>
        </w:rPr>
        <w:t xml:space="preserve">աճը պայմանավորված է տնտեսավարողների իրազեկվածության մակարդակի, </w:t>
      </w:r>
      <w:r w:rsidRPr="00C921DE">
        <w:rPr>
          <w:rFonts w:ascii="GHEA Grapalat" w:hAnsi="GHEA Grapalat" w:cs="Sylfaen"/>
          <w:sz w:val="22"/>
          <w:szCs w:val="22"/>
        </w:rPr>
        <w:lastRenderedPageBreak/>
        <w:t xml:space="preserve">ինչպես նաև լիզինգի սահմանաչափի բարձրացման հետևանքով ծրագրի նկատմամբ բարձր պահանջարկով: Միջոցառման շրջանակներում ձեռք է բերվել 719 միավոր գյուղատնտեսական տեխնիկա՝ նախորդ տարվա 573-ի դիմաց: Միջոցառման շրջանակներում օգտագործվել է 809.6 մլն դրամ՝ ապահովելով 100% կատարողական: Նախորդ տարվա համեմատ միջոցառման ծախսերն աճել են 14.4%-ով կամ 101.7 մլն դրամով՝ պայմանավորված շահառուների թվի, ինչպես նաև սարքավորումների գների աճով։ </w:t>
      </w:r>
    </w:p>
    <w:p w14:paraId="38FC4CFC" w14:textId="26C42274"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GHEA Grapalat"/>
          <w:i/>
          <w:sz w:val="22"/>
          <w:szCs w:val="22"/>
        </w:rPr>
        <w:t>Զբոսաշրջության զարգացման</w:t>
      </w:r>
      <w:r w:rsidRPr="00C921DE">
        <w:rPr>
          <w:rFonts w:ascii="GHEA Grapalat" w:hAnsi="GHEA Grapalat" w:cs="GHEA Grapalat"/>
          <w:sz w:val="22"/>
          <w:szCs w:val="22"/>
        </w:rPr>
        <w:t xml:space="preserve"> ծրագրին 2023 թվականին տրամադրվել</w:t>
      </w:r>
      <w:r w:rsidRPr="00C921DE">
        <w:rPr>
          <w:rFonts w:ascii="GHEA Grapalat" w:hAnsi="GHEA Grapalat" w:cs="Sylfaen"/>
          <w:sz w:val="22"/>
          <w:szCs w:val="22"/>
        </w:rPr>
        <w:t xml:space="preserve"> է շուրջ 6.4 </w:t>
      </w:r>
      <w:r w:rsidRPr="00C921DE">
        <w:rPr>
          <w:rFonts w:ascii="GHEA Grapalat" w:hAnsi="GHEA Grapalat" w:cs="GHEA Grapalat"/>
          <w:sz w:val="22"/>
          <w:szCs w:val="22"/>
        </w:rPr>
        <w:t xml:space="preserve">մլրդ դրամ </w:t>
      </w:r>
      <w:r w:rsidRPr="00C921DE">
        <w:rPr>
          <w:rFonts w:ascii="GHEA Grapalat" w:hAnsi="GHEA Grapalat" w:cs="Sylfaen"/>
          <w:sz w:val="22"/>
          <w:szCs w:val="22"/>
        </w:rPr>
        <w:t>կամ նախատեսված միջոցների 96.9%</w:t>
      </w:r>
      <w:r w:rsidRPr="00C921DE">
        <w:rPr>
          <w:rFonts w:ascii="GHEA Grapalat" w:hAnsi="GHEA Grapalat" w:cs="Sylfaen"/>
          <w:sz w:val="22"/>
          <w:szCs w:val="22"/>
        </w:rPr>
        <w:noBreakHyphen/>
        <w:t>ը: Ծրագրված ցուցանիշից շեղումը</w:t>
      </w:r>
      <w:r w:rsidR="00B374F8" w:rsidRPr="00C921DE">
        <w:rPr>
          <w:rFonts w:ascii="GHEA Grapalat" w:hAnsi="GHEA Grapalat" w:cs="Sylfaen"/>
          <w:sz w:val="22"/>
          <w:szCs w:val="22"/>
          <w:lang w:val="en-US"/>
        </w:rPr>
        <w:t>, ինչպես նաև ն</w:t>
      </w:r>
      <w:r w:rsidR="00B374F8" w:rsidRPr="00C921DE">
        <w:rPr>
          <w:rFonts w:ascii="GHEA Grapalat" w:hAnsi="GHEA Grapalat"/>
          <w:sz w:val="22"/>
          <w:szCs w:val="22"/>
        </w:rPr>
        <w:t>ախորդ տարվա համեմատ</w:t>
      </w:r>
      <w:r w:rsidR="00B374F8" w:rsidRPr="00C921DE">
        <w:rPr>
          <w:rFonts w:ascii="GHEA Grapalat" w:hAnsi="GHEA Grapalat"/>
          <w:sz w:val="22"/>
          <w:szCs w:val="22"/>
          <w:lang w:val="en-US"/>
        </w:rPr>
        <w:t xml:space="preserve"> ծախսերի</w:t>
      </w:r>
      <w:r w:rsidR="00B374F8" w:rsidRPr="00C921DE">
        <w:rPr>
          <w:rFonts w:ascii="GHEA Grapalat" w:hAnsi="GHEA Grapalat" w:cs="Sylfaen"/>
          <w:sz w:val="22"/>
          <w:szCs w:val="22"/>
          <w:lang w:val="en-US"/>
        </w:rPr>
        <w:t xml:space="preserve"> </w:t>
      </w:r>
      <w:r w:rsidR="00B374F8" w:rsidRPr="00C921DE">
        <w:rPr>
          <w:rFonts w:ascii="GHEA Grapalat" w:hAnsi="GHEA Grapalat"/>
          <w:sz w:val="22"/>
          <w:szCs w:val="22"/>
        </w:rPr>
        <w:t>2.6 անգամ (3.9 մլրդ դրամով)</w:t>
      </w:r>
      <w:r w:rsidRPr="00C921DE">
        <w:rPr>
          <w:rFonts w:ascii="GHEA Grapalat" w:hAnsi="GHEA Grapalat" w:cs="Sylfaen"/>
          <w:sz w:val="22"/>
          <w:szCs w:val="22"/>
        </w:rPr>
        <w:t xml:space="preserve"> </w:t>
      </w:r>
      <w:r w:rsidR="00B374F8" w:rsidRPr="00C921DE">
        <w:rPr>
          <w:rFonts w:ascii="GHEA Grapalat" w:hAnsi="GHEA Grapalat" w:cs="Sylfaen"/>
          <w:sz w:val="22"/>
          <w:szCs w:val="22"/>
          <w:lang w:val="en-US"/>
        </w:rPr>
        <w:t xml:space="preserve">աճը </w:t>
      </w:r>
      <w:r w:rsidRPr="00C921DE">
        <w:rPr>
          <w:rFonts w:ascii="GHEA Grapalat" w:hAnsi="GHEA Grapalat" w:cs="Sylfaen"/>
          <w:sz w:val="22"/>
          <w:szCs w:val="22"/>
        </w:rPr>
        <w:t xml:space="preserve">հիմնականում պայմանավորված </w:t>
      </w:r>
      <w:r w:rsidR="00B374F8" w:rsidRPr="00C921DE">
        <w:rPr>
          <w:rFonts w:ascii="GHEA Grapalat" w:hAnsi="GHEA Grapalat" w:cs="Sylfaen"/>
          <w:sz w:val="22"/>
          <w:szCs w:val="22"/>
          <w:lang w:val="en-US"/>
        </w:rPr>
        <w:t>են</w:t>
      </w:r>
      <w:r w:rsidRPr="00C921DE">
        <w:rPr>
          <w:rFonts w:ascii="GHEA Grapalat" w:hAnsi="GHEA Grapalat" w:cs="GHEA Grapalat"/>
          <w:sz w:val="22"/>
          <w:szCs w:val="22"/>
        </w:rPr>
        <w:t xml:space="preserve"> Համաշխարհային բանկի</w:t>
      </w:r>
      <w:r w:rsidRPr="00C921DE">
        <w:rPr>
          <w:rFonts w:ascii="GHEA Grapalat" w:hAnsi="GHEA Grapalat"/>
          <w:sz w:val="22"/>
          <w:szCs w:val="22"/>
        </w:rPr>
        <w:t xml:space="preserve"> աջակցությամբ իրականացվող Տեղական տնտեսության և ենթակառուցվածքների զարգացման վարկային ծրագրի </w:t>
      </w:r>
      <w:r w:rsidR="00B374F8" w:rsidRPr="00C921DE">
        <w:rPr>
          <w:rFonts w:ascii="GHEA Grapalat" w:hAnsi="GHEA Grapalat"/>
          <w:sz w:val="22"/>
          <w:szCs w:val="22"/>
        </w:rPr>
        <w:t>կատարողականով:</w:t>
      </w:r>
    </w:p>
    <w:p w14:paraId="5143A7C7" w14:textId="34C0AD21" w:rsidR="005728BA" w:rsidRPr="00C921DE" w:rsidRDefault="005728BA" w:rsidP="005728BA">
      <w:pPr>
        <w:autoSpaceDE w:val="0"/>
        <w:autoSpaceDN w:val="0"/>
        <w:adjustRightInd w:val="0"/>
        <w:spacing w:line="360" w:lineRule="auto"/>
        <w:ind w:firstLine="567"/>
        <w:jc w:val="both"/>
        <w:rPr>
          <w:rFonts w:ascii="GHEA Grapalat" w:hAnsi="GHEA Grapalat"/>
          <w:sz w:val="22"/>
          <w:szCs w:val="22"/>
          <w:lang w:val="af-ZA"/>
        </w:rPr>
      </w:pPr>
      <w:r w:rsidRPr="00C921DE">
        <w:rPr>
          <w:rFonts w:ascii="GHEA Grapalat" w:hAnsi="GHEA Grapalat"/>
          <w:sz w:val="22"/>
          <w:szCs w:val="22"/>
        </w:rPr>
        <w:t>Համաշխարհային բանկի աջակցությամբ իրականացվող տեղական տնտեսության և ենթակառուցվածքների զարգացման ծրագրի</w:t>
      </w:r>
      <w:r w:rsidRPr="00C921DE">
        <w:rPr>
          <w:rFonts w:ascii="GHEA Grapalat" w:hAnsi="GHEA Grapalat"/>
          <w:sz w:val="22"/>
          <w:szCs w:val="22"/>
          <w:lang w:val="af-ZA"/>
        </w:rPr>
        <w:t xml:space="preserve"> </w:t>
      </w:r>
      <w:r w:rsidRPr="00C921DE">
        <w:rPr>
          <w:rFonts w:ascii="GHEA Grapalat" w:hAnsi="GHEA Grapalat" w:cs="Sylfaen"/>
          <w:sz w:val="22"/>
          <w:szCs w:val="22"/>
        </w:rPr>
        <w:t>նպատակներն են</w:t>
      </w:r>
      <w:r w:rsidR="00474F8B" w:rsidRPr="00C921DE">
        <w:rPr>
          <w:rFonts w:ascii="GHEA Grapalat" w:hAnsi="GHEA Grapalat"/>
          <w:sz w:val="22"/>
          <w:szCs w:val="22"/>
          <w:lang w:val="af-ZA"/>
        </w:rPr>
        <w:t xml:space="preserve">` </w:t>
      </w:r>
      <w:r w:rsidRPr="00C921DE">
        <w:rPr>
          <w:rFonts w:ascii="GHEA Grapalat" w:hAnsi="GHEA Grapalat"/>
          <w:sz w:val="22"/>
          <w:szCs w:val="22"/>
          <w:lang w:val="en-US"/>
        </w:rPr>
        <w:t>ն</w:t>
      </w:r>
      <w:r w:rsidRPr="00C921DE">
        <w:rPr>
          <w:rFonts w:ascii="GHEA Grapalat" w:hAnsi="GHEA Grapalat"/>
          <w:sz w:val="22"/>
          <w:szCs w:val="22"/>
        </w:rPr>
        <w:t>պաստել ընտրված մարզերի տեղական տնտեսություններում զբոսաշրջության աճին</w:t>
      </w:r>
      <w:r w:rsidRPr="00C921DE">
        <w:rPr>
          <w:rFonts w:ascii="GHEA Grapalat" w:hAnsi="GHEA Grapalat"/>
          <w:sz w:val="22"/>
          <w:szCs w:val="22"/>
          <w:lang w:val="af-ZA"/>
        </w:rPr>
        <w:t>,</w:t>
      </w:r>
      <w:r w:rsidR="00474F8B" w:rsidRPr="00C921DE">
        <w:rPr>
          <w:rFonts w:ascii="GHEA Grapalat" w:hAnsi="GHEA Grapalat"/>
          <w:sz w:val="22"/>
          <w:szCs w:val="22"/>
          <w:lang w:val="af-ZA"/>
        </w:rPr>
        <w:t xml:space="preserve"> </w:t>
      </w:r>
      <w:r w:rsidRPr="00C921DE">
        <w:rPr>
          <w:rFonts w:ascii="GHEA Grapalat" w:hAnsi="GHEA Grapalat"/>
          <w:sz w:val="22"/>
          <w:szCs w:val="22"/>
        </w:rPr>
        <w:t>ստեղծել և հիմնել զբոսաշրջային շրջաններ, որոնք կմիացնեն ընտրված մարզերի բազմաթիվ վայրեր:</w:t>
      </w:r>
      <w:r w:rsidR="00474F8B" w:rsidRPr="00C921DE">
        <w:rPr>
          <w:rFonts w:ascii="GHEA Grapalat" w:hAnsi="GHEA Grapalat"/>
          <w:sz w:val="22"/>
          <w:szCs w:val="22"/>
          <w:lang w:val="en-US"/>
        </w:rPr>
        <w:t xml:space="preserve"> </w:t>
      </w:r>
      <w:r w:rsidRPr="00C921DE">
        <w:rPr>
          <w:rFonts w:ascii="GHEA Grapalat" w:hAnsi="GHEA Grapalat"/>
          <w:sz w:val="22"/>
          <w:szCs w:val="22"/>
        </w:rPr>
        <w:t>Այս գործողությունները միասին կօգնեն ավելի մեծ թվով այցելուներ գրավել դեպի մարզեր, որն իր հերթին կխթանի աշխատատեղերի ստեղ</w:t>
      </w:r>
      <w:r w:rsidRPr="00C921DE">
        <w:rPr>
          <w:rFonts w:ascii="GHEA Grapalat" w:hAnsi="GHEA Grapalat"/>
          <w:sz w:val="22"/>
          <w:szCs w:val="22"/>
        </w:rPr>
        <w:softHyphen/>
        <w:t>ծումը և տեղական տնտեսական աճը:</w:t>
      </w:r>
      <w:r w:rsidR="00474F8B" w:rsidRPr="00C921DE">
        <w:rPr>
          <w:rFonts w:ascii="GHEA Grapalat" w:hAnsi="GHEA Grapalat"/>
          <w:sz w:val="22"/>
          <w:szCs w:val="22"/>
          <w:lang w:val="en-US"/>
        </w:rPr>
        <w:t xml:space="preserve"> </w:t>
      </w:r>
      <w:r w:rsidRPr="00C921DE">
        <w:rPr>
          <w:rFonts w:ascii="GHEA Grapalat" w:hAnsi="GHEA Grapalat"/>
          <w:sz w:val="22"/>
          <w:szCs w:val="22"/>
        </w:rPr>
        <w:t>Ծրագիր</w:t>
      </w:r>
      <w:r w:rsidRPr="00C921DE">
        <w:rPr>
          <w:rFonts w:ascii="GHEA Grapalat" w:hAnsi="GHEA Grapalat"/>
          <w:sz w:val="22"/>
          <w:szCs w:val="22"/>
          <w:lang w:val="af-ZA"/>
        </w:rPr>
        <w:t xml:space="preserve">ն իրականացվում է երկու </w:t>
      </w:r>
      <w:r w:rsidRPr="00C921DE">
        <w:rPr>
          <w:rFonts w:ascii="GHEA Grapalat" w:hAnsi="GHEA Grapalat" w:cs="Sylfaen"/>
          <w:sz w:val="22"/>
          <w:szCs w:val="22"/>
        </w:rPr>
        <w:t>բաղադրիչներով</w:t>
      </w:r>
      <w:r w:rsidRPr="00C921DE">
        <w:rPr>
          <w:rFonts w:ascii="GHEA Grapalat" w:hAnsi="GHEA Grapalat"/>
          <w:sz w:val="22"/>
          <w:szCs w:val="22"/>
          <w:lang w:val="af-ZA"/>
        </w:rPr>
        <w:t>.</w:t>
      </w:r>
    </w:p>
    <w:p w14:paraId="2B8858A2" w14:textId="77777777" w:rsidR="005728BA" w:rsidRPr="00C921DE" w:rsidRDefault="005728BA" w:rsidP="00AF07CE">
      <w:pPr>
        <w:numPr>
          <w:ilvl w:val="0"/>
          <w:numId w:val="30"/>
        </w:numPr>
        <w:tabs>
          <w:tab w:val="left" w:pos="851"/>
        </w:tabs>
        <w:spacing w:line="360" w:lineRule="auto"/>
        <w:ind w:left="0" w:firstLine="567"/>
        <w:jc w:val="both"/>
        <w:rPr>
          <w:rFonts w:ascii="GHEA Grapalat" w:hAnsi="GHEA Grapalat"/>
          <w:sz w:val="22"/>
          <w:szCs w:val="22"/>
          <w:lang w:val="af-ZA"/>
        </w:rPr>
      </w:pPr>
      <w:r w:rsidRPr="00C921DE">
        <w:rPr>
          <w:rFonts w:ascii="GHEA Grapalat" w:hAnsi="GHEA Grapalat"/>
          <w:sz w:val="22"/>
          <w:szCs w:val="22"/>
        </w:rPr>
        <w:t xml:space="preserve">պատմամշակութային ժառանգության և զբոսաշրջային օղակի զարգացում, </w:t>
      </w:r>
    </w:p>
    <w:p w14:paraId="28BD0270" w14:textId="77777777" w:rsidR="005728BA" w:rsidRPr="00C921DE" w:rsidRDefault="005728BA"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ինստիտուցիոնալ զարգացում:</w:t>
      </w:r>
    </w:p>
    <w:p w14:paraId="76135661" w14:textId="08F04DBE"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Ծրագրի շրջանակներում 2023 թվականին ավարտվել են Գյումրու քաղաքային «Բարեկամություն» զբոսայգու վերակառուցման նախապատրաստման, Գառնու տաճարի շրջակա տարածքի բարեկարգման աշխատանքները: 2023 թվականին ընթացքում են գտնվել Գյումրու Հաղթանակի պողոտայի վերականգնման, Խանջյան</w:t>
      </w:r>
      <w:r w:rsidR="00AB2F6D" w:rsidRPr="00C921DE">
        <w:rPr>
          <w:rFonts w:ascii="GHEA Grapalat" w:hAnsi="GHEA Grapalat"/>
          <w:sz w:val="22"/>
          <w:szCs w:val="22"/>
          <w:lang w:val="en-US"/>
        </w:rPr>
        <w:t>,</w:t>
      </w:r>
      <w:r w:rsidRPr="00C921DE">
        <w:rPr>
          <w:rFonts w:ascii="GHEA Grapalat" w:hAnsi="GHEA Grapalat"/>
          <w:sz w:val="22"/>
          <w:szCs w:val="22"/>
        </w:rPr>
        <w:t xml:space="preserve"> Չայկովսկու, Աճեմյան, Հանեսօղ</w:t>
      </w:r>
      <w:r w:rsidR="00AB2F6D" w:rsidRPr="00C921DE">
        <w:rPr>
          <w:rFonts w:ascii="GHEA Grapalat" w:hAnsi="GHEA Grapalat"/>
          <w:sz w:val="22"/>
          <w:szCs w:val="22"/>
        </w:rPr>
        <w:t>լյան,</w:t>
      </w:r>
      <w:r w:rsidRPr="00C921DE">
        <w:rPr>
          <w:rFonts w:ascii="GHEA Grapalat" w:hAnsi="GHEA Grapalat"/>
          <w:sz w:val="22"/>
          <w:szCs w:val="22"/>
        </w:rPr>
        <w:t xml:space="preserve"> Ջիվանի, Տերյան</w:t>
      </w:r>
      <w:r w:rsidR="00CB37E9" w:rsidRPr="00C921DE">
        <w:rPr>
          <w:rFonts w:ascii="GHEA Grapalat" w:hAnsi="GHEA Grapalat"/>
          <w:sz w:val="22"/>
          <w:szCs w:val="22"/>
        </w:rPr>
        <w:t xml:space="preserve"> </w:t>
      </w:r>
      <w:r w:rsidRPr="00C921DE">
        <w:rPr>
          <w:rFonts w:ascii="GHEA Grapalat" w:hAnsi="GHEA Grapalat"/>
          <w:sz w:val="22"/>
          <w:szCs w:val="22"/>
        </w:rPr>
        <w:t>և Նալբանդյան փողոցների վերականգնման, Գյումրու Սբ</w:t>
      </w:r>
      <w:r w:rsidRPr="00C921DE">
        <w:rPr>
          <w:rFonts w:ascii="Cambria Math" w:hAnsi="Cambria Math" w:cs="Cambria Math"/>
          <w:sz w:val="22"/>
          <w:szCs w:val="22"/>
        </w:rPr>
        <w:t>․</w:t>
      </w:r>
      <w:r w:rsidRPr="00C921DE">
        <w:rPr>
          <w:rFonts w:ascii="GHEA Grapalat" w:hAnsi="GHEA Grapalat"/>
          <w:sz w:val="22"/>
          <w:szCs w:val="22"/>
        </w:rPr>
        <w:t xml:space="preserve"> Ամենափրկիչ եկեղեցու հարակից այգու և հարող Աբովյան փողոցի աջ և ձախ հատվածների վերականգնման, Մարմաշեն վանական համալիր տանող ճանապարհի վերանորոգման և հարակից տարածքի բարեկարգման, Ջերմուկի Շահումյանի և հարակից փողոցների վերանորոգման, վերականգնման և «Քարայծ» տանող ճեմուղու կառուցման, Մաշտոցի փողոցի բարեկարգման, Ըմպելասրահի ճեմուղիների վերանորոգման, բարեկարգման և կանաչապատման, տաղավարների տեղադրման և տեղեկատվական կենտրոնի կառուցման, Եղնիկի արձանին մոտեցնող ճանապարհի և դիտահրապարակի կառուցման, Գնդեվանքի քայլարշավային արահետի բարեկարգման, Գորիսի կենտրոնական մասի պատմամշակութային միջավայրի վերականգնման, «Զորաց քարեր» հուշարձանի մերձակա </w:t>
      </w:r>
      <w:r w:rsidRPr="00C921DE">
        <w:rPr>
          <w:rFonts w:ascii="GHEA Grapalat" w:hAnsi="GHEA Grapalat"/>
          <w:sz w:val="22"/>
          <w:szCs w:val="22"/>
        </w:rPr>
        <w:lastRenderedPageBreak/>
        <w:t xml:space="preserve">տարածքի բարեկարգման, Դեպի Տաթև տանող նոր շրջանցիկ ճանապարհի </w:t>
      </w:r>
      <w:r w:rsidR="00E15488" w:rsidRPr="00C921DE">
        <w:rPr>
          <w:rFonts w:ascii="GHEA Grapalat" w:hAnsi="GHEA Grapalat"/>
          <w:sz w:val="22"/>
          <w:szCs w:val="22"/>
        </w:rPr>
        <w:t xml:space="preserve">վերակառուցման </w:t>
      </w:r>
      <w:r w:rsidRPr="00C921DE">
        <w:rPr>
          <w:rFonts w:ascii="GHEA Grapalat" w:hAnsi="GHEA Grapalat"/>
          <w:sz w:val="22"/>
          <w:szCs w:val="22"/>
        </w:rPr>
        <w:t xml:space="preserve">աշխատանքները: </w:t>
      </w:r>
      <w:r w:rsidR="00BA39F7" w:rsidRPr="00C921DE">
        <w:rPr>
          <w:rFonts w:ascii="GHEA Grapalat" w:hAnsi="GHEA Grapalat"/>
          <w:sz w:val="22"/>
          <w:szCs w:val="22"/>
          <w:lang w:val="en-US"/>
        </w:rPr>
        <w:t>Վերոնշյալ</w:t>
      </w:r>
      <w:r w:rsidRPr="00C921DE">
        <w:rPr>
          <w:rFonts w:ascii="GHEA Grapalat" w:hAnsi="GHEA Grapalat"/>
          <w:sz w:val="22"/>
          <w:szCs w:val="22"/>
        </w:rPr>
        <w:t xml:space="preserve"> ծրագրի շրջանակներում օգտագործվել է ավելի քան 5.1 մլրդ դրամ կամ </w:t>
      </w:r>
      <w:r w:rsidR="009F4E0C" w:rsidRPr="00C921DE">
        <w:rPr>
          <w:rFonts w:ascii="GHEA Grapalat" w:hAnsi="GHEA Grapalat"/>
          <w:sz w:val="22"/>
          <w:szCs w:val="22"/>
          <w:lang w:val="en-US"/>
        </w:rPr>
        <w:t xml:space="preserve">նախատեսված միջոցների </w:t>
      </w:r>
      <w:r w:rsidRPr="00C921DE">
        <w:rPr>
          <w:rFonts w:ascii="GHEA Grapalat" w:hAnsi="GHEA Grapalat"/>
          <w:sz w:val="22"/>
          <w:szCs w:val="22"/>
        </w:rPr>
        <w:t>97.7</w:t>
      </w:r>
      <w:r w:rsidRPr="00C921DE">
        <w:rPr>
          <w:rFonts w:ascii="GHEA Grapalat" w:hAnsi="GHEA Grapalat"/>
          <w:sz w:val="22"/>
          <w:szCs w:val="22"/>
          <w:lang w:val="af-ZA"/>
        </w:rPr>
        <w:t>%</w:t>
      </w:r>
      <w:r w:rsidRPr="00C921DE">
        <w:rPr>
          <w:rFonts w:ascii="GHEA Grapalat" w:hAnsi="GHEA Grapalat"/>
          <w:sz w:val="22"/>
          <w:szCs w:val="22"/>
        </w:rPr>
        <w:noBreakHyphen/>
      </w:r>
      <w:r w:rsidRPr="00C921DE">
        <w:rPr>
          <w:rFonts w:ascii="GHEA Grapalat" w:hAnsi="GHEA Grapalat"/>
          <w:sz w:val="22"/>
          <w:szCs w:val="22"/>
          <w:lang w:val="af-ZA"/>
        </w:rPr>
        <w:t xml:space="preserve">ը: Շեղումը </w:t>
      </w:r>
      <w:r w:rsidR="004146EC" w:rsidRPr="00C921DE">
        <w:rPr>
          <w:rFonts w:ascii="GHEA Grapalat" w:hAnsi="GHEA Grapalat"/>
          <w:sz w:val="22"/>
          <w:szCs w:val="22"/>
          <w:lang w:val="af-ZA"/>
        </w:rPr>
        <w:t>հիմնականում արձանագրվել է</w:t>
      </w:r>
      <w:r w:rsidRPr="00C921DE">
        <w:rPr>
          <w:rFonts w:ascii="GHEA Grapalat" w:hAnsi="GHEA Grapalat"/>
          <w:sz w:val="22"/>
          <w:szCs w:val="22"/>
        </w:rPr>
        <w:t xml:space="preserve"> ՀՀ տարբեր մարզերում զբոսաշրջության հետ կապված ենթակառ</w:t>
      </w:r>
      <w:r w:rsidR="004146EC" w:rsidRPr="00C921DE">
        <w:rPr>
          <w:rFonts w:ascii="GHEA Grapalat" w:hAnsi="GHEA Grapalat" w:cs="GHEA Grapalat"/>
          <w:sz w:val="22"/>
          <w:szCs w:val="22"/>
        </w:rPr>
        <w:t>ուցվածքների բարելավման</w:t>
      </w:r>
      <w:r w:rsidRPr="00C921DE">
        <w:rPr>
          <w:rFonts w:ascii="GHEA Grapalat" w:hAnsi="GHEA Grapalat" w:cs="GHEA Grapalat"/>
          <w:sz w:val="22"/>
          <w:szCs w:val="22"/>
        </w:rPr>
        <w:t xml:space="preserve"> ծախսեր</w:t>
      </w:r>
      <w:r w:rsidR="004146EC" w:rsidRPr="00C921DE">
        <w:rPr>
          <w:rFonts w:ascii="GHEA Grapalat" w:hAnsi="GHEA Grapalat" w:cs="GHEA Grapalat"/>
          <w:sz w:val="22"/>
          <w:szCs w:val="22"/>
          <w:lang w:val="en-US"/>
        </w:rPr>
        <w:t xml:space="preserve">ում, որոնք կատարվել են </w:t>
      </w:r>
      <w:r w:rsidRPr="00C921DE">
        <w:rPr>
          <w:rFonts w:ascii="GHEA Grapalat" w:hAnsi="GHEA Grapalat" w:cs="GHEA Grapalat"/>
          <w:sz w:val="22"/>
          <w:szCs w:val="22"/>
        </w:rPr>
        <w:t>97.9%</w:t>
      </w:r>
      <w:r w:rsidR="004146EC" w:rsidRPr="00C921DE">
        <w:rPr>
          <w:rFonts w:ascii="GHEA Grapalat" w:hAnsi="GHEA Grapalat" w:cs="GHEA Grapalat"/>
          <w:sz w:val="22"/>
          <w:szCs w:val="22"/>
          <w:lang w:val="en-US"/>
        </w:rPr>
        <w:t>-ով՝</w:t>
      </w:r>
      <w:r w:rsidRPr="00C921DE">
        <w:rPr>
          <w:rFonts w:ascii="GHEA Grapalat" w:hAnsi="GHEA Grapalat" w:cs="GHEA Grapalat"/>
          <w:sz w:val="22"/>
          <w:szCs w:val="22"/>
        </w:rPr>
        <w:t xml:space="preserve"> պայմանավորված </w:t>
      </w:r>
      <w:r w:rsidRPr="00C921DE">
        <w:rPr>
          <w:rFonts w:ascii="GHEA Grapalat" w:hAnsi="GHEA Grapalat"/>
          <w:sz w:val="22"/>
          <w:szCs w:val="22"/>
        </w:rPr>
        <w:t xml:space="preserve">նրանով, որ չափագրման արդյունքում որոշ ենթածրագրերում </w:t>
      </w:r>
      <w:r w:rsidR="009F4E0C" w:rsidRPr="00C921DE">
        <w:rPr>
          <w:rFonts w:ascii="GHEA Grapalat" w:hAnsi="GHEA Grapalat"/>
          <w:sz w:val="22"/>
          <w:szCs w:val="22"/>
          <w:lang w:val="en-US"/>
        </w:rPr>
        <w:t xml:space="preserve">կրճատվել են աշխատանքների </w:t>
      </w:r>
      <w:r w:rsidRPr="00C921DE">
        <w:rPr>
          <w:rFonts w:ascii="GHEA Grapalat" w:hAnsi="GHEA Grapalat"/>
          <w:sz w:val="22"/>
          <w:szCs w:val="22"/>
        </w:rPr>
        <w:t>ծավալներ</w:t>
      </w:r>
      <w:r w:rsidR="009F4E0C" w:rsidRPr="00C921DE">
        <w:rPr>
          <w:rFonts w:ascii="GHEA Grapalat" w:hAnsi="GHEA Grapalat"/>
          <w:sz w:val="22"/>
          <w:szCs w:val="22"/>
          <w:lang w:val="en-US"/>
        </w:rPr>
        <w:t>ը,</w:t>
      </w:r>
      <w:r w:rsidRPr="00C921DE">
        <w:rPr>
          <w:rFonts w:ascii="GHEA Grapalat" w:hAnsi="GHEA Grapalat"/>
          <w:sz w:val="22"/>
          <w:szCs w:val="22"/>
        </w:rPr>
        <w:t xml:space="preserve"> և առաջացե</w:t>
      </w:r>
      <w:r w:rsidR="004A46B3" w:rsidRPr="00C921DE">
        <w:rPr>
          <w:rFonts w:ascii="GHEA Grapalat" w:hAnsi="GHEA Grapalat"/>
          <w:sz w:val="22"/>
          <w:szCs w:val="22"/>
        </w:rPr>
        <w:t xml:space="preserve">լ են խնայողություններ, </w:t>
      </w:r>
      <w:r w:rsidR="004A46B3" w:rsidRPr="00C921DE">
        <w:rPr>
          <w:rFonts w:ascii="GHEA Grapalat" w:hAnsi="GHEA Grapalat" w:cs="GHEA Grapalat"/>
          <w:sz w:val="22"/>
          <w:szCs w:val="22"/>
        </w:rPr>
        <w:t>բացի այդ,</w:t>
      </w:r>
      <w:r w:rsidRPr="00C921DE">
        <w:rPr>
          <w:rFonts w:ascii="GHEA Grapalat" w:hAnsi="GHEA Grapalat" w:cs="GHEA Grapalat"/>
          <w:sz w:val="22"/>
          <w:szCs w:val="22"/>
        </w:rPr>
        <w:t xml:space="preserve"> </w:t>
      </w:r>
      <w:r w:rsidR="00DD395D" w:rsidRPr="00C921DE">
        <w:rPr>
          <w:rFonts w:ascii="GHEA Grapalat" w:hAnsi="GHEA Grapalat" w:cs="GHEA Grapalat"/>
          <w:sz w:val="22"/>
          <w:szCs w:val="22"/>
        </w:rPr>
        <w:t>համալիր փորձաքննության</w:t>
      </w:r>
      <w:r w:rsidRPr="00C921DE">
        <w:rPr>
          <w:rFonts w:ascii="GHEA Grapalat" w:hAnsi="GHEA Grapalat" w:cs="GHEA Grapalat"/>
          <w:sz w:val="22"/>
          <w:szCs w:val="22"/>
        </w:rPr>
        <w:t xml:space="preserve"> եզրակացությունը նախատեսված ժամկետից ուշ է ստացվե</w:t>
      </w:r>
      <w:r w:rsidR="004A46B3" w:rsidRPr="00C921DE">
        <w:rPr>
          <w:rFonts w:ascii="GHEA Grapalat" w:hAnsi="GHEA Grapalat" w:cs="GHEA Grapalat"/>
          <w:sz w:val="22"/>
          <w:szCs w:val="22"/>
        </w:rPr>
        <w:t>լ,</w:t>
      </w:r>
      <w:r w:rsidR="004A46B3" w:rsidRPr="00C921DE">
        <w:rPr>
          <w:rFonts w:ascii="GHEA Grapalat" w:hAnsi="GHEA Grapalat"/>
          <w:sz w:val="22"/>
          <w:szCs w:val="22"/>
        </w:rPr>
        <w:t xml:space="preserve"> որի հետևանքով մեկ պայմանագրի գծով</w:t>
      </w:r>
      <w:r w:rsidRPr="00C921DE">
        <w:rPr>
          <w:rFonts w:ascii="GHEA Grapalat" w:hAnsi="GHEA Grapalat"/>
          <w:sz w:val="22"/>
          <w:szCs w:val="22"/>
        </w:rPr>
        <w:t xml:space="preserve"> վճարում չի կատարվել:</w:t>
      </w:r>
    </w:p>
    <w:p w14:paraId="5EE5C351" w14:textId="0F58173F" w:rsidR="005728BA" w:rsidRPr="00C921DE" w:rsidRDefault="005728BA" w:rsidP="005728BA">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Զբոսաշրջության զարգացմանն աջակցության միջոցառման շրջանակներում</w:t>
      </w:r>
      <w:r w:rsidR="00A24695" w:rsidRPr="00C921DE">
        <w:rPr>
          <w:rFonts w:ascii="GHEA Grapalat" w:hAnsi="GHEA Grapalat"/>
          <w:sz w:val="22"/>
          <w:szCs w:val="22"/>
          <w:lang w:val="en-US"/>
        </w:rPr>
        <w:t xml:space="preserve"> նախատեսված</w:t>
      </w:r>
      <w:r w:rsidRPr="00C921DE">
        <w:rPr>
          <w:rFonts w:ascii="GHEA Grapalat" w:hAnsi="GHEA Grapalat"/>
          <w:sz w:val="22"/>
          <w:szCs w:val="22"/>
        </w:rPr>
        <w:t xml:space="preserve"> աշխատանքներ</w:t>
      </w:r>
      <w:r w:rsidR="00A24695" w:rsidRPr="00C921DE">
        <w:rPr>
          <w:rFonts w:ascii="GHEA Grapalat" w:hAnsi="GHEA Grapalat"/>
          <w:sz w:val="22"/>
          <w:szCs w:val="22"/>
          <w:lang w:val="en-US"/>
        </w:rPr>
        <w:t>ը հիմնականում</w:t>
      </w:r>
      <w:r w:rsidRPr="00C921DE">
        <w:rPr>
          <w:rFonts w:ascii="GHEA Grapalat" w:hAnsi="GHEA Grapalat"/>
          <w:sz w:val="22"/>
          <w:szCs w:val="22"/>
        </w:rPr>
        <w:t xml:space="preserve"> </w:t>
      </w:r>
      <w:r w:rsidR="00A24695" w:rsidRPr="00C921DE">
        <w:rPr>
          <w:rFonts w:ascii="GHEA Grapalat" w:hAnsi="GHEA Grapalat"/>
          <w:sz w:val="22"/>
          <w:szCs w:val="22"/>
          <w:lang w:val="en-US"/>
        </w:rPr>
        <w:t>կատարվել են</w:t>
      </w:r>
      <w:r w:rsidRPr="00C921DE">
        <w:rPr>
          <w:rFonts w:ascii="GHEA Grapalat" w:hAnsi="GHEA Grapalat"/>
          <w:sz w:val="22"/>
          <w:szCs w:val="22"/>
        </w:rPr>
        <w:t>: Մեկ ցուցանիշի գծով արձանագրվել է գերակատարում՝ նախատեսված 8-ի փոխարեն կազմակերպվել է 16 փառատոն, իսկ երկու ցուցանիշների գծով արձանագրվել է թերակատարում, մասնավորապես՝ զբոսաշրջային այցելավայրերի կառ</w:t>
      </w:r>
      <w:r w:rsidR="000C5E69" w:rsidRPr="00C921DE">
        <w:rPr>
          <w:rFonts w:ascii="GHEA Grapalat" w:hAnsi="GHEA Grapalat"/>
          <w:sz w:val="22"/>
          <w:szCs w:val="22"/>
        </w:rPr>
        <w:t xml:space="preserve">ավարման 3 կազմակերպությունների </w:t>
      </w:r>
      <w:r w:rsidRPr="00C921DE">
        <w:rPr>
          <w:rFonts w:ascii="GHEA Grapalat" w:hAnsi="GHEA Grapalat"/>
          <w:sz w:val="22"/>
          <w:szCs w:val="22"/>
        </w:rPr>
        <w:t xml:space="preserve">գործունեությանը պետական աջակցության փոխարեն աջակցություն է տրամադրվել 1 կազմակերպության, ինչը պայմանավորված է նրանով, որ կազմակերպությունների ընտրության </w:t>
      </w:r>
      <w:r w:rsidR="00A24695" w:rsidRPr="00C921DE">
        <w:rPr>
          <w:rFonts w:ascii="GHEA Grapalat" w:hAnsi="GHEA Grapalat"/>
          <w:sz w:val="22"/>
          <w:szCs w:val="22"/>
        </w:rPr>
        <w:t>մրցույթի արդյունքում փաստաթղթերի</w:t>
      </w:r>
      <w:r w:rsidRPr="00C921DE">
        <w:rPr>
          <w:rFonts w:ascii="GHEA Grapalat" w:hAnsi="GHEA Grapalat"/>
          <w:sz w:val="22"/>
          <w:szCs w:val="22"/>
        </w:rPr>
        <w:t xml:space="preserve"> </w:t>
      </w:r>
      <w:r w:rsidR="00A24695" w:rsidRPr="00C921DE">
        <w:rPr>
          <w:rFonts w:ascii="GHEA Grapalat" w:hAnsi="GHEA Grapalat"/>
          <w:sz w:val="22"/>
          <w:szCs w:val="22"/>
          <w:lang w:val="en-US"/>
        </w:rPr>
        <w:t>ա</w:t>
      </w:r>
      <w:r w:rsidR="000C5836" w:rsidRPr="00C921DE">
        <w:rPr>
          <w:rFonts w:ascii="GHEA Grapalat" w:hAnsi="GHEA Grapalat"/>
          <w:sz w:val="22"/>
          <w:szCs w:val="22"/>
          <w:lang w:val="en-US"/>
        </w:rPr>
        <w:t>ն</w:t>
      </w:r>
      <w:r w:rsidRPr="00C921DE">
        <w:rPr>
          <w:rFonts w:ascii="GHEA Grapalat" w:hAnsi="GHEA Grapalat"/>
          <w:sz w:val="22"/>
          <w:szCs w:val="22"/>
        </w:rPr>
        <w:t>համապատասխան</w:t>
      </w:r>
      <w:r w:rsidR="00A24695" w:rsidRPr="00C921DE">
        <w:rPr>
          <w:rFonts w:ascii="GHEA Grapalat" w:hAnsi="GHEA Grapalat"/>
          <w:sz w:val="22"/>
          <w:szCs w:val="22"/>
          <w:lang w:val="en-US"/>
        </w:rPr>
        <w:t>ության</w:t>
      </w:r>
      <w:r w:rsidRPr="00C921DE">
        <w:rPr>
          <w:rFonts w:ascii="GHEA Grapalat" w:hAnsi="GHEA Grapalat"/>
          <w:sz w:val="22"/>
          <w:szCs w:val="22"/>
        </w:rPr>
        <w:t xml:space="preserve"> պատճառով հաղթող է ճանաչվել միայն մեկ կազմակերպություն: Զբոսաշրջային բիզնես նախաձեռնություններին 10 կազմակերպությունների աջակցության փոխարեն աջակցություն է տրամադրվել 7 կազմակերպության, ինչը պայմանավորված է նրանով, որ մրցույթների արդյունքում հաղթող ճանաչված 10 կազմակերպություններից մեկը հրաժարվել է կնքել պայմանագիր, իսկ 2 կազմակերպությունների հետ կնքված պայմանագրերը լուծվել են</w:t>
      </w:r>
      <w:r w:rsidR="00FA680B" w:rsidRPr="00C921DE">
        <w:rPr>
          <w:rFonts w:ascii="GHEA Grapalat" w:hAnsi="GHEA Grapalat"/>
          <w:sz w:val="22"/>
          <w:szCs w:val="22"/>
          <w:lang w:val="en-US"/>
        </w:rPr>
        <w:t xml:space="preserve">՝ </w:t>
      </w:r>
      <w:r w:rsidR="00FA680B" w:rsidRPr="00C921DE">
        <w:rPr>
          <w:rFonts w:ascii="GHEA Grapalat" w:hAnsi="GHEA Grapalat"/>
          <w:sz w:val="22"/>
          <w:szCs w:val="22"/>
        </w:rPr>
        <w:t>փառատոներ</w:t>
      </w:r>
      <w:r w:rsidR="00FA680B" w:rsidRPr="00C921DE">
        <w:rPr>
          <w:rFonts w:ascii="GHEA Grapalat" w:hAnsi="GHEA Grapalat"/>
          <w:sz w:val="22"/>
          <w:szCs w:val="22"/>
          <w:lang w:val="en-US"/>
        </w:rPr>
        <w:t>ը</w:t>
      </w:r>
      <w:r w:rsidR="00FA680B" w:rsidRPr="00C921DE">
        <w:rPr>
          <w:rFonts w:ascii="GHEA Grapalat" w:hAnsi="GHEA Grapalat"/>
          <w:sz w:val="22"/>
          <w:szCs w:val="22"/>
        </w:rPr>
        <w:t xml:space="preserve"> չանցկաց</w:t>
      </w:r>
      <w:r w:rsidR="00FA680B" w:rsidRPr="00C921DE">
        <w:rPr>
          <w:rFonts w:ascii="GHEA Grapalat" w:hAnsi="GHEA Grapalat"/>
          <w:sz w:val="22"/>
          <w:szCs w:val="22"/>
          <w:lang w:val="en-US"/>
        </w:rPr>
        <w:t>նելու</w:t>
      </w:r>
      <w:r w:rsidR="00FA680B" w:rsidRPr="00C921DE">
        <w:rPr>
          <w:rFonts w:ascii="GHEA Grapalat" w:hAnsi="GHEA Grapalat"/>
          <w:sz w:val="22"/>
          <w:szCs w:val="22"/>
        </w:rPr>
        <w:t xml:space="preserve"> պատճառով</w:t>
      </w:r>
      <w:r w:rsidRPr="00C921DE">
        <w:rPr>
          <w:rFonts w:ascii="GHEA Grapalat" w:hAnsi="GHEA Grapalat"/>
          <w:sz w:val="22"/>
          <w:szCs w:val="22"/>
        </w:rPr>
        <w:t>: Զբոսաշրջության զարգացմանն աջակցության միջոցառմ</w:t>
      </w:r>
      <w:r w:rsidR="00FA680B" w:rsidRPr="00C921DE">
        <w:rPr>
          <w:rFonts w:ascii="GHEA Grapalat" w:hAnsi="GHEA Grapalat"/>
          <w:sz w:val="22"/>
          <w:szCs w:val="22"/>
        </w:rPr>
        <w:t xml:space="preserve">ան շրջանակներում օգտագործվել է </w:t>
      </w:r>
      <w:r w:rsidRPr="00C921DE">
        <w:rPr>
          <w:rFonts w:ascii="GHEA Grapalat" w:hAnsi="GHEA Grapalat"/>
          <w:sz w:val="22"/>
          <w:szCs w:val="22"/>
        </w:rPr>
        <w:t>965.6 մլն դրամ կամ նախատեսված միջոցների 97.5%-ը: Նախորդ տարվա համեմատ նշված միջոցառման ծախսերն աճել են</w:t>
      </w:r>
      <w:r w:rsidR="00DD395D" w:rsidRPr="00C921DE">
        <w:rPr>
          <w:rFonts w:ascii="GHEA Grapalat" w:hAnsi="GHEA Grapalat"/>
          <w:sz w:val="22"/>
          <w:szCs w:val="22"/>
        </w:rPr>
        <w:t xml:space="preserve"> 5.7 անգամ կամ 796.4 մլն դրամով</w:t>
      </w:r>
      <w:r w:rsidR="00DD395D" w:rsidRPr="00C921DE">
        <w:rPr>
          <w:rFonts w:ascii="GHEA Grapalat" w:hAnsi="GHEA Grapalat"/>
          <w:sz w:val="22"/>
          <w:szCs w:val="22"/>
          <w:lang w:val="en-US"/>
        </w:rPr>
        <w:t>՝</w:t>
      </w:r>
      <w:r w:rsidRPr="00C921DE">
        <w:rPr>
          <w:rFonts w:ascii="GHEA Grapalat" w:hAnsi="GHEA Grapalat"/>
          <w:sz w:val="22"/>
          <w:szCs w:val="22"/>
        </w:rPr>
        <w:t xml:space="preserve"> հիմնականում պայ</w:t>
      </w:r>
      <w:r w:rsidR="00FA680B" w:rsidRPr="00C921DE">
        <w:rPr>
          <w:rFonts w:ascii="GHEA Grapalat" w:hAnsi="GHEA Grapalat"/>
          <w:sz w:val="22"/>
          <w:szCs w:val="22"/>
        </w:rPr>
        <w:t>մանավորված աշխատանքների ծավալ</w:t>
      </w:r>
      <w:r w:rsidR="00FA680B" w:rsidRPr="00C921DE">
        <w:rPr>
          <w:rFonts w:ascii="GHEA Grapalat" w:hAnsi="GHEA Grapalat"/>
          <w:sz w:val="22"/>
          <w:szCs w:val="22"/>
          <w:lang w:val="en-US"/>
        </w:rPr>
        <w:t>ների աճով</w:t>
      </w:r>
      <w:r w:rsidRPr="00C921DE">
        <w:rPr>
          <w:rFonts w:ascii="GHEA Grapalat" w:hAnsi="GHEA Grapalat"/>
          <w:sz w:val="22"/>
          <w:szCs w:val="22"/>
        </w:rPr>
        <w:t xml:space="preserve">: Մասնավորապես՝ </w:t>
      </w:r>
      <w:r w:rsidR="00DD395D" w:rsidRPr="00C921DE">
        <w:rPr>
          <w:rFonts w:ascii="GHEA Grapalat" w:hAnsi="GHEA Grapalat"/>
          <w:sz w:val="22"/>
          <w:szCs w:val="22"/>
          <w:lang w:val="en-US"/>
        </w:rPr>
        <w:t xml:space="preserve">2023 թվականին </w:t>
      </w:r>
      <w:r w:rsidR="00D31431" w:rsidRPr="00C921DE">
        <w:rPr>
          <w:rFonts w:ascii="GHEA Grapalat" w:hAnsi="GHEA Grapalat"/>
          <w:sz w:val="22"/>
          <w:szCs w:val="22"/>
          <w:lang w:val="en-US"/>
        </w:rPr>
        <w:t>ավելաց</w:t>
      </w:r>
      <w:r w:rsidR="00DD395D" w:rsidRPr="00C921DE">
        <w:rPr>
          <w:rFonts w:ascii="GHEA Grapalat" w:hAnsi="GHEA Grapalat"/>
          <w:sz w:val="22"/>
          <w:szCs w:val="22"/>
          <w:lang w:val="en-US"/>
        </w:rPr>
        <w:t>ել</w:t>
      </w:r>
      <w:r w:rsidRPr="00C921DE">
        <w:rPr>
          <w:rFonts w:ascii="GHEA Grapalat" w:hAnsi="GHEA Grapalat"/>
          <w:sz w:val="22"/>
          <w:szCs w:val="22"/>
        </w:rPr>
        <w:t xml:space="preserve"> են միջազգային և թիրախային ավիաընկերությունների հետ համագործակցության շրջանակներում մարքեթինգային</w:t>
      </w:r>
      <w:r w:rsidR="00CB37E9" w:rsidRPr="00C921DE">
        <w:rPr>
          <w:rFonts w:ascii="GHEA Grapalat" w:hAnsi="GHEA Grapalat"/>
          <w:sz w:val="22"/>
          <w:szCs w:val="22"/>
        </w:rPr>
        <w:t xml:space="preserve"> </w:t>
      </w:r>
      <w:r w:rsidRPr="00C921DE">
        <w:rPr>
          <w:rFonts w:ascii="GHEA Grapalat" w:hAnsi="GHEA Grapalat"/>
          <w:sz w:val="22"/>
          <w:szCs w:val="22"/>
        </w:rPr>
        <w:t>ծառայությունների ձեռքբերման, թիրախային երկրներում գովազդային արշավների (road show) կազմակերպման, զբոսաշրջային ներքին ցուցահանդեսի կազմակերպման, զբոսաշրջային բիզնես նախաձեռնություններին աջակցության, զբոսաշրջային այցելավայրերի կառավարման կազմակերպությունների գործունեությանը պետական աջակցության և այլ միջ</w:t>
      </w:r>
      <w:r w:rsidR="00075649" w:rsidRPr="00C921DE">
        <w:rPr>
          <w:rFonts w:ascii="GHEA Grapalat" w:hAnsi="GHEA Grapalat"/>
          <w:sz w:val="22"/>
          <w:szCs w:val="22"/>
          <w:lang w:val="en-US"/>
        </w:rPr>
        <w:t>ո</w:t>
      </w:r>
      <w:r w:rsidR="00DD3384" w:rsidRPr="00C921DE">
        <w:rPr>
          <w:rFonts w:ascii="GHEA Grapalat" w:hAnsi="GHEA Grapalat"/>
          <w:sz w:val="22"/>
          <w:szCs w:val="22"/>
        </w:rPr>
        <w:t>ցառումներ</w:t>
      </w:r>
      <w:r w:rsidRPr="00C921DE">
        <w:rPr>
          <w:rFonts w:ascii="GHEA Grapalat" w:hAnsi="GHEA Grapalat"/>
          <w:sz w:val="22"/>
          <w:szCs w:val="22"/>
        </w:rPr>
        <w:t>:</w:t>
      </w:r>
    </w:p>
    <w:p w14:paraId="2F82F2D6" w14:textId="6DD4BB32" w:rsidR="005728BA" w:rsidRPr="00C921DE" w:rsidRDefault="005728BA" w:rsidP="005728BA">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 xml:space="preserve">ՀՀ էկոնոմիկայի նախարարության կողմից իրականացված այլ ծրագրերից </w:t>
      </w:r>
      <w:r w:rsidRPr="00C921DE">
        <w:rPr>
          <w:rFonts w:ascii="GHEA Grapalat" w:hAnsi="GHEA Grapalat" w:cs="GHEA Grapalat"/>
          <w:i/>
          <w:sz w:val="22"/>
          <w:szCs w:val="22"/>
        </w:rPr>
        <w:t>Անասնաբուժական ծառայությունների</w:t>
      </w:r>
      <w:r w:rsidRPr="00C921DE">
        <w:rPr>
          <w:rFonts w:ascii="GHEA Grapalat" w:hAnsi="GHEA Grapalat" w:cs="GHEA Grapalat"/>
          <w:sz w:val="22"/>
          <w:szCs w:val="22"/>
        </w:rPr>
        <w:t xml:space="preserve"> ծրագրի շրջանակներում օգտագործվել է շուրջ 2.5 մլրդ դրամ կամ նախատեսված </w:t>
      </w:r>
      <w:r w:rsidRPr="00C921DE">
        <w:rPr>
          <w:rFonts w:ascii="GHEA Grapalat" w:hAnsi="GHEA Grapalat" w:cs="GHEA Grapalat"/>
          <w:sz w:val="22"/>
          <w:szCs w:val="22"/>
        </w:rPr>
        <w:lastRenderedPageBreak/>
        <w:t xml:space="preserve">միջոցների 93.4%-ը: Շեղումը հիմնականում պայմանավորված է </w:t>
      </w:r>
      <w:r w:rsidRPr="00C921DE">
        <w:rPr>
          <w:rFonts w:ascii="GHEA Grapalat" w:hAnsi="GHEA Grapalat"/>
          <w:sz w:val="22"/>
          <w:szCs w:val="22"/>
        </w:rPr>
        <w:t>Գյուղատնտեսական կենդանիների պատվաստման միջոցառման</w:t>
      </w:r>
      <w:r w:rsidRPr="00C921DE">
        <w:rPr>
          <w:rFonts w:ascii="GHEA Grapalat" w:hAnsi="GHEA Grapalat" w:cs="GHEA Grapalat"/>
          <w:sz w:val="22"/>
          <w:szCs w:val="22"/>
        </w:rPr>
        <w:t xml:space="preserve"> կատարողականով: Հիմնականում վերջինիս կատարված հատկացումների </w:t>
      </w:r>
      <w:r w:rsidR="00205C38" w:rsidRPr="00C921DE">
        <w:rPr>
          <w:rFonts w:ascii="GHEA Grapalat" w:hAnsi="GHEA Grapalat" w:cs="GHEA Grapalat"/>
          <w:sz w:val="22"/>
          <w:szCs w:val="22"/>
          <w:lang w:val="en-US"/>
        </w:rPr>
        <w:t xml:space="preserve">աճի </w:t>
      </w:r>
      <w:r w:rsidRPr="00C921DE">
        <w:rPr>
          <w:rFonts w:ascii="GHEA Grapalat" w:hAnsi="GHEA Grapalat" w:cs="GHEA Grapalat"/>
          <w:sz w:val="22"/>
          <w:szCs w:val="22"/>
        </w:rPr>
        <w:t xml:space="preserve">արդյունքում նախորդ տարվա համեմատ Անասնաբուժական ծառայությունների ծրագրի ծախսերն աճել են 35.8%-ով (646.9 մլն դրամով): </w:t>
      </w:r>
      <w:r w:rsidRPr="00C921DE">
        <w:rPr>
          <w:rFonts w:ascii="GHEA Grapalat" w:hAnsi="GHEA Grapalat"/>
          <w:sz w:val="22"/>
          <w:szCs w:val="22"/>
        </w:rPr>
        <w:t>Գյուղատնտեսական կենդանիների պատվաստման միջոցառման շրջանակներում իրականացվել են 891898 ախտորոշման և 6278843 կանխարգելիչ (պատվաստումներ) միջոցառումներ՝ նախատեսված համապատասխանաբար 978837</w:t>
      </w:r>
      <w:r w:rsidRPr="00C921DE">
        <w:rPr>
          <w:rFonts w:ascii="Calibri" w:hAnsi="Calibri" w:cs="Calibri"/>
          <w:sz w:val="22"/>
          <w:szCs w:val="22"/>
        </w:rPr>
        <w:t> </w:t>
      </w:r>
      <w:r w:rsidRPr="00C921DE">
        <w:rPr>
          <w:rFonts w:ascii="Calibri" w:hAnsi="Calibri" w:cs="Calibri"/>
          <w:sz w:val="22"/>
          <w:szCs w:val="22"/>
        </w:rPr>
        <w:noBreakHyphen/>
      </w:r>
      <w:r w:rsidRPr="00C921DE">
        <w:rPr>
          <w:rFonts w:ascii="GHEA Grapalat" w:hAnsi="GHEA Grapalat"/>
          <w:sz w:val="22"/>
          <w:szCs w:val="22"/>
        </w:rPr>
        <w:t>ի և 6502955</w:t>
      </w:r>
      <w:r w:rsidRPr="00C921DE">
        <w:rPr>
          <w:rFonts w:ascii="GHEA Grapalat" w:hAnsi="GHEA Grapalat"/>
          <w:sz w:val="22"/>
          <w:szCs w:val="22"/>
        </w:rPr>
        <w:noBreakHyphen/>
        <w:t xml:space="preserve">ի ու </w:t>
      </w:r>
      <w:r w:rsidRPr="00C921DE">
        <w:rPr>
          <w:rFonts w:ascii="GHEA Grapalat" w:hAnsi="GHEA Grapalat" w:cs="GHEA Grapalat"/>
          <w:sz w:val="22"/>
          <w:szCs w:val="22"/>
        </w:rPr>
        <w:t xml:space="preserve">նախորդ տարվա </w:t>
      </w:r>
      <w:r w:rsidRPr="00C921DE">
        <w:rPr>
          <w:rFonts w:ascii="GHEA Grapalat" w:hAnsi="GHEA Grapalat"/>
          <w:sz w:val="22"/>
          <w:szCs w:val="22"/>
        </w:rPr>
        <w:t>916496-ի և 4376409</w:t>
      </w:r>
      <w:r w:rsidRPr="00C921DE">
        <w:rPr>
          <w:rFonts w:ascii="GHEA Grapalat" w:hAnsi="GHEA Grapalat"/>
          <w:sz w:val="22"/>
          <w:szCs w:val="22"/>
        </w:rPr>
        <w:noBreakHyphen/>
        <w:t>ի</w:t>
      </w:r>
      <w:r w:rsidRPr="00C921DE">
        <w:rPr>
          <w:rFonts w:ascii="GHEA Grapalat" w:hAnsi="GHEA Grapalat" w:cs="GHEA Grapalat"/>
          <w:sz w:val="22"/>
          <w:szCs w:val="22"/>
        </w:rPr>
        <w:t xml:space="preserve"> </w:t>
      </w:r>
      <w:r w:rsidRPr="00C921DE">
        <w:rPr>
          <w:rFonts w:ascii="GHEA Grapalat" w:hAnsi="GHEA Grapalat"/>
          <w:sz w:val="22"/>
          <w:szCs w:val="22"/>
        </w:rPr>
        <w:t>դիմաց: Նշենք, որ ախտորոշման</w:t>
      </w:r>
      <w:r w:rsidRPr="00C921DE">
        <w:rPr>
          <w:rFonts w:ascii="GHEA Grapalat" w:hAnsi="GHEA Grapalat" w:cs="GHEA Grapalat"/>
          <w:sz w:val="22"/>
          <w:szCs w:val="22"/>
        </w:rPr>
        <w:t xml:space="preserve"> միջոցառումների ցուցանիշի գծով արձանագրված թերակատարումը պայմանավորված է կենդանիների գլխաքանակի նվազմամբ և ախտորոշիչ միջոցների ուշ ձեռքբերմամբ, իսկ կանխարգելիչ պատվաստումների ցուցանիշի գծով արձանագրված թերակատարումը՝ պատվաստանյութի հրահանգի համաձայն մ</w:t>
      </w:r>
      <w:r w:rsidR="00BB0BF8" w:rsidRPr="00C921DE">
        <w:rPr>
          <w:rFonts w:ascii="GHEA Grapalat" w:hAnsi="GHEA Grapalat" w:cs="GHEA Grapalat"/>
          <w:sz w:val="22"/>
          <w:szCs w:val="22"/>
        </w:rPr>
        <w:t>իջպատվաստումային ժամանակահատվածով</w:t>
      </w:r>
      <w:r w:rsidRPr="00C921DE">
        <w:rPr>
          <w:rFonts w:ascii="GHEA Grapalat" w:hAnsi="GHEA Grapalat" w:cs="GHEA Grapalat"/>
          <w:sz w:val="22"/>
          <w:szCs w:val="22"/>
        </w:rPr>
        <w:t xml:space="preserve">, ինչպես նաև կայուն անասնահամաճարակային իրավիճակի պահպանմամբ: Միջոցառման շրջանակներում օգտագործվել է ավելի քան 2.1 մլրդ դրամ՝ ապահովելով 94.8% կատարողական: Նախորդ տարվա համեմատ նշված ծախսերն աճել են 42%-ով կամ 634.8 մլն դրամով, որը պայմանավորված է </w:t>
      </w:r>
      <w:r w:rsidR="005D4798" w:rsidRPr="00C921DE">
        <w:rPr>
          <w:rFonts w:ascii="GHEA Grapalat" w:hAnsi="GHEA Grapalat" w:cs="GHEA Grapalat"/>
          <w:sz w:val="22"/>
          <w:szCs w:val="22"/>
          <w:lang w:val="en-US"/>
        </w:rPr>
        <w:t xml:space="preserve">ՀՀ </w:t>
      </w:r>
      <w:r w:rsidRPr="00C921DE">
        <w:rPr>
          <w:rFonts w:ascii="GHEA Grapalat" w:hAnsi="GHEA Grapalat" w:cs="GHEA Grapalat"/>
          <w:sz w:val="22"/>
          <w:szCs w:val="22"/>
        </w:rPr>
        <w:t>կայուն անասնահամաճարակային իրավիճակի ապահովման նպատակով հարևան երկրներում շրջանառվող դաբաղ հիվանդության նոր SAT-2 տիպի պատվաստանյութի ձեռքբերմամբ և կանխարգելիչ միջոցառման իրականացմամբ։</w:t>
      </w:r>
    </w:p>
    <w:p w14:paraId="31494FE0" w14:textId="09161A5D" w:rsidR="00C56BD7" w:rsidRPr="00C921DE" w:rsidRDefault="00C56BD7" w:rsidP="002F0436">
      <w:pPr>
        <w:autoSpaceDE w:val="0"/>
        <w:autoSpaceDN w:val="0"/>
        <w:adjustRightInd w:val="0"/>
        <w:ind w:firstLine="567"/>
        <w:jc w:val="both"/>
        <w:rPr>
          <w:rFonts w:ascii="GHEA Grapalat" w:hAnsi="GHEA Grapalat"/>
          <w:sz w:val="22"/>
          <w:szCs w:val="22"/>
          <w:lang w:val="af-ZA"/>
        </w:rPr>
      </w:pPr>
    </w:p>
    <w:p w14:paraId="648A0F3A" w14:textId="43B80B56" w:rsidR="00B20C0B" w:rsidRPr="00C921DE" w:rsidRDefault="00C56BD7"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արտաքին գործերի նախարարության</w:t>
      </w:r>
      <w:r w:rsidRPr="00C921DE">
        <w:rPr>
          <w:rFonts w:ascii="GHEA Grapalat" w:hAnsi="GHEA Grapalat" w:cs="GHEA Grapalat"/>
          <w:sz w:val="22"/>
          <w:szCs w:val="22"/>
        </w:rPr>
        <w:t xml:space="preserve"> </w:t>
      </w:r>
      <w:r w:rsidR="00B20C0B" w:rsidRPr="00C921DE">
        <w:rPr>
          <w:rFonts w:ascii="GHEA Grapalat" w:hAnsi="GHEA Grapalat" w:cs="GHEA Grapalat"/>
          <w:sz w:val="22"/>
          <w:szCs w:val="22"/>
        </w:rPr>
        <w:t>պատասխանատվությամբ 2023 թվականի ընթացքում կատարվել է պետական բյուջեի 6 ծրագիր, որոնց գծով ծախսերը կազմել են շուրջ 25.1 մլրդ դրամ կամ ծրագրված ցուցանիշի 99.5</w:t>
      </w:r>
      <w:r w:rsidR="00D343FF" w:rsidRPr="00C921DE">
        <w:rPr>
          <w:rFonts w:ascii="GHEA Grapalat" w:hAnsi="GHEA Grapalat" w:cs="GHEA Grapalat"/>
          <w:sz w:val="22"/>
          <w:szCs w:val="22"/>
        </w:rPr>
        <w:t>%-</w:t>
      </w:r>
      <w:r w:rsidR="00B20C0B" w:rsidRPr="00C921DE">
        <w:rPr>
          <w:rFonts w:ascii="GHEA Grapalat" w:hAnsi="GHEA Grapalat" w:cs="GHEA Grapalat"/>
          <w:sz w:val="22"/>
          <w:szCs w:val="22"/>
        </w:rPr>
        <w:t>ը: Նախորդ տարվա համեմատ նախարարության ծախսերն աճել են 41.2%</w:t>
      </w:r>
      <w:r w:rsidR="00C134FA" w:rsidRPr="00C921DE">
        <w:rPr>
          <w:rFonts w:ascii="GHEA Grapalat" w:hAnsi="GHEA Grapalat" w:cs="GHEA Grapalat"/>
          <w:sz w:val="22"/>
          <w:szCs w:val="22"/>
          <w:lang w:val="en-US"/>
        </w:rPr>
        <w:t>-</w:t>
      </w:r>
      <w:r w:rsidR="00B20C0B" w:rsidRPr="00C921DE">
        <w:rPr>
          <w:rFonts w:ascii="GHEA Grapalat" w:hAnsi="GHEA Grapalat" w:cs="GHEA Grapalat"/>
          <w:sz w:val="22"/>
          <w:szCs w:val="22"/>
        </w:rPr>
        <w:t>ով կամ 7.3 մլրդ դրամով՝ հիմնականում պայմանավորված Օտարերկրյա պետություններում ՀՀ դիվանագիտական ծառայության մարմինների գործունեության կազմակերպման և իրականացման ծրագրի շրջանակներում կատարված ծախսերի աճով:</w:t>
      </w:r>
    </w:p>
    <w:p w14:paraId="0697ADC6" w14:textId="77777777" w:rsidR="002F0436" w:rsidRPr="00C921DE" w:rsidRDefault="002F0436" w:rsidP="002F0436">
      <w:pPr>
        <w:autoSpaceDE w:val="0"/>
        <w:autoSpaceDN w:val="0"/>
        <w:adjustRightInd w:val="0"/>
        <w:ind w:firstLine="567"/>
        <w:jc w:val="both"/>
        <w:rPr>
          <w:rFonts w:ascii="GHEA Grapalat" w:hAnsi="GHEA Grapalat" w:cs="GHEA Grapalat"/>
          <w:sz w:val="22"/>
          <w:szCs w:val="22"/>
        </w:rPr>
      </w:pPr>
    </w:p>
    <w:p w14:paraId="1F770F85" w14:textId="77777777" w:rsidR="00B20C0B" w:rsidRPr="00C921DE" w:rsidRDefault="00B20C0B" w:rsidP="00B20C0B">
      <w:pPr>
        <w:pStyle w:val="Caption"/>
        <w:keepNext/>
        <w:numPr>
          <w:ilvl w:val="0"/>
          <w:numId w:val="16"/>
        </w:numPr>
        <w:tabs>
          <w:tab w:val="left" w:pos="1276"/>
        </w:tabs>
        <w:ind w:left="0" w:firstLine="0"/>
        <w:jc w:val="left"/>
        <w:rPr>
          <w:rFonts w:ascii="GHEA Grapalat" w:hAnsi="GHEA Grapalat"/>
          <w:i/>
          <w:sz w:val="18"/>
          <w:szCs w:val="18"/>
          <w:lang w:val="af-ZA"/>
        </w:rPr>
      </w:pPr>
      <w:r w:rsidRPr="00C921DE">
        <w:rPr>
          <w:rFonts w:ascii="GHEA Grapalat" w:hAnsi="GHEA Grapalat"/>
          <w:i/>
          <w:sz w:val="18"/>
          <w:szCs w:val="18"/>
          <w:lang w:val="hy-AM"/>
        </w:rPr>
        <w:t xml:space="preserve"> 2023թ. ՀՀ</w:t>
      </w:r>
      <w:r w:rsidRPr="00C921DE">
        <w:rPr>
          <w:rFonts w:ascii="GHEA Grapalat" w:hAnsi="GHEA Grapalat"/>
          <w:i/>
          <w:sz w:val="18"/>
          <w:szCs w:val="18"/>
          <w:lang w:val="af-ZA"/>
        </w:rPr>
        <w:t xml:space="preserve"> </w:t>
      </w:r>
      <w:r w:rsidRPr="00C921DE">
        <w:rPr>
          <w:rFonts w:ascii="GHEA Grapalat" w:hAnsi="GHEA Grapalat"/>
          <w:i/>
          <w:sz w:val="18"/>
          <w:szCs w:val="18"/>
          <w:lang w:val="hy-AM"/>
        </w:rPr>
        <w:t>արտաքին</w:t>
      </w:r>
      <w:r w:rsidRPr="00C921DE">
        <w:rPr>
          <w:rFonts w:ascii="GHEA Grapalat" w:hAnsi="GHEA Grapalat"/>
          <w:i/>
          <w:sz w:val="18"/>
          <w:szCs w:val="18"/>
          <w:lang w:val="af-ZA"/>
        </w:rPr>
        <w:t xml:space="preserve"> </w:t>
      </w:r>
      <w:r w:rsidRPr="00C921DE">
        <w:rPr>
          <w:rFonts w:ascii="GHEA Grapalat" w:hAnsi="GHEA Grapalat"/>
          <w:i/>
          <w:sz w:val="18"/>
          <w:szCs w:val="18"/>
          <w:lang w:val="hy-AM"/>
        </w:rPr>
        <w:t>գործերի</w:t>
      </w:r>
      <w:r w:rsidRPr="00C921DE">
        <w:rPr>
          <w:rFonts w:ascii="GHEA Grapalat" w:hAnsi="GHEA Grapalat"/>
          <w:i/>
          <w:sz w:val="18"/>
          <w:szCs w:val="18"/>
          <w:lang w:val="af-ZA"/>
        </w:rPr>
        <w:t xml:space="preserve"> </w:t>
      </w:r>
      <w:r w:rsidRPr="00C921DE">
        <w:rPr>
          <w:rFonts w:ascii="GHEA Grapalat" w:hAnsi="GHEA Grapalat"/>
          <w:i/>
          <w:sz w:val="18"/>
          <w:szCs w:val="18"/>
          <w:lang w:val="hy-AM"/>
        </w:rPr>
        <w:t>նախարարության</w:t>
      </w:r>
      <w:r w:rsidRPr="00C921DE">
        <w:rPr>
          <w:rFonts w:ascii="GHEA Grapalat" w:hAnsi="GHEA Grapalat"/>
          <w:i/>
          <w:sz w:val="18"/>
          <w:szCs w:val="18"/>
          <w:lang w:val="af-ZA"/>
        </w:rPr>
        <w:t xml:space="preserve"> </w:t>
      </w:r>
      <w:r w:rsidRPr="00C921DE">
        <w:rPr>
          <w:rFonts w:ascii="GHEA Grapalat" w:hAnsi="GHEA Grapalat"/>
          <w:i/>
          <w:sz w:val="18"/>
          <w:szCs w:val="18"/>
          <w:lang w:val="hy-AM"/>
        </w:rPr>
        <w:t>կողմից</w:t>
      </w:r>
      <w:r w:rsidRPr="00C921DE">
        <w:rPr>
          <w:rFonts w:ascii="GHEA Grapalat" w:hAnsi="GHEA Grapalat"/>
          <w:i/>
          <w:sz w:val="18"/>
          <w:szCs w:val="18"/>
          <w:lang w:val="af-ZA"/>
        </w:rPr>
        <w:t xml:space="preserve"> </w:t>
      </w:r>
      <w:r w:rsidRPr="00C921DE">
        <w:rPr>
          <w:rFonts w:ascii="GHEA Grapalat" w:hAnsi="GHEA Grapalat"/>
          <w:i/>
          <w:sz w:val="18"/>
          <w:szCs w:val="18"/>
          <w:lang w:val="hy-AM"/>
        </w:rPr>
        <w:t>իրականացված</w:t>
      </w:r>
      <w:r w:rsidRPr="00C921DE">
        <w:rPr>
          <w:rFonts w:ascii="GHEA Grapalat" w:hAnsi="GHEA Grapalat"/>
          <w:i/>
          <w:sz w:val="18"/>
          <w:szCs w:val="18"/>
          <w:lang w:val="af-ZA"/>
        </w:rPr>
        <w:t xml:space="preserve"> </w:t>
      </w:r>
      <w:r w:rsidRPr="00C921DE">
        <w:rPr>
          <w:rFonts w:ascii="GHEA Grapalat" w:hAnsi="GHEA Grapalat"/>
          <w:i/>
          <w:sz w:val="18"/>
          <w:szCs w:val="18"/>
          <w:lang w:val="hy-AM"/>
        </w:rPr>
        <w:t>ծրագրերը</w:t>
      </w:r>
      <w:r w:rsidRPr="00C921DE">
        <w:rPr>
          <w:rFonts w:ascii="GHEA Grapalat" w:hAnsi="GHEA Grapalat"/>
          <w:i/>
          <w:sz w:val="18"/>
          <w:szCs w:val="18"/>
          <w:lang w:val="af-ZA"/>
        </w:rPr>
        <w:t xml:space="preserve"> (</w:t>
      </w:r>
      <w:r w:rsidRPr="00C921DE">
        <w:rPr>
          <w:rFonts w:ascii="GHEA Grapalat" w:hAnsi="GHEA Grapalat"/>
          <w:i/>
          <w:sz w:val="18"/>
          <w:szCs w:val="18"/>
          <w:lang w:val="hy-AM"/>
        </w:rPr>
        <w:t>մլն</w:t>
      </w:r>
      <w:r w:rsidRPr="00C921DE">
        <w:rPr>
          <w:rFonts w:ascii="GHEA Grapalat" w:hAnsi="GHEA Grapalat"/>
          <w:i/>
          <w:sz w:val="18"/>
          <w:szCs w:val="18"/>
          <w:lang w:val="af-ZA"/>
        </w:rPr>
        <w:t xml:space="preserve"> </w:t>
      </w:r>
      <w:r w:rsidRPr="00C921DE">
        <w:rPr>
          <w:rFonts w:ascii="GHEA Grapalat" w:hAnsi="GHEA Grapalat"/>
          <w:i/>
          <w:sz w:val="18"/>
          <w:szCs w:val="18"/>
          <w:lang w:val="hy-AM"/>
        </w:rPr>
        <w:t>դրամ</w:t>
      </w:r>
      <w:r w:rsidRPr="00C921DE">
        <w:rPr>
          <w:rFonts w:ascii="GHEA Grapalat" w:hAnsi="GHEA Grapalat"/>
          <w:i/>
          <w:sz w:val="18"/>
          <w:szCs w:val="18"/>
          <w:lang w:val="af-ZA"/>
        </w:rPr>
        <w:t>)</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1009"/>
        <w:gridCol w:w="979"/>
        <w:gridCol w:w="989"/>
        <w:gridCol w:w="1559"/>
        <w:gridCol w:w="992"/>
        <w:gridCol w:w="1171"/>
      </w:tblGrid>
      <w:tr w:rsidR="00AC5938" w:rsidRPr="00C921DE" w14:paraId="7864FE85" w14:textId="77777777" w:rsidTr="00B134DD">
        <w:trPr>
          <w:trHeight w:val="300"/>
          <w:jc w:val="center"/>
        </w:trPr>
        <w:tc>
          <w:tcPr>
            <w:tcW w:w="3539" w:type="dxa"/>
            <w:noWrap/>
            <w:vAlign w:val="bottom"/>
          </w:tcPr>
          <w:p w14:paraId="359B26ED" w14:textId="77777777" w:rsidR="00AC5938" w:rsidRPr="00C921DE" w:rsidRDefault="00AC5938" w:rsidP="00AC5938">
            <w:pPr>
              <w:rPr>
                <w:rFonts w:ascii="GHEA Grapalat" w:hAnsi="GHEA Grapalat" w:cs="Calibri"/>
                <w:sz w:val="18"/>
                <w:szCs w:val="18"/>
                <w:lang w:val="af-ZA"/>
              </w:rPr>
            </w:pPr>
          </w:p>
        </w:tc>
        <w:tc>
          <w:tcPr>
            <w:tcW w:w="1009" w:type="dxa"/>
          </w:tcPr>
          <w:p w14:paraId="1C312220" w14:textId="77777777" w:rsidR="00AC5938" w:rsidRPr="00C921DE" w:rsidRDefault="00AC5938" w:rsidP="00AC5938">
            <w:pPr>
              <w:jc w:val="center"/>
              <w:rPr>
                <w:rFonts w:ascii="GHEA Grapalat" w:hAnsi="GHEA Grapalat" w:cs="Calibri"/>
                <w:b/>
                <w:bCs/>
                <w:sz w:val="18"/>
                <w:szCs w:val="18"/>
              </w:rPr>
            </w:pPr>
            <w:r w:rsidRPr="00C921DE">
              <w:rPr>
                <w:rFonts w:ascii="GHEA Grapalat" w:hAnsi="GHEA Grapalat" w:cs="Calibri"/>
                <w:b/>
                <w:bCs/>
                <w:sz w:val="18"/>
                <w:szCs w:val="18"/>
                <w:lang w:val="pt-BR"/>
              </w:rPr>
              <w:t>2022</w:t>
            </w:r>
            <w:r w:rsidRPr="00C921DE">
              <w:rPr>
                <w:rFonts w:ascii="GHEA Grapalat" w:hAnsi="GHEA Grapalat" w:cs="Calibri"/>
                <w:b/>
                <w:bCs/>
                <w:sz w:val="18"/>
                <w:szCs w:val="18"/>
              </w:rPr>
              <w:t>թ</w:t>
            </w:r>
            <w:r w:rsidRPr="00C921DE">
              <w:rPr>
                <w:rFonts w:ascii="GHEA Grapalat" w:hAnsi="GHEA Grapalat" w:cs="Calibri"/>
                <w:b/>
                <w:bCs/>
                <w:sz w:val="18"/>
                <w:szCs w:val="18"/>
                <w:lang w:val="pt-BR"/>
              </w:rPr>
              <w:t xml:space="preserve">. </w:t>
            </w:r>
            <w:r w:rsidRPr="00C921DE">
              <w:rPr>
                <w:rFonts w:ascii="GHEA Grapalat" w:hAnsi="GHEA Grapalat" w:cs="Calibri"/>
                <w:b/>
                <w:bCs/>
                <w:sz w:val="18"/>
                <w:szCs w:val="18"/>
              </w:rPr>
              <w:t>փաստ</w:t>
            </w:r>
          </w:p>
        </w:tc>
        <w:tc>
          <w:tcPr>
            <w:tcW w:w="979" w:type="dxa"/>
          </w:tcPr>
          <w:p w14:paraId="23F6D8CE" w14:textId="69E5CF9F" w:rsidR="00AC5938" w:rsidRPr="00C921DE" w:rsidRDefault="00AC5938" w:rsidP="00AC5938">
            <w:pPr>
              <w:jc w:val="center"/>
              <w:rPr>
                <w:rFonts w:ascii="GHEA Grapalat" w:hAnsi="GHEA Grapalat" w:cs="Calibri"/>
                <w:b/>
                <w:bCs/>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989" w:type="dxa"/>
            <w:noWrap/>
          </w:tcPr>
          <w:p w14:paraId="4FE80CA2" w14:textId="2C4E5427" w:rsidR="00AC5938" w:rsidRPr="00C921DE" w:rsidRDefault="00AC5938" w:rsidP="00AC5938">
            <w:pPr>
              <w:jc w:val="center"/>
              <w:rPr>
                <w:rFonts w:ascii="GHEA Grapalat" w:hAnsi="GHEA Grapalat" w:cs="Calibri"/>
                <w:b/>
                <w:bCs/>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559" w:type="dxa"/>
          </w:tcPr>
          <w:p w14:paraId="14398CBA" w14:textId="7BC5B613" w:rsidR="00AC5938" w:rsidRPr="00C921DE" w:rsidRDefault="00AC5938" w:rsidP="00AC5938">
            <w:pPr>
              <w:jc w:val="center"/>
              <w:rPr>
                <w:rFonts w:ascii="GHEA Grapalat" w:hAnsi="GHEA Grapalat" w:cs="Calibri"/>
                <w:b/>
                <w:bCs/>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992" w:type="dxa"/>
          </w:tcPr>
          <w:p w14:paraId="7ED8884B" w14:textId="31171D01" w:rsidR="00AC5938" w:rsidRPr="00C921DE" w:rsidRDefault="00AC5938" w:rsidP="00AC5938">
            <w:pPr>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w:t>
            </w:r>
            <w:r w:rsidR="006B0BAD" w:rsidRPr="00C921DE">
              <w:rPr>
                <w:rFonts w:ascii="GHEA Grapalat" w:hAnsi="GHEA Grapalat" w:cs="Calibri"/>
                <w:b/>
                <w:bCs/>
                <w:sz w:val="18"/>
                <w:szCs w:val="18"/>
                <w:lang w:val="en-US"/>
              </w:rPr>
              <w:t>-</w:t>
            </w:r>
            <w:r w:rsidRPr="00C921DE">
              <w:rPr>
                <w:rFonts w:ascii="GHEA Grapalat" w:hAnsi="GHEA Grapalat" w:cs="Calibri"/>
                <w:b/>
                <w:bCs/>
                <w:sz w:val="18"/>
                <w:szCs w:val="18"/>
              </w:rPr>
              <w:t>մամբ</w:t>
            </w:r>
            <w:r w:rsidRPr="00C921DE">
              <w:rPr>
                <w:rFonts w:ascii="GHEA Grapalat" w:hAnsi="GHEA Grapalat" w:cs="Calibri"/>
                <w:b/>
                <w:bCs/>
                <w:sz w:val="18"/>
                <w:szCs w:val="18"/>
                <w:lang w:val="en-US"/>
              </w:rPr>
              <w:t xml:space="preserve"> (%)</w:t>
            </w:r>
          </w:p>
        </w:tc>
        <w:tc>
          <w:tcPr>
            <w:tcW w:w="1171" w:type="dxa"/>
          </w:tcPr>
          <w:p w14:paraId="53F1A573" w14:textId="77777777"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2023թ. և 2022թ. տարբե-րությունը</w:t>
            </w:r>
          </w:p>
        </w:tc>
      </w:tr>
      <w:tr w:rsidR="00B20C0B" w:rsidRPr="00C921DE" w14:paraId="0E517AAD" w14:textId="77777777" w:rsidTr="00B134DD">
        <w:trPr>
          <w:trHeight w:val="331"/>
          <w:jc w:val="center"/>
        </w:trPr>
        <w:tc>
          <w:tcPr>
            <w:tcW w:w="3539" w:type="dxa"/>
            <w:vAlign w:val="bottom"/>
          </w:tcPr>
          <w:p w14:paraId="55853B09" w14:textId="77777777" w:rsidR="00B20C0B" w:rsidRPr="00C921DE" w:rsidRDefault="00B20C0B" w:rsidP="00866CDC">
            <w:pPr>
              <w:rPr>
                <w:rFonts w:ascii="GHEA Grapalat" w:hAnsi="GHEA Grapalat" w:cs="Calibri"/>
                <w:b/>
                <w:sz w:val="18"/>
                <w:szCs w:val="18"/>
              </w:rPr>
            </w:pPr>
            <w:r w:rsidRPr="00C921DE">
              <w:rPr>
                <w:rFonts w:ascii="GHEA Grapalat" w:hAnsi="GHEA Grapalat" w:cs="Calibri"/>
                <w:b/>
                <w:sz w:val="18"/>
                <w:szCs w:val="18"/>
              </w:rPr>
              <w:t>ԸՆԴԱՄԵՆԸ</w:t>
            </w:r>
          </w:p>
        </w:tc>
        <w:tc>
          <w:tcPr>
            <w:tcW w:w="1009" w:type="dxa"/>
            <w:vAlign w:val="bottom"/>
          </w:tcPr>
          <w:p w14:paraId="7336B8E2"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17,742.8</w:t>
            </w:r>
          </w:p>
        </w:tc>
        <w:tc>
          <w:tcPr>
            <w:tcW w:w="979" w:type="dxa"/>
            <w:vAlign w:val="bottom"/>
          </w:tcPr>
          <w:p w14:paraId="155FB688"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25,171.9</w:t>
            </w:r>
          </w:p>
        </w:tc>
        <w:tc>
          <w:tcPr>
            <w:tcW w:w="989" w:type="dxa"/>
            <w:vAlign w:val="bottom"/>
          </w:tcPr>
          <w:p w14:paraId="13EA3FC6"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25,057.8</w:t>
            </w:r>
          </w:p>
        </w:tc>
        <w:tc>
          <w:tcPr>
            <w:tcW w:w="1559" w:type="dxa"/>
            <w:vAlign w:val="bottom"/>
          </w:tcPr>
          <w:p w14:paraId="1C9D4388"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99.5</w:t>
            </w:r>
          </w:p>
        </w:tc>
        <w:tc>
          <w:tcPr>
            <w:tcW w:w="992" w:type="dxa"/>
            <w:vAlign w:val="bottom"/>
          </w:tcPr>
          <w:p w14:paraId="58347F83"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141.2</w:t>
            </w:r>
          </w:p>
        </w:tc>
        <w:tc>
          <w:tcPr>
            <w:tcW w:w="1171" w:type="dxa"/>
            <w:vAlign w:val="bottom"/>
          </w:tcPr>
          <w:p w14:paraId="710CACE3"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7,315.0</w:t>
            </w:r>
          </w:p>
        </w:tc>
      </w:tr>
      <w:tr w:rsidR="00B20C0B" w:rsidRPr="00C921DE" w14:paraId="409E3EF4" w14:textId="77777777" w:rsidTr="00B134DD">
        <w:trPr>
          <w:trHeight w:val="300"/>
          <w:jc w:val="center"/>
        </w:trPr>
        <w:tc>
          <w:tcPr>
            <w:tcW w:w="3539" w:type="dxa"/>
            <w:vAlign w:val="bottom"/>
          </w:tcPr>
          <w:p w14:paraId="66DBFC36" w14:textId="06D15D9D" w:rsidR="00B20C0B" w:rsidRPr="00C921DE" w:rsidRDefault="00B20C0B" w:rsidP="00866CDC">
            <w:pPr>
              <w:rPr>
                <w:rFonts w:ascii="GHEA Grapalat" w:hAnsi="GHEA Grapalat" w:cs="Calibri"/>
                <w:sz w:val="18"/>
                <w:szCs w:val="18"/>
              </w:rPr>
            </w:pPr>
            <w:r w:rsidRPr="00C921DE">
              <w:rPr>
                <w:rFonts w:ascii="GHEA Grapalat" w:hAnsi="GHEA Grapalat" w:cs="Calibri"/>
                <w:sz w:val="18"/>
                <w:szCs w:val="18"/>
              </w:rPr>
              <w:t>Արտաքին գործերի ոլորտում Կառավա</w:t>
            </w:r>
            <w:r w:rsidR="006B0BAD" w:rsidRPr="00C921DE">
              <w:rPr>
                <w:rFonts w:ascii="GHEA Grapalat" w:hAnsi="GHEA Grapalat" w:cs="Calibri"/>
                <w:sz w:val="18"/>
                <w:szCs w:val="18"/>
                <w:lang w:val="en-US"/>
              </w:rPr>
              <w:t>-</w:t>
            </w:r>
            <w:r w:rsidRPr="00C921DE">
              <w:rPr>
                <w:rFonts w:ascii="GHEA Grapalat" w:hAnsi="GHEA Grapalat" w:cs="Calibri"/>
                <w:sz w:val="18"/>
                <w:szCs w:val="18"/>
              </w:rPr>
              <w:t>րության քաղաքականության մշակում և իրականացում</w:t>
            </w:r>
          </w:p>
        </w:tc>
        <w:tc>
          <w:tcPr>
            <w:tcW w:w="1009" w:type="dxa"/>
            <w:vAlign w:val="bottom"/>
          </w:tcPr>
          <w:p w14:paraId="20679AC1"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2,600.8</w:t>
            </w:r>
          </w:p>
        </w:tc>
        <w:tc>
          <w:tcPr>
            <w:tcW w:w="979" w:type="dxa"/>
            <w:vAlign w:val="bottom"/>
          </w:tcPr>
          <w:p w14:paraId="41A8B09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2,853.3</w:t>
            </w:r>
          </w:p>
        </w:tc>
        <w:tc>
          <w:tcPr>
            <w:tcW w:w="989" w:type="dxa"/>
            <w:vAlign w:val="bottom"/>
          </w:tcPr>
          <w:p w14:paraId="7F8C29F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2,809.7</w:t>
            </w:r>
          </w:p>
        </w:tc>
        <w:tc>
          <w:tcPr>
            <w:tcW w:w="1559" w:type="dxa"/>
            <w:vAlign w:val="bottom"/>
          </w:tcPr>
          <w:p w14:paraId="3F33962B"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98.5</w:t>
            </w:r>
          </w:p>
        </w:tc>
        <w:tc>
          <w:tcPr>
            <w:tcW w:w="992" w:type="dxa"/>
            <w:vAlign w:val="bottom"/>
          </w:tcPr>
          <w:p w14:paraId="3914BF92"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108.0</w:t>
            </w:r>
          </w:p>
        </w:tc>
        <w:tc>
          <w:tcPr>
            <w:tcW w:w="1171" w:type="dxa"/>
            <w:vAlign w:val="bottom"/>
          </w:tcPr>
          <w:p w14:paraId="6C06169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209.0</w:t>
            </w:r>
          </w:p>
        </w:tc>
      </w:tr>
      <w:tr w:rsidR="00B20C0B" w:rsidRPr="00C921DE" w14:paraId="14A356C2" w14:textId="77777777" w:rsidTr="00B134DD">
        <w:trPr>
          <w:trHeight w:val="300"/>
          <w:jc w:val="center"/>
        </w:trPr>
        <w:tc>
          <w:tcPr>
            <w:tcW w:w="3539" w:type="dxa"/>
            <w:vAlign w:val="bottom"/>
          </w:tcPr>
          <w:p w14:paraId="11E20038" w14:textId="77777777" w:rsidR="00B20C0B" w:rsidRPr="00C921DE" w:rsidRDefault="00B20C0B" w:rsidP="00866CDC">
            <w:pPr>
              <w:rPr>
                <w:rFonts w:ascii="GHEA Grapalat" w:hAnsi="GHEA Grapalat" w:cs="Calibri"/>
                <w:sz w:val="18"/>
                <w:szCs w:val="18"/>
              </w:rPr>
            </w:pPr>
            <w:r w:rsidRPr="00C921DE">
              <w:rPr>
                <w:rFonts w:ascii="GHEA Grapalat" w:hAnsi="GHEA Grapalat" w:cs="Calibri"/>
                <w:sz w:val="18"/>
                <w:szCs w:val="18"/>
              </w:rPr>
              <w:t>Համագործակցություն միջազգային կազմակերպությունների հետ</w:t>
            </w:r>
          </w:p>
        </w:tc>
        <w:tc>
          <w:tcPr>
            <w:tcW w:w="1009" w:type="dxa"/>
            <w:vAlign w:val="bottom"/>
          </w:tcPr>
          <w:p w14:paraId="262F1533"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1,985.2</w:t>
            </w:r>
          </w:p>
        </w:tc>
        <w:tc>
          <w:tcPr>
            <w:tcW w:w="979" w:type="dxa"/>
            <w:vAlign w:val="bottom"/>
          </w:tcPr>
          <w:p w14:paraId="774D097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1,909.5</w:t>
            </w:r>
          </w:p>
        </w:tc>
        <w:tc>
          <w:tcPr>
            <w:tcW w:w="989" w:type="dxa"/>
            <w:vAlign w:val="bottom"/>
          </w:tcPr>
          <w:p w14:paraId="6171D095"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1,892.5</w:t>
            </w:r>
          </w:p>
        </w:tc>
        <w:tc>
          <w:tcPr>
            <w:tcW w:w="1559" w:type="dxa"/>
            <w:vAlign w:val="bottom"/>
          </w:tcPr>
          <w:p w14:paraId="665BCBC1"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99.1</w:t>
            </w:r>
          </w:p>
        </w:tc>
        <w:tc>
          <w:tcPr>
            <w:tcW w:w="992" w:type="dxa"/>
            <w:vAlign w:val="bottom"/>
          </w:tcPr>
          <w:p w14:paraId="6AA48CF8"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95.3</w:t>
            </w:r>
          </w:p>
        </w:tc>
        <w:tc>
          <w:tcPr>
            <w:tcW w:w="1171" w:type="dxa"/>
            <w:vAlign w:val="bottom"/>
          </w:tcPr>
          <w:p w14:paraId="45C0E879"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(92.7)</w:t>
            </w:r>
          </w:p>
        </w:tc>
      </w:tr>
      <w:tr w:rsidR="00B20C0B" w:rsidRPr="00C921DE" w14:paraId="03A7A293" w14:textId="77777777" w:rsidTr="00B134DD">
        <w:trPr>
          <w:trHeight w:val="300"/>
          <w:jc w:val="center"/>
        </w:trPr>
        <w:tc>
          <w:tcPr>
            <w:tcW w:w="3539" w:type="dxa"/>
            <w:vAlign w:val="bottom"/>
          </w:tcPr>
          <w:p w14:paraId="5943FA10" w14:textId="77777777" w:rsidR="00B20C0B" w:rsidRPr="00C921DE" w:rsidRDefault="00B20C0B" w:rsidP="00866CDC">
            <w:pPr>
              <w:rPr>
                <w:rFonts w:ascii="GHEA Grapalat" w:hAnsi="GHEA Grapalat" w:cs="Calibri"/>
                <w:sz w:val="18"/>
                <w:szCs w:val="18"/>
              </w:rPr>
            </w:pPr>
            <w:r w:rsidRPr="00C921DE">
              <w:rPr>
                <w:rFonts w:ascii="GHEA Grapalat" w:hAnsi="GHEA Grapalat" w:cs="Calibri"/>
                <w:sz w:val="18"/>
                <w:szCs w:val="18"/>
              </w:rPr>
              <w:lastRenderedPageBreak/>
              <w:t>Օտարերկրյա պետություններում ՀՀ դիվանագիտական ծառայության մարմինների գործունեության կազմակերպում և իրականացում</w:t>
            </w:r>
          </w:p>
        </w:tc>
        <w:tc>
          <w:tcPr>
            <w:tcW w:w="1009" w:type="dxa"/>
            <w:vAlign w:val="bottom"/>
          </w:tcPr>
          <w:p w14:paraId="1FDD0A63"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12,065.7</w:t>
            </w:r>
          </w:p>
        </w:tc>
        <w:tc>
          <w:tcPr>
            <w:tcW w:w="979" w:type="dxa"/>
            <w:vAlign w:val="bottom"/>
          </w:tcPr>
          <w:p w14:paraId="7DE431E2"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19,656.2</w:t>
            </w:r>
          </w:p>
        </w:tc>
        <w:tc>
          <w:tcPr>
            <w:tcW w:w="989" w:type="dxa"/>
            <w:vAlign w:val="bottom"/>
          </w:tcPr>
          <w:p w14:paraId="365A949A"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19,644.4</w:t>
            </w:r>
          </w:p>
        </w:tc>
        <w:tc>
          <w:tcPr>
            <w:tcW w:w="1559" w:type="dxa"/>
            <w:vAlign w:val="bottom"/>
          </w:tcPr>
          <w:p w14:paraId="4C03A831"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99.9</w:t>
            </w:r>
          </w:p>
        </w:tc>
        <w:tc>
          <w:tcPr>
            <w:tcW w:w="992" w:type="dxa"/>
            <w:vAlign w:val="bottom"/>
          </w:tcPr>
          <w:p w14:paraId="43584E3F"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162.8</w:t>
            </w:r>
          </w:p>
        </w:tc>
        <w:tc>
          <w:tcPr>
            <w:tcW w:w="1171" w:type="dxa"/>
            <w:vAlign w:val="bottom"/>
          </w:tcPr>
          <w:p w14:paraId="2DBE96B0"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7,578.7</w:t>
            </w:r>
          </w:p>
        </w:tc>
      </w:tr>
      <w:tr w:rsidR="00B20C0B" w:rsidRPr="00C921DE" w14:paraId="4C1237CA" w14:textId="77777777" w:rsidTr="00B134DD">
        <w:trPr>
          <w:trHeight w:val="300"/>
          <w:jc w:val="center"/>
        </w:trPr>
        <w:tc>
          <w:tcPr>
            <w:tcW w:w="3539" w:type="dxa"/>
            <w:vAlign w:val="bottom"/>
          </w:tcPr>
          <w:p w14:paraId="5114A390" w14:textId="77777777" w:rsidR="00B20C0B" w:rsidRPr="00C921DE" w:rsidRDefault="00B20C0B" w:rsidP="00866CDC">
            <w:pPr>
              <w:rPr>
                <w:rFonts w:ascii="GHEA Grapalat" w:hAnsi="GHEA Grapalat" w:cs="Calibri"/>
                <w:sz w:val="18"/>
                <w:szCs w:val="18"/>
              </w:rPr>
            </w:pPr>
            <w:r w:rsidRPr="00C921DE">
              <w:rPr>
                <w:rFonts w:ascii="GHEA Grapalat" w:hAnsi="GHEA Grapalat" w:cs="Calibri"/>
                <w:sz w:val="18"/>
                <w:szCs w:val="18"/>
              </w:rPr>
              <w:t>Այլ ծրագրեր</w:t>
            </w:r>
          </w:p>
        </w:tc>
        <w:tc>
          <w:tcPr>
            <w:tcW w:w="1009" w:type="dxa"/>
            <w:vAlign w:val="bottom"/>
          </w:tcPr>
          <w:p w14:paraId="1FD3B411"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lang w:val="en-US"/>
              </w:rPr>
              <w:t>1,</w:t>
            </w:r>
            <w:r w:rsidRPr="00C921DE">
              <w:rPr>
                <w:rFonts w:ascii="GHEA Grapalat" w:hAnsi="GHEA Grapalat" w:cs="Calibri"/>
                <w:sz w:val="18"/>
                <w:szCs w:val="18"/>
              </w:rPr>
              <w:t>0</w:t>
            </w:r>
            <w:r w:rsidRPr="00C921DE">
              <w:rPr>
                <w:rFonts w:ascii="GHEA Grapalat" w:hAnsi="GHEA Grapalat" w:cs="Calibri"/>
                <w:sz w:val="18"/>
                <w:szCs w:val="18"/>
                <w:lang w:val="en-US"/>
              </w:rPr>
              <w:t>91</w:t>
            </w:r>
            <w:r w:rsidRPr="00C921DE">
              <w:rPr>
                <w:rFonts w:ascii="GHEA Grapalat" w:hAnsi="GHEA Grapalat" w:cs="Calibri"/>
                <w:sz w:val="18"/>
                <w:szCs w:val="18"/>
              </w:rPr>
              <w:t>.</w:t>
            </w:r>
            <w:r w:rsidRPr="00C921DE">
              <w:rPr>
                <w:rFonts w:ascii="GHEA Grapalat" w:hAnsi="GHEA Grapalat" w:cs="Calibri"/>
                <w:sz w:val="18"/>
                <w:szCs w:val="18"/>
                <w:lang w:val="en-US"/>
              </w:rPr>
              <w:t>2</w:t>
            </w:r>
            <w:r w:rsidRPr="00C921DE">
              <w:rPr>
                <w:rFonts w:ascii="GHEA Grapalat" w:hAnsi="GHEA Grapalat" w:cs="Calibri"/>
                <w:sz w:val="18"/>
                <w:szCs w:val="18"/>
              </w:rPr>
              <w:t xml:space="preserve"> </w:t>
            </w:r>
          </w:p>
        </w:tc>
        <w:tc>
          <w:tcPr>
            <w:tcW w:w="979" w:type="dxa"/>
            <w:vAlign w:val="bottom"/>
          </w:tcPr>
          <w:p w14:paraId="17AFA11B"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752.9</w:t>
            </w:r>
          </w:p>
        </w:tc>
        <w:tc>
          <w:tcPr>
            <w:tcW w:w="989" w:type="dxa"/>
            <w:vAlign w:val="bottom"/>
          </w:tcPr>
          <w:p w14:paraId="47C453BD"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 xml:space="preserve">711.2 </w:t>
            </w:r>
          </w:p>
        </w:tc>
        <w:tc>
          <w:tcPr>
            <w:tcW w:w="1559" w:type="dxa"/>
            <w:vAlign w:val="bottom"/>
          </w:tcPr>
          <w:p w14:paraId="51CD45B6"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94.5</w:t>
            </w:r>
          </w:p>
        </w:tc>
        <w:tc>
          <w:tcPr>
            <w:tcW w:w="992" w:type="dxa"/>
            <w:vAlign w:val="bottom"/>
          </w:tcPr>
          <w:p w14:paraId="4AF83EF8"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65.2</w:t>
            </w:r>
          </w:p>
        </w:tc>
        <w:tc>
          <w:tcPr>
            <w:tcW w:w="1171" w:type="dxa"/>
            <w:vAlign w:val="bottom"/>
          </w:tcPr>
          <w:p w14:paraId="3094807E"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(380.0)</w:t>
            </w:r>
          </w:p>
        </w:tc>
      </w:tr>
    </w:tbl>
    <w:p w14:paraId="71F32E4D"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p>
    <w:p w14:paraId="19442BB9"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 xml:space="preserve">Արտաքին գործերի ոլորտում Կառավարության քաղաքականության մշակման և իրականացման </w:t>
      </w:r>
      <w:r w:rsidR="00FC79DF" w:rsidRPr="00C921DE">
        <w:rPr>
          <w:rFonts w:ascii="GHEA Grapalat" w:hAnsi="GHEA Grapalat" w:cs="GHEA Grapalat"/>
          <w:sz w:val="22"/>
          <w:szCs w:val="22"/>
          <w:lang w:val="en-US"/>
        </w:rPr>
        <w:t xml:space="preserve">ծրագրի </w:t>
      </w:r>
      <w:r w:rsidRPr="00C921DE">
        <w:rPr>
          <w:rFonts w:ascii="GHEA Grapalat" w:hAnsi="GHEA Grapalat" w:cs="GHEA Grapalat"/>
          <w:sz w:val="22"/>
          <w:szCs w:val="22"/>
        </w:rPr>
        <w:t xml:space="preserve">ծախսերը հաշվետու տարում կազմել են 2.8 մլրդ դրամ կամ նախատեսվածի 98.5%-ը: Շեղումը մասամբ պայմանավորված է </w:t>
      </w:r>
      <w:r w:rsidR="002C1FCE" w:rsidRPr="00C921DE">
        <w:rPr>
          <w:rFonts w:ascii="GHEA Grapalat" w:hAnsi="GHEA Grapalat" w:cs="GHEA Grapalat"/>
          <w:sz w:val="22"/>
          <w:szCs w:val="22"/>
          <w:lang w:val="en-US"/>
        </w:rPr>
        <w:t xml:space="preserve">նրանով, որ </w:t>
      </w:r>
      <w:r w:rsidRPr="00C921DE">
        <w:rPr>
          <w:rFonts w:ascii="GHEA Grapalat" w:hAnsi="GHEA Grapalat" w:cs="GHEA Grapalat"/>
          <w:sz w:val="22"/>
          <w:szCs w:val="22"/>
        </w:rPr>
        <w:t>ՀՀ մուտքի վիզաների, վերադարձի վկայականների և պաշտպանված ձևաթղթերի տպագրության աշխատանքների իրականացման համար նախատեսված 22.8 մլն դրամ</w:t>
      </w:r>
      <w:r w:rsidR="002C1FCE" w:rsidRPr="00C921DE">
        <w:rPr>
          <w:rFonts w:ascii="GHEA Grapalat" w:hAnsi="GHEA Grapalat" w:cs="GHEA Grapalat"/>
          <w:sz w:val="22"/>
          <w:szCs w:val="22"/>
          <w:lang w:val="en-US"/>
        </w:rPr>
        <w:t>ը չի</w:t>
      </w:r>
      <w:r w:rsidRPr="00C921DE">
        <w:rPr>
          <w:rFonts w:ascii="GHEA Grapalat" w:hAnsi="GHEA Grapalat" w:cs="GHEA Grapalat"/>
          <w:sz w:val="22"/>
          <w:szCs w:val="22"/>
        </w:rPr>
        <w:t xml:space="preserve"> օգտագործ</w:t>
      </w:r>
      <w:r w:rsidR="002C1FCE" w:rsidRPr="00C921DE">
        <w:rPr>
          <w:rFonts w:ascii="GHEA Grapalat" w:hAnsi="GHEA Grapalat" w:cs="GHEA Grapalat"/>
          <w:sz w:val="22"/>
          <w:szCs w:val="22"/>
          <w:lang w:val="en-US"/>
        </w:rPr>
        <w:t>վել</w:t>
      </w:r>
      <w:r w:rsidRPr="00C921DE">
        <w:rPr>
          <w:rFonts w:ascii="GHEA Grapalat" w:hAnsi="GHEA Grapalat" w:cs="GHEA Grapalat"/>
          <w:sz w:val="22"/>
          <w:szCs w:val="22"/>
        </w:rPr>
        <w:t xml:space="preserve">՝ պահեստում </w:t>
      </w:r>
      <w:r w:rsidR="002C1FCE" w:rsidRPr="00C921DE">
        <w:rPr>
          <w:rFonts w:ascii="GHEA Grapalat" w:hAnsi="GHEA Grapalat" w:cs="GHEA Grapalat"/>
          <w:sz w:val="22"/>
          <w:szCs w:val="22"/>
          <w:lang w:val="en-US"/>
        </w:rPr>
        <w:t xml:space="preserve">ձևաթղթերի </w:t>
      </w:r>
      <w:r w:rsidRPr="00C921DE">
        <w:rPr>
          <w:rFonts w:ascii="GHEA Grapalat" w:hAnsi="GHEA Grapalat" w:cs="GHEA Grapalat"/>
          <w:sz w:val="22"/>
          <w:szCs w:val="22"/>
        </w:rPr>
        <w:t xml:space="preserve">մնացորդների </w:t>
      </w:r>
      <w:r w:rsidR="002C1FCE" w:rsidRPr="00C921DE">
        <w:rPr>
          <w:rFonts w:ascii="GHEA Grapalat" w:hAnsi="GHEA Grapalat" w:cs="GHEA Grapalat"/>
          <w:sz w:val="22"/>
          <w:szCs w:val="22"/>
          <w:lang w:val="en-US"/>
        </w:rPr>
        <w:t>առկայությամբ պայմանավորված</w:t>
      </w:r>
      <w:r w:rsidRPr="00C921DE">
        <w:rPr>
          <w:rFonts w:ascii="GHEA Grapalat" w:hAnsi="GHEA Grapalat" w:cs="GHEA Grapalat"/>
          <w:sz w:val="22"/>
          <w:szCs w:val="22"/>
        </w:rPr>
        <w:t>: «Կառավարության արտաքին քաղաքականության մշակում և իրագործման ապահովում» միջոցառման շրջանակներում օգտագործվել է 2.7 մլրդ դրամ կամ նախատեսված միջոցների 99.3%-ը: Նախորդ տարվա համեմատ ծրագրի ծախսերում արձանագրվել է 8% (209 մլն դրամ) աճ, որը հիմնականում պայմանավորված է «Կառավարության արտաքին քաղաքականության մշակում և իրագործման ապահովում» միջոցառման ծախսերի 14.1% (335.2 մլն դրամ) աճով, ինչը պայմ</w:t>
      </w:r>
      <w:r w:rsidR="008B0F04" w:rsidRPr="00C921DE">
        <w:rPr>
          <w:rFonts w:ascii="GHEA Grapalat" w:hAnsi="GHEA Grapalat" w:cs="GHEA Grapalat"/>
          <w:sz w:val="22"/>
          <w:szCs w:val="22"/>
          <w:lang w:val="en-US"/>
        </w:rPr>
        <w:t>ա</w:t>
      </w:r>
      <w:r w:rsidRPr="00C921DE">
        <w:rPr>
          <w:rFonts w:ascii="GHEA Grapalat" w:hAnsi="GHEA Grapalat" w:cs="GHEA Grapalat"/>
          <w:sz w:val="22"/>
          <w:szCs w:val="22"/>
        </w:rPr>
        <w:t>նավորված է</w:t>
      </w:r>
      <w:r w:rsidR="006C0518" w:rsidRPr="00C921DE">
        <w:rPr>
          <w:rFonts w:ascii="GHEA Grapalat" w:hAnsi="GHEA Grapalat" w:cs="GHEA Grapalat"/>
          <w:sz w:val="22"/>
          <w:szCs w:val="22"/>
          <w:lang w:val="en-US"/>
        </w:rPr>
        <w:t xml:space="preserve"> ՀՀ</w:t>
      </w:r>
      <w:r w:rsidRPr="00C921DE">
        <w:rPr>
          <w:rFonts w:ascii="GHEA Grapalat" w:hAnsi="GHEA Grapalat" w:cs="GHEA Grapalat"/>
          <w:sz w:val="22"/>
          <w:szCs w:val="22"/>
        </w:rPr>
        <w:t xml:space="preserve"> ԱԳՆ շենքի</w:t>
      </w:r>
      <w:r w:rsidR="009674E8" w:rsidRPr="00C921DE">
        <w:rPr>
          <w:rFonts w:ascii="GHEA Grapalat" w:hAnsi="GHEA Grapalat" w:cs="GHEA Grapalat"/>
          <w:sz w:val="22"/>
          <w:szCs w:val="22"/>
        </w:rPr>
        <w:t xml:space="preserve"> </w:t>
      </w:r>
      <w:r w:rsidRPr="00C921DE">
        <w:rPr>
          <w:rFonts w:ascii="GHEA Grapalat" w:hAnsi="GHEA Grapalat" w:cs="GHEA Grapalat"/>
          <w:sz w:val="22"/>
          <w:szCs w:val="22"/>
        </w:rPr>
        <w:t>արտաքին լուսավորության համակարգի արդիականացման և «Դեպի ծով ելք չունեցող զարգացող երկրների նախարարական հանդիպում» միջոցառման կազմակերպման համար միջոցներ</w:t>
      </w:r>
      <w:r w:rsidR="008B0F04" w:rsidRPr="00C921DE">
        <w:rPr>
          <w:rFonts w:ascii="GHEA Grapalat" w:hAnsi="GHEA Grapalat" w:cs="GHEA Grapalat"/>
          <w:sz w:val="22"/>
          <w:szCs w:val="22"/>
          <w:lang w:val="en-US"/>
        </w:rPr>
        <w:t xml:space="preserve">ի </w:t>
      </w:r>
      <w:r w:rsidR="008B0F04" w:rsidRPr="00C921DE">
        <w:rPr>
          <w:rFonts w:ascii="GHEA Grapalat" w:hAnsi="GHEA Grapalat" w:cs="GHEA Grapalat"/>
          <w:sz w:val="22"/>
          <w:szCs w:val="22"/>
        </w:rPr>
        <w:t>հատկացմամբ</w:t>
      </w:r>
      <w:r w:rsidRPr="00C921DE">
        <w:rPr>
          <w:rFonts w:ascii="GHEA Grapalat" w:hAnsi="GHEA Grapalat" w:cs="GHEA Grapalat"/>
          <w:sz w:val="22"/>
          <w:szCs w:val="22"/>
        </w:rPr>
        <w:t>:</w:t>
      </w:r>
    </w:p>
    <w:p w14:paraId="674E1379"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2023 թվականին շուրջ 1.9 մլրդ դրամ է ուղղվել </w:t>
      </w:r>
      <w:r w:rsidRPr="00C921DE">
        <w:rPr>
          <w:rFonts w:ascii="GHEA Grapalat" w:hAnsi="GHEA Grapalat" w:cs="GHEA Grapalat"/>
          <w:i/>
          <w:sz w:val="22"/>
          <w:szCs w:val="22"/>
        </w:rPr>
        <w:t>Միջազգային կազմակերպությունների հետ համագործակցության</w:t>
      </w:r>
      <w:r w:rsidRPr="00C921DE">
        <w:rPr>
          <w:rFonts w:ascii="GHEA Grapalat" w:hAnsi="GHEA Grapalat" w:cs="GHEA Grapalat"/>
          <w:sz w:val="22"/>
          <w:szCs w:val="22"/>
        </w:rPr>
        <w:t xml:space="preserve"> ծրագրին` 99.1%-ով ապահովելով ծրագրային ցուցանիշը: Ծրագրի շրջանակներում օգտագործված միջոցները հիմնականում ուղղվել են միջազգային կազմակերպություններին ՀՀ անդամակցության վճարներին: Հայաստանը անդամավճար է փոխանցել 98 միջազգային կազմակերպությունների և ծրագրերի/կոնվենցիաների՝ նախատեսված 109-ի դիմաց: «Միջազգային կազմակերպություններին ՀՀ անդամակցության վճարներ» միջոցառման շրջանակներում օգտագործվել է նախատեսված միջոցների 99.2%-ը՝ պայմանավորված կազմակերպությունների </w:t>
      </w:r>
      <w:r w:rsidR="005B47BC" w:rsidRPr="00C921DE">
        <w:rPr>
          <w:rFonts w:ascii="GHEA Grapalat" w:hAnsi="GHEA Grapalat" w:cs="GHEA Grapalat"/>
          <w:sz w:val="22"/>
          <w:szCs w:val="22"/>
          <w:lang w:val="en-US"/>
        </w:rPr>
        <w:t xml:space="preserve">կողմից ներկայացված </w:t>
      </w:r>
      <w:r w:rsidR="005B47BC" w:rsidRPr="00C921DE">
        <w:rPr>
          <w:rFonts w:ascii="GHEA Grapalat" w:hAnsi="GHEA Grapalat" w:cs="GHEA Grapalat"/>
          <w:sz w:val="22"/>
          <w:szCs w:val="22"/>
        </w:rPr>
        <w:t>փաստացի հայտերով</w:t>
      </w:r>
      <w:r w:rsidR="005B47BC" w:rsidRPr="00C921DE">
        <w:rPr>
          <w:rFonts w:ascii="GHEA Grapalat" w:hAnsi="GHEA Grapalat" w:cs="GHEA Grapalat"/>
          <w:sz w:val="22"/>
          <w:szCs w:val="22"/>
          <w:lang w:val="en-US"/>
        </w:rPr>
        <w:t>:</w:t>
      </w:r>
    </w:p>
    <w:p w14:paraId="394DFCCC" w14:textId="3D402129"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2023 թվականին </w:t>
      </w:r>
      <w:r w:rsidRPr="00C921DE">
        <w:rPr>
          <w:rFonts w:ascii="GHEA Grapalat" w:hAnsi="GHEA Grapalat" w:cs="GHEA Grapalat"/>
          <w:i/>
          <w:sz w:val="22"/>
          <w:szCs w:val="22"/>
        </w:rPr>
        <w:t>Օտարերկրյա պետություններում ՀՀ դիվանագիտական ծառայության մարմինների գործունեության կազմակերպման և իրականացման</w:t>
      </w:r>
      <w:r w:rsidRPr="00C921DE">
        <w:rPr>
          <w:rFonts w:ascii="GHEA Grapalat" w:hAnsi="GHEA Grapalat" w:cs="GHEA Grapalat"/>
          <w:sz w:val="22"/>
          <w:szCs w:val="22"/>
        </w:rPr>
        <w:t xml:space="preserve"> ծրագրի շրջանակներում ՀՀ արտաքին գործերի նախարարությ</w:t>
      </w:r>
      <w:r w:rsidR="00325131" w:rsidRPr="00C921DE">
        <w:rPr>
          <w:rFonts w:ascii="GHEA Grapalat" w:hAnsi="GHEA Grapalat" w:cs="GHEA Grapalat"/>
          <w:sz w:val="22"/>
          <w:szCs w:val="22"/>
          <w:lang w:val="en-US"/>
        </w:rPr>
        <w:t>ան կողմից</w:t>
      </w:r>
      <w:r w:rsidRPr="00C921DE">
        <w:rPr>
          <w:rFonts w:ascii="GHEA Grapalat" w:hAnsi="GHEA Grapalat" w:cs="GHEA Grapalat"/>
          <w:sz w:val="22"/>
          <w:szCs w:val="22"/>
        </w:rPr>
        <w:t xml:space="preserve"> դիվանագիտական ծառայության մարմինների (դեսպանություններ, գլխավոր հյուպատոսություններ, միջազգային կազմակերպություններում մշտական ներկայացուցչություններ) միջոցով ապահով</w:t>
      </w:r>
      <w:r w:rsidR="00325131" w:rsidRPr="00C921DE">
        <w:rPr>
          <w:rFonts w:ascii="GHEA Grapalat" w:hAnsi="GHEA Grapalat" w:cs="GHEA Grapalat"/>
          <w:sz w:val="22"/>
          <w:szCs w:val="22"/>
          <w:lang w:val="en-US"/>
        </w:rPr>
        <w:t>վ</w:t>
      </w:r>
      <w:r w:rsidRPr="00C921DE">
        <w:rPr>
          <w:rFonts w:ascii="GHEA Grapalat" w:hAnsi="GHEA Grapalat" w:cs="GHEA Grapalat"/>
          <w:sz w:val="22"/>
          <w:szCs w:val="22"/>
        </w:rPr>
        <w:t>ել է երկկողմ և բազմակողմ արտաքին կապերի պահպանումը, մատուց</w:t>
      </w:r>
      <w:r w:rsidR="00325131" w:rsidRPr="00C921DE">
        <w:rPr>
          <w:rFonts w:ascii="GHEA Grapalat" w:hAnsi="GHEA Grapalat" w:cs="GHEA Grapalat"/>
          <w:sz w:val="22"/>
          <w:szCs w:val="22"/>
          <w:lang w:val="en-US"/>
        </w:rPr>
        <w:t>վ</w:t>
      </w:r>
      <w:r w:rsidR="00325131" w:rsidRPr="00C921DE">
        <w:rPr>
          <w:rFonts w:ascii="GHEA Grapalat" w:hAnsi="GHEA Grapalat" w:cs="GHEA Grapalat"/>
          <w:sz w:val="22"/>
          <w:szCs w:val="22"/>
        </w:rPr>
        <w:t>ել են</w:t>
      </w:r>
      <w:r w:rsidRPr="00C921DE">
        <w:rPr>
          <w:rFonts w:ascii="GHEA Grapalat" w:hAnsi="GHEA Grapalat" w:cs="GHEA Grapalat"/>
          <w:sz w:val="22"/>
          <w:szCs w:val="22"/>
        </w:rPr>
        <w:t xml:space="preserve"> հյուպատոսական ծառայություններ: Հայաստանի Հանրապետությունը դիվանագիտական հարաբերություններ է հաստատել աշխարհի 182 երկրների </w:t>
      </w:r>
      <w:r w:rsidRPr="00C921DE">
        <w:rPr>
          <w:rFonts w:ascii="GHEA Grapalat" w:hAnsi="GHEA Grapalat" w:cs="GHEA Grapalat"/>
          <w:sz w:val="22"/>
          <w:szCs w:val="22"/>
        </w:rPr>
        <w:lastRenderedPageBreak/>
        <w:t xml:space="preserve">հետ, արտերկրում ՀՀ-ն ունի 44 ռեզիդենտ դեսպան, ովքեր հավատարմագրված են ընդհանուր առմամբ 97 երկրում։ </w:t>
      </w:r>
      <w:r w:rsidRPr="00C921DE">
        <w:rPr>
          <w:rFonts w:ascii="GHEA Grapalat" w:hAnsi="GHEA Grapalat" w:cs="GHEA Grapalat"/>
          <w:sz w:val="22"/>
          <w:szCs w:val="22"/>
          <w:lang w:val="fr-FR"/>
        </w:rPr>
        <w:t>202</w:t>
      </w:r>
      <w:r w:rsidRPr="00C921DE">
        <w:rPr>
          <w:rFonts w:ascii="GHEA Grapalat" w:hAnsi="GHEA Grapalat" w:cs="GHEA Grapalat"/>
          <w:sz w:val="22"/>
          <w:szCs w:val="22"/>
        </w:rPr>
        <w:t>3 թվականին մի շարք դիվանագիտական ներկայացուցչություններում կատարվել են վերանորոգումներ, ձեռք են բերվել ծառայողական ավտոմեքենաներ</w:t>
      </w:r>
      <w:r w:rsidRPr="00C921DE">
        <w:rPr>
          <w:rFonts w:ascii="GHEA Grapalat" w:hAnsi="GHEA Grapalat" w:cs="GHEA Grapalat"/>
          <w:sz w:val="22"/>
          <w:szCs w:val="22"/>
          <w:lang w:val="fr-FR"/>
        </w:rPr>
        <w:t xml:space="preserve">, ինչպես նաև </w:t>
      </w:r>
      <w:r w:rsidRPr="00C921DE">
        <w:rPr>
          <w:rFonts w:ascii="GHEA Grapalat" w:hAnsi="GHEA Grapalat" w:cs="GHEA Grapalat"/>
          <w:sz w:val="22"/>
          <w:szCs w:val="22"/>
        </w:rPr>
        <w:t xml:space="preserve">Ուրուգվայում բացվել է ՀՀ դեսպանություն, Լյուքսեմբուրգում՝ գրասենյակ: Ծրագրի շրջանակներում ծախսերը կազմել են 19.6 մլրդ դրամ՝ </w:t>
      </w:r>
      <w:r w:rsidR="00FC79DF" w:rsidRPr="00C921DE">
        <w:rPr>
          <w:rFonts w:ascii="GHEA Grapalat" w:hAnsi="GHEA Grapalat" w:cs="GHEA Grapalat"/>
          <w:sz w:val="22"/>
          <w:szCs w:val="22"/>
          <w:lang w:val="en-US"/>
        </w:rPr>
        <w:t xml:space="preserve">ապահովելով </w:t>
      </w:r>
      <w:r w:rsidRPr="00C921DE">
        <w:rPr>
          <w:rFonts w:ascii="GHEA Grapalat" w:hAnsi="GHEA Grapalat" w:cs="GHEA Grapalat"/>
          <w:sz w:val="22"/>
          <w:szCs w:val="22"/>
        </w:rPr>
        <w:t>99.9% կատարո</w:t>
      </w:r>
      <w:r w:rsidR="00FC79DF" w:rsidRPr="00C921DE">
        <w:rPr>
          <w:rFonts w:ascii="GHEA Grapalat" w:hAnsi="GHEA Grapalat" w:cs="GHEA Grapalat"/>
          <w:sz w:val="22"/>
          <w:szCs w:val="22"/>
          <w:lang w:val="en-US"/>
        </w:rPr>
        <w:t>ղական</w:t>
      </w:r>
      <w:r w:rsidRPr="00C921DE">
        <w:rPr>
          <w:rFonts w:ascii="GHEA Grapalat" w:hAnsi="GHEA Grapalat" w:cs="GHEA Grapalat"/>
          <w:sz w:val="22"/>
          <w:szCs w:val="22"/>
        </w:rPr>
        <w:t xml:space="preserve">: Տարբերությունը պայմանավորված է արտարժույթի կանխատեսված և փաստացի փոխարժեքների տարբերությամբ, ինչպես նաև գործուղման ծախսերի տնտեսմամբ: 2022 թվականի համեմատ ծրագրի ծախսերն աճել են 62.8%-ով կամ շուրջ 7.6 մլրդ դրամով՝ պայմանավորված </w:t>
      </w:r>
      <w:r w:rsidR="00BA5EE4" w:rsidRPr="00C921DE">
        <w:rPr>
          <w:rFonts w:ascii="GHEA Grapalat" w:hAnsi="GHEA Grapalat" w:cs="GHEA Grapalat"/>
          <w:sz w:val="22"/>
          <w:szCs w:val="22"/>
          <w:lang w:val="en-US"/>
        </w:rPr>
        <w:t>2023 թվականին ա</w:t>
      </w:r>
      <w:r w:rsidRPr="00C921DE">
        <w:rPr>
          <w:rFonts w:ascii="GHEA Grapalat" w:hAnsi="GHEA Grapalat" w:cs="GHEA Grapalat"/>
          <w:sz w:val="22"/>
          <w:szCs w:val="22"/>
        </w:rPr>
        <w:t>րտերկրում ՀՀ դեսպանությունների շենքային պայմանների ապահովման միջոցառման շրջանակներում 8.5 մլրդ դրամ</w:t>
      </w:r>
      <w:r w:rsidR="00BA5EE4" w:rsidRPr="00C921DE">
        <w:rPr>
          <w:rFonts w:ascii="GHEA Grapalat" w:hAnsi="GHEA Grapalat" w:cs="GHEA Grapalat"/>
          <w:sz w:val="22"/>
          <w:szCs w:val="22"/>
          <w:lang w:val="en-US"/>
        </w:rPr>
        <w:t>ի</w:t>
      </w:r>
      <w:r w:rsidR="00BA5EE4" w:rsidRPr="00C921DE">
        <w:rPr>
          <w:rFonts w:ascii="GHEA Grapalat" w:hAnsi="GHEA Grapalat" w:cs="GHEA Grapalat"/>
          <w:sz w:val="22"/>
          <w:szCs w:val="22"/>
        </w:rPr>
        <w:t xml:space="preserve"> հատկաց</w:t>
      </w:r>
      <w:r w:rsidR="00BA5EE4" w:rsidRPr="00C921DE">
        <w:rPr>
          <w:rFonts w:ascii="GHEA Grapalat" w:hAnsi="GHEA Grapalat" w:cs="GHEA Grapalat"/>
          <w:sz w:val="22"/>
          <w:szCs w:val="22"/>
          <w:lang w:val="en-US"/>
        </w:rPr>
        <w:t>մամբ</w:t>
      </w:r>
      <w:r w:rsidRPr="00C921DE">
        <w:rPr>
          <w:rFonts w:ascii="GHEA Grapalat" w:hAnsi="GHEA Grapalat" w:cs="GHEA Grapalat"/>
          <w:sz w:val="22"/>
          <w:szCs w:val="22"/>
        </w:rPr>
        <w:t>:</w:t>
      </w:r>
      <w:r w:rsidR="00573D49" w:rsidRPr="00C921DE">
        <w:rPr>
          <w:rFonts w:ascii="GHEA Grapalat" w:hAnsi="GHEA Grapalat" w:cs="GHEA Grapalat"/>
          <w:sz w:val="22"/>
          <w:szCs w:val="22"/>
          <w:lang w:val="en-US"/>
        </w:rPr>
        <w:t xml:space="preserve"> Միջոցներն ուղղվել են </w:t>
      </w:r>
      <w:r w:rsidR="00573D49" w:rsidRPr="00C921DE">
        <w:rPr>
          <w:rFonts w:ascii="GHEA Grapalat" w:hAnsi="GHEA Grapalat" w:cs="GHEA Grapalat"/>
          <w:sz w:val="22"/>
          <w:szCs w:val="22"/>
        </w:rPr>
        <w:t>Միացյալ Թագավորությունում</w:t>
      </w:r>
      <w:r w:rsidRPr="00C921DE">
        <w:rPr>
          <w:rFonts w:ascii="GHEA Grapalat" w:hAnsi="GHEA Grapalat" w:cs="Times Armenian"/>
          <w:noProof w:val="0"/>
          <w:sz w:val="22"/>
          <w:szCs w:val="22"/>
          <w:lang w:eastAsia="ru-RU"/>
        </w:rPr>
        <w:t xml:space="preserve"> </w:t>
      </w:r>
      <w:r w:rsidR="00573D49" w:rsidRPr="00C921DE">
        <w:rPr>
          <w:rFonts w:ascii="GHEA Grapalat" w:hAnsi="GHEA Grapalat" w:cs="Times Armenian"/>
          <w:noProof w:val="0"/>
          <w:sz w:val="22"/>
          <w:szCs w:val="22"/>
          <w:lang w:val="en-US" w:eastAsia="ru-RU"/>
        </w:rPr>
        <w:t>ՀՀ դեսպանության հ</w:t>
      </w:r>
      <w:r w:rsidR="00A608F2" w:rsidRPr="00C921DE">
        <w:rPr>
          <w:rFonts w:ascii="GHEA Grapalat" w:hAnsi="GHEA Grapalat" w:cs="Times Armenian"/>
          <w:noProof w:val="0"/>
          <w:sz w:val="22"/>
          <w:szCs w:val="22"/>
          <w:lang w:val="en-US" w:eastAsia="ru-RU"/>
        </w:rPr>
        <w:t>ա</w:t>
      </w:r>
      <w:r w:rsidR="00573D49" w:rsidRPr="00C921DE">
        <w:rPr>
          <w:rFonts w:ascii="GHEA Grapalat" w:hAnsi="GHEA Grapalat" w:cs="Times Armenian"/>
          <w:noProof w:val="0"/>
          <w:sz w:val="22"/>
          <w:szCs w:val="22"/>
          <w:lang w:val="en-US" w:eastAsia="ru-RU"/>
        </w:rPr>
        <w:t xml:space="preserve">մար շենքի ձեռքբերմանը: </w:t>
      </w:r>
      <w:r w:rsidRPr="00C921DE">
        <w:rPr>
          <w:rFonts w:ascii="GHEA Grapalat" w:hAnsi="GHEA Grapalat" w:cs="GHEA Grapalat"/>
          <w:sz w:val="22"/>
          <w:szCs w:val="22"/>
        </w:rPr>
        <w:t>Միացյալ Թագավորությունում ՀՀ դեսպանությունը 1992 թվականից ի վեր տեղակայված էր Լոնդոնի Հայ տան կողմից տրամադրված շենքում, որը դեսպանությանը տեղեկացրել է 2024 թվականին</w:t>
      </w:r>
      <w:r w:rsidR="009674E8" w:rsidRPr="00C921DE">
        <w:rPr>
          <w:rFonts w:ascii="GHEA Grapalat" w:hAnsi="GHEA Grapalat" w:cs="GHEA Grapalat"/>
          <w:sz w:val="22"/>
          <w:szCs w:val="22"/>
        </w:rPr>
        <w:t xml:space="preserve"> </w:t>
      </w:r>
      <w:r w:rsidR="00E21B1F" w:rsidRPr="00C921DE">
        <w:rPr>
          <w:rFonts w:ascii="GHEA Grapalat" w:hAnsi="GHEA Grapalat" w:cs="GHEA Grapalat"/>
          <w:sz w:val="22"/>
          <w:szCs w:val="22"/>
        </w:rPr>
        <w:t>տարածքն</w:t>
      </w:r>
      <w:r w:rsidRPr="00C921DE">
        <w:rPr>
          <w:rFonts w:ascii="GHEA Grapalat" w:hAnsi="GHEA Grapalat" w:cs="GHEA Grapalat"/>
          <w:sz w:val="22"/>
          <w:szCs w:val="22"/>
        </w:rPr>
        <w:t xml:space="preserve"> ազատելու անհրաժեշտության մասին:</w:t>
      </w:r>
    </w:p>
    <w:p w14:paraId="7FE7F0E7"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2023 թվականին ՀՀ արտաքին գործերի նախարարության պատասխանատվությամբ իրականացվող այլ ծրագրերին տրամադրված 711.2 մլն դրամից 381.4 մլն դրամն ուղղվել է </w:t>
      </w:r>
      <w:r w:rsidRPr="00C921DE">
        <w:rPr>
          <w:rFonts w:ascii="GHEA Grapalat" w:hAnsi="GHEA Grapalat" w:cs="GHEA Grapalat"/>
          <w:i/>
          <w:sz w:val="22"/>
          <w:szCs w:val="22"/>
        </w:rPr>
        <w:t>Հայաստանի Հանրապետությունում և օտարերկրյա պետություններում արարողակարգային միջոցառումների իրականացման</w:t>
      </w:r>
      <w:r w:rsidRPr="00C921DE">
        <w:rPr>
          <w:rFonts w:ascii="GHEA Grapalat" w:hAnsi="GHEA Grapalat" w:cs="GHEA Grapalat"/>
          <w:sz w:val="22"/>
          <w:szCs w:val="22"/>
        </w:rPr>
        <w:t xml:space="preserve"> ծրագրին՝ </w:t>
      </w:r>
      <w:r w:rsidR="006F671A" w:rsidRPr="00C921DE">
        <w:rPr>
          <w:rFonts w:ascii="GHEA Grapalat" w:hAnsi="GHEA Grapalat" w:cs="GHEA Grapalat"/>
          <w:sz w:val="22"/>
          <w:szCs w:val="22"/>
          <w:lang w:val="en-US"/>
        </w:rPr>
        <w:t>ապահովելով</w:t>
      </w:r>
      <w:r w:rsidRPr="00C921DE">
        <w:rPr>
          <w:rFonts w:ascii="GHEA Grapalat" w:hAnsi="GHEA Grapalat" w:cs="GHEA Grapalat"/>
          <w:sz w:val="22"/>
          <w:szCs w:val="22"/>
        </w:rPr>
        <w:t xml:space="preserve"> 90.2%</w:t>
      </w:r>
      <w:r w:rsidR="006F671A" w:rsidRPr="00C921DE">
        <w:rPr>
          <w:rFonts w:ascii="GHEA Grapalat" w:hAnsi="GHEA Grapalat" w:cs="GHEA Grapalat"/>
          <w:sz w:val="22"/>
          <w:szCs w:val="22"/>
          <w:lang w:val="en-US"/>
        </w:rPr>
        <w:t xml:space="preserve"> կատարողական</w:t>
      </w:r>
      <w:r w:rsidRPr="00C921DE">
        <w:rPr>
          <w:rFonts w:ascii="GHEA Grapalat" w:hAnsi="GHEA Grapalat" w:cs="GHEA Grapalat"/>
          <w:sz w:val="22"/>
          <w:szCs w:val="22"/>
        </w:rPr>
        <w:t>: Շեղումն առաջացել է Հայաստանի Հանրապետությունում և օտարերկրյա պետություններում արարողակարգային միջոցառումների իրականացման ծախսերում, որոնք կազմել են 176.4 մլն դրամ՝ 80.9%-ով ապահովելով ծրագրային ցուցանիշը՝ պայմանավորված թափուր հաստիքների առկայության արդյունքում աշխատավարձերի և հավելավճարների</w:t>
      </w:r>
      <w:r w:rsidR="00C62824" w:rsidRPr="00C921DE">
        <w:rPr>
          <w:rFonts w:ascii="GHEA Grapalat" w:hAnsi="GHEA Grapalat" w:cs="GHEA Grapalat"/>
          <w:sz w:val="22"/>
          <w:szCs w:val="22"/>
          <w:lang w:val="en-US"/>
        </w:rPr>
        <w:t xml:space="preserve"> համար նախատեսված միջոցների</w:t>
      </w:r>
      <w:r w:rsidRPr="00C921DE">
        <w:rPr>
          <w:rFonts w:ascii="GHEA Grapalat" w:hAnsi="GHEA Grapalat" w:cs="GHEA Grapalat"/>
          <w:sz w:val="22"/>
          <w:szCs w:val="22"/>
        </w:rPr>
        <w:t xml:space="preserve"> տնտեսմամբ, ինչպես նաև արտասահմանյան պաշտոնական գործուղումների մի մասի հետաձգմամբ։ Նախորդ տարվա համեմատ ծրագրի ծախսերը նվազել են 21.9%-ով (107.3 մլն դրամով), որը հիմնականում պայմանավորված է արտասահմանյան պատվիրակությունների ընդունելությունների գծով ծախսերի 31.3% (93.2 մլն դրամ) նվազմամբ, որոնք կատարվել են նախատեսված ծավալով</w:t>
      </w:r>
      <w:r w:rsidR="00E40148" w:rsidRPr="00C921DE">
        <w:rPr>
          <w:rFonts w:ascii="GHEA Grapalat" w:hAnsi="GHEA Grapalat" w:cs="GHEA Grapalat"/>
          <w:sz w:val="22"/>
          <w:szCs w:val="22"/>
          <w:lang w:val="en-US"/>
        </w:rPr>
        <w:t xml:space="preserve"> և </w:t>
      </w:r>
      <w:r w:rsidR="00E40148" w:rsidRPr="00C921DE">
        <w:rPr>
          <w:rFonts w:ascii="GHEA Grapalat" w:hAnsi="GHEA Grapalat" w:cs="GHEA Grapalat"/>
          <w:sz w:val="22"/>
          <w:szCs w:val="22"/>
        </w:rPr>
        <w:t>կազմել են 205 մլն դրամ</w:t>
      </w:r>
      <w:r w:rsidR="00E40148" w:rsidRPr="00C921DE">
        <w:rPr>
          <w:rFonts w:ascii="GHEA Grapalat" w:hAnsi="GHEA Grapalat" w:cs="GHEA Grapalat"/>
          <w:sz w:val="22"/>
          <w:szCs w:val="22"/>
          <w:lang w:val="en-US"/>
        </w:rPr>
        <w:t>:</w:t>
      </w:r>
    </w:p>
    <w:p w14:paraId="4476BFF2"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2023 թվականի ընթացքում ՀՀ արտաքին գործերի նախարարության արտաբյուջետային միջոցներից, որոնք գոյանում են ՀՀ ոչ ռեզիդենտ իրավաբանական կամ ֆիզիկական անձանց կողմից օտարերկրյա պետություններում գործող ՀՀ դիվանագիտական ծառայության մարմիններին կատարվող նվիրաբերություններից, 143.7 մլն դրամ հատկացվել է </w:t>
      </w:r>
      <w:r w:rsidRPr="00C921DE">
        <w:rPr>
          <w:rFonts w:ascii="GHEA Grapalat" w:hAnsi="GHEA Grapalat" w:cs="GHEA Grapalat"/>
          <w:i/>
          <w:sz w:val="22"/>
          <w:szCs w:val="22"/>
        </w:rPr>
        <w:t>Օտարերկրյա պետություններում ՀՀ դիվանագիտական ծառայության կազմակերպմանը և իրականացմանն աջակցության</w:t>
      </w:r>
      <w:r w:rsidRPr="00C921DE">
        <w:rPr>
          <w:rFonts w:ascii="GHEA Grapalat" w:hAnsi="GHEA Grapalat" w:cs="GHEA Grapalat"/>
          <w:sz w:val="22"/>
          <w:szCs w:val="22"/>
        </w:rPr>
        <w:t xml:space="preserve"> ծրագրին, </w:t>
      </w:r>
      <w:r w:rsidRPr="00C921DE">
        <w:rPr>
          <w:rFonts w:ascii="GHEA Grapalat" w:hAnsi="GHEA Grapalat" w:cs="GHEA Grapalat"/>
          <w:sz w:val="22"/>
          <w:szCs w:val="22"/>
        </w:rPr>
        <w:lastRenderedPageBreak/>
        <w:t>որն օգտագործվել է ողջ ծավալով: Նախորդ տարվա համեմատ տվյալ ծրագրի ծախսերը նվազել են 62%-ով կամ 234.2 մլն դրամով՝ պայմանավորված կատարված նվիրաբերությունների ծավալով:</w:t>
      </w:r>
    </w:p>
    <w:p w14:paraId="1AAE784A" w14:textId="77777777" w:rsidR="00C56BD7" w:rsidRPr="00C921DE" w:rsidRDefault="00C56BD7" w:rsidP="00C56BD7">
      <w:pPr>
        <w:autoSpaceDE w:val="0"/>
        <w:autoSpaceDN w:val="0"/>
        <w:adjustRightInd w:val="0"/>
        <w:spacing w:line="360" w:lineRule="auto"/>
        <w:ind w:firstLine="567"/>
        <w:jc w:val="both"/>
        <w:rPr>
          <w:rFonts w:ascii="GHEA Grapalat" w:hAnsi="GHEA Grapalat" w:cs="GHEA Grapalat"/>
          <w:sz w:val="22"/>
          <w:szCs w:val="22"/>
        </w:rPr>
      </w:pPr>
    </w:p>
    <w:p w14:paraId="32497A09" w14:textId="77777777" w:rsidR="00B20C0B" w:rsidRPr="00C921DE" w:rsidRDefault="00C56BD7"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շրջակա միջավայրի նախարարության</w:t>
      </w:r>
      <w:r w:rsidRPr="00C921DE">
        <w:rPr>
          <w:rFonts w:ascii="GHEA Grapalat" w:hAnsi="GHEA Grapalat" w:cs="GHEA Grapalat"/>
          <w:sz w:val="22"/>
          <w:szCs w:val="22"/>
        </w:rPr>
        <w:t xml:space="preserve"> </w:t>
      </w:r>
      <w:r w:rsidR="00B20C0B" w:rsidRPr="00C921DE">
        <w:rPr>
          <w:rFonts w:ascii="GHEA Grapalat" w:hAnsi="GHEA Grapalat" w:cs="GHEA Grapalat"/>
          <w:sz w:val="22"/>
          <w:szCs w:val="22"/>
        </w:rPr>
        <w:t xml:space="preserve">պատասխանատվությամբ 2023 թվականի ընթացքում կատարվել է պետական բյուջեի 6 ծրագիր, որոնց գծով ծախսերը կազմել են </w:t>
      </w:r>
      <w:r w:rsidR="00047821" w:rsidRPr="00C921DE">
        <w:rPr>
          <w:rFonts w:ascii="GHEA Grapalat" w:hAnsi="GHEA Grapalat" w:cs="GHEA Grapalat"/>
          <w:sz w:val="22"/>
          <w:szCs w:val="22"/>
        </w:rPr>
        <w:t>ավելի քան 9</w:t>
      </w:r>
      <w:r w:rsidR="00047821" w:rsidRPr="00C921DE">
        <w:rPr>
          <w:rFonts w:ascii="Calibri" w:hAnsi="Calibri" w:cs="Calibri"/>
          <w:sz w:val="22"/>
          <w:szCs w:val="22"/>
          <w:lang w:val="en-US"/>
        </w:rPr>
        <w:t> </w:t>
      </w:r>
      <w:r w:rsidR="00B20C0B" w:rsidRPr="00C921DE">
        <w:rPr>
          <w:rFonts w:ascii="GHEA Grapalat" w:hAnsi="GHEA Grapalat" w:cs="GHEA Grapalat"/>
          <w:sz w:val="22"/>
          <w:szCs w:val="22"/>
        </w:rPr>
        <w:t xml:space="preserve">մլրդ դրամ կամ նախատեսվածի 85%-ը: Շեղումը հիմնականում պայմանավորված է նախարարության ծախսերում մեծ տեսակարար կշիռ ունեցող՝ Բնական պաշարների և բնության հատուկ պահպանվող տարածքների կառավարման և պահպանման </w:t>
      </w:r>
      <w:r w:rsidR="002E6D0A" w:rsidRPr="00C921DE">
        <w:rPr>
          <w:rFonts w:ascii="GHEA Grapalat" w:hAnsi="GHEA Grapalat" w:cs="GHEA Grapalat"/>
          <w:sz w:val="22"/>
          <w:szCs w:val="22"/>
        </w:rPr>
        <w:t>ծրագր</w:t>
      </w:r>
      <w:r w:rsidR="00B20C0B" w:rsidRPr="00C921DE">
        <w:rPr>
          <w:rFonts w:ascii="GHEA Grapalat" w:hAnsi="GHEA Grapalat" w:cs="GHEA Grapalat"/>
          <w:sz w:val="22"/>
          <w:szCs w:val="22"/>
        </w:rPr>
        <w:t>ի կատարողականով: Նախորդ տարվա համեմատ արձանագրվել է նախարարության պատասխանատվությամբ իրականացվող ծրագրերի շրջանակներում կատարված ծախսերի 23.9% (1.7 մլրդ դրամ) աճ:</w:t>
      </w:r>
    </w:p>
    <w:p w14:paraId="47DB8C3A" w14:textId="77777777" w:rsidR="00B20C0B" w:rsidRPr="00C921DE" w:rsidRDefault="00B20C0B" w:rsidP="00B134DD">
      <w:pPr>
        <w:autoSpaceDE w:val="0"/>
        <w:autoSpaceDN w:val="0"/>
        <w:adjustRightInd w:val="0"/>
        <w:ind w:firstLine="567"/>
        <w:jc w:val="both"/>
        <w:rPr>
          <w:rFonts w:ascii="GHEA Grapalat" w:hAnsi="GHEA Grapalat" w:cs="GHEA Grapalat"/>
          <w:sz w:val="22"/>
          <w:szCs w:val="22"/>
        </w:rPr>
      </w:pPr>
    </w:p>
    <w:p w14:paraId="4C9F688F" w14:textId="77777777" w:rsidR="00B20C0B" w:rsidRPr="00C921DE" w:rsidRDefault="00B20C0B" w:rsidP="00B20C0B">
      <w:pPr>
        <w:keepNext/>
        <w:numPr>
          <w:ilvl w:val="0"/>
          <w:numId w:val="16"/>
        </w:numPr>
        <w:tabs>
          <w:tab w:val="left" w:pos="900"/>
          <w:tab w:val="left" w:pos="1276"/>
        </w:tabs>
        <w:spacing w:before="120" w:after="120"/>
        <w:ind w:left="0" w:firstLine="0"/>
        <w:rPr>
          <w:rFonts w:ascii="GHEA Grapalat" w:hAnsi="GHEA Grapalat"/>
          <w:b/>
          <w:bCs/>
          <w:i/>
          <w:noProof w:val="0"/>
          <w:sz w:val="18"/>
          <w:szCs w:val="18"/>
        </w:rPr>
      </w:pPr>
      <w:r w:rsidRPr="00C921DE">
        <w:rPr>
          <w:rFonts w:ascii="GHEA Grapalat" w:hAnsi="GHEA Grapalat"/>
          <w:b/>
          <w:bCs/>
          <w:i/>
          <w:noProof w:val="0"/>
          <w:sz w:val="18"/>
          <w:szCs w:val="18"/>
        </w:rPr>
        <w:t>2023թ. ՀՀ շրջակա միջավայրի նախարարության կողմից իրականացված ծրագրերը (մլն դրամ)</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0"/>
        <w:gridCol w:w="1275"/>
        <w:gridCol w:w="993"/>
        <w:gridCol w:w="992"/>
        <w:gridCol w:w="1276"/>
        <w:gridCol w:w="1275"/>
        <w:gridCol w:w="1114"/>
      </w:tblGrid>
      <w:tr w:rsidR="00AC5938" w:rsidRPr="00C921DE" w14:paraId="169ED1DA" w14:textId="77777777" w:rsidTr="00866CDC">
        <w:trPr>
          <w:trHeight w:val="300"/>
          <w:jc w:val="center"/>
        </w:trPr>
        <w:tc>
          <w:tcPr>
            <w:tcW w:w="3240" w:type="dxa"/>
            <w:noWrap/>
            <w:vAlign w:val="bottom"/>
          </w:tcPr>
          <w:p w14:paraId="1A7B0779" w14:textId="77777777" w:rsidR="00AC5938" w:rsidRPr="00C921DE" w:rsidRDefault="00AC5938" w:rsidP="00AC5938">
            <w:pPr>
              <w:rPr>
                <w:rFonts w:ascii="GHEA Grapalat" w:hAnsi="GHEA Grapalat" w:cs="Calibri"/>
                <w:sz w:val="18"/>
                <w:szCs w:val="18"/>
              </w:rPr>
            </w:pPr>
          </w:p>
        </w:tc>
        <w:tc>
          <w:tcPr>
            <w:tcW w:w="1275" w:type="dxa"/>
          </w:tcPr>
          <w:p w14:paraId="7CDA7868" w14:textId="77777777"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 xml:space="preserve">2022թ. փաստ </w:t>
            </w:r>
          </w:p>
        </w:tc>
        <w:tc>
          <w:tcPr>
            <w:tcW w:w="993" w:type="dxa"/>
          </w:tcPr>
          <w:p w14:paraId="644A2A9C" w14:textId="6B6966E7"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992" w:type="dxa"/>
            <w:noWrap/>
          </w:tcPr>
          <w:p w14:paraId="0C519431" w14:textId="4C87D6F1"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76" w:type="dxa"/>
          </w:tcPr>
          <w:p w14:paraId="3E63BC2E" w14:textId="4C0919EB"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75" w:type="dxa"/>
          </w:tcPr>
          <w:p w14:paraId="405D8340" w14:textId="326AF79B" w:rsidR="00AC5938" w:rsidRPr="00C921DE" w:rsidRDefault="00AC5938" w:rsidP="00AC5938">
            <w:pPr>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114" w:type="dxa"/>
          </w:tcPr>
          <w:p w14:paraId="5E8104B7" w14:textId="77777777" w:rsidR="00AC5938" w:rsidRPr="00C921DE" w:rsidRDefault="00AC5938" w:rsidP="00AC5938">
            <w:pPr>
              <w:jc w:val="center"/>
              <w:rPr>
                <w:rFonts w:ascii="GHEA Grapalat" w:hAnsi="GHEA Grapalat" w:cs="Calibri"/>
                <w:b/>
                <w:sz w:val="18"/>
                <w:szCs w:val="18"/>
              </w:rPr>
            </w:pPr>
            <w:r w:rsidRPr="00C921DE">
              <w:rPr>
                <w:rFonts w:ascii="GHEA Grapalat" w:hAnsi="GHEA Grapalat" w:cs="Calibri"/>
                <w:b/>
                <w:sz w:val="18"/>
                <w:szCs w:val="18"/>
              </w:rPr>
              <w:t>2023թ. և 2022թ. տարբե-րությունը</w:t>
            </w:r>
          </w:p>
        </w:tc>
      </w:tr>
      <w:tr w:rsidR="00B20C0B" w:rsidRPr="00C921DE" w14:paraId="2B86FEAA" w14:textId="77777777" w:rsidTr="00866CDC">
        <w:trPr>
          <w:trHeight w:val="331"/>
          <w:jc w:val="center"/>
        </w:trPr>
        <w:tc>
          <w:tcPr>
            <w:tcW w:w="3240" w:type="dxa"/>
          </w:tcPr>
          <w:p w14:paraId="65E544DA" w14:textId="77777777" w:rsidR="00B20C0B" w:rsidRPr="00C921DE" w:rsidRDefault="00B20C0B" w:rsidP="00866CDC">
            <w:pPr>
              <w:rPr>
                <w:rFonts w:ascii="GHEA Grapalat" w:hAnsi="GHEA Grapalat" w:cs="Calibri"/>
                <w:b/>
                <w:sz w:val="18"/>
                <w:szCs w:val="18"/>
              </w:rPr>
            </w:pPr>
            <w:r w:rsidRPr="00C921DE">
              <w:rPr>
                <w:rFonts w:ascii="GHEA Grapalat" w:hAnsi="GHEA Grapalat" w:cs="Calibri"/>
                <w:b/>
                <w:sz w:val="18"/>
                <w:szCs w:val="18"/>
              </w:rPr>
              <w:t>ԸՆԴԱՄԵՆԸ</w:t>
            </w:r>
          </w:p>
        </w:tc>
        <w:tc>
          <w:tcPr>
            <w:tcW w:w="1275" w:type="dxa"/>
          </w:tcPr>
          <w:p w14:paraId="278F42ED" w14:textId="77777777" w:rsidR="00B20C0B" w:rsidRPr="00C921DE" w:rsidRDefault="00B20C0B"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7,281.3</w:t>
            </w:r>
          </w:p>
        </w:tc>
        <w:tc>
          <w:tcPr>
            <w:tcW w:w="993" w:type="dxa"/>
          </w:tcPr>
          <w:p w14:paraId="3E074EDF"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10,611.7</w:t>
            </w:r>
          </w:p>
        </w:tc>
        <w:tc>
          <w:tcPr>
            <w:tcW w:w="992" w:type="dxa"/>
          </w:tcPr>
          <w:p w14:paraId="39699382"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9,023.8</w:t>
            </w:r>
          </w:p>
        </w:tc>
        <w:tc>
          <w:tcPr>
            <w:tcW w:w="1276" w:type="dxa"/>
          </w:tcPr>
          <w:p w14:paraId="224CBB8B"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lang w:val="en-US"/>
              </w:rPr>
              <w:t>85.</w:t>
            </w:r>
            <w:r w:rsidRPr="00C921DE">
              <w:rPr>
                <w:rFonts w:ascii="GHEA Grapalat" w:hAnsi="GHEA Grapalat" w:cs="Calibri"/>
                <w:b/>
                <w:sz w:val="18"/>
                <w:szCs w:val="18"/>
              </w:rPr>
              <w:t>0</w:t>
            </w:r>
          </w:p>
        </w:tc>
        <w:tc>
          <w:tcPr>
            <w:tcW w:w="1275" w:type="dxa"/>
          </w:tcPr>
          <w:p w14:paraId="74C38AC0" w14:textId="77777777" w:rsidR="00B20C0B" w:rsidRPr="00C921DE" w:rsidRDefault="00B20C0B" w:rsidP="00866CDC">
            <w:pPr>
              <w:jc w:val="right"/>
              <w:rPr>
                <w:rFonts w:ascii="GHEA Grapalat" w:hAnsi="GHEA Grapalat" w:cs="Calibri"/>
                <w:b/>
                <w:sz w:val="18"/>
                <w:szCs w:val="18"/>
                <w:lang w:val="en-US"/>
              </w:rPr>
            </w:pPr>
            <w:r w:rsidRPr="00C921DE">
              <w:rPr>
                <w:rFonts w:ascii="GHEA Grapalat" w:hAnsi="GHEA Grapalat" w:cs="Calibri"/>
                <w:b/>
                <w:sz w:val="18"/>
                <w:szCs w:val="18"/>
                <w:lang w:val="en-US"/>
              </w:rPr>
              <w:t>1</w:t>
            </w:r>
            <w:r w:rsidRPr="00C921DE">
              <w:rPr>
                <w:rFonts w:ascii="GHEA Grapalat" w:hAnsi="GHEA Grapalat" w:cs="Calibri"/>
                <w:b/>
                <w:sz w:val="18"/>
                <w:szCs w:val="18"/>
              </w:rPr>
              <w:t>23</w:t>
            </w:r>
            <w:r w:rsidRPr="00C921DE">
              <w:rPr>
                <w:rFonts w:ascii="GHEA Grapalat" w:hAnsi="GHEA Grapalat" w:cs="Calibri"/>
                <w:b/>
                <w:sz w:val="18"/>
                <w:szCs w:val="18"/>
                <w:lang w:val="en-US"/>
              </w:rPr>
              <w:t>.9</w:t>
            </w:r>
          </w:p>
        </w:tc>
        <w:tc>
          <w:tcPr>
            <w:tcW w:w="1114" w:type="dxa"/>
          </w:tcPr>
          <w:p w14:paraId="0CAEDDFE" w14:textId="77777777" w:rsidR="00B20C0B" w:rsidRPr="00C921DE" w:rsidRDefault="00B20C0B" w:rsidP="00866CDC">
            <w:pPr>
              <w:jc w:val="right"/>
              <w:rPr>
                <w:rFonts w:ascii="GHEA Grapalat" w:hAnsi="GHEA Grapalat" w:cs="Calibri"/>
                <w:b/>
                <w:sz w:val="18"/>
                <w:szCs w:val="18"/>
              </w:rPr>
            </w:pPr>
            <w:r w:rsidRPr="00C921DE">
              <w:rPr>
                <w:rFonts w:ascii="GHEA Grapalat" w:hAnsi="GHEA Grapalat" w:cs="Calibri"/>
                <w:b/>
                <w:sz w:val="18"/>
                <w:szCs w:val="18"/>
              </w:rPr>
              <w:t>1,742.5</w:t>
            </w:r>
          </w:p>
        </w:tc>
      </w:tr>
      <w:tr w:rsidR="00B20C0B" w:rsidRPr="00C921DE" w14:paraId="5A4A2175" w14:textId="77777777" w:rsidTr="00866CDC">
        <w:trPr>
          <w:trHeight w:val="300"/>
          <w:jc w:val="center"/>
        </w:trPr>
        <w:tc>
          <w:tcPr>
            <w:tcW w:w="3240" w:type="dxa"/>
          </w:tcPr>
          <w:p w14:paraId="74E48BBB" w14:textId="77777777" w:rsidR="00B20C0B" w:rsidRPr="00C921DE" w:rsidRDefault="00B20C0B" w:rsidP="00866CDC">
            <w:pPr>
              <w:rPr>
                <w:rFonts w:ascii="GHEA Grapalat" w:hAnsi="GHEA Grapalat" w:cs="Calibri"/>
                <w:sz w:val="18"/>
                <w:szCs w:val="18"/>
              </w:rPr>
            </w:pPr>
            <w:r w:rsidRPr="00C921DE">
              <w:rPr>
                <w:rFonts w:ascii="GHEA Grapalat" w:hAnsi="GHEA Grapalat" w:cs="Calibri"/>
                <w:sz w:val="18"/>
                <w:szCs w:val="18"/>
              </w:rPr>
              <w:t>Շրջակա միջավայրի վրա ազդեցության գնահատում և մոնիթորինգ</w:t>
            </w:r>
          </w:p>
        </w:tc>
        <w:tc>
          <w:tcPr>
            <w:tcW w:w="1275" w:type="dxa"/>
          </w:tcPr>
          <w:p w14:paraId="7ED18C2D" w14:textId="77777777" w:rsidR="00B20C0B" w:rsidRPr="00C921DE" w:rsidRDefault="00B20C0B" w:rsidP="00866CDC">
            <w:pPr>
              <w:jc w:val="right"/>
              <w:rPr>
                <w:rFonts w:ascii="GHEA Grapalat" w:hAnsi="GHEA Grapalat" w:cs="Calibri"/>
                <w:sz w:val="18"/>
                <w:szCs w:val="18"/>
                <w:lang w:val="en-US"/>
              </w:rPr>
            </w:pPr>
            <w:r w:rsidRPr="00C921DE">
              <w:rPr>
                <w:rFonts w:ascii="GHEA Grapalat" w:hAnsi="GHEA Grapalat" w:cs="Calibri"/>
                <w:sz w:val="18"/>
                <w:szCs w:val="18"/>
                <w:lang w:val="en-US"/>
              </w:rPr>
              <w:t>1,795.1</w:t>
            </w:r>
          </w:p>
        </w:tc>
        <w:tc>
          <w:tcPr>
            <w:tcW w:w="993" w:type="dxa"/>
          </w:tcPr>
          <w:p w14:paraId="47FB954E"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2,227.5</w:t>
            </w:r>
          </w:p>
        </w:tc>
        <w:tc>
          <w:tcPr>
            <w:tcW w:w="992" w:type="dxa"/>
          </w:tcPr>
          <w:p w14:paraId="199BAE06"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lang w:val="en-US"/>
              </w:rPr>
              <w:t>1,</w:t>
            </w:r>
            <w:r w:rsidRPr="00C921DE">
              <w:rPr>
                <w:rFonts w:ascii="GHEA Grapalat" w:hAnsi="GHEA Grapalat" w:cs="Calibri"/>
                <w:sz w:val="18"/>
                <w:szCs w:val="18"/>
              </w:rPr>
              <w:t>999.0</w:t>
            </w:r>
          </w:p>
        </w:tc>
        <w:tc>
          <w:tcPr>
            <w:tcW w:w="1276" w:type="dxa"/>
          </w:tcPr>
          <w:p w14:paraId="046FEA1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89.7</w:t>
            </w:r>
          </w:p>
        </w:tc>
        <w:tc>
          <w:tcPr>
            <w:tcW w:w="1275" w:type="dxa"/>
          </w:tcPr>
          <w:p w14:paraId="5474E40D"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111.4</w:t>
            </w:r>
          </w:p>
        </w:tc>
        <w:tc>
          <w:tcPr>
            <w:tcW w:w="1114" w:type="dxa"/>
          </w:tcPr>
          <w:p w14:paraId="235DA330"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203.9</w:t>
            </w:r>
          </w:p>
        </w:tc>
      </w:tr>
      <w:tr w:rsidR="00B20C0B" w:rsidRPr="00C921DE" w14:paraId="44FAE9B9" w14:textId="77777777" w:rsidTr="00866CDC">
        <w:trPr>
          <w:trHeight w:val="300"/>
          <w:jc w:val="center"/>
        </w:trPr>
        <w:tc>
          <w:tcPr>
            <w:tcW w:w="3240" w:type="dxa"/>
          </w:tcPr>
          <w:p w14:paraId="68F2681B" w14:textId="77777777" w:rsidR="00B20C0B" w:rsidRPr="00C921DE" w:rsidRDefault="00B20C0B" w:rsidP="00866CDC">
            <w:pPr>
              <w:rPr>
                <w:rFonts w:ascii="GHEA Grapalat" w:hAnsi="GHEA Grapalat" w:cs="Calibri"/>
                <w:sz w:val="18"/>
                <w:szCs w:val="18"/>
              </w:rPr>
            </w:pPr>
            <w:r w:rsidRPr="00C921DE">
              <w:rPr>
                <w:rFonts w:ascii="GHEA Grapalat" w:hAnsi="GHEA Grapalat" w:cs="Calibri"/>
                <w:sz w:val="18"/>
                <w:szCs w:val="18"/>
              </w:rPr>
              <w:t>Բնական պաշարների և բնության հատուկ պահպանվող տարածքների կառավարում և պահպանում</w:t>
            </w:r>
          </w:p>
        </w:tc>
        <w:tc>
          <w:tcPr>
            <w:tcW w:w="1275" w:type="dxa"/>
          </w:tcPr>
          <w:p w14:paraId="3690D583"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lang w:val="en-US"/>
              </w:rPr>
              <w:t>1,821.2</w:t>
            </w:r>
            <w:r w:rsidRPr="00C921DE">
              <w:rPr>
                <w:rFonts w:ascii="GHEA Grapalat" w:hAnsi="GHEA Grapalat" w:cs="Calibri"/>
                <w:sz w:val="18"/>
                <w:szCs w:val="18"/>
              </w:rPr>
              <w:t xml:space="preserve"> </w:t>
            </w:r>
          </w:p>
        </w:tc>
        <w:tc>
          <w:tcPr>
            <w:tcW w:w="993" w:type="dxa"/>
          </w:tcPr>
          <w:p w14:paraId="6D5BC62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3,166.3</w:t>
            </w:r>
          </w:p>
        </w:tc>
        <w:tc>
          <w:tcPr>
            <w:tcW w:w="992" w:type="dxa"/>
          </w:tcPr>
          <w:p w14:paraId="74CE800A"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lang w:val="en-US"/>
              </w:rPr>
              <w:t>1,</w:t>
            </w:r>
            <w:r w:rsidRPr="00C921DE">
              <w:rPr>
                <w:rFonts w:ascii="GHEA Grapalat" w:hAnsi="GHEA Grapalat" w:cs="Calibri"/>
                <w:sz w:val="18"/>
                <w:szCs w:val="18"/>
              </w:rPr>
              <w:t xml:space="preserve">928.8 </w:t>
            </w:r>
          </w:p>
        </w:tc>
        <w:tc>
          <w:tcPr>
            <w:tcW w:w="1276" w:type="dxa"/>
          </w:tcPr>
          <w:p w14:paraId="3112FBCA"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60.9</w:t>
            </w:r>
          </w:p>
        </w:tc>
        <w:tc>
          <w:tcPr>
            <w:tcW w:w="1275" w:type="dxa"/>
          </w:tcPr>
          <w:p w14:paraId="40524D79"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105.9</w:t>
            </w:r>
          </w:p>
        </w:tc>
        <w:tc>
          <w:tcPr>
            <w:tcW w:w="1114" w:type="dxa"/>
          </w:tcPr>
          <w:p w14:paraId="3072F3AC"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107.6</w:t>
            </w:r>
          </w:p>
        </w:tc>
      </w:tr>
      <w:tr w:rsidR="00B20C0B" w:rsidRPr="00C921DE" w14:paraId="077C0128" w14:textId="77777777" w:rsidTr="00866CDC">
        <w:trPr>
          <w:trHeight w:val="300"/>
          <w:jc w:val="center"/>
        </w:trPr>
        <w:tc>
          <w:tcPr>
            <w:tcW w:w="3240" w:type="dxa"/>
          </w:tcPr>
          <w:p w14:paraId="68E528AF" w14:textId="77777777" w:rsidR="00B20C0B" w:rsidRPr="00C921DE" w:rsidRDefault="00B20C0B" w:rsidP="00866CDC">
            <w:pPr>
              <w:rPr>
                <w:rFonts w:ascii="GHEA Grapalat" w:hAnsi="GHEA Grapalat" w:cs="Calibri"/>
                <w:sz w:val="18"/>
                <w:szCs w:val="18"/>
                <w:lang w:val="en-US"/>
              </w:rPr>
            </w:pPr>
            <w:r w:rsidRPr="00C921DE">
              <w:rPr>
                <w:rFonts w:ascii="GHEA Grapalat" w:hAnsi="GHEA Grapalat" w:cs="Calibri"/>
                <w:sz w:val="18"/>
                <w:szCs w:val="18"/>
                <w:lang w:val="en-US"/>
              </w:rPr>
              <w:t>Անտառների կառավարում</w:t>
            </w:r>
          </w:p>
        </w:tc>
        <w:tc>
          <w:tcPr>
            <w:tcW w:w="1275" w:type="dxa"/>
          </w:tcPr>
          <w:p w14:paraId="3A56B08B" w14:textId="77777777" w:rsidR="00B20C0B" w:rsidRPr="00C921DE" w:rsidRDefault="00B20C0B" w:rsidP="00866CDC">
            <w:pPr>
              <w:jc w:val="right"/>
              <w:rPr>
                <w:rFonts w:ascii="GHEA Grapalat" w:hAnsi="GHEA Grapalat" w:cs="Calibri"/>
                <w:sz w:val="18"/>
                <w:szCs w:val="18"/>
                <w:lang w:val="en-US"/>
              </w:rPr>
            </w:pPr>
            <w:r w:rsidRPr="00C921DE">
              <w:rPr>
                <w:rFonts w:ascii="GHEA Grapalat" w:hAnsi="GHEA Grapalat" w:cs="Calibri"/>
                <w:sz w:val="18"/>
                <w:szCs w:val="18"/>
                <w:lang w:val="en-US"/>
              </w:rPr>
              <w:t>2,139.7</w:t>
            </w:r>
          </w:p>
        </w:tc>
        <w:tc>
          <w:tcPr>
            <w:tcW w:w="993" w:type="dxa"/>
          </w:tcPr>
          <w:p w14:paraId="2ABF9EB6"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lang w:val="en-US"/>
              </w:rPr>
              <w:t>2</w:t>
            </w:r>
            <w:r w:rsidRPr="00C921DE">
              <w:rPr>
                <w:rFonts w:ascii="GHEA Grapalat" w:hAnsi="GHEA Grapalat" w:cs="Calibri"/>
                <w:sz w:val="18"/>
                <w:szCs w:val="18"/>
              </w:rPr>
              <w:t>,933.3</w:t>
            </w:r>
          </w:p>
        </w:tc>
        <w:tc>
          <w:tcPr>
            <w:tcW w:w="992" w:type="dxa"/>
          </w:tcPr>
          <w:p w14:paraId="14387A45"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lang w:val="en-US"/>
              </w:rPr>
              <w:t>2,</w:t>
            </w:r>
            <w:r w:rsidRPr="00C921DE">
              <w:rPr>
                <w:rFonts w:ascii="GHEA Grapalat" w:hAnsi="GHEA Grapalat" w:cs="Calibri"/>
                <w:sz w:val="18"/>
                <w:szCs w:val="18"/>
              </w:rPr>
              <w:t>931.2</w:t>
            </w:r>
          </w:p>
        </w:tc>
        <w:tc>
          <w:tcPr>
            <w:tcW w:w="1276" w:type="dxa"/>
          </w:tcPr>
          <w:p w14:paraId="55B76DD9"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99.9</w:t>
            </w:r>
          </w:p>
        </w:tc>
        <w:tc>
          <w:tcPr>
            <w:tcW w:w="1275" w:type="dxa"/>
          </w:tcPr>
          <w:p w14:paraId="78FE144A"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137.0</w:t>
            </w:r>
          </w:p>
        </w:tc>
        <w:tc>
          <w:tcPr>
            <w:tcW w:w="1114" w:type="dxa"/>
          </w:tcPr>
          <w:p w14:paraId="465D61C1"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791.5</w:t>
            </w:r>
          </w:p>
        </w:tc>
      </w:tr>
      <w:tr w:rsidR="00B20C0B" w:rsidRPr="00C921DE" w14:paraId="12F144EF" w14:textId="77777777" w:rsidTr="00866CDC">
        <w:trPr>
          <w:trHeight w:val="300"/>
          <w:jc w:val="center"/>
        </w:trPr>
        <w:tc>
          <w:tcPr>
            <w:tcW w:w="3240" w:type="dxa"/>
          </w:tcPr>
          <w:p w14:paraId="3B451F6B" w14:textId="77777777" w:rsidR="00B20C0B" w:rsidRPr="00C921DE" w:rsidRDefault="00B20C0B" w:rsidP="00866CDC">
            <w:pPr>
              <w:rPr>
                <w:rFonts w:ascii="GHEA Grapalat" w:hAnsi="GHEA Grapalat" w:cs="Calibri"/>
                <w:sz w:val="18"/>
                <w:szCs w:val="18"/>
              </w:rPr>
            </w:pPr>
            <w:bookmarkStart w:id="239" w:name="_Hlk95915466"/>
            <w:r w:rsidRPr="00C921DE">
              <w:rPr>
                <w:rFonts w:ascii="GHEA Grapalat" w:hAnsi="GHEA Grapalat" w:cs="Calibri"/>
                <w:sz w:val="18"/>
                <w:szCs w:val="18"/>
              </w:rPr>
              <w:t>Այլ ծրագրեր</w:t>
            </w:r>
          </w:p>
        </w:tc>
        <w:tc>
          <w:tcPr>
            <w:tcW w:w="1275" w:type="dxa"/>
          </w:tcPr>
          <w:p w14:paraId="65D31513" w14:textId="77777777" w:rsidR="00B20C0B" w:rsidRPr="00C921DE" w:rsidRDefault="00B20C0B" w:rsidP="00866CDC">
            <w:pPr>
              <w:jc w:val="right"/>
              <w:rPr>
                <w:rFonts w:ascii="GHEA Grapalat" w:hAnsi="GHEA Grapalat" w:cs="Calibri"/>
                <w:sz w:val="18"/>
                <w:szCs w:val="18"/>
                <w:lang w:val="en-US"/>
              </w:rPr>
            </w:pPr>
            <w:r w:rsidRPr="00C921DE">
              <w:rPr>
                <w:rFonts w:ascii="GHEA Grapalat" w:hAnsi="GHEA Grapalat" w:cs="Calibri"/>
                <w:sz w:val="18"/>
                <w:szCs w:val="18"/>
                <w:lang w:val="en-US"/>
              </w:rPr>
              <w:t>1,525.3</w:t>
            </w:r>
          </w:p>
        </w:tc>
        <w:tc>
          <w:tcPr>
            <w:tcW w:w="993" w:type="dxa"/>
          </w:tcPr>
          <w:p w14:paraId="6DDC657F" w14:textId="77777777" w:rsidR="00B20C0B" w:rsidRPr="00C921DE" w:rsidRDefault="00B20C0B" w:rsidP="00866CDC">
            <w:pPr>
              <w:jc w:val="right"/>
              <w:rPr>
                <w:rFonts w:ascii="GHEA Grapalat" w:hAnsi="GHEA Grapalat" w:cs="Calibri"/>
                <w:sz w:val="18"/>
                <w:szCs w:val="18"/>
                <w:lang w:val="en-US"/>
              </w:rPr>
            </w:pPr>
            <w:r w:rsidRPr="00C921DE">
              <w:rPr>
                <w:rFonts w:ascii="GHEA Grapalat" w:hAnsi="GHEA Grapalat" w:cs="Calibri"/>
                <w:sz w:val="18"/>
                <w:szCs w:val="18"/>
                <w:lang w:val="en-US"/>
              </w:rPr>
              <w:t>2,284.5</w:t>
            </w:r>
          </w:p>
        </w:tc>
        <w:tc>
          <w:tcPr>
            <w:tcW w:w="992" w:type="dxa"/>
          </w:tcPr>
          <w:p w14:paraId="3B2EB30C" w14:textId="77777777" w:rsidR="00B20C0B" w:rsidRPr="00C921DE" w:rsidRDefault="00B20C0B" w:rsidP="00866CDC">
            <w:pPr>
              <w:jc w:val="right"/>
              <w:rPr>
                <w:rFonts w:ascii="GHEA Grapalat" w:hAnsi="GHEA Grapalat" w:cs="Calibri"/>
                <w:sz w:val="18"/>
                <w:szCs w:val="18"/>
                <w:lang w:val="en-US"/>
              </w:rPr>
            </w:pPr>
            <w:r w:rsidRPr="00C921DE">
              <w:rPr>
                <w:rFonts w:ascii="GHEA Grapalat" w:hAnsi="GHEA Grapalat" w:cs="Calibri"/>
                <w:sz w:val="18"/>
                <w:szCs w:val="18"/>
                <w:lang w:val="en-US"/>
              </w:rPr>
              <w:t>2,164.</w:t>
            </w:r>
            <w:r w:rsidR="003265AD" w:rsidRPr="00C921DE">
              <w:rPr>
                <w:rFonts w:ascii="GHEA Grapalat" w:hAnsi="GHEA Grapalat" w:cs="Calibri"/>
                <w:sz w:val="18"/>
                <w:szCs w:val="18"/>
                <w:lang w:val="en-US"/>
              </w:rPr>
              <w:t>7</w:t>
            </w:r>
          </w:p>
        </w:tc>
        <w:tc>
          <w:tcPr>
            <w:tcW w:w="1276" w:type="dxa"/>
          </w:tcPr>
          <w:p w14:paraId="09979B38"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94.8</w:t>
            </w:r>
          </w:p>
        </w:tc>
        <w:tc>
          <w:tcPr>
            <w:tcW w:w="1275" w:type="dxa"/>
          </w:tcPr>
          <w:p w14:paraId="182A6E3D"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141.9</w:t>
            </w:r>
          </w:p>
        </w:tc>
        <w:tc>
          <w:tcPr>
            <w:tcW w:w="1114" w:type="dxa"/>
          </w:tcPr>
          <w:p w14:paraId="2ED3EB29" w14:textId="77777777" w:rsidR="00B20C0B" w:rsidRPr="00C921DE" w:rsidRDefault="00B20C0B" w:rsidP="00866CDC">
            <w:pPr>
              <w:jc w:val="right"/>
              <w:rPr>
                <w:rFonts w:ascii="GHEA Grapalat" w:hAnsi="GHEA Grapalat" w:cs="Calibri"/>
                <w:sz w:val="18"/>
                <w:szCs w:val="18"/>
              </w:rPr>
            </w:pPr>
            <w:r w:rsidRPr="00C921DE">
              <w:rPr>
                <w:rFonts w:ascii="GHEA Grapalat" w:hAnsi="GHEA Grapalat" w:cs="Calibri"/>
                <w:sz w:val="18"/>
                <w:szCs w:val="18"/>
              </w:rPr>
              <w:t>639.5</w:t>
            </w:r>
          </w:p>
        </w:tc>
      </w:tr>
      <w:bookmarkEnd w:id="239"/>
    </w:tbl>
    <w:p w14:paraId="4CEE51C6" w14:textId="77777777" w:rsidR="00B20C0B" w:rsidRPr="00C921DE" w:rsidRDefault="00B20C0B" w:rsidP="00B134DD">
      <w:pPr>
        <w:autoSpaceDE w:val="0"/>
        <w:autoSpaceDN w:val="0"/>
        <w:adjustRightInd w:val="0"/>
        <w:ind w:firstLine="567"/>
        <w:jc w:val="both"/>
        <w:rPr>
          <w:rFonts w:ascii="GHEA Grapalat" w:hAnsi="GHEA Grapalat" w:cs="GHEA Grapalat"/>
          <w:sz w:val="22"/>
          <w:szCs w:val="22"/>
        </w:rPr>
      </w:pPr>
    </w:p>
    <w:p w14:paraId="6DC407AC" w14:textId="77777777" w:rsidR="007C21C4"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Հաշվետու ժամանակահատվածում </w:t>
      </w:r>
      <w:r w:rsidRPr="00C921DE">
        <w:rPr>
          <w:rFonts w:ascii="GHEA Grapalat" w:hAnsi="GHEA Grapalat" w:cs="GHEA Grapalat"/>
          <w:i/>
          <w:sz w:val="22"/>
          <w:szCs w:val="22"/>
        </w:rPr>
        <w:t>Շրջակա միջավայրի վրա ազդեցության գնահատման և մոնիթորինգի</w:t>
      </w:r>
      <w:r w:rsidRPr="00C921DE">
        <w:rPr>
          <w:rFonts w:ascii="GHEA Grapalat" w:hAnsi="GHEA Grapalat" w:cs="GHEA Grapalat"/>
          <w:sz w:val="22"/>
          <w:szCs w:val="22"/>
        </w:rPr>
        <w:t xml:space="preserve"> ծրագրին տրամադրվել է շուրջ 2 մլրդ դրամ, որը կազմել է ծրագրված ցուցանիշի 89.7%</w:t>
      </w:r>
      <w:r w:rsidR="00E664D9" w:rsidRPr="00C921DE">
        <w:rPr>
          <w:rFonts w:ascii="GHEA Grapalat" w:hAnsi="GHEA Grapalat" w:cs="GHEA Grapalat"/>
          <w:sz w:val="22"/>
          <w:szCs w:val="22"/>
        </w:rPr>
        <w:noBreakHyphen/>
      </w:r>
      <w:r w:rsidRPr="00C921DE">
        <w:rPr>
          <w:rFonts w:ascii="GHEA Grapalat" w:hAnsi="GHEA Grapalat" w:cs="GHEA Grapalat"/>
          <w:sz w:val="22"/>
          <w:szCs w:val="22"/>
        </w:rPr>
        <w:t>ը: Շեղումը հիմնականում պայմանավորված է «Անցում էլեկտրական շարժունակությանը Հայաստանում» դրամաշնորհային ծրագրի, Արարատյան դաշտի ապօրինի շահագործվող, ինքնաշատրվանող և բացասական մակարդակով հորերի լուծարման և կոնսերվացման ու «Շենքերի ոլորտում չափողականություն, հաշվետվողականություն և հավաստագրում (ՉՀՀ)» համակարգի ստեղծում և գիտելիքների կառավարում» միջոցառումների կատարողականով:</w:t>
      </w:r>
    </w:p>
    <w:p w14:paraId="14673D29" w14:textId="77777777" w:rsidR="00A93878" w:rsidRPr="00C921DE" w:rsidRDefault="00B20C0B" w:rsidP="00A93878">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Գլոբալ Էկոլոգիական Հիմնադրամի (ԳԷՀ) կողմից ֆինանսավորվող «Անցում էլեկտրական շարժունակությանը Հայաստանում» դրամաշնորհային ծրագրի</w:t>
      </w:r>
      <w:r w:rsidR="000A5430" w:rsidRPr="00C921DE">
        <w:rPr>
          <w:rFonts w:ascii="GHEA Grapalat" w:hAnsi="GHEA Grapalat" w:cs="GHEA Grapalat"/>
          <w:sz w:val="22"/>
          <w:szCs w:val="22"/>
          <w:lang w:val="en-US"/>
        </w:rPr>
        <w:t xml:space="preserve"> պետական կառույցներին </w:t>
      </w:r>
      <w:r w:rsidR="000A5430" w:rsidRPr="00C921DE">
        <w:rPr>
          <w:rFonts w:ascii="GHEA Grapalat" w:hAnsi="GHEA Grapalat" w:cs="GHEA Grapalat"/>
          <w:sz w:val="22"/>
          <w:szCs w:val="22"/>
        </w:rPr>
        <w:t>աջակցության բաղադրիչի</w:t>
      </w:r>
      <w:r w:rsidRPr="00C921DE">
        <w:rPr>
          <w:rFonts w:ascii="GHEA Grapalat" w:hAnsi="GHEA Grapalat" w:cs="GHEA Grapalat"/>
          <w:sz w:val="22"/>
          <w:szCs w:val="22"/>
        </w:rPr>
        <w:t xml:space="preserve"> շրջանակներում նախատեսվում էր </w:t>
      </w:r>
      <w:r w:rsidR="000A5430" w:rsidRPr="00C921DE">
        <w:rPr>
          <w:rFonts w:ascii="GHEA Grapalat" w:hAnsi="GHEA Grapalat" w:cs="GHEA Grapalat"/>
          <w:sz w:val="22"/>
          <w:szCs w:val="22"/>
        </w:rPr>
        <w:t xml:space="preserve">պետական համաֆինանսավորմամբ </w:t>
      </w:r>
      <w:r w:rsidRPr="00C921DE">
        <w:rPr>
          <w:rFonts w:ascii="GHEA Grapalat" w:hAnsi="GHEA Grapalat" w:cs="GHEA Grapalat"/>
          <w:sz w:val="22"/>
          <w:szCs w:val="22"/>
        </w:rPr>
        <w:t xml:space="preserve">ձեռք բերել 28 էլեկտրական մեքենա, սակայն </w:t>
      </w:r>
      <w:r w:rsidR="007C21C4" w:rsidRPr="00C921DE">
        <w:rPr>
          <w:rFonts w:ascii="GHEA Grapalat" w:hAnsi="GHEA Grapalat" w:cs="GHEA Grapalat"/>
          <w:sz w:val="22"/>
          <w:szCs w:val="22"/>
          <w:lang w:val="en-US"/>
        </w:rPr>
        <w:t>ծ</w:t>
      </w:r>
      <w:r w:rsidRPr="00C921DE">
        <w:rPr>
          <w:rFonts w:ascii="GHEA Grapalat" w:hAnsi="GHEA Grapalat" w:cs="GHEA Grapalat"/>
          <w:sz w:val="22"/>
          <w:szCs w:val="22"/>
        </w:rPr>
        <w:t xml:space="preserve">րագրի իրականացման ընթացքում ի հայտ եկան </w:t>
      </w:r>
      <w:r w:rsidRPr="00C921DE">
        <w:rPr>
          <w:rFonts w:ascii="GHEA Grapalat" w:hAnsi="GHEA Grapalat" w:cs="GHEA Grapalat"/>
          <w:sz w:val="22"/>
          <w:szCs w:val="22"/>
        </w:rPr>
        <w:lastRenderedPageBreak/>
        <w:t>չնախատեսված և անհաղթահարելի խոչընդոտներ ծրագրային փաստաթղթով ամրագրված գործողությունների համատեքստում</w:t>
      </w:r>
      <w:r w:rsidR="00BB2053" w:rsidRPr="00C921DE">
        <w:rPr>
          <w:rFonts w:ascii="GHEA Grapalat" w:hAnsi="GHEA Grapalat" w:cs="GHEA Grapalat"/>
          <w:sz w:val="22"/>
          <w:szCs w:val="22"/>
        </w:rPr>
        <w:t>,</w:t>
      </w:r>
      <w:r w:rsidRPr="00C921DE">
        <w:rPr>
          <w:rFonts w:ascii="GHEA Grapalat" w:hAnsi="GHEA Grapalat" w:cs="GHEA Grapalat"/>
          <w:sz w:val="22"/>
          <w:szCs w:val="22"/>
        </w:rPr>
        <w:t xml:space="preserve"> և </w:t>
      </w:r>
      <w:r w:rsidR="00BB2053" w:rsidRPr="00C921DE">
        <w:rPr>
          <w:rFonts w:ascii="GHEA Grapalat" w:hAnsi="GHEA Grapalat" w:cs="GHEA Grapalat"/>
          <w:sz w:val="22"/>
          <w:szCs w:val="22"/>
        </w:rPr>
        <w:t>ծրագրի իրականացումը տեղափոխվեց</w:t>
      </w:r>
      <w:r w:rsidRPr="00C921DE">
        <w:rPr>
          <w:rFonts w:ascii="GHEA Grapalat" w:hAnsi="GHEA Grapalat" w:cs="GHEA Grapalat"/>
          <w:sz w:val="22"/>
          <w:szCs w:val="22"/>
        </w:rPr>
        <w:t xml:space="preserve"> 2024 թվական</w:t>
      </w:r>
      <w:r w:rsidR="00BB2053" w:rsidRPr="00C921DE">
        <w:rPr>
          <w:rFonts w:ascii="GHEA Grapalat" w:hAnsi="GHEA Grapalat" w:cs="GHEA Grapalat"/>
          <w:sz w:val="22"/>
          <w:szCs w:val="22"/>
        </w:rPr>
        <w:t>՝ ԳԷՀ-ի համաֆինանսավորմամբ</w:t>
      </w:r>
      <w:r w:rsidR="00BB2053" w:rsidRPr="00C921DE">
        <w:rPr>
          <w:rFonts w:ascii="GHEA Grapalat" w:hAnsi="GHEA Grapalat" w:cs="GHEA Grapalat"/>
          <w:sz w:val="22"/>
          <w:szCs w:val="22"/>
          <w:lang w:val="en-US"/>
        </w:rPr>
        <w:t>: Ծրագրի</w:t>
      </w:r>
      <w:r w:rsidRPr="00C921DE">
        <w:rPr>
          <w:rFonts w:ascii="GHEA Grapalat" w:hAnsi="GHEA Grapalat" w:cs="GHEA Grapalat"/>
          <w:sz w:val="22"/>
          <w:szCs w:val="22"/>
        </w:rPr>
        <w:t xml:space="preserve"> էլեկտրամոբիլների լիցքավորման կայանների տեղադրման բաղադրիչի շրջանակներում,</w:t>
      </w:r>
      <w:r w:rsidR="009674E8" w:rsidRPr="00C921DE">
        <w:rPr>
          <w:rFonts w:ascii="GHEA Grapalat" w:hAnsi="GHEA Grapalat" w:cs="GHEA Grapalat"/>
          <w:sz w:val="22"/>
          <w:szCs w:val="22"/>
        </w:rPr>
        <w:t xml:space="preserve"> </w:t>
      </w:r>
      <w:r w:rsidRPr="00C921DE">
        <w:rPr>
          <w:rFonts w:ascii="GHEA Grapalat" w:hAnsi="GHEA Grapalat" w:cs="GHEA Grapalat"/>
          <w:sz w:val="22"/>
          <w:szCs w:val="22"/>
        </w:rPr>
        <w:t>դոնոր կազմակերպության կողմից իրականացված ընթացակարգային փոփոխությամբ պայմանավորված, դրամաշնորհային միջոցներից լիցքավորման կայանների համար նախատեսված գումարը</w:t>
      </w:r>
      <w:r w:rsidR="009674E8" w:rsidRPr="00C921DE">
        <w:rPr>
          <w:rFonts w:ascii="GHEA Grapalat" w:hAnsi="GHEA Grapalat" w:cs="GHEA Grapalat"/>
          <w:sz w:val="22"/>
          <w:szCs w:val="22"/>
        </w:rPr>
        <w:t xml:space="preserve"> </w:t>
      </w:r>
      <w:r w:rsidRPr="00C921DE">
        <w:rPr>
          <w:rFonts w:ascii="GHEA Grapalat" w:hAnsi="GHEA Grapalat" w:cs="GHEA Grapalat"/>
          <w:sz w:val="22"/>
          <w:szCs w:val="22"/>
        </w:rPr>
        <w:t>տրամադրվել է մասնավոր կազմակերպությանը՝ 20 լիցքավորման կայան ձեռք բերելու նպատակով։ Արդյունքում ՀՀ պետական բյուջեով նախատեսված մասով ծախսեր չեն իրականացվել։</w:t>
      </w:r>
      <w:r w:rsidR="00A93878" w:rsidRPr="00C921DE">
        <w:rPr>
          <w:rFonts w:ascii="GHEA Grapalat" w:hAnsi="GHEA Grapalat" w:cs="GHEA Grapalat"/>
          <w:sz w:val="22"/>
          <w:szCs w:val="22"/>
        </w:rPr>
        <w:t xml:space="preserve"> Ծրագրի կազմակերպչական աշխատանքների իրականացման բաղադրիչի շրջանակներում ՀՀ մարզերի պետական և մասնավոր կազմակերպությունների 100 ներկայացուցիչների համար</w:t>
      </w:r>
      <w:r w:rsidR="00A93878" w:rsidRPr="00C921DE">
        <w:rPr>
          <w:rFonts w:ascii="GHEA Grapalat" w:hAnsi="GHEA Grapalat" w:cs="GHEA Grapalat"/>
          <w:sz w:val="22"/>
          <w:szCs w:val="22"/>
          <w:lang w:val="en-US"/>
        </w:rPr>
        <w:t xml:space="preserve"> </w:t>
      </w:r>
      <w:r w:rsidR="00A93878" w:rsidRPr="00C921DE">
        <w:rPr>
          <w:rFonts w:ascii="GHEA Grapalat" w:hAnsi="GHEA Grapalat" w:cs="GHEA Grapalat"/>
          <w:sz w:val="22"/>
          <w:szCs w:val="22"/>
        </w:rPr>
        <w:t xml:space="preserve">կազմակերպվել </w:t>
      </w:r>
      <w:r w:rsidR="00A93878" w:rsidRPr="00C921DE">
        <w:rPr>
          <w:rFonts w:ascii="GHEA Grapalat" w:hAnsi="GHEA Grapalat" w:cs="GHEA Grapalat"/>
          <w:sz w:val="22"/>
          <w:szCs w:val="22"/>
          <w:lang w:val="en-US"/>
        </w:rPr>
        <w:t>են</w:t>
      </w:r>
      <w:r w:rsidR="00A93878" w:rsidRPr="00C921DE">
        <w:rPr>
          <w:rFonts w:ascii="GHEA Grapalat" w:hAnsi="GHEA Grapalat" w:cs="GHEA Grapalat"/>
          <w:sz w:val="22"/>
          <w:szCs w:val="22"/>
        </w:rPr>
        <w:t xml:space="preserve"> Էլեկտրական շարժունակության վերաբերյալ վերապատրաստման դասընթացներ, ինչպես նաև միջգերատեսչական աշխատանքային խմբի 2 նիստ։</w:t>
      </w:r>
      <w:r w:rsidR="00F92F85" w:rsidRPr="00C921DE">
        <w:rPr>
          <w:rFonts w:ascii="GHEA Grapalat" w:hAnsi="GHEA Grapalat" w:cs="GHEA Grapalat"/>
          <w:sz w:val="22"/>
          <w:szCs w:val="22"/>
          <w:lang w:val="en-US"/>
        </w:rPr>
        <w:t xml:space="preserve"> </w:t>
      </w:r>
      <w:r w:rsidR="00F92F85" w:rsidRPr="00C921DE">
        <w:rPr>
          <w:rFonts w:ascii="GHEA Grapalat" w:hAnsi="GHEA Grapalat" w:cs="GHEA Grapalat"/>
          <w:sz w:val="22"/>
          <w:szCs w:val="22"/>
        </w:rPr>
        <w:t>Գլոբալ Էկոլոգիական Հիմնադրամի (ԳԷՀ) կողմից ֆինանսավորվող «Անցում էլեկտրական շարժունակությանը Հայաստանում» դրամաշնորհային ծրագրի</w:t>
      </w:r>
      <w:r w:rsidR="00F92F85" w:rsidRPr="00C921DE">
        <w:rPr>
          <w:rFonts w:ascii="GHEA Grapalat" w:hAnsi="GHEA Grapalat" w:cs="GHEA Grapalat"/>
          <w:sz w:val="22"/>
          <w:szCs w:val="22"/>
          <w:lang w:val="en-US"/>
        </w:rPr>
        <w:t xml:space="preserve"> շրջանակներում 2023 թվականին օգտագործվել է նախատեսված միջոցների 30.4%-ը՝ 39.8 մլն դրամ</w:t>
      </w:r>
      <w:r w:rsidR="00BD7F6D" w:rsidRPr="00C921DE">
        <w:rPr>
          <w:rFonts w:ascii="GHEA Grapalat" w:hAnsi="GHEA Grapalat" w:cs="GHEA Grapalat"/>
          <w:sz w:val="22"/>
          <w:szCs w:val="22"/>
          <w:lang w:val="en-US"/>
        </w:rPr>
        <w:t>:</w:t>
      </w:r>
    </w:p>
    <w:p w14:paraId="57A2021E" w14:textId="650ED09D"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«Արարատյան դաշտի ապօրինի շահագործվող, ինքնաշատրվանող և բացասական մակարդակով հորերի լուծարում և կոնսերվացում» միջոցառման շրջանակներում</w:t>
      </w:r>
      <w:r w:rsidR="00604B82" w:rsidRPr="00C921DE">
        <w:rPr>
          <w:rFonts w:ascii="GHEA Grapalat" w:hAnsi="GHEA Grapalat" w:cs="GHEA Grapalat"/>
          <w:sz w:val="22"/>
          <w:szCs w:val="22"/>
          <w:lang w:val="en-US"/>
        </w:rPr>
        <w:t xml:space="preserve"> ՀՀ</w:t>
      </w:r>
      <w:r w:rsidRPr="00C921DE">
        <w:rPr>
          <w:rFonts w:ascii="GHEA Grapalat" w:hAnsi="GHEA Grapalat" w:cs="GHEA Grapalat"/>
          <w:sz w:val="22"/>
          <w:szCs w:val="22"/>
        </w:rPr>
        <w:t xml:space="preserve"> շրջակա միջավայրի նախարարության և «Եդեմ գրուպ» ՍՊԸ-ի միջև 2022 թվականին կնքված պայմանագրով նախատեսված աշխատանքների ոչ լիարժեք կատարման պատճառով նախարարությունը միակողմանի</w:t>
      </w:r>
      <w:r w:rsidR="00BD7F6D" w:rsidRPr="00C921DE">
        <w:rPr>
          <w:rFonts w:ascii="GHEA Grapalat" w:hAnsi="GHEA Grapalat" w:cs="GHEA Grapalat"/>
          <w:sz w:val="22"/>
          <w:szCs w:val="22"/>
          <w:lang w:val="en-US"/>
        </w:rPr>
        <w:t>որեն</w:t>
      </w:r>
      <w:r w:rsidRPr="00C921DE">
        <w:rPr>
          <w:rFonts w:ascii="GHEA Grapalat" w:hAnsi="GHEA Grapalat" w:cs="GHEA Grapalat"/>
          <w:sz w:val="22"/>
          <w:szCs w:val="22"/>
        </w:rPr>
        <w:t xml:space="preserve"> լուծել է պայմանագիրը։ Հարկ է նշել, որ 2023 թվականին կոնսերվացման կամ լուծարման համար ներկայացված է եղել 29 խորքային հոր, որից «Եդեմ գրուպ» ՍՊԸ-ի կողմից 3-ը կոնսերվացվել է, 3-ը</w:t>
      </w:r>
      <w:r w:rsidR="00604B82"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լուծարվել։ </w:t>
      </w:r>
      <w:r w:rsidR="00604B82" w:rsidRPr="00C921DE">
        <w:rPr>
          <w:rFonts w:ascii="GHEA Grapalat" w:hAnsi="GHEA Grapalat" w:cs="GHEA Grapalat"/>
          <w:sz w:val="22"/>
          <w:szCs w:val="22"/>
          <w:lang w:val="en-US"/>
        </w:rPr>
        <w:t>2023 թվականին օգտագործվել է միջոցառմանը հատկացված միջոցների 8.1%-ը՝ 5.6 մլն դրամ:</w:t>
      </w:r>
    </w:p>
    <w:p w14:paraId="7D3829E3"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«Շենքերի ոլորտում չափողականություն, հաշվետվողականություն և հավաստագրում (ՉՀՀ)» համակարգի ստեղծում և գիտելիքների կառավարում» միջոցառման շրջանակներում</w:t>
      </w:r>
      <w:r w:rsidR="000834F5" w:rsidRPr="00C921DE">
        <w:rPr>
          <w:rFonts w:ascii="GHEA Grapalat" w:hAnsi="GHEA Grapalat" w:cs="GHEA Grapalat"/>
          <w:sz w:val="22"/>
          <w:szCs w:val="22"/>
        </w:rPr>
        <w:t xml:space="preserve"> 20 շահառուների համար կազմակերպվել են </w:t>
      </w:r>
      <w:r w:rsidR="000834F5" w:rsidRPr="00C921DE">
        <w:rPr>
          <w:rFonts w:ascii="GHEA Grapalat" w:hAnsi="GHEA Grapalat" w:cs="GHEA Grapalat"/>
          <w:sz w:val="22"/>
          <w:szCs w:val="22"/>
          <w:lang w:val="en-US"/>
        </w:rPr>
        <w:t>է</w:t>
      </w:r>
      <w:r w:rsidR="000834F5" w:rsidRPr="00C921DE">
        <w:rPr>
          <w:rFonts w:ascii="GHEA Grapalat" w:hAnsi="GHEA Grapalat" w:cs="GHEA Grapalat"/>
          <w:sz w:val="22"/>
          <w:szCs w:val="22"/>
        </w:rPr>
        <w:t>ներգախնայողության գնահատման համակարգի կիրառման վերաբերյալ դասընթացներ։ Մշակվել է շենքերի էներգախնայողության գնահատման, հավաստագրման և էներգախնայողության համակարգի ներդրման արդյունավետության մշտադիտարկման իրականացման մեթոդաբանություն։</w:t>
      </w:r>
      <w:r w:rsidR="000300F4" w:rsidRPr="00C921DE">
        <w:rPr>
          <w:rFonts w:ascii="GHEA Grapalat" w:hAnsi="GHEA Grapalat" w:cs="GHEA Grapalat"/>
          <w:sz w:val="22"/>
          <w:szCs w:val="22"/>
          <w:lang w:val="en-US"/>
        </w:rPr>
        <w:t xml:space="preserve"> 2023 թվականին օգտագործվել է միջոցառմանը հատկացված միջոցների 30.7%-ը՝ 26.2 մլն դրամ, քանի որ 2023 թվականի</w:t>
      </w:r>
      <w:r w:rsidRPr="00C921DE">
        <w:rPr>
          <w:rFonts w:ascii="GHEA Grapalat" w:hAnsi="GHEA Grapalat" w:cs="GHEA Grapalat"/>
          <w:sz w:val="22"/>
          <w:szCs w:val="22"/>
        </w:rPr>
        <w:t xml:space="preserve"> փետրվարից մինչև հոկտեմբեր դոնորի կողմից ֆինանսավորում չի իրականացվել՝ պայմանավորված </w:t>
      </w:r>
      <w:r w:rsidR="00EC7D9C" w:rsidRPr="00C921DE">
        <w:rPr>
          <w:rFonts w:ascii="GHEA Grapalat" w:hAnsi="GHEA Grapalat" w:cs="GHEA Grapalat"/>
          <w:sz w:val="22"/>
          <w:szCs w:val="22"/>
          <w:lang w:val="en-US"/>
        </w:rPr>
        <w:t>ծ</w:t>
      </w:r>
      <w:r w:rsidRPr="00C921DE">
        <w:rPr>
          <w:rFonts w:ascii="GHEA Grapalat" w:hAnsi="GHEA Grapalat" w:cs="GHEA Grapalat"/>
          <w:sz w:val="22"/>
          <w:szCs w:val="22"/>
        </w:rPr>
        <w:t>րագ</w:t>
      </w:r>
      <w:r w:rsidR="00EC7D9C" w:rsidRPr="00C921DE">
        <w:rPr>
          <w:rFonts w:ascii="GHEA Grapalat" w:hAnsi="GHEA Grapalat" w:cs="GHEA Grapalat"/>
          <w:sz w:val="22"/>
          <w:szCs w:val="22"/>
          <w:lang w:val="en-US"/>
        </w:rPr>
        <w:t>րի</w:t>
      </w:r>
      <w:r w:rsidRPr="00C921DE">
        <w:rPr>
          <w:rFonts w:ascii="GHEA Grapalat" w:hAnsi="GHEA Grapalat" w:cs="GHEA Grapalat"/>
          <w:sz w:val="22"/>
          <w:szCs w:val="22"/>
        </w:rPr>
        <w:t xml:space="preserve"> երկարաձգ</w:t>
      </w:r>
      <w:r w:rsidR="00EC7D9C" w:rsidRPr="00C921DE">
        <w:rPr>
          <w:rFonts w:ascii="GHEA Grapalat" w:hAnsi="GHEA Grapalat" w:cs="GHEA Grapalat"/>
          <w:sz w:val="22"/>
          <w:szCs w:val="22"/>
          <w:lang w:val="en-US"/>
        </w:rPr>
        <w:t>մամբ</w:t>
      </w:r>
      <w:r w:rsidRPr="00C921DE">
        <w:rPr>
          <w:rFonts w:ascii="GHEA Grapalat" w:hAnsi="GHEA Grapalat" w:cs="GHEA Grapalat"/>
          <w:sz w:val="22"/>
          <w:szCs w:val="22"/>
        </w:rPr>
        <w:t xml:space="preserve"> մինչև 2026 թվական</w:t>
      </w:r>
      <w:r w:rsidR="000300F4" w:rsidRPr="00C921DE">
        <w:rPr>
          <w:rFonts w:ascii="GHEA Grapalat" w:hAnsi="GHEA Grapalat" w:cs="GHEA Grapalat"/>
          <w:sz w:val="22"/>
          <w:szCs w:val="22"/>
        </w:rPr>
        <w:t>։</w:t>
      </w:r>
    </w:p>
    <w:p w14:paraId="6EABE65E" w14:textId="77777777" w:rsidR="001C414A" w:rsidRPr="00C921DE" w:rsidRDefault="001C414A" w:rsidP="001C414A">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 xml:space="preserve">Շրջակա միջավայրի վրա ազդեցության գնահատման և մոնիթորինգի ծրագրին հատկացված միջոցների գերակշիռ մասն ուղղվել է «Հիդրոօդերևութաբանություն, շրջակա միջավայրի մոնիթորինգ և տեղեկատվության ապահովում» միջոցառմանը, որի շրջանակներում </w:t>
      </w:r>
      <w:r w:rsidR="00E631CC" w:rsidRPr="00C921DE">
        <w:rPr>
          <w:rFonts w:ascii="GHEA Grapalat" w:hAnsi="GHEA Grapalat" w:cs="GHEA Grapalat"/>
          <w:sz w:val="22"/>
          <w:szCs w:val="22"/>
          <w:lang w:val="en-US"/>
        </w:rPr>
        <w:t>ի</w:t>
      </w:r>
      <w:r w:rsidRPr="00C921DE">
        <w:rPr>
          <w:rFonts w:ascii="GHEA Grapalat" w:hAnsi="GHEA Grapalat" w:cs="GHEA Grapalat"/>
          <w:sz w:val="22"/>
          <w:szCs w:val="22"/>
        </w:rPr>
        <w:t xml:space="preserve">րականացվել է ՀՀ մակերևութային ջրային օբյեկտների որակի մոնիտորինգ, որի արդյունքում որոշված ցուցանիշների քանակը կազմել է 43420: Իրականացվել է նաև Արաքս գետի աղտոտվածության հայ-իրանական համատեղ մոնիտորինգ, որի արդյունքում որոշված ցուցանիշների քանակը կազմել է 2040: ՀՀ մթնոլորտային օդի որակի մոնիտորինգի շրջանակում որոշվել է 75300 ցուցանիշ: 2023 թվականի ընթացքում ուսումնասիրվել են թափոնների գոյացման, վերամշակման ու օգտահանման 31 օբյեկտներ: </w:t>
      </w:r>
      <w:r w:rsidR="00887325" w:rsidRPr="00C921DE">
        <w:rPr>
          <w:rFonts w:ascii="GHEA Grapalat" w:hAnsi="GHEA Grapalat" w:cs="GHEA Grapalat"/>
          <w:sz w:val="22"/>
          <w:szCs w:val="22"/>
          <w:lang w:val="en-US"/>
        </w:rPr>
        <w:t>Ա</w:t>
      </w:r>
      <w:r w:rsidR="00E631CC" w:rsidRPr="00C921DE">
        <w:rPr>
          <w:rFonts w:ascii="GHEA Grapalat" w:hAnsi="GHEA Grapalat" w:cs="GHEA Grapalat"/>
          <w:sz w:val="22"/>
          <w:szCs w:val="22"/>
        </w:rPr>
        <w:t>րդիականացվել և ավտոմատացվել են Քասախի և Հրազդանի գետավազանների 7 հիդրոլոգիական դիտակետ</w:t>
      </w:r>
      <w:r w:rsidR="00E631CC" w:rsidRPr="00C921DE">
        <w:rPr>
          <w:rFonts w:ascii="GHEA Grapalat" w:hAnsi="GHEA Grapalat" w:cs="GHEA Grapalat"/>
          <w:sz w:val="22"/>
          <w:szCs w:val="22"/>
          <w:lang w:val="en-US"/>
        </w:rPr>
        <w:t>եր</w:t>
      </w:r>
      <w:r w:rsidR="00E631CC" w:rsidRPr="00C921DE">
        <w:rPr>
          <w:rFonts w:ascii="GHEA Grapalat" w:hAnsi="GHEA Grapalat" w:cs="GHEA Grapalat"/>
          <w:sz w:val="22"/>
          <w:szCs w:val="22"/>
        </w:rPr>
        <w:t xml:space="preserve">։ </w:t>
      </w:r>
      <w:r w:rsidRPr="00C921DE">
        <w:rPr>
          <w:rFonts w:ascii="GHEA Grapalat" w:hAnsi="GHEA Grapalat" w:cs="GHEA Grapalat"/>
          <w:sz w:val="22"/>
          <w:szCs w:val="22"/>
        </w:rPr>
        <w:t>Հիդրոօդերևութաբանության, շրջակա միջավայրի մոնիթորինգի և տեղեկատվության ապահովման միջոցառման ծախսերը կատարվել են 100%-ով՝ կազմելով 1.6 մլրդ դրամ:</w:t>
      </w:r>
    </w:p>
    <w:p w14:paraId="53B19C8F"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Նախորդ տարվա համեմատ </w:t>
      </w:r>
      <w:r w:rsidR="002B2298" w:rsidRPr="00C921DE">
        <w:rPr>
          <w:rFonts w:ascii="GHEA Grapalat" w:hAnsi="GHEA Grapalat" w:cs="GHEA Grapalat"/>
          <w:sz w:val="22"/>
          <w:szCs w:val="22"/>
        </w:rPr>
        <w:t xml:space="preserve">Շրջակա միջավայրի վրա ազդեցության գնահատման և մոնիթորինգի </w:t>
      </w:r>
      <w:r w:rsidRPr="00C921DE">
        <w:rPr>
          <w:rFonts w:ascii="GHEA Grapalat" w:hAnsi="GHEA Grapalat" w:cs="GHEA Grapalat"/>
          <w:sz w:val="22"/>
          <w:szCs w:val="22"/>
        </w:rPr>
        <w:t>ծրագրի ծախսերն աճել են 11.4%-ով կամ 203.9 մլն դրամով՝ հիմնականում պայմանավորված</w:t>
      </w:r>
      <w:r w:rsidR="009674E8" w:rsidRPr="00C921DE">
        <w:rPr>
          <w:rFonts w:ascii="GHEA Grapalat" w:hAnsi="GHEA Grapalat" w:cs="GHEA Grapalat"/>
          <w:sz w:val="22"/>
          <w:szCs w:val="22"/>
        </w:rPr>
        <w:t xml:space="preserve"> </w:t>
      </w:r>
      <w:r w:rsidRPr="00C921DE">
        <w:rPr>
          <w:rFonts w:ascii="GHEA Grapalat" w:hAnsi="GHEA Grapalat" w:cs="GHEA Grapalat"/>
          <w:sz w:val="22"/>
          <w:szCs w:val="22"/>
        </w:rPr>
        <w:t>«Հիդրոօդերևութաբանության և մոնիթորինգի կենտրոն» ՊՈԱԿ-ի տեխնիկական միջոցների արդիականացման և նոր սարքավորումների ձեռք բերման նպատակով 199.8 մլն դրամ</w:t>
      </w:r>
      <w:r w:rsidR="001C414A" w:rsidRPr="00C921DE">
        <w:rPr>
          <w:rFonts w:ascii="GHEA Grapalat" w:hAnsi="GHEA Grapalat" w:cs="GHEA Grapalat"/>
          <w:sz w:val="22"/>
          <w:szCs w:val="22"/>
          <w:lang w:val="en-US"/>
        </w:rPr>
        <w:t>ի</w:t>
      </w:r>
      <w:r w:rsidRPr="00C921DE">
        <w:rPr>
          <w:rFonts w:ascii="GHEA Grapalat" w:hAnsi="GHEA Grapalat" w:cs="GHEA Grapalat"/>
          <w:sz w:val="22"/>
          <w:szCs w:val="22"/>
        </w:rPr>
        <w:t xml:space="preserve"> հատկացմամբ, որն ուղղվել է 9 ավտոմատ օդերևութաբանական կայան</w:t>
      </w:r>
      <w:r w:rsidR="001C414A" w:rsidRPr="00C921DE">
        <w:rPr>
          <w:rFonts w:ascii="GHEA Grapalat" w:hAnsi="GHEA Grapalat" w:cs="GHEA Grapalat"/>
          <w:sz w:val="22"/>
          <w:szCs w:val="22"/>
          <w:lang w:val="en-US"/>
        </w:rPr>
        <w:t>ներ</w:t>
      </w:r>
      <w:r w:rsidRPr="00C921DE">
        <w:rPr>
          <w:rFonts w:ascii="GHEA Grapalat" w:hAnsi="GHEA Grapalat" w:cs="GHEA Grapalat"/>
          <w:sz w:val="22"/>
          <w:szCs w:val="22"/>
        </w:rPr>
        <w:t xml:space="preserve">ի </w:t>
      </w:r>
      <w:r w:rsidR="001C414A" w:rsidRPr="00C921DE">
        <w:rPr>
          <w:rFonts w:ascii="GHEA Grapalat" w:hAnsi="GHEA Grapalat" w:cs="GHEA Grapalat"/>
          <w:sz w:val="22"/>
          <w:szCs w:val="22"/>
          <w:lang w:val="en-US"/>
        </w:rPr>
        <w:t>ձեռքբերմանը</w:t>
      </w:r>
      <w:r w:rsidRPr="00C921DE">
        <w:rPr>
          <w:rFonts w:ascii="GHEA Grapalat" w:hAnsi="GHEA Grapalat" w:cs="GHEA Grapalat"/>
          <w:sz w:val="22"/>
          <w:szCs w:val="22"/>
        </w:rPr>
        <w:t xml:space="preserve">: </w:t>
      </w:r>
    </w:p>
    <w:p w14:paraId="5FCFEFE4" w14:textId="04660FAC"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Բնական պաշարների և բնության հատուկ պահպանվող տարածքների կառավարման և պահպանման</w:t>
      </w:r>
      <w:r w:rsidRPr="00C921DE">
        <w:rPr>
          <w:rFonts w:ascii="GHEA Grapalat" w:hAnsi="GHEA Grapalat" w:cs="GHEA Grapalat"/>
          <w:sz w:val="22"/>
          <w:szCs w:val="22"/>
        </w:rPr>
        <w:t xml:space="preserve"> ծրագրի շրջանակներում 2023 թվականին օգտագործվել է նախատեսված միջոցների 60.9%-ը՝ 1.9 մլրդ դրամ: Շեղումը հիմնականում արձանագրվել է Գերմանիայի զարգացման վարկերի բանկի (KFW) աջակցությամբ ՀՀ Սյունիքի մարզի բնության հատուկ պահպանվող տարածքների պահպանության դրամաշնորհային ծրագրում, որի կատարողականը կազմել է 5.8% կամ 75.1 մլն դրամ: Ցածր կատարողականը պայմանավորված է </w:t>
      </w:r>
      <w:r w:rsidR="00540400" w:rsidRPr="00C921DE">
        <w:rPr>
          <w:rFonts w:ascii="GHEA Grapalat" w:hAnsi="GHEA Grapalat" w:cs="GHEA Grapalat"/>
          <w:sz w:val="22"/>
          <w:szCs w:val="22"/>
          <w:lang w:val="af-ZA"/>
        </w:rPr>
        <w:t>խ</w:t>
      </w:r>
      <w:r w:rsidRPr="00C921DE">
        <w:rPr>
          <w:rFonts w:ascii="GHEA Grapalat" w:hAnsi="GHEA Grapalat" w:cs="GHEA Grapalat"/>
          <w:sz w:val="22"/>
          <w:szCs w:val="22"/>
          <w:lang w:val="af-ZA"/>
        </w:rPr>
        <w:t xml:space="preserve">որհրդատու կազմակերպության կողմից </w:t>
      </w:r>
      <w:r w:rsidR="00540400" w:rsidRPr="00C921DE">
        <w:rPr>
          <w:rFonts w:ascii="GHEA Grapalat" w:hAnsi="GHEA Grapalat" w:cs="GHEA Grapalat"/>
          <w:sz w:val="22"/>
          <w:szCs w:val="22"/>
          <w:lang w:val="af-ZA"/>
        </w:rPr>
        <w:t>նախատեսված աշխատանքներն ամբողջությամբ</w:t>
      </w:r>
      <w:r w:rsidRPr="00C921DE">
        <w:rPr>
          <w:rFonts w:ascii="GHEA Grapalat" w:hAnsi="GHEA Grapalat" w:cs="GHEA Grapalat"/>
          <w:sz w:val="22"/>
          <w:szCs w:val="22"/>
          <w:lang w:val="af-ZA"/>
        </w:rPr>
        <w:t xml:space="preserve"> </w:t>
      </w:r>
      <w:r w:rsidR="00540400" w:rsidRPr="00C921DE">
        <w:rPr>
          <w:rFonts w:ascii="GHEA Grapalat" w:hAnsi="GHEA Grapalat" w:cs="GHEA Grapalat"/>
          <w:sz w:val="22"/>
          <w:szCs w:val="22"/>
          <w:lang w:val="af-ZA"/>
        </w:rPr>
        <w:t>չիրականացնելու հանգամանքով</w:t>
      </w:r>
      <w:r w:rsidRPr="00C921DE">
        <w:rPr>
          <w:rFonts w:ascii="GHEA Grapalat" w:hAnsi="GHEA Grapalat" w:cs="GHEA Grapalat"/>
          <w:sz w:val="22"/>
          <w:szCs w:val="22"/>
          <w:lang w:val="af-ZA"/>
        </w:rPr>
        <w:t>:</w:t>
      </w:r>
      <w:r w:rsidRPr="00C921DE">
        <w:rPr>
          <w:rFonts w:ascii="GHEA Grapalat" w:hAnsi="GHEA Grapalat" w:cs="GHEA Grapalat"/>
          <w:sz w:val="22"/>
          <w:szCs w:val="22"/>
        </w:rPr>
        <w:t xml:space="preserve"> Արդյունքում չ</w:t>
      </w:r>
      <w:r w:rsidR="00540400" w:rsidRPr="00C921DE">
        <w:rPr>
          <w:rFonts w:ascii="GHEA Grapalat" w:hAnsi="GHEA Grapalat" w:cs="GHEA Grapalat"/>
          <w:sz w:val="22"/>
          <w:szCs w:val="22"/>
        </w:rPr>
        <w:t>ի</w:t>
      </w:r>
      <w:r w:rsidRPr="00C921DE">
        <w:rPr>
          <w:rFonts w:ascii="GHEA Grapalat" w:hAnsi="GHEA Grapalat" w:cs="GHEA Grapalat"/>
          <w:sz w:val="22"/>
          <w:szCs w:val="22"/>
        </w:rPr>
        <w:t xml:space="preserve"> ապահովվել ծրագրի շրջանակներում նախատեսված արդյունքային ցուցանիշների մեծ մասը: Ծ</w:t>
      </w:r>
      <w:r w:rsidRPr="00C921DE">
        <w:rPr>
          <w:rFonts w:ascii="GHEA Grapalat" w:hAnsi="GHEA Grapalat" w:cs="GHEA Grapalat"/>
          <w:sz w:val="22"/>
          <w:szCs w:val="22"/>
          <w:lang w:val="af-ZA"/>
        </w:rPr>
        <w:t>րագրի շրջանակներում 2023 թվականին Շիկահող պետական արգելոցի հարակից 4 բնակավայրերի (Ծավ, Շիկահող, Սրաշեն, Ներքին Հանդ) 247 տնային տնտեսություններին</w:t>
      </w:r>
      <w:r w:rsidR="00540400" w:rsidRPr="00C921DE">
        <w:rPr>
          <w:rFonts w:ascii="GHEA Grapalat" w:hAnsi="GHEA Grapalat" w:cs="GHEA Grapalat"/>
          <w:sz w:val="22"/>
          <w:szCs w:val="22"/>
          <w:lang w:val="af-ZA"/>
        </w:rPr>
        <w:t xml:space="preserve"> տրամադրվել են</w:t>
      </w:r>
      <w:r w:rsidRPr="00C921DE">
        <w:rPr>
          <w:rFonts w:ascii="GHEA Grapalat" w:hAnsi="GHEA Grapalat" w:cs="GHEA Grapalat"/>
          <w:sz w:val="22"/>
          <w:szCs w:val="22"/>
          <w:lang w:val="af-ZA"/>
        </w:rPr>
        <w:t xml:space="preserve"> </w:t>
      </w:r>
      <w:r w:rsidR="00540400" w:rsidRPr="00C921DE">
        <w:rPr>
          <w:rFonts w:ascii="GHEA Grapalat" w:hAnsi="GHEA Grapalat" w:cs="GHEA Grapalat"/>
          <w:sz w:val="22"/>
          <w:szCs w:val="22"/>
          <w:lang w:val="af-ZA"/>
        </w:rPr>
        <w:t>է</w:t>
      </w:r>
      <w:r w:rsidRPr="00C921DE">
        <w:rPr>
          <w:rFonts w:ascii="GHEA Grapalat" w:hAnsi="GHEA Grapalat" w:cs="GHEA Grapalat"/>
          <w:sz w:val="22"/>
          <w:szCs w:val="22"/>
          <w:lang w:val="af-ZA"/>
        </w:rPr>
        <w:t>ներգախնայող վառարաններ։</w:t>
      </w:r>
      <w:r w:rsidRPr="00C921DE">
        <w:rPr>
          <w:rFonts w:ascii="GHEA Grapalat" w:hAnsi="GHEA Grapalat" w:cs="GHEA Grapalat"/>
          <w:sz w:val="22"/>
          <w:szCs w:val="22"/>
        </w:rPr>
        <w:t xml:space="preserve"> </w:t>
      </w:r>
      <w:r w:rsidRPr="00C921DE">
        <w:rPr>
          <w:rFonts w:ascii="GHEA Grapalat" w:hAnsi="GHEA Grapalat" w:cs="GHEA Grapalat"/>
          <w:sz w:val="22"/>
          <w:szCs w:val="22"/>
          <w:lang w:val="af-ZA"/>
        </w:rPr>
        <w:t>Կազմակերպվել է Մեղրի խոշորացված համայնքի 11 գյուղական բնակավայրերի յուրաքանչյուր տնային տնտեսությունում 9 ք/մ եվր</w:t>
      </w:r>
      <w:r w:rsidR="004F42DE" w:rsidRPr="00C921DE">
        <w:rPr>
          <w:rFonts w:ascii="GHEA Grapalat" w:hAnsi="GHEA Grapalat" w:cs="GHEA Grapalat"/>
          <w:sz w:val="22"/>
          <w:szCs w:val="22"/>
          <w:lang w:val="af-ZA"/>
        </w:rPr>
        <w:t>ա</w:t>
      </w:r>
      <w:r w:rsidRPr="00C921DE">
        <w:rPr>
          <w:rFonts w:ascii="GHEA Grapalat" w:hAnsi="GHEA Grapalat" w:cs="GHEA Grapalat"/>
          <w:sz w:val="22"/>
          <w:szCs w:val="22"/>
          <w:lang w:val="af-ZA"/>
        </w:rPr>
        <w:t xml:space="preserve">պատուհանի տեղադրման մրցույթ։ Շրջակա միջավայրի նախարարության «Զանգեզուր» կենսոլորտային </w:t>
      </w:r>
      <w:r w:rsidR="00540400" w:rsidRPr="00C921DE">
        <w:rPr>
          <w:rFonts w:ascii="GHEA Grapalat" w:hAnsi="GHEA Grapalat" w:cs="GHEA Grapalat"/>
          <w:sz w:val="22"/>
          <w:szCs w:val="22"/>
          <w:lang w:val="af-ZA"/>
        </w:rPr>
        <w:t>համալիր ՊՈԱԿ-ի, «Հայանտառ» ՊՈԱԿ</w:t>
      </w:r>
      <w:r w:rsidR="00540400" w:rsidRPr="00C921DE">
        <w:rPr>
          <w:rFonts w:ascii="GHEA Grapalat" w:hAnsi="GHEA Grapalat" w:cs="GHEA Grapalat"/>
          <w:sz w:val="22"/>
          <w:szCs w:val="22"/>
          <w:lang w:val="af-ZA"/>
        </w:rPr>
        <w:noBreakHyphen/>
      </w:r>
      <w:r w:rsidRPr="00C921DE">
        <w:rPr>
          <w:rFonts w:ascii="GHEA Grapalat" w:hAnsi="GHEA Grapalat" w:cs="GHEA Grapalat"/>
          <w:sz w:val="22"/>
          <w:szCs w:val="22"/>
          <w:lang w:val="af-ZA"/>
        </w:rPr>
        <w:t xml:space="preserve">ի Կապանի անտառտնտեսություն մասնաճյուղի և Հարավային ջրավազանային տարածքային կառավարման բաժնի պատշաճ գործունեության նպատակով Սյունիքի մարզի Կապան քաղաքում 556 </w:t>
      </w:r>
      <w:r w:rsidRPr="00C921DE">
        <w:rPr>
          <w:rFonts w:ascii="GHEA Grapalat" w:hAnsi="GHEA Grapalat" w:cs="GHEA Grapalat"/>
          <w:sz w:val="22"/>
          <w:szCs w:val="22"/>
          <w:lang w:val="af-ZA"/>
        </w:rPr>
        <w:lastRenderedPageBreak/>
        <w:t>ք/մ տարածքով ձեռք բերված վարչական շենքի շինարարության համար ևս հայտարարվել է մրցույթ։ Մրցույթի արդյունքները գնահատվել են գնահատող հանձնաժողովի կողմից և ստացվել են բոլոր հաստատումները։ Ընթացքի մեջ է գտնվում նաև «Շիկահող» պետական արգելոցի, «Խուստուփ», «Զանգեզուր», «Սոսու պուրակ», «Սև լիճ», «Արևիք» և «Բողաքար» պետական արգելավայրերի կառավարման պլանների մշակումը։</w:t>
      </w:r>
    </w:p>
    <w:p w14:paraId="4732E4C8"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Բնական պաշարների և բնության հատուկ պահպանվող տարածքների կառավարման և պահպանման ծրագրի շրջանակներում շուրջ 1.2 մլրդ դրամ (ծրագրվածի 99%-ը) ուղղվել է բնության հատուկ պահպանվող տարածքների («Սևան», «Դիլիջան», «Արփի լիճ» ազգային պարկերի, «Խոսրովի անտառ» պետական արգելոցի, Արգելոցապարկային համալիր և Զանգեզուր կենսոլորտային համալիր ԲՀՊ տարածքների) պահպանությանը, դրանցում գիտական ուսումնասիրությունների և անտառատնտեսական աշխատանքների կատարմանը: Նշված միջոցառումների շրջանակներում հիմնականում ապահովվել են նախատեսված արդյունքային չափորոշիչները, որոշ չափորոշիչների գծով արձանագրվել է ծրագրված ցուցանիշների գերազանցում: Իսկ «Սևան» ազգային պարկի պահպանության, պարկում գիտական ուսումնասիրությունների, անտառատնտեսական աշխատանքների կատարման միջոցառման շրջանակներում նախատեսված՝ Սևանա լճի ջրածածկ անտառտնկարկների մաքրման աշխատանքները թերակատարվել են՝ նախատեսված 28.1 հա-ի փոխարեն մաքրվել է 23.23 հա տարածք, որը պայմանավորված է եղել մեքենաների ու մեխանիզմերի քանակով և տեղանքի բարդությամբ: Միջոցառման շրջանակներում 2023 թվականին իրականացվել է Սևան ազգային պարկ ՊՈԱԿ-ի տնօրինության տակ գտնվող 147343 հա ԲՀՊ տարածքներում գտնվող բնական էկոհամակարգերի լանդշաֆտային և կենսաբանական բազմազանության, բնության ժառանգության պահպանություն։ </w:t>
      </w:r>
      <w:r w:rsidR="00517982" w:rsidRPr="00C921DE">
        <w:rPr>
          <w:rFonts w:ascii="GHEA Grapalat" w:hAnsi="GHEA Grapalat" w:cs="GHEA Grapalat"/>
          <w:sz w:val="22"/>
          <w:szCs w:val="22"/>
          <w:lang w:val="en-US"/>
        </w:rPr>
        <w:t>Կազմակերպ</w:t>
      </w:r>
      <w:r w:rsidRPr="00C921DE">
        <w:rPr>
          <w:rFonts w:ascii="GHEA Grapalat" w:hAnsi="GHEA Grapalat" w:cs="GHEA Grapalat"/>
          <w:sz w:val="22"/>
          <w:szCs w:val="22"/>
        </w:rPr>
        <w:t xml:space="preserve">վել է բնակչության էկոլոգիական կրթությանն ու դաստիարակությանն ուղղված 25 միջոցառում։ Պահպանվել են ազգային պարկի տարածքում գտնվող հանրային 4 լողափեր, և սպասարկվել է 90000 մարդ։ </w:t>
      </w:r>
      <w:r w:rsidR="001D6F1F" w:rsidRPr="00C921DE">
        <w:rPr>
          <w:rFonts w:ascii="GHEA Grapalat" w:hAnsi="GHEA Grapalat" w:cs="GHEA Grapalat"/>
          <w:sz w:val="22"/>
          <w:szCs w:val="22"/>
          <w:lang w:bidi="hy-AM"/>
        </w:rPr>
        <w:t>Տնկվել է շուրջ 15000 տնկի, որոնք զբաղեցնում են</w:t>
      </w:r>
      <w:r w:rsidRPr="00C921DE">
        <w:rPr>
          <w:rFonts w:ascii="GHEA Grapalat" w:hAnsi="GHEA Grapalat" w:cs="GHEA Grapalat"/>
          <w:sz w:val="22"/>
          <w:szCs w:val="22"/>
          <w:lang w:bidi="hy-AM"/>
        </w:rPr>
        <w:t xml:space="preserve"> 7</w:t>
      </w:r>
      <w:r w:rsidRPr="00C921DE">
        <w:rPr>
          <w:rFonts w:ascii="GHEA Grapalat" w:hAnsi="GHEA Grapalat" w:cs="GHEA Grapalat"/>
          <w:sz w:val="22"/>
          <w:szCs w:val="22"/>
          <w:lang w:val="af-ZA"/>
        </w:rPr>
        <w:t>.</w:t>
      </w:r>
      <w:r w:rsidRPr="00C921DE">
        <w:rPr>
          <w:rFonts w:ascii="GHEA Grapalat" w:hAnsi="GHEA Grapalat" w:cs="GHEA Grapalat"/>
          <w:sz w:val="22"/>
          <w:szCs w:val="22"/>
        </w:rPr>
        <w:t>5</w:t>
      </w:r>
      <w:r w:rsidRPr="00C921DE">
        <w:rPr>
          <w:rFonts w:ascii="GHEA Grapalat" w:hAnsi="GHEA Grapalat" w:cs="GHEA Grapalat"/>
          <w:sz w:val="22"/>
          <w:szCs w:val="22"/>
          <w:lang w:bidi="hy-AM"/>
        </w:rPr>
        <w:t xml:space="preserve"> հա տարածք։ Իրականացվել է Սևանա լճում արդյունագործական ձկնորսության նպատակով մուտքի և ելքի 21 կետերի սպասարկում։</w:t>
      </w:r>
    </w:p>
    <w:p w14:paraId="067F962A"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lang w:bidi="hy-AM"/>
        </w:rPr>
      </w:pPr>
      <w:r w:rsidRPr="00C921DE">
        <w:rPr>
          <w:rFonts w:ascii="GHEA Grapalat" w:hAnsi="GHEA Grapalat" w:cs="GHEA Grapalat"/>
          <w:sz w:val="22"/>
          <w:szCs w:val="22"/>
          <w:lang w:bidi="hy-AM"/>
        </w:rPr>
        <w:t>Նախորդ տարվա համեմատ Բնական պաշարների և բնության հատուկ պահպանվող տարածքների կառավարման և պահպանման ծրագրի ծախսերն աճել են 5.9%-ով կամ 107.6 մլն դրամով՝ հիմնականում պայմանավորված 2023 թվականին Սևանի իշխանի պաշարների վերականգնման և ձկնաբուծության զարգացման հիմնադրամի առողջացմանը տրամադրված աջակցության ծավալի ավելացմամբ</w:t>
      </w:r>
      <w:r w:rsidR="0004125A" w:rsidRPr="00C921DE">
        <w:rPr>
          <w:rFonts w:ascii="GHEA Grapalat" w:hAnsi="GHEA Grapalat" w:cs="GHEA Grapalat"/>
          <w:sz w:val="22"/>
          <w:szCs w:val="22"/>
          <w:lang w:bidi="hy-AM"/>
        </w:rPr>
        <w:t xml:space="preserve"> (65.2%-ով կամ 195.7 մլն դրամով</w:t>
      </w:r>
      <w:r w:rsidR="0004125A" w:rsidRPr="00C921DE">
        <w:rPr>
          <w:rFonts w:ascii="GHEA Grapalat" w:hAnsi="GHEA Grapalat" w:cs="GHEA Grapalat"/>
          <w:sz w:val="22"/>
          <w:szCs w:val="22"/>
          <w:lang w:val="en-US" w:bidi="hy-AM"/>
        </w:rPr>
        <w:t>)</w:t>
      </w:r>
      <w:r w:rsidRPr="00C921DE">
        <w:rPr>
          <w:rFonts w:ascii="GHEA Grapalat" w:hAnsi="GHEA Grapalat" w:cs="GHEA Grapalat"/>
          <w:sz w:val="22"/>
          <w:szCs w:val="22"/>
          <w:lang w:bidi="hy-AM"/>
        </w:rPr>
        <w:t xml:space="preserve"> և </w:t>
      </w:r>
      <w:r w:rsidR="001D6F1F" w:rsidRPr="00C921DE">
        <w:rPr>
          <w:rFonts w:ascii="GHEA Grapalat" w:hAnsi="GHEA Grapalat" w:cs="GHEA Grapalat"/>
          <w:sz w:val="22"/>
          <w:szCs w:val="22"/>
          <w:lang w:bidi="hy-AM"/>
        </w:rPr>
        <w:t>ը</w:t>
      </w:r>
      <w:r w:rsidRPr="00C921DE">
        <w:rPr>
          <w:rFonts w:ascii="GHEA Grapalat" w:hAnsi="GHEA Grapalat" w:cs="GHEA Grapalat"/>
          <w:sz w:val="22"/>
          <w:szCs w:val="22"/>
          <w:lang w:bidi="hy-AM"/>
        </w:rPr>
        <w:t>նդերքօգտագործման թափոնների լքված, տիրազուրկ տեղամասերի և օբյեկտների ռեկուլտիվացիայի համար նախագծային փաթեթների մշակման համար միջոցներ</w:t>
      </w:r>
      <w:r w:rsidR="001D6F1F" w:rsidRPr="00C921DE">
        <w:rPr>
          <w:rFonts w:ascii="GHEA Grapalat" w:hAnsi="GHEA Grapalat" w:cs="GHEA Grapalat"/>
          <w:sz w:val="22"/>
          <w:szCs w:val="22"/>
          <w:lang w:bidi="hy-AM"/>
        </w:rPr>
        <w:t>ի հատկացմամբ</w:t>
      </w:r>
      <w:r w:rsidR="0004125A" w:rsidRPr="00C921DE">
        <w:rPr>
          <w:rFonts w:ascii="GHEA Grapalat" w:hAnsi="GHEA Grapalat" w:cs="GHEA Grapalat"/>
          <w:sz w:val="22"/>
          <w:szCs w:val="22"/>
          <w:lang w:val="en-US" w:bidi="hy-AM"/>
        </w:rPr>
        <w:t xml:space="preserve"> (137.9 մլն դրամ)</w:t>
      </w:r>
      <w:r w:rsidRPr="00C921DE">
        <w:rPr>
          <w:rFonts w:ascii="GHEA Grapalat" w:hAnsi="GHEA Grapalat" w:cs="GHEA Grapalat"/>
          <w:sz w:val="22"/>
          <w:szCs w:val="22"/>
          <w:lang w:bidi="hy-AM"/>
        </w:rPr>
        <w:t>:</w:t>
      </w:r>
    </w:p>
    <w:p w14:paraId="67B08400" w14:textId="77777777"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bidi="hy-AM"/>
        </w:rPr>
        <w:lastRenderedPageBreak/>
        <w:t xml:space="preserve">Հաշվետու ժամանակահատվածում ավելի քան 2.9 մլրդ դրամ է օգտագործվել </w:t>
      </w:r>
      <w:r w:rsidRPr="00C921DE">
        <w:rPr>
          <w:rFonts w:ascii="GHEA Grapalat" w:hAnsi="GHEA Grapalat" w:cs="GHEA Grapalat"/>
          <w:i/>
          <w:sz w:val="22"/>
          <w:szCs w:val="22"/>
          <w:lang w:bidi="hy-AM"/>
        </w:rPr>
        <w:t>Անտառների կառավարման</w:t>
      </w:r>
      <w:r w:rsidRPr="00C921DE">
        <w:rPr>
          <w:rFonts w:ascii="GHEA Grapalat" w:hAnsi="GHEA Grapalat" w:cs="GHEA Grapalat"/>
          <w:sz w:val="22"/>
          <w:szCs w:val="22"/>
          <w:lang w:bidi="hy-AM"/>
        </w:rPr>
        <w:t xml:space="preserve"> ծրագրի շրջանակներում՝ գրեթե ամբողջությամբ ապահովելով ծրագրված ցուցանիշը: Անտառների կառավարման ծրագրի միջոցառումների շրջանակներում նախատեսված արդյունքային չափորոշիչները հիմնականում ապահովվել են: Ծրագրին հատկացված միջոցների հիմնական մասը՝ ավելի քան 1.3 մլրդ դրամ, տրամադրվել է անտառպահպանական ծառայություններին՝ ապահովելով</w:t>
      </w:r>
      <w:r w:rsidRPr="00C921DE">
        <w:rPr>
          <w:rFonts w:ascii="GHEA Grapalat" w:hAnsi="GHEA Grapalat" w:cs="GHEA Grapalat"/>
          <w:sz w:val="22"/>
          <w:szCs w:val="22"/>
        </w:rPr>
        <w:t xml:space="preserve"> 100% կատարողական:</w:t>
      </w:r>
      <w:r w:rsidRPr="00C921DE">
        <w:rPr>
          <w:rFonts w:ascii="GHEA Grapalat" w:hAnsi="GHEA Grapalat" w:cs="GHEA Grapalat"/>
          <w:sz w:val="22"/>
          <w:szCs w:val="22"/>
          <w:lang w:bidi="hy-AM"/>
        </w:rPr>
        <w:t xml:space="preserve"> Միջոցառման շրջանակներում փակ արմատային համակարգով որակյալ տնկանյութ աճեցնելու նպատակով </w:t>
      </w:r>
      <w:r w:rsidR="00B1650C" w:rsidRPr="00C921DE">
        <w:rPr>
          <w:rFonts w:ascii="GHEA Grapalat" w:hAnsi="GHEA Grapalat" w:cs="GHEA Grapalat"/>
          <w:sz w:val="22"/>
          <w:szCs w:val="22"/>
          <w:lang w:val="en-US" w:bidi="hy-AM"/>
        </w:rPr>
        <w:t xml:space="preserve">ՄԱԿ-ի </w:t>
      </w:r>
      <w:r w:rsidRPr="00C921DE">
        <w:rPr>
          <w:rFonts w:ascii="GHEA Grapalat" w:hAnsi="GHEA Grapalat" w:cs="GHEA Grapalat"/>
          <w:sz w:val="22"/>
          <w:szCs w:val="22"/>
          <w:lang w:bidi="hy-AM"/>
        </w:rPr>
        <w:t>Պարենի և գյուղատնտեսության կազմակերպության աջակցությամբ Անտառային կոմիտեի «Հայանտառ» ՊՈԱԿ-ի 3 «Անտառտնտեսություն» մասնաճյուղերում հիմնադրվել են 6 ժամանակակից ջերմոցային համալիր</w:t>
      </w:r>
      <w:r w:rsidR="00B1650C" w:rsidRPr="00C921DE">
        <w:rPr>
          <w:rFonts w:ascii="GHEA Grapalat" w:hAnsi="GHEA Grapalat" w:cs="GHEA Grapalat"/>
          <w:sz w:val="22"/>
          <w:szCs w:val="22"/>
          <w:lang w:val="en-US" w:bidi="hy-AM"/>
        </w:rPr>
        <w:t>ներ</w:t>
      </w:r>
      <w:r w:rsidRPr="00C921DE">
        <w:rPr>
          <w:rFonts w:ascii="GHEA Grapalat" w:hAnsi="GHEA Grapalat" w:cs="GHEA Grapalat"/>
          <w:sz w:val="22"/>
          <w:szCs w:val="22"/>
          <w:lang w:bidi="hy-AM"/>
        </w:rPr>
        <w:t xml:space="preserve">: Հրազդանի և Սիսիանի անտառտնտեսություններում տեղադրվել են սերմերի պահպանման սառնարաններ: </w:t>
      </w:r>
      <w:r w:rsidRPr="00C921DE">
        <w:rPr>
          <w:rFonts w:ascii="GHEA Grapalat" w:hAnsi="GHEA Grapalat" w:cs="GHEA Grapalat"/>
          <w:sz w:val="22"/>
          <w:szCs w:val="22"/>
        </w:rPr>
        <w:t>Ապահովվել է 342.4 հազար հա անտառային տարածքների պահպանումը, Անտառային կոմիտեի «Հայանտառ» ՊՈԱԿ-ի Անտառտնտեսություն» մասնաճյուղերի կողմից ազգաբնակչությանը տրամադրվել է 78980 պահեստային խմ անվճար թափուկ վառելափայտ, անտառտնտեսությունների մասնաճյուղերում վերապատրաստում է անցել 172 անձ:</w:t>
      </w:r>
    </w:p>
    <w:p w14:paraId="79C4DD6C" w14:textId="73863524" w:rsidR="00B20C0B" w:rsidRPr="00C921DE" w:rsidRDefault="00B20C0B" w:rsidP="00B20C0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Նախորդ տարվա համեմատ Անտառների կառավարման ծրագրի ծախսերն աճել են 37%-ով կամ 791.5 մլն դրամով՝ հիմնականում պայմանավորված անտառվերականգնման և անտառապատման աշխատանքների և անտառկառավարման պլանների կազմման միջոցառումների շրջանակներում իրականացված աշխատանքների ծավալների աճով, ինչի արդյունքում ծախսերն աճել են համապատասխանաբար 84.7%-ով կամ 305.3 մլն դրամով և </w:t>
      </w:r>
      <w:r w:rsidR="0029684F" w:rsidRPr="00C921DE">
        <w:rPr>
          <w:rFonts w:ascii="GHEA Grapalat" w:hAnsi="GHEA Grapalat" w:cs="GHEA Grapalat"/>
          <w:sz w:val="22"/>
          <w:szCs w:val="22"/>
          <w:lang w:val="en-US"/>
        </w:rPr>
        <w:t>2.8</w:t>
      </w:r>
      <w:r w:rsidRPr="00C921DE">
        <w:rPr>
          <w:rFonts w:ascii="GHEA Grapalat" w:hAnsi="GHEA Grapalat" w:cs="GHEA Grapalat"/>
          <w:sz w:val="22"/>
          <w:szCs w:val="22"/>
        </w:rPr>
        <w:t xml:space="preserve"> անգամ կամ 313.4 մլն դրամով:</w:t>
      </w:r>
    </w:p>
    <w:p w14:paraId="106F67E1" w14:textId="480BC702" w:rsidR="00B20C0B" w:rsidRPr="00C921DE" w:rsidRDefault="00B20C0B" w:rsidP="00932181">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 xml:space="preserve">2023 թվականին ՀՀ շրջակա միջավայրի նախարարության պատասխանատվությամբ իրականացվող այլ ծրագրերին տրամադրված շուրջ 2.2 մլրդ դրամից 350.5 մլն դրամն ուղղվել է </w:t>
      </w:r>
      <w:r w:rsidRPr="00C921DE">
        <w:rPr>
          <w:rFonts w:ascii="GHEA Grapalat" w:hAnsi="GHEA Grapalat" w:cs="GHEA Grapalat"/>
          <w:i/>
          <w:sz w:val="22"/>
          <w:szCs w:val="22"/>
        </w:rPr>
        <w:t>Բնագիտական նմուշների պահպանության և ցուցադրության</w:t>
      </w:r>
      <w:r w:rsidRPr="00C921DE">
        <w:rPr>
          <w:rFonts w:ascii="GHEA Grapalat" w:hAnsi="GHEA Grapalat" w:cs="GHEA Grapalat"/>
          <w:sz w:val="22"/>
          <w:szCs w:val="22"/>
        </w:rPr>
        <w:t xml:space="preserve"> ծրագրին՝ ամբողջությամբ ապահովելով ծրագրային ցուցանիշը: Նշված գումարից 308 մլն դրամն ուղղվել է կենդանաբանական այգու ցուցադրություններին, 42.5 մլն դրամը՝ բնագիտական նմուշների պահպանության և ցուցադրության</w:t>
      </w:r>
      <w:r w:rsidR="00447610" w:rsidRPr="00C921DE">
        <w:rPr>
          <w:rFonts w:ascii="GHEA Grapalat" w:hAnsi="GHEA Grapalat" w:cs="GHEA Grapalat"/>
          <w:sz w:val="22"/>
          <w:szCs w:val="22"/>
          <w:lang w:val="en-US"/>
        </w:rPr>
        <w:t xml:space="preserve"> միջոցառմանը</w:t>
      </w:r>
      <w:r w:rsidRPr="00C921DE">
        <w:rPr>
          <w:rFonts w:ascii="GHEA Grapalat" w:hAnsi="GHEA Grapalat" w:cs="GHEA Grapalat"/>
          <w:sz w:val="22"/>
          <w:szCs w:val="22"/>
        </w:rPr>
        <w:t>: 2023 թվականին կենդանաբանական այգու այցելուների թիվը կազմել է 253299՝ կանխատեսված 250000 ի դիմաց, իսկ Հայաստանի բնության պետական թանգարանի այցելուների թիվը՝ 23290՝ կանխատեսված 20700-ի դիմաց:</w:t>
      </w:r>
      <w:r w:rsidR="00932181" w:rsidRPr="00C921DE">
        <w:rPr>
          <w:rFonts w:ascii="GHEA Grapalat" w:hAnsi="GHEA Grapalat" w:cs="GHEA Grapalat"/>
          <w:sz w:val="22"/>
          <w:szCs w:val="22"/>
          <w:lang w:val="en-US"/>
        </w:rPr>
        <w:t xml:space="preserve"> </w:t>
      </w:r>
      <w:r w:rsidR="00932181" w:rsidRPr="00C921DE">
        <w:rPr>
          <w:rFonts w:ascii="GHEA Grapalat" w:hAnsi="GHEA Grapalat" w:cs="GHEA Grapalat"/>
          <w:sz w:val="22"/>
          <w:szCs w:val="22"/>
        </w:rPr>
        <w:t xml:space="preserve">Նախորդ տարվա համեմատ ծրագրի ծախսերն աճել են 1.6%-ով (5.7 մլն դրամով), որը հիմնականում պայմանավորված է </w:t>
      </w:r>
      <w:r w:rsidR="00932181" w:rsidRPr="00C921DE">
        <w:rPr>
          <w:rFonts w:ascii="GHEA Grapalat" w:hAnsi="GHEA Grapalat" w:cs="GHEA Grapalat"/>
          <w:sz w:val="22"/>
          <w:szCs w:val="22"/>
          <w:lang w:val="af-ZA"/>
        </w:rPr>
        <w:t>աշխատավարձի բնականոն աճով</w:t>
      </w:r>
      <w:r w:rsidR="00932181" w:rsidRPr="00C921DE">
        <w:rPr>
          <w:rFonts w:ascii="GHEA Grapalat" w:hAnsi="GHEA Grapalat" w:cs="GHEA Grapalat"/>
          <w:sz w:val="22"/>
          <w:szCs w:val="22"/>
        </w:rPr>
        <w:t>:</w:t>
      </w:r>
    </w:p>
    <w:p w14:paraId="1CF0EF18" w14:textId="77777777" w:rsidR="00C56BD7" w:rsidRPr="00C921DE" w:rsidRDefault="00C56BD7" w:rsidP="00C56BD7">
      <w:pPr>
        <w:autoSpaceDE w:val="0"/>
        <w:autoSpaceDN w:val="0"/>
        <w:adjustRightInd w:val="0"/>
        <w:spacing w:line="360" w:lineRule="auto"/>
        <w:ind w:firstLine="567"/>
        <w:jc w:val="both"/>
        <w:rPr>
          <w:rFonts w:ascii="GHEA Grapalat" w:hAnsi="GHEA Grapalat" w:cs="Sylfaen"/>
          <w:sz w:val="22"/>
          <w:szCs w:val="22"/>
        </w:rPr>
      </w:pPr>
    </w:p>
    <w:p w14:paraId="621122B7" w14:textId="02A79187" w:rsidR="001556D3" w:rsidRPr="00C921DE" w:rsidRDefault="00C56BD7" w:rsidP="001556D3">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Times Armenian"/>
          <w:i/>
          <w:sz w:val="22"/>
          <w:szCs w:val="22"/>
          <w:u w:val="single"/>
        </w:rPr>
        <w:t>ՀՀ</w:t>
      </w:r>
      <w:r w:rsidRPr="00C921DE">
        <w:rPr>
          <w:rFonts w:ascii="GHEA Grapalat" w:hAnsi="GHEA Grapalat" w:cs="Sylfaen"/>
          <w:i/>
          <w:sz w:val="22"/>
          <w:szCs w:val="22"/>
          <w:u w:val="single"/>
        </w:rPr>
        <w:t xml:space="preserve"> կրթության, գիտության, մշակույթի և սպորտի նախարարության</w:t>
      </w:r>
      <w:r w:rsidRPr="00C921DE">
        <w:rPr>
          <w:rFonts w:ascii="GHEA Grapalat" w:hAnsi="GHEA Grapalat" w:cs="Sylfaen"/>
          <w:sz w:val="22"/>
          <w:szCs w:val="22"/>
        </w:rPr>
        <w:t xml:space="preserve"> </w:t>
      </w:r>
      <w:r w:rsidR="001556D3" w:rsidRPr="00C921DE">
        <w:rPr>
          <w:rFonts w:ascii="GHEA Grapalat" w:hAnsi="GHEA Grapalat" w:cs="Sylfaen"/>
          <w:sz w:val="22"/>
          <w:szCs w:val="22"/>
        </w:rPr>
        <w:t xml:space="preserve">պատասխանատվության ներքո 2023 թվականի ընթացքում իրականացվել են 20 ծրագրեր, որոնց շրջանակներում </w:t>
      </w:r>
      <w:r w:rsidR="001556D3" w:rsidRPr="00C921DE">
        <w:rPr>
          <w:rFonts w:ascii="GHEA Grapalat" w:hAnsi="GHEA Grapalat" w:cs="Sylfaen"/>
          <w:sz w:val="22"/>
          <w:szCs w:val="22"/>
        </w:rPr>
        <w:lastRenderedPageBreak/>
        <w:t>օգտագործվել է 218.8 մլրդ դրամ՝ ապահովելով ծրագրված ցուցանիշի 93.9% կատարողական: Բոլոր ծրագրերում արձանագրվել են շեղումներ: Առանձնապես խոշոր շեղումներ են արձանագրվել Հանրակրթության (3.4 մլրդ դրամ), Գիտական և գիտատեխնիկական հետազոտությունների (2.4 մլրդ դրամ)</w:t>
      </w:r>
      <w:r w:rsidR="00C66092" w:rsidRPr="00C921DE">
        <w:rPr>
          <w:rFonts w:ascii="GHEA Grapalat" w:hAnsi="GHEA Grapalat" w:cs="Sylfaen"/>
          <w:sz w:val="22"/>
          <w:szCs w:val="22"/>
        </w:rPr>
        <w:t>,</w:t>
      </w:r>
      <w:r w:rsidR="001556D3" w:rsidRPr="00C921DE">
        <w:rPr>
          <w:rFonts w:ascii="GHEA Grapalat" w:hAnsi="GHEA Grapalat" w:cs="Sylfaen"/>
          <w:sz w:val="22"/>
          <w:szCs w:val="22"/>
        </w:rPr>
        <w:t xml:space="preserve"> Ապահով դպրոց (2.4 մլրդ դրամ)</w:t>
      </w:r>
      <w:r w:rsidR="00C66092" w:rsidRPr="00C921DE">
        <w:rPr>
          <w:rFonts w:ascii="GHEA Grapalat" w:hAnsi="GHEA Grapalat" w:cs="Sylfaen"/>
          <w:sz w:val="22"/>
          <w:szCs w:val="22"/>
          <w:lang w:val="en-US"/>
        </w:rPr>
        <w:t>, Կ</w:t>
      </w:r>
      <w:r w:rsidR="00F471F1" w:rsidRPr="00C921DE">
        <w:rPr>
          <w:rFonts w:ascii="GHEA Grapalat" w:hAnsi="GHEA Grapalat" w:cs="Sylfaen"/>
          <w:sz w:val="22"/>
          <w:szCs w:val="22"/>
          <w:lang w:val="en-US"/>
        </w:rPr>
        <w:t>րթության որակի ապահովման</w:t>
      </w:r>
      <w:r w:rsidR="00C66092" w:rsidRPr="00C921DE">
        <w:rPr>
          <w:rFonts w:ascii="GHEA Grapalat" w:hAnsi="GHEA Grapalat" w:cs="Sylfaen"/>
          <w:sz w:val="22"/>
          <w:szCs w:val="22"/>
          <w:lang w:val="en-US"/>
        </w:rPr>
        <w:t xml:space="preserve"> (1.7 մլրդ դրամ) և Նախնական (արհեստագործական) և միջին մասնագիտական կրթությ</w:t>
      </w:r>
      <w:r w:rsidR="00F471F1" w:rsidRPr="00C921DE">
        <w:rPr>
          <w:rFonts w:ascii="GHEA Grapalat" w:hAnsi="GHEA Grapalat" w:cs="Sylfaen"/>
          <w:sz w:val="22"/>
          <w:szCs w:val="22"/>
          <w:lang w:val="en-US"/>
        </w:rPr>
        <w:t>ա</w:t>
      </w:r>
      <w:r w:rsidR="00C66092" w:rsidRPr="00C921DE">
        <w:rPr>
          <w:rFonts w:ascii="GHEA Grapalat" w:hAnsi="GHEA Grapalat" w:cs="Sylfaen"/>
          <w:sz w:val="22"/>
          <w:szCs w:val="22"/>
          <w:lang w:val="en-US"/>
        </w:rPr>
        <w:t>ն (1.3 մլրդ դրամ)</w:t>
      </w:r>
      <w:r w:rsidR="001556D3" w:rsidRPr="00C921DE">
        <w:rPr>
          <w:rFonts w:ascii="GHEA Grapalat" w:hAnsi="GHEA Grapalat" w:cs="Sylfaen"/>
          <w:sz w:val="22"/>
          <w:szCs w:val="22"/>
        </w:rPr>
        <w:t xml:space="preserve"> ծրագրերում: Նախորդ տարվա </w:t>
      </w:r>
      <w:r w:rsidR="001556D3" w:rsidRPr="00C921DE">
        <w:rPr>
          <w:rFonts w:ascii="GHEA Grapalat" w:hAnsi="GHEA Grapalat" w:cs="GHEA Grapalat"/>
          <w:sz w:val="22"/>
          <w:szCs w:val="22"/>
        </w:rPr>
        <w:t>համադրելի ցուցանիշի</w:t>
      </w:r>
      <w:r w:rsidR="00785977" w:rsidRPr="00C921DE">
        <w:rPr>
          <w:rFonts w:ascii="GHEA Grapalat" w:hAnsi="GHEA Grapalat" w:cs="GHEA Grapalat"/>
          <w:sz w:val="22"/>
          <w:szCs w:val="22"/>
          <w:lang w:val="en-US"/>
        </w:rPr>
        <w:t xml:space="preserve"> (առանց Ազգային արխիվի ծրագրի, որը </w:t>
      </w:r>
      <w:r w:rsidR="00E269F9" w:rsidRPr="00C921DE">
        <w:rPr>
          <w:rFonts w:ascii="GHEA Grapalat" w:hAnsi="GHEA Grapalat" w:cs="GHEA Grapalat"/>
          <w:sz w:val="22"/>
          <w:szCs w:val="22"/>
          <w:lang w:val="en-US"/>
        </w:rPr>
        <w:t xml:space="preserve">2023 թվականին </w:t>
      </w:r>
      <w:r w:rsidR="00785977" w:rsidRPr="00C921DE">
        <w:rPr>
          <w:rFonts w:ascii="GHEA Grapalat" w:hAnsi="GHEA Grapalat" w:cs="GHEA Grapalat"/>
          <w:sz w:val="22"/>
          <w:szCs w:val="22"/>
          <w:lang w:val="en-US"/>
        </w:rPr>
        <w:t>փոխանցվել է</w:t>
      </w:r>
      <w:r w:rsidR="00B52F08" w:rsidRPr="00C921DE">
        <w:rPr>
          <w:rFonts w:ascii="GHEA Grapalat" w:hAnsi="GHEA Grapalat" w:cs="GHEA Grapalat"/>
          <w:sz w:val="22"/>
          <w:szCs w:val="22"/>
          <w:lang w:val="en-US"/>
        </w:rPr>
        <w:t xml:space="preserve"> ՀՀ արդարադատության նախարարությանը)</w:t>
      </w:r>
      <w:r w:rsidR="009B409B" w:rsidRPr="00C921DE">
        <w:rPr>
          <w:rFonts w:ascii="GHEA Grapalat" w:hAnsi="GHEA Grapalat" w:cs="GHEA Grapalat"/>
          <w:sz w:val="22"/>
          <w:szCs w:val="22"/>
          <w:lang w:val="en-US"/>
        </w:rPr>
        <w:t xml:space="preserve"> </w:t>
      </w:r>
      <w:r w:rsidR="001556D3" w:rsidRPr="00C921DE">
        <w:rPr>
          <w:rFonts w:ascii="GHEA Grapalat" w:hAnsi="GHEA Grapalat" w:cs="GHEA Grapalat"/>
          <w:sz w:val="22"/>
          <w:szCs w:val="22"/>
        </w:rPr>
        <w:t>համեմատ</w:t>
      </w:r>
      <w:r w:rsidR="00B52F08" w:rsidRPr="00C921DE">
        <w:rPr>
          <w:rFonts w:ascii="GHEA Grapalat" w:hAnsi="GHEA Grapalat" w:cs="Sylfaen"/>
          <w:sz w:val="22"/>
          <w:szCs w:val="22"/>
        </w:rPr>
        <w:t xml:space="preserve"> նախարարության ծախսերում արձանագրվել է</w:t>
      </w:r>
      <w:r w:rsidR="001556D3" w:rsidRPr="00C921DE">
        <w:rPr>
          <w:rFonts w:ascii="GHEA Grapalat" w:hAnsi="GHEA Grapalat" w:cs="Sylfaen"/>
          <w:sz w:val="22"/>
          <w:szCs w:val="22"/>
        </w:rPr>
        <w:t xml:space="preserve"> 8.3% (16.8 մլրդ դրամ) </w:t>
      </w:r>
      <w:r w:rsidR="001556D3" w:rsidRPr="00C921DE">
        <w:rPr>
          <w:rFonts w:ascii="GHEA Grapalat" w:hAnsi="GHEA Grapalat" w:cs="GHEA Grapalat"/>
          <w:sz w:val="22"/>
          <w:szCs w:val="22"/>
        </w:rPr>
        <w:t>աճ</w:t>
      </w:r>
      <w:r w:rsidR="00B52F08" w:rsidRPr="00C921DE">
        <w:rPr>
          <w:rFonts w:ascii="GHEA Grapalat" w:hAnsi="GHEA Grapalat" w:cs="GHEA Grapalat"/>
          <w:sz w:val="22"/>
          <w:szCs w:val="22"/>
          <w:lang w:val="en-US"/>
        </w:rPr>
        <w:t>, որ</w:t>
      </w:r>
      <w:r w:rsidR="001556D3" w:rsidRPr="00C921DE">
        <w:rPr>
          <w:rFonts w:ascii="GHEA Grapalat" w:hAnsi="GHEA Grapalat" w:cs="GHEA Grapalat"/>
          <w:sz w:val="22"/>
          <w:szCs w:val="22"/>
        </w:rPr>
        <w:t xml:space="preserve">ը հիմնականում </w:t>
      </w:r>
      <w:r w:rsidR="00E269F9" w:rsidRPr="00C921DE">
        <w:rPr>
          <w:rFonts w:ascii="GHEA Grapalat" w:hAnsi="GHEA Grapalat" w:cs="GHEA Grapalat"/>
          <w:sz w:val="22"/>
          <w:szCs w:val="22"/>
          <w:lang w:val="en-US"/>
        </w:rPr>
        <w:t>պայմանավորված է</w:t>
      </w:r>
      <w:r w:rsidR="001556D3" w:rsidRPr="00C921DE">
        <w:rPr>
          <w:rFonts w:ascii="GHEA Grapalat" w:hAnsi="GHEA Grapalat" w:cs="Sylfaen"/>
          <w:sz w:val="22"/>
          <w:szCs w:val="22"/>
        </w:rPr>
        <w:t xml:space="preserve"> Հանրակրթության (11.6% կամ 12 մլրդ դրամ), Կրթության որակի ապահովման (74.</w:t>
      </w:r>
      <w:r w:rsidR="001556D3" w:rsidRPr="00C921DE">
        <w:rPr>
          <w:rFonts w:ascii="GHEA Grapalat" w:hAnsi="GHEA Grapalat" w:cs="Sylfaen"/>
          <w:sz w:val="22"/>
          <w:szCs w:val="22"/>
          <w:lang w:val="en-US"/>
        </w:rPr>
        <w:t>6</w:t>
      </w:r>
      <w:r w:rsidR="001556D3" w:rsidRPr="00C921DE">
        <w:rPr>
          <w:rFonts w:ascii="GHEA Grapalat" w:hAnsi="GHEA Grapalat" w:cs="Sylfaen"/>
          <w:sz w:val="22"/>
          <w:szCs w:val="22"/>
        </w:rPr>
        <w:t xml:space="preserve">% </w:t>
      </w:r>
      <w:r w:rsidR="001556D3" w:rsidRPr="00C921DE">
        <w:rPr>
          <w:rFonts w:ascii="GHEA Grapalat" w:hAnsi="GHEA Grapalat" w:cs="Sylfaen"/>
          <w:sz w:val="22"/>
          <w:szCs w:val="22"/>
          <w:lang w:val="en-US"/>
        </w:rPr>
        <w:t xml:space="preserve">կամ </w:t>
      </w:r>
      <w:r w:rsidR="001556D3" w:rsidRPr="00C921DE">
        <w:rPr>
          <w:rFonts w:ascii="GHEA Grapalat" w:hAnsi="GHEA Grapalat" w:cs="Sylfaen"/>
          <w:sz w:val="22"/>
          <w:szCs w:val="22"/>
        </w:rPr>
        <w:t>3 մլրդ դրամ) և Արվեստների (</w:t>
      </w:r>
      <w:r w:rsidR="001556D3" w:rsidRPr="00C921DE">
        <w:rPr>
          <w:rFonts w:ascii="GHEA Grapalat" w:hAnsi="GHEA Grapalat" w:cs="Sylfaen"/>
          <w:sz w:val="22"/>
          <w:szCs w:val="22"/>
          <w:lang w:val="en-US"/>
        </w:rPr>
        <w:t>17.2</w:t>
      </w:r>
      <w:r w:rsidR="001556D3" w:rsidRPr="00C921DE">
        <w:rPr>
          <w:rFonts w:ascii="GHEA Grapalat" w:hAnsi="GHEA Grapalat" w:cs="Sylfaen"/>
          <w:sz w:val="22"/>
          <w:szCs w:val="22"/>
        </w:rPr>
        <w:t>%</w:t>
      </w:r>
      <w:r w:rsidR="001556D3" w:rsidRPr="00C921DE">
        <w:rPr>
          <w:rFonts w:ascii="GHEA Grapalat" w:hAnsi="GHEA Grapalat" w:cs="Sylfaen"/>
          <w:sz w:val="22"/>
          <w:szCs w:val="22"/>
          <w:lang w:val="en-US"/>
        </w:rPr>
        <w:t xml:space="preserve"> կամ</w:t>
      </w:r>
      <w:r w:rsidR="001556D3" w:rsidRPr="00C921DE">
        <w:rPr>
          <w:rFonts w:ascii="GHEA Grapalat" w:hAnsi="GHEA Grapalat" w:cs="Sylfaen"/>
          <w:sz w:val="22"/>
          <w:szCs w:val="22"/>
        </w:rPr>
        <w:t xml:space="preserve"> 1.8 մլրդ դրամ) ծրագրերի շրջանակներում կատարված ծախսերի </w:t>
      </w:r>
      <w:r w:rsidR="00E269F9" w:rsidRPr="00C921DE">
        <w:rPr>
          <w:rFonts w:ascii="GHEA Grapalat" w:hAnsi="GHEA Grapalat" w:cs="Sylfaen"/>
          <w:sz w:val="22"/>
          <w:szCs w:val="22"/>
        </w:rPr>
        <w:t>աճով</w:t>
      </w:r>
      <w:r w:rsidR="001556D3" w:rsidRPr="00C921DE">
        <w:rPr>
          <w:rFonts w:ascii="GHEA Grapalat" w:hAnsi="GHEA Grapalat" w:cs="GHEA Grapalat"/>
          <w:sz w:val="22"/>
          <w:szCs w:val="22"/>
        </w:rPr>
        <w:t>:</w:t>
      </w:r>
    </w:p>
    <w:p w14:paraId="466DACC2" w14:textId="77777777" w:rsidR="009432DE" w:rsidRPr="00C921DE" w:rsidRDefault="009432DE" w:rsidP="00B134DD">
      <w:pPr>
        <w:autoSpaceDE w:val="0"/>
        <w:autoSpaceDN w:val="0"/>
        <w:adjustRightInd w:val="0"/>
        <w:ind w:firstLine="567"/>
        <w:jc w:val="both"/>
        <w:rPr>
          <w:rFonts w:ascii="GHEA Grapalat" w:hAnsi="GHEA Grapalat" w:cs="Sylfaen"/>
          <w:sz w:val="22"/>
          <w:szCs w:val="22"/>
        </w:rPr>
      </w:pPr>
    </w:p>
    <w:p w14:paraId="788965FD" w14:textId="77777777" w:rsidR="001556D3" w:rsidRPr="00C921DE" w:rsidRDefault="001556D3" w:rsidP="001556D3">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2023թ. ՀՀ կրթության, գիտության, մշակույթի և սպորտի նախարարության կողմից իրականացված ծրագրերը (մլն դրամ)</w:t>
      </w:r>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1"/>
        <w:gridCol w:w="1325"/>
        <w:gridCol w:w="1087"/>
        <w:gridCol w:w="1309"/>
        <w:gridCol w:w="1280"/>
        <w:gridCol w:w="1280"/>
        <w:gridCol w:w="1142"/>
      </w:tblGrid>
      <w:tr w:rsidR="00D61F4C" w:rsidRPr="00C921DE" w14:paraId="4C1D27D9" w14:textId="77777777" w:rsidTr="001556D3">
        <w:trPr>
          <w:trHeight w:val="300"/>
          <w:jc w:val="center"/>
        </w:trPr>
        <w:tc>
          <w:tcPr>
            <w:tcW w:w="2751" w:type="dxa"/>
            <w:noWrap/>
            <w:vAlign w:val="bottom"/>
          </w:tcPr>
          <w:p w14:paraId="4A1AA11B" w14:textId="77777777" w:rsidR="00D61F4C" w:rsidRPr="00C921DE" w:rsidRDefault="00D61F4C" w:rsidP="00D61F4C">
            <w:pPr>
              <w:rPr>
                <w:sz w:val="18"/>
                <w:szCs w:val="18"/>
              </w:rPr>
            </w:pPr>
          </w:p>
        </w:tc>
        <w:tc>
          <w:tcPr>
            <w:tcW w:w="1325" w:type="dxa"/>
          </w:tcPr>
          <w:p w14:paraId="7AA36EEF"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2022թ. փաստ </w:t>
            </w:r>
          </w:p>
          <w:p w14:paraId="6AE3B6C4"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(2023թ. հետ համադրելի)</w:t>
            </w:r>
          </w:p>
        </w:tc>
        <w:tc>
          <w:tcPr>
            <w:tcW w:w="1087" w:type="dxa"/>
          </w:tcPr>
          <w:p w14:paraId="3CE7656E" w14:textId="2122F13F"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309" w:type="dxa"/>
            <w:noWrap/>
          </w:tcPr>
          <w:p w14:paraId="142AF9EA" w14:textId="5B1F0B5A"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80" w:type="dxa"/>
          </w:tcPr>
          <w:p w14:paraId="6C4617A2" w14:textId="0A50DF49"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80" w:type="dxa"/>
          </w:tcPr>
          <w:p w14:paraId="6B40A397" w14:textId="2695B9DC" w:rsidR="00D61F4C" w:rsidRPr="00C921DE" w:rsidRDefault="00D61F4C" w:rsidP="00D61F4C">
            <w:pPr>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142" w:type="dxa"/>
          </w:tcPr>
          <w:p w14:paraId="29D0D8E2"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bCs/>
                <w:sz w:val="18"/>
                <w:szCs w:val="18"/>
              </w:rPr>
              <w:t>2023թ. և 2022թ. տարբե-րությունը</w:t>
            </w:r>
          </w:p>
        </w:tc>
      </w:tr>
      <w:tr w:rsidR="001556D3" w:rsidRPr="00C921DE" w14:paraId="7F7430B1" w14:textId="77777777" w:rsidTr="001556D3">
        <w:trPr>
          <w:trHeight w:val="331"/>
          <w:jc w:val="center"/>
        </w:trPr>
        <w:tc>
          <w:tcPr>
            <w:tcW w:w="2751" w:type="dxa"/>
            <w:vAlign w:val="bottom"/>
          </w:tcPr>
          <w:p w14:paraId="158E9031" w14:textId="77777777" w:rsidR="001556D3" w:rsidRPr="00C921DE" w:rsidRDefault="001556D3" w:rsidP="001556D3">
            <w:pPr>
              <w:rPr>
                <w:rFonts w:ascii="GHEA Grapalat" w:hAnsi="GHEA Grapalat" w:cs="Calibri"/>
                <w:b/>
                <w:sz w:val="18"/>
                <w:szCs w:val="18"/>
              </w:rPr>
            </w:pPr>
            <w:r w:rsidRPr="00C921DE">
              <w:rPr>
                <w:rFonts w:ascii="GHEA Grapalat" w:hAnsi="GHEA Grapalat" w:cs="Calibri"/>
                <w:b/>
                <w:sz w:val="18"/>
                <w:szCs w:val="18"/>
              </w:rPr>
              <w:t>ԸՆԴԱՄԵՆԸ</w:t>
            </w:r>
          </w:p>
        </w:tc>
        <w:tc>
          <w:tcPr>
            <w:tcW w:w="1325" w:type="dxa"/>
            <w:vAlign w:val="bottom"/>
          </w:tcPr>
          <w:p w14:paraId="193E71E8" w14:textId="77777777" w:rsidR="001556D3" w:rsidRPr="00C921DE" w:rsidRDefault="001556D3" w:rsidP="001556D3">
            <w:pPr>
              <w:jc w:val="right"/>
              <w:rPr>
                <w:rFonts w:ascii="GHEA Grapalat" w:hAnsi="GHEA Grapalat"/>
                <w:b/>
                <w:noProof w:val="0"/>
                <w:sz w:val="18"/>
                <w:szCs w:val="18"/>
                <w:lang w:val="en-US"/>
              </w:rPr>
            </w:pPr>
            <w:r w:rsidRPr="00C921DE">
              <w:rPr>
                <w:rFonts w:ascii="GHEA Grapalat" w:hAnsi="GHEA Grapalat"/>
                <w:b/>
                <w:sz w:val="18"/>
                <w:szCs w:val="18"/>
              </w:rPr>
              <w:t>202,004.2</w:t>
            </w:r>
          </w:p>
        </w:tc>
        <w:tc>
          <w:tcPr>
            <w:tcW w:w="1087" w:type="dxa"/>
            <w:vAlign w:val="bottom"/>
          </w:tcPr>
          <w:p w14:paraId="0BA49D69" w14:textId="77777777" w:rsidR="001556D3" w:rsidRPr="00C921DE" w:rsidRDefault="001556D3" w:rsidP="001556D3">
            <w:pPr>
              <w:jc w:val="right"/>
              <w:rPr>
                <w:rFonts w:ascii="GHEA Grapalat" w:hAnsi="GHEA Grapalat"/>
                <w:b/>
                <w:noProof w:val="0"/>
                <w:sz w:val="18"/>
                <w:szCs w:val="18"/>
                <w:lang w:val="en-US"/>
              </w:rPr>
            </w:pPr>
            <w:r w:rsidRPr="00C921DE">
              <w:rPr>
                <w:rFonts w:ascii="GHEA Grapalat" w:hAnsi="GHEA Grapalat"/>
                <w:b/>
                <w:sz w:val="18"/>
                <w:szCs w:val="18"/>
              </w:rPr>
              <w:t>232,998.4</w:t>
            </w:r>
          </w:p>
        </w:tc>
        <w:tc>
          <w:tcPr>
            <w:tcW w:w="1309" w:type="dxa"/>
            <w:vAlign w:val="bottom"/>
          </w:tcPr>
          <w:p w14:paraId="45378D9A"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218,780.2</w:t>
            </w:r>
          </w:p>
        </w:tc>
        <w:tc>
          <w:tcPr>
            <w:tcW w:w="1280" w:type="dxa"/>
            <w:vAlign w:val="bottom"/>
          </w:tcPr>
          <w:p w14:paraId="7F401938"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93.9</w:t>
            </w:r>
          </w:p>
        </w:tc>
        <w:tc>
          <w:tcPr>
            <w:tcW w:w="1280" w:type="dxa"/>
            <w:vAlign w:val="bottom"/>
          </w:tcPr>
          <w:p w14:paraId="59147619"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108.3</w:t>
            </w:r>
          </w:p>
        </w:tc>
        <w:tc>
          <w:tcPr>
            <w:tcW w:w="1142" w:type="dxa"/>
            <w:vAlign w:val="bottom"/>
          </w:tcPr>
          <w:p w14:paraId="0103878F"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16,776.0</w:t>
            </w:r>
          </w:p>
        </w:tc>
      </w:tr>
      <w:tr w:rsidR="001556D3" w:rsidRPr="00C921DE" w14:paraId="6CFD467A" w14:textId="77777777" w:rsidTr="001556D3">
        <w:trPr>
          <w:trHeight w:val="331"/>
          <w:jc w:val="center"/>
        </w:trPr>
        <w:tc>
          <w:tcPr>
            <w:tcW w:w="2751" w:type="dxa"/>
            <w:vAlign w:val="bottom"/>
          </w:tcPr>
          <w:p w14:paraId="277CFBE7"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Մեծ նվաճումների սպորտ</w:t>
            </w:r>
          </w:p>
        </w:tc>
        <w:tc>
          <w:tcPr>
            <w:tcW w:w="1325" w:type="dxa"/>
            <w:vAlign w:val="bottom"/>
          </w:tcPr>
          <w:p w14:paraId="00D886D7"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8,172.6</w:t>
            </w:r>
          </w:p>
        </w:tc>
        <w:tc>
          <w:tcPr>
            <w:tcW w:w="1087" w:type="dxa"/>
            <w:vAlign w:val="bottom"/>
          </w:tcPr>
          <w:p w14:paraId="0DB9A93F"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8,317.8</w:t>
            </w:r>
          </w:p>
        </w:tc>
        <w:tc>
          <w:tcPr>
            <w:tcW w:w="1309" w:type="dxa"/>
            <w:vAlign w:val="bottom"/>
          </w:tcPr>
          <w:p w14:paraId="269E7FC6"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8,213.9</w:t>
            </w:r>
          </w:p>
        </w:tc>
        <w:tc>
          <w:tcPr>
            <w:tcW w:w="1280" w:type="dxa"/>
            <w:vAlign w:val="bottom"/>
          </w:tcPr>
          <w:p w14:paraId="2998A284"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98.8</w:t>
            </w:r>
          </w:p>
        </w:tc>
        <w:tc>
          <w:tcPr>
            <w:tcW w:w="1280" w:type="dxa"/>
            <w:vAlign w:val="bottom"/>
          </w:tcPr>
          <w:p w14:paraId="5F9F5A09"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100.5</w:t>
            </w:r>
          </w:p>
        </w:tc>
        <w:tc>
          <w:tcPr>
            <w:tcW w:w="1142" w:type="dxa"/>
            <w:vAlign w:val="bottom"/>
          </w:tcPr>
          <w:p w14:paraId="7F4DF6AD"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41.4</w:t>
            </w:r>
          </w:p>
        </w:tc>
      </w:tr>
      <w:tr w:rsidR="001556D3" w:rsidRPr="00C921DE" w14:paraId="1E4047F0" w14:textId="77777777" w:rsidTr="001556D3">
        <w:trPr>
          <w:trHeight w:val="300"/>
          <w:jc w:val="center"/>
        </w:trPr>
        <w:tc>
          <w:tcPr>
            <w:tcW w:w="2751" w:type="dxa"/>
            <w:vAlign w:val="bottom"/>
          </w:tcPr>
          <w:p w14:paraId="4B85AB6F"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Նախնական (արհեստագործական) և միջին մասնագիտական կրթություն</w:t>
            </w:r>
          </w:p>
        </w:tc>
        <w:tc>
          <w:tcPr>
            <w:tcW w:w="1325" w:type="dxa"/>
            <w:vAlign w:val="bottom"/>
          </w:tcPr>
          <w:p w14:paraId="620E9791"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10,814.2</w:t>
            </w:r>
          </w:p>
        </w:tc>
        <w:tc>
          <w:tcPr>
            <w:tcW w:w="1087" w:type="dxa"/>
            <w:vAlign w:val="bottom"/>
          </w:tcPr>
          <w:p w14:paraId="64D97223"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12,283.0</w:t>
            </w:r>
          </w:p>
        </w:tc>
        <w:tc>
          <w:tcPr>
            <w:tcW w:w="1309" w:type="dxa"/>
            <w:vAlign w:val="bottom"/>
          </w:tcPr>
          <w:p w14:paraId="04FC881A"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10,955.8</w:t>
            </w:r>
          </w:p>
        </w:tc>
        <w:tc>
          <w:tcPr>
            <w:tcW w:w="1280" w:type="dxa"/>
            <w:vAlign w:val="bottom"/>
          </w:tcPr>
          <w:p w14:paraId="66FE09B0"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89.2</w:t>
            </w:r>
          </w:p>
        </w:tc>
        <w:tc>
          <w:tcPr>
            <w:tcW w:w="1280" w:type="dxa"/>
            <w:vAlign w:val="bottom"/>
          </w:tcPr>
          <w:p w14:paraId="3AC68047"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101.3</w:t>
            </w:r>
          </w:p>
        </w:tc>
        <w:tc>
          <w:tcPr>
            <w:tcW w:w="1142" w:type="dxa"/>
            <w:vAlign w:val="bottom"/>
          </w:tcPr>
          <w:p w14:paraId="6C33E760"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141.6</w:t>
            </w:r>
          </w:p>
        </w:tc>
      </w:tr>
      <w:tr w:rsidR="001556D3" w:rsidRPr="00C921DE" w14:paraId="449ED081" w14:textId="77777777" w:rsidTr="001556D3">
        <w:trPr>
          <w:trHeight w:val="300"/>
          <w:jc w:val="center"/>
        </w:trPr>
        <w:tc>
          <w:tcPr>
            <w:tcW w:w="2751" w:type="dxa"/>
            <w:vAlign w:val="bottom"/>
          </w:tcPr>
          <w:p w14:paraId="2314719F"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Բարձրագույն և հետբուհական մասնագիտական կրթության ծրագիր</w:t>
            </w:r>
          </w:p>
        </w:tc>
        <w:tc>
          <w:tcPr>
            <w:tcW w:w="1325" w:type="dxa"/>
            <w:vAlign w:val="bottom"/>
          </w:tcPr>
          <w:p w14:paraId="62579369"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12,373.5</w:t>
            </w:r>
          </w:p>
        </w:tc>
        <w:tc>
          <w:tcPr>
            <w:tcW w:w="1087" w:type="dxa"/>
            <w:vAlign w:val="bottom"/>
          </w:tcPr>
          <w:p w14:paraId="54BF1B41"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13,536.8</w:t>
            </w:r>
          </w:p>
        </w:tc>
        <w:tc>
          <w:tcPr>
            <w:tcW w:w="1309" w:type="dxa"/>
            <w:vAlign w:val="bottom"/>
          </w:tcPr>
          <w:p w14:paraId="42856CF9"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12,725.4</w:t>
            </w:r>
          </w:p>
        </w:tc>
        <w:tc>
          <w:tcPr>
            <w:tcW w:w="1280" w:type="dxa"/>
            <w:vAlign w:val="bottom"/>
          </w:tcPr>
          <w:p w14:paraId="13B25690"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94.0</w:t>
            </w:r>
          </w:p>
        </w:tc>
        <w:tc>
          <w:tcPr>
            <w:tcW w:w="1280" w:type="dxa"/>
            <w:vAlign w:val="bottom"/>
          </w:tcPr>
          <w:p w14:paraId="3BAF9E71"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102.8</w:t>
            </w:r>
          </w:p>
        </w:tc>
        <w:tc>
          <w:tcPr>
            <w:tcW w:w="1142" w:type="dxa"/>
            <w:vAlign w:val="bottom"/>
          </w:tcPr>
          <w:p w14:paraId="5B5E1D81"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351.9</w:t>
            </w:r>
          </w:p>
        </w:tc>
      </w:tr>
      <w:tr w:rsidR="001556D3" w:rsidRPr="00C921DE" w14:paraId="2A8D4BB6" w14:textId="77777777" w:rsidTr="001556D3">
        <w:trPr>
          <w:trHeight w:val="300"/>
          <w:jc w:val="center"/>
        </w:trPr>
        <w:tc>
          <w:tcPr>
            <w:tcW w:w="2751" w:type="dxa"/>
            <w:vAlign w:val="bottom"/>
          </w:tcPr>
          <w:p w14:paraId="1BB1BB42"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Հանրակրթության ծրագիր</w:t>
            </w:r>
          </w:p>
        </w:tc>
        <w:tc>
          <w:tcPr>
            <w:tcW w:w="1325" w:type="dxa"/>
            <w:vAlign w:val="bottom"/>
          </w:tcPr>
          <w:p w14:paraId="0C699704"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103,305.7</w:t>
            </w:r>
          </w:p>
        </w:tc>
        <w:tc>
          <w:tcPr>
            <w:tcW w:w="1087" w:type="dxa"/>
            <w:vAlign w:val="bottom"/>
          </w:tcPr>
          <w:p w14:paraId="49D3253B"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118,714.5</w:t>
            </w:r>
          </w:p>
        </w:tc>
        <w:tc>
          <w:tcPr>
            <w:tcW w:w="1309" w:type="dxa"/>
            <w:vAlign w:val="bottom"/>
          </w:tcPr>
          <w:p w14:paraId="44482BCA"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115,33</w:t>
            </w:r>
            <w:r w:rsidRPr="00C921DE">
              <w:rPr>
                <w:rFonts w:ascii="GHEA Grapalat" w:hAnsi="GHEA Grapalat"/>
                <w:sz w:val="18"/>
                <w:szCs w:val="18"/>
                <w:lang w:val="en-US"/>
              </w:rPr>
              <w:t>2</w:t>
            </w:r>
            <w:r w:rsidRPr="00C921DE">
              <w:rPr>
                <w:rFonts w:ascii="GHEA Grapalat" w:hAnsi="GHEA Grapalat"/>
                <w:sz w:val="18"/>
                <w:szCs w:val="18"/>
              </w:rPr>
              <w:t>.</w:t>
            </w:r>
            <w:r w:rsidRPr="00C921DE">
              <w:rPr>
                <w:rFonts w:ascii="GHEA Grapalat" w:hAnsi="GHEA Grapalat"/>
                <w:sz w:val="18"/>
                <w:szCs w:val="18"/>
                <w:lang w:val="en-US"/>
              </w:rPr>
              <w:t>5</w:t>
            </w:r>
          </w:p>
        </w:tc>
        <w:tc>
          <w:tcPr>
            <w:tcW w:w="1280" w:type="dxa"/>
            <w:vAlign w:val="bottom"/>
          </w:tcPr>
          <w:p w14:paraId="1FC4B8AE"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97.2</w:t>
            </w:r>
          </w:p>
        </w:tc>
        <w:tc>
          <w:tcPr>
            <w:tcW w:w="1280" w:type="dxa"/>
            <w:vAlign w:val="bottom"/>
          </w:tcPr>
          <w:p w14:paraId="58EDABF3"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111.6</w:t>
            </w:r>
          </w:p>
        </w:tc>
        <w:tc>
          <w:tcPr>
            <w:tcW w:w="1142" w:type="dxa"/>
            <w:vAlign w:val="bottom"/>
          </w:tcPr>
          <w:p w14:paraId="30EA60B8"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12,0</w:t>
            </w:r>
            <w:r w:rsidRPr="00C921DE">
              <w:rPr>
                <w:rFonts w:ascii="GHEA Grapalat" w:hAnsi="GHEA Grapalat"/>
                <w:sz w:val="18"/>
                <w:szCs w:val="18"/>
                <w:lang w:val="en-US"/>
              </w:rPr>
              <w:t>26</w:t>
            </w:r>
            <w:r w:rsidRPr="00C921DE">
              <w:rPr>
                <w:rFonts w:ascii="GHEA Grapalat" w:hAnsi="GHEA Grapalat"/>
                <w:sz w:val="18"/>
                <w:szCs w:val="18"/>
              </w:rPr>
              <w:t>.</w:t>
            </w:r>
            <w:r w:rsidRPr="00C921DE">
              <w:rPr>
                <w:rFonts w:ascii="GHEA Grapalat" w:hAnsi="GHEA Grapalat"/>
                <w:sz w:val="18"/>
                <w:szCs w:val="18"/>
                <w:lang w:val="en-US"/>
              </w:rPr>
              <w:t>7</w:t>
            </w:r>
          </w:p>
        </w:tc>
      </w:tr>
      <w:tr w:rsidR="001556D3" w:rsidRPr="00C921DE" w14:paraId="06BAFB1D" w14:textId="77777777" w:rsidTr="001556D3">
        <w:trPr>
          <w:trHeight w:val="300"/>
          <w:jc w:val="center"/>
        </w:trPr>
        <w:tc>
          <w:tcPr>
            <w:tcW w:w="2751" w:type="dxa"/>
            <w:vAlign w:val="bottom"/>
          </w:tcPr>
          <w:p w14:paraId="099E48EE"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Գիտական և գիտատեխնիկական հետազոտությունների ծրագիր</w:t>
            </w:r>
          </w:p>
        </w:tc>
        <w:tc>
          <w:tcPr>
            <w:tcW w:w="1325" w:type="dxa"/>
            <w:vAlign w:val="bottom"/>
          </w:tcPr>
          <w:p w14:paraId="186094B3"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22,154.0</w:t>
            </w:r>
          </w:p>
        </w:tc>
        <w:tc>
          <w:tcPr>
            <w:tcW w:w="1087" w:type="dxa"/>
            <w:vAlign w:val="bottom"/>
          </w:tcPr>
          <w:p w14:paraId="4C356062"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25,061.5</w:t>
            </w:r>
          </w:p>
        </w:tc>
        <w:tc>
          <w:tcPr>
            <w:tcW w:w="1309" w:type="dxa"/>
            <w:vAlign w:val="bottom"/>
          </w:tcPr>
          <w:p w14:paraId="36BF62C6"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22,664.8</w:t>
            </w:r>
          </w:p>
        </w:tc>
        <w:tc>
          <w:tcPr>
            <w:tcW w:w="1280" w:type="dxa"/>
            <w:vAlign w:val="bottom"/>
          </w:tcPr>
          <w:p w14:paraId="673D113B"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90.4</w:t>
            </w:r>
          </w:p>
        </w:tc>
        <w:tc>
          <w:tcPr>
            <w:tcW w:w="1280" w:type="dxa"/>
            <w:vAlign w:val="bottom"/>
          </w:tcPr>
          <w:p w14:paraId="2CCAF354"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102.3</w:t>
            </w:r>
          </w:p>
        </w:tc>
        <w:tc>
          <w:tcPr>
            <w:tcW w:w="1142" w:type="dxa"/>
            <w:vAlign w:val="bottom"/>
          </w:tcPr>
          <w:p w14:paraId="00E5B0C4"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510.7</w:t>
            </w:r>
          </w:p>
        </w:tc>
      </w:tr>
      <w:tr w:rsidR="001556D3" w:rsidRPr="00C921DE" w14:paraId="007FB0AF" w14:textId="77777777" w:rsidTr="001556D3">
        <w:trPr>
          <w:trHeight w:val="300"/>
          <w:jc w:val="center"/>
        </w:trPr>
        <w:tc>
          <w:tcPr>
            <w:tcW w:w="2751" w:type="dxa"/>
            <w:vAlign w:val="bottom"/>
          </w:tcPr>
          <w:p w14:paraId="4E404BF2"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Արվեստների ծրագիր</w:t>
            </w:r>
          </w:p>
        </w:tc>
        <w:tc>
          <w:tcPr>
            <w:tcW w:w="1325" w:type="dxa"/>
            <w:vAlign w:val="bottom"/>
          </w:tcPr>
          <w:p w14:paraId="13AE620A"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10,691.6</w:t>
            </w:r>
          </w:p>
        </w:tc>
        <w:tc>
          <w:tcPr>
            <w:tcW w:w="1087" w:type="dxa"/>
            <w:vAlign w:val="bottom"/>
          </w:tcPr>
          <w:p w14:paraId="23F3D0A2"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13,034.8</w:t>
            </w:r>
          </w:p>
        </w:tc>
        <w:tc>
          <w:tcPr>
            <w:tcW w:w="1309" w:type="dxa"/>
            <w:vAlign w:val="bottom"/>
          </w:tcPr>
          <w:p w14:paraId="5B9796C4"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12,529.1</w:t>
            </w:r>
          </w:p>
        </w:tc>
        <w:tc>
          <w:tcPr>
            <w:tcW w:w="1280" w:type="dxa"/>
            <w:vAlign w:val="bottom"/>
          </w:tcPr>
          <w:p w14:paraId="617FB4B8"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96.1</w:t>
            </w:r>
          </w:p>
        </w:tc>
        <w:tc>
          <w:tcPr>
            <w:tcW w:w="1280" w:type="dxa"/>
            <w:vAlign w:val="bottom"/>
          </w:tcPr>
          <w:p w14:paraId="7B44D6AC"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117.2</w:t>
            </w:r>
          </w:p>
        </w:tc>
        <w:tc>
          <w:tcPr>
            <w:tcW w:w="1142" w:type="dxa"/>
            <w:vAlign w:val="bottom"/>
          </w:tcPr>
          <w:p w14:paraId="1AEC90E7"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1,837.6</w:t>
            </w:r>
          </w:p>
        </w:tc>
      </w:tr>
      <w:tr w:rsidR="001556D3" w:rsidRPr="00C921DE" w14:paraId="74C45820" w14:textId="77777777" w:rsidTr="001556D3">
        <w:trPr>
          <w:trHeight w:val="332"/>
          <w:jc w:val="center"/>
        </w:trPr>
        <w:tc>
          <w:tcPr>
            <w:tcW w:w="2751" w:type="dxa"/>
            <w:vAlign w:val="bottom"/>
          </w:tcPr>
          <w:p w14:paraId="3DA9D6FB"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Ապահով դպրոց</w:t>
            </w:r>
          </w:p>
        </w:tc>
        <w:tc>
          <w:tcPr>
            <w:tcW w:w="1325" w:type="dxa"/>
            <w:vAlign w:val="bottom"/>
          </w:tcPr>
          <w:p w14:paraId="37A937DF"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10,511.5</w:t>
            </w:r>
          </w:p>
        </w:tc>
        <w:tc>
          <w:tcPr>
            <w:tcW w:w="1087" w:type="dxa"/>
            <w:vAlign w:val="bottom"/>
          </w:tcPr>
          <w:p w14:paraId="71D13F66"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10,080.0</w:t>
            </w:r>
          </w:p>
        </w:tc>
        <w:tc>
          <w:tcPr>
            <w:tcW w:w="1309" w:type="dxa"/>
            <w:vAlign w:val="bottom"/>
          </w:tcPr>
          <w:p w14:paraId="037A20A6"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7,6</w:t>
            </w:r>
            <w:r w:rsidRPr="00C921DE">
              <w:rPr>
                <w:rFonts w:ascii="GHEA Grapalat" w:hAnsi="GHEA Grapalat"/>
                <w:sz w:val="18"/>
                <w:szCs w:val="18"/>
                <w:lang w:val="en-US"/>
              </w:rPr>
              <w:t>6</w:t>
            </w:r>
            <w:r w:rsidRPr="00C921DE">
              <w:rPr>
                <w:rFonts w:ascii="GHEA Grapalat" w:hAnsi="GHEA Grapalat"/>
                <w:sz w:val="18"/>
                <w:szCs w:val="18"/>
              </w:rPr>
              <w:t>7.</w:t>
            </w:r>
            <w:r w:rsidRPr="00C921DE">
              <w:rPr>
                <w:rFonts w:ascii="GHEA Grapalat" w:hAnsi="GHEA Grapalat"/>
                <w:sz w:val="18"/>
                <w:szCs w:val="18"/>
                <w:lang w:val="en-US"/>
              </w:rPr>
              <w:t>5</w:t>
            </w:r>
          </w:p>
        </w:tc>
        <w:tc>
          <w:tcPr>
            <w:tcW w:w="1280" w:type="dxa"/>
            <w:vAlign w:val="bottom"/>
          </w:tcPr>
          <w:p w14:paraId="7F4325B1"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76.</w:t>
            </w:r>
            <w:r w:rsidRPr="00C921DE">
              <w:rPr>
                <w:rFonts w:ascii="GHEA Grapalat" w:hAnsi="GHEA Grapalat"/>
                <w:sz w:val="18"/>
                <w:szCs w:val="18"/>
                <w:lang w:val="en-US"/>
              </w:rPr>
              <w:t>1</w:t>
            </w:r>
          </w:p>
        </w:tc>
        <w:tc>
          <w:tcPr>
            <w:tcW w:w="1280" w:type="dxa"/>
            <w:vAlign w:val="bottom"/>
          </w:tcPr>
          <w:p w14:paraId="4E09E9A4"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72.6</w:t>
            </w:r>
          </w:p>
        </w:tc>
        <w:tc>
          <w:tcPr>
            <w:tcW w:w="1142" w:type="dxa"/>
            <w:vAlign w:val="bottom"/>
          </w:tcPr>
          <w:p w14:paraId="6D55199C"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(2,844.0)</w:t>
            </w:r>
          </w:p>
        </w:tc>
      </w:tr>
      <w:tr w:rsidR="001556D3" w:rsidRPr="00C921DE" w14:paraId="6D26EBD5" w14:textId="77777777" w:rsidTr="001556D3">
        <w:trPr>
          <w:trHeight w:val="332"/>
          <w:jc w:val="center"/>
        </w:trPr>
        <w:tc>
          <w:tcPr>
            <w:tcW w:w="2751" w:type="dxa"/>
            <w:vAlign w:val="bottom"/>
          </w:tcPr>
          <w:p w14:paraId="2B75B78A"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Կրթության որակի ապահովում</w:t>
            </w:r>
          </w:p>
        </w:tc>
        <w:tc>
          <w:tcPr>
            <w:tcW w:w="1325" w:type="dxa"/>
            <w:vAlign w:val="bottom"/>
          </w:tcPr>
          <w:p w14:paraId="5E0F02F8"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3,995.4</w:t>
            </w:r>
          </w:p>
        </w:tc>
        <w:tc>
          <w:tcPr>
            <w:tcW w:w="1087" w:type="dxa"/>
            <w:vAlign w:val="bottom"/>
          </w:tcPr>
          <w:p w14:paraId="00F1DC22"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8,641.1</w:t>
            </w:r>
          </w:p>
        </w:tc>
        <w:tc>
          <w:tcPr>
            <w:tcW w:w="1309" w:type="dxa"/>
            <w:vAlign w:val="bottom"/>
          </w:tcPr>
          <w:p w14:paraId="5996B760"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6,975.0</w:t>
            </w:r>
          </w:p>
        </w:tc>
        <w:tc>
          <w:tcPr>
            <w:tcW w:w="1280" w:type="dxa"/>
            <w:vAlign w:val="bottom"/>
          </w:tcPr>
          <w:p w14:paraId="0605D278"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80.7</w:t>
            </w:r>
          </w:p>
        </w:tc>
        <w:tc>
          <w:tcPr>
            <w:tcW w:w="1280" w:type="dxa"/>
            <w:vAlign w:val="bottom"/>
          </w:tcPr>
          <w:p w14:paraId="2867F673"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174.6</w:t>
            </w:r>
          </w:p>
        </w:tc>
        <w:tc>
          <w:tcPr>
            <w:tcW w:w="1142" w:type="dxa"/>
            <w:vAlign w:val="bottom"/>
          </w:tcPr>
          <w:p w14:paraId="37665DBD"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2,979.6</w:t>
            </w:r>
          </w:p>
        </w:tc>
      </w:tr>
      <w:tr w:rsidR="001556D3" w:rsidRPr="00C921DE" w14:paraId="5D03D1CF" w14:textId="77777777" w:rsidTr="001556D3">
        <w:trPr>
          <w:trHeight w:val="300"/>
          <w:jc w:val="center"/>
        </w:trPr>
        <w:tc>
          <w:tcPr>
            <w:tcW w:w="2751" w:type="dxa"/>
            <w:vAlign w:val="bottom"/>
          </w:tcPr>
          <w:p w14:paraId="093231DC" w14:textId="77777777" w:rsidR="001556D3" w:rsidRPr="00C921DE" w:rsidRDefault="001556D3" w:rsidP="001556D3">
            <w:pPr>
              <w:rPr>
                <w:rFonts w:ascii="GHEA Grapalat" w:hAnsi="GHEA Grapalat" w:cs="Calibri"/>
                <w:sz w:val="18"/>
                <w:szCs w:val="18"/>
              </w:rPr>
            </w:pPr>
            <w:r w:rsidRPr="00C921DE">
              <w:rPr>
                <w:rFonts w:ascii="GHEA Grapalat" w:hAnsi="GHEA Grapalat" w:cs="Calibri"/>
                <w:sz w:val="18"/>
                <w:szCs w:val="18"/>
              </w:rPr>
              <w:t>Այլ ծրագրեր</w:t>
            </w:r>
          </w:p>
        </w:tc>
        <w:tc>
          <w:tcPr>
            <w:tcW w:w="1325" w:type="dxa"/>
            <w:vAlign w:val="bottom"/>
          </w:tcPr>
          <w:p w14:paraId="65AF728D"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19,985.6</w:t>
            </w:r>
          </w:p>
        </w:tc>
        <w:tc>
          <w:tcPr>
            <w:tcW w:w="1087" w:type="dxa"/>
            <w:vAlign w:val="bottom"/>
          </w:tcPr>
          <w:p w14:paraId="16CA7CD1"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23,328.9</w:t>
            </w:r>
          </w:p>
        </w:tc>
        <w:tc>
          <w:tcPr>
            <w:tcW w:w="1309" w:type="dxa"/>
            <w:vAlign w:val="bottom"/>
          </w:tcPr>
          <w:p w14:paraId="71231F7C"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21,716.2</w:t>
            </w:r>
          </w:p>
        </w:tc>
        <w:tc>
          <w:tcPr>
            <w:tcW w:w="1280" w:type="dxa"/>
            <w:vAlign w:val="bottom"/>
          </w:tcPr>
          <w:p w14:paraId="6B7BD5C6"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93.1</w:t>
            </w:r>
          </w:p>
        </w:tc>
        <w:tc>
          <w:tcPr>
            <w:tcW w:w="1280" w:type="dxa"/>
            <w:vAlign w:val="bottom"/>
          </w:tcPr>
          <w:p w14:paraId="08C50558"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108.7</w:t>
            </w:r>
          </w:p>
        </w:tc>
        <w:tc>
          <w:tcPr>
            <w:tcW w:w="1142" w:type="dxa"/>
            <w:vAlign w:val="bottom"/>
          </w:tcPr>
          <w:p w14:paraId="096AB08D"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1,730.6</w:t>
            </w:r>
          </w:p>
        </w:tc>
      </w:tr>
    </w:tbl>
    <w:p w14:paraId="7694E210" w14:textId="77777777" w:rsidR="001556D3" w:rsidRPr="00C921DE" w:rsidRDefault="001556D3" w:rsidP="009A2A08">
      <w:pPr>
        <w:autoSpaceDE w:val="0"/>
        <w:autoSpaceDN w:val="0"/>
        <w:adjustRightInd w:val="0"/>
        <w:spacing w:line="360" w:lineRule="auto"/>
        <w:ind w:firstLine="567"/>
        <w:jc w:val="both"/>
        <w:rPr>
          <w:rFonts w:ascii="GHEA Grapalat" w:hAnsi="GHEA Grapalat" w:cs="Sylfaen"/>
          <w:sz w:val="22"/>
          <w:szCs w:val="22"/>
        </w:rPr>
      </w:pPr>
    </w:p>
    <w:p w14:paraId="48B18748" w14:textId="5AA03FB4"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Հաշվետու տարում </w:t>
      </w:r>
      <w:r w:rsidRPr="00C921DE">
        <w:rPr>
          <w:rFonts w:ascii="GHEA Grapalat" w:hAnsi="GHEA Grapalat" w:cs="Sylfaen"/>
          <w:i/>
          <w:sz w:val="22"/>
          <w:szCs w:val="22"/>
        </w:rPr>
        <w:t>Մեծ նվաճումների սպորտի ծրագրի</w:t>
      </w:r>
      <w:r w:rsidRPr="00C921DE">
        <w:rPr>
          <w:rFonts w:ascii="GHEA Grapalat" w:hAnsi="GHEA Grapalat" w:cs="Sylfaen"/>
          <w:sz w:val="22"/>
          <w:szCs w:val="22"/>
        </w:rPr>
        <w:t xml:space="preserve"> շրջանակներում կատարված ծախսերը կազմել են ավելի քան 8.2 մլրդ դրամ, որոնք կատարվել են 99%-ով: Շեղումը հիմնականում պայմանավորված է «ՀՀ առաջնություններին և միջազգային միջոցառումներին մասնակցության </w:t>
      </w:r>
      <w:r w:rsidRPr="00C921DE">
        <w:rPr>
          <w:rFonts w:ascii="GHEA Grapalat" w:hAnsi="GHEA Grapalat" w:cs="Sylfaen"/>
          <w:sz w:val="22"/>
          <w:szCs w:val="22"/>
        </w:rPr>
        <w:lastRenderedPageBreak/>
        <w:t>ապահովման համար մարզիկների նախապատրաստում և առաջնությունների անցկացում» միջոցառ</w:t>
      </w:r>
      <w:r w:rsidR="00E269F9" w:rsidRPr="00C921DE">
        <w:rPr>
          <w:rFonts w:ascii="GHEA Grapalat" w:hAnsi="GHEA Grapalat" w:cs="Sylfaen"/>
          <w:sz w:val="22"/>
          <w:szCs w:val="22"/>
          <w:lang w:val="en-US"/>
        </w:rPr>
        <w:t>ման</w:t>
      </w:r>
      <w:r w:rsidRPr="00C921DE">
        <w:rPr>
          <w:rFonts w:ascii="GHEA Grapalat" w:hAnsi="GHEA Grapalat" w:cs="Sylfaen"/>
          <w:sz w:val="22"/>
          <w:szCs w:val="22"/>
        </w:rPr>
        <w:t xml:space="preserve"> կատարողականով: Նախորդ տարվա համեմատ </w:t>
      </w:r>
      <w:r w:rsidRPr="00C921DE">
        <w:rPr>
          <w:rFonts w:ascii="GHEA Grapalat" w:hAnsi="GHEA Grapalat" w:cs="Times Armenian"/>
          <w:sz w:val="22"/>
          <w:szCs w:val="22"/>
        </w:rPr>
        <w:t>ծրագրի</w:t>
      </w:r>
      <w:r w:rsidRPr="00C921DE">
        <w:rPr>
          <w:rFonts w:ascii="GHEA Grapalat" w:hAnsi="GHEA Grapalat" w:cs="Times Armenian"/>
          <w:sz w:val="22"/>
          <w:szCs w:val="22"/>
          <w:lang w:val="zu-ZA"/>
        </w:rPr>
        <w:t xml:space="preserve"> </w:t>
      </w:r>
      <w:r w:rsidRPr="00C921DE">
        <w:rPr>
          <w:rFonts w:ascii="GHEA Grapalat" w:hAnsi="GHEA Grapalat" w:cs="Sylfaen"/>
          <w:sz w:val="22"/>
          <w:szCs w:val="22"/>
        </w:rPr>
        <w:t xml:space="preserve">ծախսերն </w:t>
      </w:r>
      <w:r w:rsidRPr="00C921DE">
        <w:rPr>
          <w:rFonts w:ascii="GHEA Grapalat" w:hAnsi="GHEA Grapalat" w:cs="Times Armenian"/>
          <w:sz w:val="22"/>
          <w:szCs w:val="22"/>
        </w:rPr>
        <w:t>էական փոփոխություն չեն կրել</w:t>
      </w:r>
      <w:r w:rsidRPr="00C921DE">
        <w:rPr>
          <w:rFonts w:ascii="GHEA Grapalat" w:hAnsi="GHEA Grapalat" w:cs="Times Armenian"/>
          <w:sz w:val="22"/>
          <w:szCs w:val="22"/>
          <w:lang w:val="zu-ZA"/>
        </w:rPr>
        <w:t>:</w:t>
      </w:r>
    </w:p>
    <w:p w14:paraId="5D9FBE94" w14:textId="5A73FDE5" w:rsidR="001556D3" w:rsidRPr="00C921DE" w:rsidRDefault="00AF7825" w:rsidP="001556D3">
      <w:pPr>
        <w:autoSpaceDE w:val="0"/>
        <w:autoSpaceDN w:val="0"/>
        <w:adjustRightInd w:val="0"/>
        <w:spacing w:line="360" w:lineRule="auto"/>
        <w:ind w:firstLine="567"/>
        <w:jc w:val="both"/>
        <w:rPr>
          <w:rFonts w:ascii="GHEA Grapalat" w:hAnsi="GHEA Grapalat" w:cs="Sylfaen"/>
          <w:sz w:val="22"/>
          <w:szCs w:val="22"/>
          <w:lang w:val="en-US"/>
        </w:rPr>
      </w:pPr>
      <w:r w:rsidRPr="00C921DE">
        <w:rPr>
          <w:rFonts w:ascii="GHEA Grapalat" w:hAnsi="GHEA Grapalat" w:cs="Sylfaen"/>
          <w:sz w:val="22"/>
          <w:szCs w:val="22"/>
          <w:lang w:val="en-US"/>
        </w:rPr>
        <w:t>Վերոնշյալ</w:t>
      </w:r>
      <w:r w:rsidR="001556D3" w:rsidRPr="00C921DE">
        <w:rPr>
          <w:rFonts w:ascii="GHEA Grapalat" w:hAnsi="GHEA Grapalat" w:cs="Sylfaen"/>
          <w:sz w:val="22"/>
          <w:szCs w:val="22"/>
        </w:rPr>
        <w:t xml:space="preserve"> միջոցառման շրջանակներում 2023 թվականին Հայաստանում գործող 35 ֆեդերացիաների կողմից կազմակերպվել են ՀՀ 98 առաջնություններ (նախատեսված 104-ի դիմաց), որոնց մասնակցել է 9400 մասնակից (նախատեսված 9906-ի դիմաց)՝ 2022 թվականի 99 առաջնության և 9420 մասնակցի դիմաց: Կազմակերպվել է նաև 170 ուսումնամարզական հավաք (նախատեսված 173-ի դիմաց) 3261 մասնակցով՝ 2022 թվականի համապատասխանաբար 138-ի և 2596-ի դիմաց, 214 միջազգային միջոցառում (նախատեսված 226-ի դիմաց) 2977 մասնակցով՝ 2022 թվականի 152</w:t>
      </w:r>
      <w:r w:rsidR="00046C5D" w:rsidRPr="00C921DE">
        <w:rPr>
          <w:rFonts w:ascii="GHEA Grapalat" w:hAnsi="GHEA Grapalat" w:cs="Sylfaen"/>
          <w:sz w:val="22"/>
          <w:szCs w:val="22"/>
          <w:lang w:val="en-US"/>
        </w:rPr>
        <w:t xml:space="preserve"> միջոցառման</w:t>
      </w:r>
      <w:r w:rsidR="001556D3" w:rsidRPr="00C921DE">
        <w:rPr>
          <w:rFonts w:ascii="GHEA Grapalat" w:hAnsi="GHEA Grapalat" w:cs="Sylfaen"/>
          <w:sz w:val="22"/>
          <w:szCs w:val="22"/>
        </w:rPr>
        <w:t xml:space="preserve"> և 1718</w:t>
      </w:r>
      <w:r w:rsidR="00046C5D" w:rsidRPr="00C921DE">
        <w:rPr>
          <w:rFonts w:ascii="GHEA Grapalat" w:hAnsi="GHEA Grapalat" w:cs="Sylfaen"/>
          <w:sz w:val="22"/>
          <w:szCs w:val="22"/>
          <w:lang w:val="en-US"/>
        </w:rPr>
        <w:t xml:space="preserve"> մասնակցի </w:t>
      </w:r>
      <w:r w:rsidR="001556D3" w:rsidRPr="00C921DE">
        <w:rPr>
          <w:rFonts w:ascii="GHEA Grapalat" w:hAnsi="GHEA Grapalat" w:cs="Sylfaen"/>
          <w:sz w:val="22"/>
          <w:szCs w:val="22"/>
        </w:rPr>
        <w:t xml:space="preserve">դիմաց: Պետական աջակցության ծրագրում ընդգրկված ֆեդերացիաների մարզիկները 2023 թվականի ընթացքում մեծահասակների, երիտասարդների և պատանիների Եվրոպայի և աշխարհի առաջնություններում նվաճել են 445 մեդալ, այդ թվում՝ 125 ոսկե, 127 արծաթե և 193 բրոնզե մեդալ։ ՀՀ առաջնություններին և միջազգային միջոցառումներին մասնակցության ապահովման համար մարզիկների նախապատրաստման և առաջնությունների անցկացման ծախսերը կազմել են շուրջ 1.8 մլրդ դրամ՝ ապահովելով 97.5% կատարողական: Ծրագրված ցուցանիշից ծախսերի շեղումը և փաստացի ցածր արդյունքային ցուցանիշները հիմնականում պայմանավորված են օրացուցային պլանի փոփոխության արդյունքում որոշ միջոցառումների չիրականացմամբ: Նախորդ տարվա համեմատ միջոցառման գծով ծախսերն աճել են 26.9%-ով կամ 381.1 մլն դրամով, որը պայմանավորված է </w:t>
      </w:r>
      <w:r w:rsidR="00F33166" w:rsidRPr="00C921DE">
        <w:rPr>
          <w:rFonts w:ascii="GHEA Grapalat" w:hAnsi="GHEA Grapalat" w:cs="Sylfaen"/>
          <w:sz w:val="22"/>
          <w:szCs w:val="22"/>
        </w:rPr>
        <w:t>միջոցառումների թվի աճով</w:t>
      </w:r>
      <w:r w:rsidR="001556D3" w:rsidRPr="00C921DE">
        <w:rPr>
          <w:rFonts w:ascii="GHEA Grapalat" w:hAnsi="GHEA Grapalat" w:cs="Sylfaen"/>
          <w:sz w:val="22"/>
          <w:szCs w:val="22"/>
        </w:rPr>
        <w:t>:</w:t>
      </w:r>
    </w:p>
    <w:p w14:paraId="545F2368" w14:textId="0AC8DBFE"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Միջազգային մրցաշարերին մասնակցության և մասնագիտական մարզահագուստով ապահովման նպատակով մարզական ֆեդերացիաներին լրացուցիչ աջակցության շրջանակներում 2023 թվականին Հայաստանում գործող ֆեդերացիաների կողմից կազմակերպվել է ՀՀ 7</w:t>
      </w:r>
      <w:r w:rsidR="00096672" w:rsidRPr="00C921DE">
        <w:rPr>
          <w:rFonts w:ascii="GHEA Grapalat" w:hAnsi="GHEA Grapalat" w:cs="Sylfaen"/>
          <w:sz w:val="22"/>
          <w:szCs w:val="22"/>
        </w:rPr>
        <w:t xml:space="preserve"> առաջնություն, որոնց</w:t>
      </w:r>
      <w:r w:rsidRPr="00C921DE">
        <w:rPr>
          <w:rFonts w:ascii="GHEA Grapalat" w:hAnsi="GHEA Grapalat" w:cs="Sylfaen"/>
          <w:sz w:val="22"/>
          <w:szCs w:val="22"/>
        </w:rPr>
        <w:t xml:space="preserve"> մասնակցել է 388 մասնակից, 3 ուսումնամարզական հավաք՝ 34</w:t>
      </w:r>
      <w:r w:rsidR="00096672" w:rsidRPr="00C921DE">
        <w:rPr>
          <w:rFonts w:ascii="GHEA Grapalat" w:hAnsi="GHEA Grapalat" w:cs="Sylfaen"/>
          <w:sz w:val="22"/>
          <w:szCs w:val="22"/>
        </w:rPr>
        <w:t xml:space="preserve"> մասնակցով</w:t>
      </w:r>
      <w:r w:rsidRPr="00C921DE">
        <w:rPr>
          <w:rFonts w:ascii="GHEA Grapalat" w:hAnsi="GHEA Grapalat" w:cs="Sylfaen"/>
          <w:sz w:val="22"/>
          <w:szCs w:val="22"/>
        </w:rPr>
        <w:t xml:space="preserve">, </w:t>
      </w:r>
      <w:r w:rsidR="001557E7" w:rsidRPr="00C921DE">
        <w:rPr>
          <w:rFonts w:ascii="GHEA Grapalat" w:hAnsi="GHEA Grapalat" w:cs="Sylfaen"/>
          <w:sz w:val="22"/>
          <w:szCs w:val="22"/>
          <w:lang w:val="en-US"/>
        </w:rPr>
        <w:t>անցկաց</w:t>
      </w:r>
      <w:r w:rsidRPr="00C921DE">
        <w:rPr>
          <w:rFonts w:ascii="GHEA Grapalat" w:hAnsi="GHEA Grapalat" w:cs="Sylfaen"/>
          <w:sz w:val="22"/>
          <w:szCs w:val="22"/>
        </w:rPr>
        <w:t>վել է 6 միջազգային միջոցառում՝ 6 մասնակցով:</w:t>
      </w:r>
      <w:r w:rsidRPr="00C921DE">
        <w:rPr>
          <w:sz w:val="22"/>
          <w:szCs w:val="22"/>
        </w:rPr>
        <w:t xml:space="preserve"> </w:t>
      </w:r>
      <w:r w:rsidRPr="00C921DE">
        <w:rPr>
          <w:rFonts w:ascii="GHEA Grapalat" w:hAnsi="GHEA Grapalat" w:cs="Sylfaen"/>
          <w:sz w:val="22"/>
          <w:szCs w:val="22"/>
        </w:rPr>
        <w:t xml:space="preserve">Ֆուտբոլի Հայաստանի ազգային հավաքականի կողմից </w:t>
      </w:r>
      <w:r w:rsidR="00EB6099" w:rsidRPr="00C921DE">
        <w:rPr>
          <w:rFonts w:ascii="GHEA Grapalat" w:hAnsi="GHEA Grapalat" w:cs="Sylfaen"/>
          <w:sz w:val="22"/>
          <w:szCs w:val="22"/>
        </w:rPr>
        <w:t>կազմակերպ</w:t>
      </w:r>
      <w:r w:rsidRPr="00C921DE">
        <w:rPr>
          <w:rFonts w:ascii="GHEA Grapalat" w:hAnsi="GHEA Grapalat" w:cs="Sylfaen"/>
          <w:sz w:val="22"/>
          <w:szCs w:val="22"/>
        </w:rPr>
        <w:t>վել է 3 միջոցառում: Միջոցառման շրջանակներում ձեռք է բերվել մասնագիտական մարզահագուստ</w:t>
      </w:r>
      <w:r w:rsidR="009310F1" w:rsidRPr="00C921DE">
        <w:rPr>
          <w:rFonts w:ascii="GHEA Grapalat" w:hAnsi="GHEA Grapalat" w:cs="Sylfaen"/>
          <w:sz w:val="22"/>
          <w:szCs w:val="22"/>
          <w:lang w:val="en-US"/>
        </w:rPr>
        <w:t xml:space="preserve">ի </w:t>
      </w:r>
      <w:r w:rsidR="009310F1" w:rsidRPr="00C921DE">
        <w:rPr>
          <w:rFonts w:ascii="GHEA Grapalat" w:hAnsi="GHEA Grapalat" w:cs="Sylfaen"/>
          <w:sz w:val="22"/>
          <w:szCs w:val="22"/>
        </w:rPr>
        <w:t>421 լրակազմ</w:t>
      </w:r>
      <w:r w:rsidR="009310F1" w:rsidRPr="00C921DE">
        <w:rPr>
          <w:rFonts w:ascii="GHEA Grapalat" w:hAnsi="GHEA Grapalat" w:cs="Sylfaen"/>
          <w:sz w:val="22"/>
          <w:szCs w:val="22"/>
          <w:lang w:val="en-US"/>
        </w:rPr>
        <w:t xml:space="preserve">: Նշված արդյունքային </w:t>
      </w:r>
      <w:r w:rsidR="00EB6099" w:rsidRPr="00C921DE">
        <w:rPr>
          <w:rFonts w:ascii="GHEA Grapalat" w:hAnsi="GHEA Grapalat" w:cs="Sylfaen"/>
          <w:sz w:val="22"/>
          <w:szCs w:val="22"/>
          <w:lang w:val="en-US"/>
        </w:rPr>
        <w:t>չափորոշիչների</w:t>
      </w:r>
      <w:r w:rsidR="009310F1" w:rsidRPr="00C921DE">
        <w:rPr>
          <w:rFonts w:ascii="GHEA Grapalat" w:hAnsi="GHEA Grapalat" w:cs="Sylfaen"/>
          <w:sz w:val="22"/>
          <w:szCs w:val="22"/>
          <w:lang w:val="en-US"/>
        </w:rPr>
        <w:t xml:space="preserve"> գծով նախատեսված </w:t>
      </w:r>
      <w:r w:rsidR="00EB6099" w:rsidRPr="00C921DE">
        <w:rPr>
          <w:rFonts w:ascii="GHEA Grapalat" w:hAnsi="GHEA Grapalat" w:cs="Sylfaen"/>
          <w:sz w:val="22"/>
          <w:szCs w:val="22"/>
          <w:lang w:val="en-US"/>
        </w:rPr>
        <w:t>ցուցանիշերն ամբողջությամբ ապահովվել են:</w:t>
      </w:r>
      <w:r w:rsidRPr="00C921DE">
        <w:rPr>
          <w:rFonts w:ascii="GHEA Grapalat" w:hAnsi="GHEA Grapalat" w:cs="Sylfaen"/>
          <w:sz w:val="22"/>
          <w:szCs w:val="22"/>
        </w:rPr>
        <w:t xml:space="preserve"> «Միջազգային մրցաշարերին մասնակցության և մասնագիտական մարզահագուստով ապահովման նպատակով մարզական ֆեդերացիաներին լրացուցիչ աջակցության հատկացում</w:t>
      </w:r>
      <w:r w:rsidR="009310F1" w:rsidRPr="00C921DE">
        <w:rPr>
          <w:rFonts w:ascii="GHEA Grapalat" w:hAnsi="GHEA Grapalat" w:cs="Sylfaen"/>
          <w:sz w:val="22"/>
          <w:szCs w:val="22"/>
        </w:rPr>
        <w:t>» միջոցառմանը</w:t>
      </w:r>
      <w:r w:rsidRPr="00C921DE">
        <w:rPr>
          <w:rFonts w:ascii="GHEA Grapalat" w:hAnsi="GHEA Grapalat" w:cs="Sylfaen"/>
          <w:sz w:val="22"/>
          <w:szCs w:val="22"/>
        </w:rPr>
        <w:t xml:space="preserve"> հատկացված 1.1</w:t>
      </w:r>
      <w:r w:rsidRPr="00C921DE">
        <w:rPr>
          <w:rFonts w:ascii="Courier New" w:hAnsi="Courier New" w:cs="Courier New"/>
          <w:sz w:val="22"/>
          <w:szCs w:val="22"/>
        </w:rPr>
        <w:t> </w:t>
      </w:r>
      <w:r w:rsidRPr="00C921DE">
        <w:rPr>
          <w:rFonts w:ascii="GHEA Grapalat" w:hAnsi="GHEA Grapalat" w:cs="Sylfaen"/>
          <w:sz w:val="22"/>
          <w:szCs w:val="22"/>
        </w:rPr>
        <w:t>մլրդ դրամն ամբողջությամբ օգտագործվել է:</w:t>
      </w:r>
    </w:p>
    <w:p w14:paraId="60DE3F58" w14:textId="77777777"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2023 թվականի ապրիլի 15-23-ը Երևանում՝ Կ. Դեմիրճյանի անվան մարզահամերգային համալիրում կայացած ծանրամարտի մեծահասակների Եվրոպայի առաջնությանը մասնակցել է 600 </w:t>
      </w:r>
      <w:r w:rsidRPr="00C921DE">
        <w:rPr>
          <w:rFonts w:ascii="GHEA Grapalat" w:hAnsi="GHEA Grapalat" w:cs="Sylfaen"/>
          <w:sz w:val="22"/>
          <w:szCs w:val="22"/>
        </w:rPr>
        <w:lastRenderedPageBreak/>
        <w:t>մարզիկ 40 երկրից: Հայաստանի հավաքականը Եվրոպայի առաջնությունում հանդես է եկել 27 մարզիկով։ Հայաստանի Հանրապետության մարզիկները նվաճել են 4 ոսկե, 4 արծաթե և 5 բրոնզե մեդալներ: Միջոցառմանը հատկացված 1.2</w:t>
      </w:r>
      <w:r w:rsidRPr="00C921DE">
        <w:rPr>
          <w:rFonts w:ascii="Calibri" w:hAnsi="Calibri" w:cs="Calibri"/>
          <w:sz w:val="22"/>
          <w:szCs w:val="22"/>
        </w:rPr>
        <w:t> </w:t>
      </w:r>
      <w:r w:rsidRPr="00C921DE">
        <w:rPr>
          <w:rFonts w:ascii="GHEA Grapalat" w:hAnsi="GHEA Grapalat" w:cs="Sylfaen"/>
          <w:sz w:val="22"/>
          <w:szCs w:val="22"/>
        </w:rPr>
        <w:t>մլրդ դրամն ամբողջությամբ օգտագործվել է:</w:t>
      </w:r>
    </w:p>
    <w:p w14:paraId="493108C1" w14:textId="73CB4DCD"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2023 թվականի նոյեմբերի 14-17-ը Երևանում՝ Կարեն Դեմիրճյանի անվան մարզահամերգային համալիրում կայացած սամբոյի մեծահասակների աշխարհի առաջնությանը մասնակցել է 71 երկիր, 700 պատվիրակության անդամ, խաղարկվել է 84 հավաքածու մեդալ: Հայաստանի սամբոյի հավաքականը հանդես է եկել 20 մարզիկով և նվաճել է 10 մեդալ, որից՝ 5 արծաթե</w:t>
      </w:r>
      <w:r w:rsidR="00C4692D" w:rsidRPr="00C921DE">
        <w:rPr>
          <w:rFonts w:ascii="GHEA Grapalat" w:hAnsi="GHEA Grapalat" w:cs="Sylfaen"/>
          <w:sz w:val="22"/>
          <w:szCs w:val="22"/>
        </w:rPr>
        <w:t xml:space="preserve"> և 5 բրոնզե</w:t>
      </w:r>
      <w:r w:rsidRPr="00C921DE">
        <w:rPr>
          <w:rFonts w:ascii="GHEA Grapalat" w:hAnsi="GHEA Grapalat" w:cs="Sylfaen"/>
          <w:sz w:val="22"/>
          <w:szCs w:val="22"/>
        </w:rPr>
        <w:t xml:space="preserve"> մեդալ: Միջոցառման ծախսերը կազմել են 733.5 մլն դրամ՝ ապահովելով 98.8% կատարողական: Շեղումը պայմանավորված է առաջնության անցկացման ծախսերի տնտեսմամբ:</w:t>
      </w:r>
    </w:p>
    <w:p w14:paraId="7929C2A1" w14:textId="77777777"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2023 թվականի նոյեմբերի 21-ից դեկտեմբերի 5-ը Երևանում՝ «Միկա» մարզահամալիրում կայացած բռնցքամարտի</w:t>
      </w:r>
      <w:r w:rsidRPr="00C921DE">
        <w:rPr>
          <w:rFonts w:ascii="GHEA Grapalat" w:hAnsi="GHEA Grapalat"/>
        </w:rPr>
        <w:t xml:space="preserve"> </w:t>
      </w:r>
      <w:r w:rsidRPr="00C921DE">
        <w:rPr>
          <w:rFonts w:ascii="GHEA Grapalat" w:hAnsi="GHEA Grapalat" w:cs="Sylfaen"/>
          <w:sz w:val="22"/>
          <w:szCs w:val="22"/>
        </w:rPr>
        <w:t>պատանիների</w:t>
      </w:r>
      <w:r w:rsidRPr="00C921DE">
        <w:rPr>
          <w:rFonts w:ascii="GHEA Grapalat" w:hAnsi="GHEA Grapalat"/>
        </w:rPr>
        <w:t xml:space="preserve"> </w:t>
      </w:r>
      <w:r w:rsidRPr="00C921DE">
        <w:rPr>
          <w:rFonts w:ascii="GHEA Grapalat" w:hAnsi="GHEA Grapalat" w:cs="Sylfaen"/>
          <w:sz w:val="22"/>
          <w:szCs w:val="22"/>
        </w:rPr>
        <w:t>աշխարհի առաջնությանը</w:t>
      </w:r>
      <w:r w:rsidRPr="00C921DE">
        <w:rPr>
          <w:rFonts w:ascii="GHEA Grapalat" w:hAnsi="GHEA Grapalat"/>
        </w:rPr>
        <w:t xml:space="preserve"> </w:t>
      </w:r>
      <w:r w:rsidRPr="00C921DE">
        <w:rPr>
          <w:rFonts w:ascii="GHEA Grapalat" w:hAnsi="GHEA Grapalat" w:cs="Sylfaen"/>
          <w:sz w:val="22"/>
          <w:szCs w:val="22"/>
        </w:rPr>
        <w:t>մասնակցել է 450 մարզիկ 52 երկրից, խաղարկվել է 100 հավաքածու մեդալ: Հայաստանի հավաքականը Եվրոպայի առաջնությունում հանդես է եկել 27 մարզիկով։ ՀՀ մարզիկները նվաճել են 10 մեդալ, որից՝ 4 ոսկե, 5 արծաթե և 1 բրոնզե մեդալներ: Միջոցառմանը հատկացված 338.3</w:t>
      </w:r>
      <w:r w:rsidRPr="00C921DE">
        <w:rPr>
          <w:rFonts w:ascii="Courier New" w:hAnsi="Courier New" w:cs="Courier New"/>
          <w:sz w:val="22"/>
          <w:szCs w:val="22"/>
        </w:rPr>
        <w:t> </w:t>
      </w:r>
      <w:r w:rsidRPr="00C921DE">
        <w:rPr>
          <w:rFonts w:ascii="GHEA Grapalat" w:hAnsi="GHEA Grapalat" w:cs="Sylfaen"/>
          <w:sz w:val="22"/>
          <w:szCs w:val="22"/>
        </w:rPr>
        <w:t>մլրդ դրամն ամբողջությամբ օգտագործվել է:</w:t>
      </w:r>
    </w:p>
    <w:p w14:paraId="521C979E" w14:textId="1B3357FC" w:rsidR="001556D3" w:rsidRPr="00C921DE" w:rsidRDefault="001556D3" w:rsidP="001556D3">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Sylfaen"/>
          <w:sz w:val="22"/>
          <w:szCs w:val="22"/>
        </w:rPr>
        <w:t xml:space="preserve">2023 թվականին շուրջ 11 մլրդ դրամ է տրամադրվել </w:t>
      </w:r>
      <w:r w:rsidRPr="00C921DE">
        <w:rPr>
          <w:rFonts w:ascii="GHEA Grapalat" w:hAnsi="GHEA Grapalat" w:cs="Sylfaen"/>
          <w:i/>
          <w:sz w:val="22"/>
          <w:szCs w:val="22"/>
        </w:rPr>
        <w:t>Նախնական (արհեստագործական) և միջին մասնագիտական կրթության ծրագրին</w:t>
      </w:r>
      <w:r w:rsidRPr="00C921DE">
        <w:rPr>
          <w:rFonts w:ascii="GHEA Grapalat" w:hAnsi="GHEA Grapalat" w:cs="Sylfaen"/>
          <w:sz w:val="22"/>
          <w:szCs w:val="22"/>
        </w:rPr>
        <w:t xml:space="preserve">՝ ապահովելով 89.2% կատարողական: </w:t>
      </w:r>
      <w:r w:rsidRPr="00C921DE">
        <w:rPr>
          <w:rFonts w:ascii="GHEA Grapalat" w:hAnsi="GHEA Grapalat" w:cs="Arial"/>
          <w:sz w:val="22"/>
          <w:szCs w:val="22"/>
        </w:rPr>
        <w:t>Շեղումը</w:t>
      </w:r>
      <w:r w:rsidRPr="00C921DE">
        <w:rPr>
          <w:rFonts w:ascii="GHEA Grapalat" w:hAnsi="GHEA Grapalat" w:cs="Arial"/>
          <w:sz w:val="22"/>
          <w:szCs w:val="22"/>
          <w:lang w:val="af-ZA"/>
        </w:rPr>
        <w:t xml:space="preserve"> </w:t>
      </w:r>
      <w:r w:rsidRPr="00C921DE">
        <w:rPr>
          <w:rFonts w:ascii="GHEA Grapalat" w:hAnsi="GHEA Grapalat" w:cs="Arial"/>
          <w:sz w:val="22"/>
          <w:szCs w:val="22"/>
        </w:rPr>
        <w:t>հիմնականում</w:t>
      </w:r>
      <w:r w:rsidRPr="00C921DE">
        <w:rPr>
          <w:rFonts w:ascii="GHEA Grapalat" w:hAnsi="GHEA Grapalat" w:cs="Arial"/>
          <w:sz w:val="22"/>
          <w:szCs w:val="22"/>
          <w:lang w:val="af-ZA"/>
        </w:rPr>
        <w:t xml:space="preserve"> </w:t>
      </w:r>
      <w:r w:rsidRPr="00C921DE">
        <w:rPr>
          <w:rFonts w:ascii="GHEA Grapalat" w:hAnsi="GHEA Grapalat" w:cs="Arial"/>
          <w:sz w:val="22"/>
          <w:szCs w:val="22"/>
        </w:rPr>
        <w:t>պայմանավորված</w:t>
      </w:r>
      <w:r w:rsidRPr="00C921DE">
        <w:rPr>
          <w:rFonts w:ascii="GHEA Grapalat" w:hAnsi="GHEA Grapalat" w:cs="Arial"/>
          <w:sz w:val="22"/>
          <w:szCs w:val="22"/>
          <w:lang w:val="af-ZA"/>
        </w:rPr>
        <w:t xml:space="preserve"> </w:t>
      </w:r>
      <w:r w:rsidRPr="00C921DE">
        <w:rPr>
          <w:rFonts w:ascii="GHEA Grapalat" w:hAnsi="GHEA Grapalat" w:cs="Arial"/>
          <w:sz w:val="22"/>
          <w:szCs w:val="22"/>
        </w:rPr>
        <w:t>է նախնական (արհեստագործական) և միջին մասնագիտական կրթություն ստացող ուսանողների կրթաթոշակների</w:t>
      </w:r>
      <w:r w:rsidR="009056FE" w:rsidRPr="00C921DE">
        <w:rPr>
          <w:rFonts w:ascii="GHEA Grapalat" w:hAnsi="GHEA Grapalat" w:cs="Arial"/>
          <w:sz w:val="22"/>
          <w:szCs w:val="22"/>
          <w:lang w:val="en-US"/>
        </w:rPr>
        <w:t xml:space="preserve"> </w:t>
      </w:r>
      <w:r w:rsidR="00BA0BD8" w:rsidRPr="00C921DE">
        <w:rPr>
          <w:rFonts w:ascii="GHEA Grapalat" w:hAnsi="GHEA Grapalat" w:cs="Arial"/>
          <w:sz w:val="22"/>
          <w:szCs w:val="22"/>
          <w:lang w:val="en-US"/>
        </w:rPr>
        <w:t>ու</w:t>
      </w:r>
      <w:r w:rsidR="009056FE" w:rsidRPr="00C921DE">
        <w:rPr>
          <w:rFonts w:ascii="GHEA Grapalat" w:hAnsi="GHEA Grapalat" w:cs="Arial"/>
          <w:sz w:val="22"/>
          <w:szCs w:val="22"/>
          <w:lang w:val="en-US"/>
        </w:rPr>
        <w:t xml:space="preserve"> նպաստների</w:t>
      </w:r>
      <w:r w:rsidRPr="00C921DE">
        <w:rPr>
          <w:rFonts w:ascii="GHEA Grapalat" w:hAnsi="GHEA Grapalat" w:cs="Arial"/>
          <w:sz w:val="22"/>
          <w:szCs w:val="22"/>
        </w:rPr>
        <w:t xml:space="preserve"> </w:t>
      </w:r>
      <w:r w:rsidR="009056FE" w:rsidRPr="00C921DE">
        <w:rPr>
          <w:rFonts w:ascii="GHEA Grapalat" w:hAnsi="GHEA Grapalat" w:cs="Arial"/>
          <w:sz w:val="22"/>
          <w:szCs w:val="22"/>
          <w:lang w:val="en-US"/>
        </w:rPr>
        <w:t>և</w:t>
      </w:r>
      <w:r w:rsidR="00220196" w:rsidRPr="00C921DE">
        <w:rPr>
          <w:rFonts w:ascii="GHEA Grapalat" w:hAnsi="GHEA Grapalat" w:cs="Arial"/>
          <w:sz w:val="22"/>
          <w:szCs w:val="22"/>
          <w:lang w:val="en-US"/>
        </w:rPr>
        <w:t xml:space="preserve"> 2023 թվականի սեպտեմբերի 19-ից հետո Լեռնային Ղարաբաղից բռնի տեղահանված և ՀՀ-ում միջին մասնագիտական կրթություն ստացող ուսանողներին ուսման վարձի լրիվ կամ մասնակի փոխհատուցման նպատակով կրթաթոշակի</w:t>
      </w:r>
      <w:r w:rsidRPr="00C921DE">
        <w:rPr>
          <w:rFonts w:ascii="GHEA Grapalat" w:hAnsi="GHEA Grapalat" w:cs="Arial"/>
          <w:sz w:val="22"/>
          <w:szCs w:val="22"/>
        </w:rPr>
        <w:t xml:space="preserve"> տրամադրման միջոցառումների կատարողականով:</w:t>
      </w:r>
      <w:r w:rsidRPr="00C921DE">
        <w:rPr>
          <w:rFonts w:ascii="GHEA Grapalat" w:hAnsi="GHEA Grapalat" w:cs="Arial"/>
          <w:sz w:val="22"/>
          <w:szCs w:val="22"/>
          <w:lang w:val="af-ZA"/>
        </w:rPr>
        <w:t xml:space="preserve"> </w:t>
      </w:r>
      <w:r w:rsidRPr="00C921DE">
        <w:rPr>
          <w:rFonts w:ascii="GHEA Grapalat" w:hAnsi="GHEA Grapalat" w:cs="Sylfaen"/>
          <w:sz w:val="22"/>
          <w:szCs w:val="22"/>
        </w:rPr>
        <w:t>Ծրագիրն ուղղված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պատրաստմանը, կրթության մատչելիության ապահովմանը: Նախորդ տարվա համեմատ ծրագրի ծախսերն աճել են 1.3%</w:t>
      </w:r>
      <w:r w:rsidRPr="00C921DE">
        <w:rPr>
          <w:rFonts w:ascii="GHEA Grapalat" w:hAnsi="GHEA Grapalat" w:cs="Sylfaen"/>
          <w:sz w:val="22"/>
          <w:szCs w:val="22"/>
        </w:rPr>
        <w:noBreakHyphen/>
        <w:t xml:space="preserve">ով կամ 141.6 մլն դրամով: </w:t>
      </w:r>
    </w:p>
    <w:p w14:paraId="2DF16F6D" w14:textId="6C4894CE"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2023 թվականին շարունակվել է ՀՀ կառավարության 2021 թվականի նոյեմբերի 4-ի N 1784-Ն որոշմամբ հաստատված ուսման վճարի փոխհատուցման շրջանակներում ընտանիքների անապահովության սահմանային միավորից բարձր միավորներ ունեցող ուսանողներին, սոցիալական աջակցություն ստացող սահմանամերձ համայնքների ուսանողներին, մարտական գործողություններին մասնակցած ուսանողներին, երկու և ավելի անչափահաս երեխա ունեցող ուսանողներին և պետության համար առաջնահերթություն և կարևորություն ներկայացնող </w:t>
      </w:r>
      <w:r w:rsidRPr="00C921DE">
        <w:rPr>
          <w:rFonts w:ascii="GHEA Grapalat" w:hAnsi="GHEA Grapalat" w:cs="Sylfaen"/>
          <w:sz w:val="22"/>
          <w:szCs w:val="22"/>
        </w:rPr>
        <w:lastRenderedPageBreak/>
        <w:t>մասնագիտություններով նպատակային ուսուցմամբ ընդունված ուսանողներին ուսման վճարի լրիվ կամ մասնակի փոխհատուցումը:</w:t>
      </w:r>
    </w:p>
    <w:p w14:paraId="224C7913" w14:textId="5C7F3B3F"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Հաշվետու տարվա ընթացքում միջին մասնագիտական կրթության գծով ուսանողական նպաստ է տրամադրվել 18818 ուսանողի՝ կանխատեսված 21121-ի և 2022 թվականի 17974-ի դիմաց, ՀՀ կառավարության 2021 թվականի նոյեմբերի 4-ի N 1784-Ն որոշմամբ սահմանված շահառու հանդիսացող ուսման վարձի լրիվ կամ մասնակի փոխհատուցում ստացող սովորողների թիվը կազմել է 1602՝ կանխատեսված 100-ի և 2022 թվականի 2150-ի դիմաց: Հաշվետու տարում միջին մասնագիտական կրթության գծով ուսանողական նպաստների տրամադրմանն ուղղվել է շուրջ 6.8</w:t>
      </w:r>
      <w:r w:rsidR="008E2488" w:rsidRPr="00C921DE">
        <w:rPr>
          <w:rFonts w:ascii="Calibri" w:hAnsi="Calibri" w:cs="Calibri"/>
          <w:sz w:val="22"/>
          <w:szCs w:val="22"/>
          <w:lang w:val="en-US"/>
        </w:rPr>
        <w:t> </w:t>
      </w:r>
      <w:r w:rsidRPr="00C921DE">
        <w:rPr>
          <w:rFonts w:ascii="GHEA Grapalat" w:hAnsi="GHEA Grapalat" w:cs="Sylfaen"/>
          <w:sz w:val="22"/>
          <w:szCs w:val="22"/>
        </w:rPr>
        <w:t>մլրդ դրամ, որը կազմել է նախատեսված հատկացումների 96%</w:t>
      </w:r>
      <w:r w:rsidRPr="00C921DE">
        <w:rPr>
          <w:rFonts w:ascii="GHEA Grapalat" w:hAnsi="GHEA Grapalat" w:cs="Sylfaen"/>
          <w:sz w:val="22"/>
          <w:szCs w:val="22"/>
        </w:rPr>
        <w:noBreakHyphen/>
        <w:t>ը և 1.9%-ով կամ 123.6 մլն դրամով գերազանցել է նախորդ տարվա ցուցանիշը: Ծրագրային ցուցանիշից շեղումը և նախորդ տարվա համեմատ ա</w:t>
      </w:r>
      <w:r w:rsidR="002503B9" w:rsidRPr="00C921DE">
        <w:rPr>
          <w:rFonts w:ascii="GHEA Grapalat" w:hAnsi="GHEA Grapalat" w:cs="Sylfaen"/>
          <w:sz w:val="22"/>
          <w:szCs w:val="22"/>
        </w:rPr>
        <w:t>ճ</w:t>
      </w:r>
      <w:r w:rsidRPr="00C921DE">
        <w:rPr>
          <w:rFonts w:ascii="GHEA Grapalat" w:hAnsi="GHEA Grapalat" w:cs="Sylfaen"/>
          <w:sz w:val="22"/>
          <w:szCs w:val="22"/>
        </w:rPr>
        <w:t>ը հիմնականում պայմանավորված են նպաստ ստացող ուսանողների փաստացի թվով:</w:t>
      </w:r>
    </w:p>
    <w:p w14:paraId="6ACD8486" w14:textId="7C323699"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Նախնական մասնագիտական (արհեստագործական) կրթության գծով ուսանողական նպաստների տրամադրման միջոցառման շրջանակներում նպաստ է տրամադրվել 6205 ուսանողի՝ կանխատեսված 7593-ի և 2022</w:t>
      </w:r>
      <w:r w:rsidR="008E2488" w:rsidRPr="00C921DE">
        <w:rPr>
          <w:rFonts w:ascii="GHEA Grapalat" w:hAnsi="GHEA Grapalat" w:cs="Sylfaen"/>
          <w:sz w:val="22"/>
          <w:szCs w:val="22"/>
        </w:rPr>
        <w:t xml:space="preserve"> թվականի 6194-ի դիմա</w:t>
      </w:r>
      <w:r w:rsidR="004F42DE" w:rsidRPr="00C921DE">
        <w:rPr>
          <w:rFonts w:ascii="GHEA Grapalat" w:hAnsi="GHEA Grapalat" w:cs="Sylfaen"/>
          <w:sz w:val="22"/>
          <w:szCs w:val="22"/>
          <w:lang w:val="en-US"/>
        </w:rPr>
        <w:t>ց</w:t>
      </w:r>
      <w:r w:rsidR="008E2488" w:rsidRPr="00C921DE">
        <w:rPr>
          <w:rFonts w:ascii="GHEA Grapalat" w:hAnsi="GHEA Grapalat" w:cs="Sylfaen"/>
          <w:sz w:val="22"/>
          <w:szCs w:val="22"/>
          <w:lang w:val="en-US"/>
        </w:rPr>
        <w:t>:</w:t>
      </w:r>
      <w:r w:rsidRPr="00C921DE">
        <w:rPr>
          <w:rFonts w:ascii="GHEA Grapalat" w:hAnsi="GHEA Grapalat" w:cs="Sylfaen"/>
          <w:sz w:val="22"/>
          <w:szCs w:val="22"/>
        </w:rPr>
        <w:t xml:space="preserve"> 2023 թվականի ընթացքում նախնական մասնագիտական (արհեստագործական) կրթության գծով ուսանողական նպաստների ծախսերը կազմել են 2.4</w:t>
      </w:r>
      <w:r w:rsidRPr="00C921DE">
        <w:rPr>
          <w:rFonts w:ascii="Courier New" w:hAnsi="Courier New" w:cs="Courier New"/>
          <w:sz w:val="22"/>
          <w:szCs w:val="22"/>
        </w:rPr>
        <w:t> </w:t>
      </w:r>
      <w:r w:rsidRPr="00C921DE">
        <w:rPr>
          <w:rFonts w:ascii="GHEA Grapalat" w:hAnsi="GHEA Grapalat" w:cs="Sylfaen"/>
          <w:sz w:val="22"/>
          <w:szCs w:val="22"/>
        </w:rPr>
        <w:t>մլրդ դրամ՝ ապահովելով 95.2% կատարողական և 5.9%-ով կամ 133.3 մլն դրամով գե</w:t>
      </w:r>
      <w:r w:rsidR="00620817" w:rsidRPr="00C921DE">
        <w:rPr>
          <w:rFonts w:ascii="GHEA Grapalat" w:hAnsi="GHEA Grapalat" w:cs="Sylfaen"/>
          <w:sz w:val="22"/>
          <w:szCs w:val="22"/>
        </w:rPr>
        <w:t>րազանցելով</w:t>
      </w:r>
      <w:r w:rsidRPr="00C921DE">
        <w:rPr>
          <w:rFonts w:ascii="GHEA Grapalat" w:hAnsi="GHEA Grapalat" w:cs="Sylfaen"/>
          <w:sz w:val="22"/>
          <w:szCs w:val="22"/>
        </w:rPr>
        <w:t xml:space="preserve"> նախորդ տարվա ցուցանիշը</w:t>
      </w:r>
      <w:r w:rsidR="00B56C62" w:rsidRPr="00C921DE">
        <w:rPr>
          <w:rFonts w:ascii="GHEA Grapalat" w:hAnsi="GHEA Grapalat" w:cs="Sylfaen"/>
          <w:sz w:val="22"/>
          <w:szCs w:val="22"/>
          <w:lang w:val="en-US"/>
        </w:rPr>
        <w:t>: Ծախսերի ծրագրված ցուցանիշից շեղումը և նախորդ տարվա համեմատ</w:t>
      </w:r>
      <w:r w:rsidRPr="00C921DE">
        <w:rPr>
          <w:rFonts w:ascii="GHEA Grapalat" w:hAnsi="GHEA Grapalat" w:cs="Sylfaen"/>
          <w:sz w:val="22"/>
          <w:szCs w:val="22"/>
        </w:rPr>
        <w:t xml:space="preserve"> </w:t>
      </w:r>
      <w:r w:rsidR="00B56C62" w:rsidRPr="00C921DE">
        <w:rPr>
          <w:rFonts w:ascii="GHEA Grapalat" w:hAnsi="GHEA Grapalat" w:cs="Sylfaen"/>
          <w:sz w:val="22"/>
          <w:szCs w:val="22"/>
          <w:lang w:val="en-US"/>
        </w:rPr>
        <w:t>աճ</w:t>
      </w:r>
      <w:r w:rsidRPr="00C921DE">
        <w:rPr>
          <w:rFonts w:ascii="GHEA Grapalat" w:hAnsi="GHEA Grapalat" w:cs="Sylfaen"/>
          <w:sz w:val="22"/>
          <w:szCs w:val="22"/>
        </w:rPr>
        <w:t xml:space="preserve">ը պայմանավորված </w:t>
      </w:r>
      <w:r w:rsidR="00B56C62" w:rsidRPr="00C921DE">
        <w:rPr>
          <w:rFonts w:ascii="GHEA Grapalat" w:hAnsi="GHEA Grapalat" w:cs="Sylfaen"/>
          <w:sz w:val="22"/>
          <w:szCs w:val="22"/>
          <w:lang w:val="en-US"/>
        </w:rPr>
        <w:t>են</w:t>
      </w:r>
      <w:r w:rsidRPr="00C921DE">
        <w:rPr>
          <w:rFonts w:ascii="GHEA Grapalat" w:hAnsi="GHEA Grapalat" w:cs="Sylfaen"/>
          <w:sz w:val="22"/>
          <w:szCs w:val="22"/>
        </w:rPr>
        <w:t xml:space="preserve"> ուսումնարաններում նպաստ ստացող ուսանողների փաստացի թվով:</w:t>
      </w:r>
    </w:p>
    <w:p w14:paraId="6961F27A" w14:textId="6DF1B614"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Arial"/>
          <w:sz w:val="22"/>
          <w:szCs w:val="22"/>
        </w:rPr>
        <w:t xml:space="preserve">2023 թվականի սեպտեմբերի 19-ից հետո Լեռնային Ղարաբաղից բռնի տեղահանված և ՀՀ-ում միջին մասնագիտական և նախնական մասնագիտական (արհեստագործական) կրթություն ստացող ուսանողներին ուսման վարձի լրիվ կամ մասնակի փոխհատուցման կրթաթոշակների տրամադրման </w:t>
      </w:r>
      <w:r w:rsidRPr="00C921DE">
        <w:rPr>
          <w:rFonts w:ascii="GHEA Grapalat" w:hAnsi="GHEA Grapalat" w:cs="Sylfaen"/>
          <w:sz w:val="22"/>
          <w:szCs w:val="22"/>
        </w:rPr>
        <w:t>միջոցառումների շրջանակներում</w:t>
      </w:r>
      <w:r w:rsidRPr="00C921DE">
        <w:rPr>
          <w:rFonts w:ascii="GHEA Grapalat" w:hAnsi="GHEA Grapalat" w:cs="Arial"/>
          <w:sz w:val="22"/>
          <w:szCs w:val="22"/>
        </w:rPr>
        <w:t xml:space="preserve"> կրթաթոշակ է տրամադրվել համապատասխանաբար 829 և 90 ուսանողի՝ կանխատեսված 2040-ի և 484-ի դիմաց: Հաշվետու տարում վերոնշյալ միջոցառումների </w:t>
      </w:r>
      <w:r w:rsidRPr="00C921DE">
        <w:rPr>
          <w:rFonts w:ascii="GHEA Grapalat" w:hAnsi="GHEA Grapalat" w:cs="Sylfaen"/>
          <w:sz w:val="22"/>
          <w:szCs w:val="22"/>
        </w:rPr>
        <w:t xml:space="preserve">ծախսերը կազմել են համապատասխանաբար 109.6 մլն դրամ և 4.1 մլն դրամ՝ ապահովելով 27.2% և 6.9% կատարողական, որը պայմանավորված է նշված ժամանակահատվածում </w:t>
      </w:r>
      <w:r w:rsidR="004C5131" w:rsidRPr="00C921DE">
        <w:rPr>
          <w:rFonts w:ascii="GHEA Grapalat" w:hAnsi="GHEA Grapalat" w:cs="Sylfaen"/>
          <w:sz w:val="22"/>
          <w:szCs w:val="22"/>
        </w:rPr>
        <w:t>կրթությ</w:t>
      </w:r>
      <w:r w:rsidR="004C5131" w:rsidRPr="00C921DE">
        <w:rPr>
          <w:rFonts w:ascii="GHEA Grapalat" w:hAnsi="GHEA Grapalat" w:cs="Sylfaen"/>
          <w:sz w:val="22"/>
          <w:szCs w:val="22"/>
          <w:lang w:val="en-US"/>
        </w:rPr>
        <w:t xml:space="preserve">ունը </w:t>
      </w:r>
      <w:r w:rsidRPr="00C921DE">
        <w:rPr>
          <w:rFonts w:ascii="GHEA Grapalat" w:hAnsi="GHEA Grapalat" w:cs="Sylfaen"/>
          <w:sz w:val="22"/>
          <w:szCs w:val="22"/>
        </w:rPr>
        <w:t>շարունակ</w:t>
      </w:r>
      <w:r w:rsidR="009019F4" w:rsidRPr="00C921DE">
        <w:rPr>
          <w:rFonts w:ascii="GHEA Grapalat" w:hAnsi="GHEA Grapalat" w:cs="Sylfaen"/>
          <w:sz w:val="22"/>
          <w:szCs w:val="22"/>
          <w:lang w:val="en-US"/>
        </w:rPr>
        <w:t>ել ցանկացող</w:t>
      </w:r>
      <w:r w:rsidRPr="00C921DE">
        <w:rPr>
          <w:rFonts w:ascii="GHEA Grapalat" w:hAnsi="GHEA Grapalat" w:cs="Sylfaen"/>
          <w:sz w:val="22"/>
          <w:szCs w:val="22"/>
        </w:rPr>
        <w:t xml:space="preserve"> դիմորդների փաստացի թվով։</w:t>
      </w:r>
    </w:p>
    <w:p w14:paraId="6DA01E70" w14:textId="580B1BED"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Arial"/>
          <w:sz w:val="22"/>
          <w:szCs w:val="22"/>
        </w:rPr>
        <w:t>Լեռնային Ղարաբաղից բռնի տեղահանված ընտանիքների</w:t>
      </w:r>
      <w:r w:rsidR="009019F4" w:rsidRPr="00C921DE">
        <w:rPr>
          <w:rFonts w:ascii="GHEA Grapalat" w:hAnsi="GHEA Grapalat" w:cs="Arial"/>
          <w:sz w:val="22"/>
          <w:szCs w:val="22"/>
          <w:lang w:val="en-US"/>
        </w:rPr>
        <w:t>՝</w:t>
      </w:r>
      <w:r w:rsidRPr="00C921DE">
        <w:rPr>
          <w:rFonts w:ascii="GHEA Grapalat" w:hAnsi="GHEA Grapalat" w:cs="Arial"/>
          <w:sz w:val="22"/>
          <w:szCs w:val="22"/>
        </w:rPr>
        <w:t xml:space="preserve"> Հայաստանի Հանրապետության նախնական (արհեստագործական) և միջին մասնագիտական կրթական ծրագրեր իրականացնող ուսումնական հաստատություններում սովորող ուսանողների ուսման վարձի փոխհատուց</w:t>
      </w:r>
      <w:r w:rsidR="009019F4" w:rsidRPr="00C921DE">
        <w:rPr>
          <w:rFonts w:ascii="GHEA Grapalat" w:hAnsi="GHEA Grapalat" w:cs="Arial"/>
          <w:sz w:val="22"/>
          <w:szCs w:val="22"/>
          <w:lang w:val="en-US"/>
        </w:rPr>
        <w:t>ման</w:t>
      </w:r>
      <w:r w:rsidRPr="00C921DE">
        <w:rPr>
          <w:rFonts w:ascii="GHEA Grapalat" w:hAnsi="GHEA Grapalat" w:cs="Arial"/>
          <w:sz w:val="22"/>
          <w:szCs w:val="22"/>
        </w:rPr>
        <w:t xml:space="preserve"> </w:t>
      </w:r>
      <w:r w:rsidRPr="00C921DE">
        <w:rPr>
          <w:rFonts w:ascii="GHEA Grapalat" w:hAnsi="GHEA Grapalat" w:cs="Sylfaen"/>
          <w:sz w:val="22"/>
          <w:szCs w:val="22"/>
        </w:rPr>
        <w:t>միջոցառ</w:t>
      </w:r>
      <w:r w:rsidR="00660DAA" w:rsidRPr="00C921DE">
        <w:rPr>
          <w:rFonts w:ascii="GHEA Grapalat" w:hAnsi="GHEA Grapalat" w:cs="Sylfaen"/>
          <w:sz w:val="22"/>
          <w:szCs w:val="22"/>
          <w:lang w:val="en-US"/>
        </w:rPr>
        <w:t>ման</w:t>
      </w:r>
      <w:r w:rsidRPr="00C921DE">
        <w:rPr>
          <w:rFonts w:ascii="GHEA Grapalat" w:hAnsi="GHEA Grapalat" w:cs="Sylfaen"/>
          <w:sz w:val="22"/>
          <w:szCs w:val="22"/>
        </w:rPr>
        <w:t xml:space="preserve"> շրջանակներում</w:t>
      </w:r>
      <w:r w:rsidRPr="00C921DE">
        <w:rPr>
          <w:rFonts w:ascii="GHEA Grapalat" w:hAnsi="GHEA Grapalat" w:cs="Arial"/>
          <w:sz w:val="22"/>
          <w:szCs w:val="22"/>
        </w:rPr>
        <w:t xml:space="preserve"> փոխհատուցում է տրամադրվել 54 ուսանողի՝ կանխատեսված 75-ի դիմաց: </w:t>
      </w:r>
      <w:r w:rsidR="00660DAA" w:rsidRPr="00C921DE">
        <w:rPr>
          <w:rFonts w:ascii="GHEA Grapalat" w:hAnsi="GHEA Grapalat" w:cs="Arial"/>
          <w:sz w:val="22"/>
          <w:szCs w:val="22"/>
          <w:lang w:val="en-US"/>
        </w:rPr>
        <w:t>Մ</w:t>
      </w:r>
      <w:r w:rsidRPr="00C921DE">
        <w:rPr>
          <w:rFonts w:ascii="GHEA Grapalat" w:hAnsi="GHEA Grapalat" w:cs="Arial"/>
          <w:sz w:val="22"/>
          <w:szCs w:val="22"/>
        </w:rPr>
        <w:t xml:space="preserve">իջոցառման ծախսերը </w:t>
      </w:r>
      <w:r w:rsidRPr="00C921DE">
        <w:rPr>
          <w:rFonts w:ascii="GHEA Grapalat" w:hAnsi="GHEA Grapalat" w:cs="Sylfaen"/>
          <w:sz w:val="22"/>
          <w:szCs w:val="22"/>
        </w:rPr>
        <w:t>կազմել են 6.9 մլն դրամ՝ ապահովելով 99% կատարողական։</w:t>
      </w:r>
    </w:p>
    <w:p w14:paraId="32BCB303" w14:textId="55A7B233"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lastRenderedPageBreak/>
        <w:t xml:space="preserve">2023 թվականի ընթացքում </w:t>
      </w:r>
      <w:r w:rsidRPr="00C921DE">
        <w:rPr>
          <w:rFonts w:ascii="GHEA Grapalat" w:hAnsi="GHEA Grapalat" w:cs="Sylfaen"/>
          <w:i/>
          <w:sz w:val="22"/>
          <w:szCs w:val="22"/>
        </w:rPr>
        <w:t>Բարձրագույն և հետբուհական մասնագիտական կրթության</w:t>
      </w:r>
      <w:r w:rsidRPr="00C921DE">
        <w:rPr>
          <w:rFonts w:ascii="GHEA Grapalat" w:hAnsi="GHEA Grapalat" w:cs="Sylfaen"/>
          <w:sz w:val="22"/>
          <w:szCs w:val="22"/>
        </w:rPr>
        <w:t xml:space="preserve"> ծրագրին տրամադրվել է ավելի քան 12.7 մլրդ դրամ` ապահովելով ծրագրված ցուցանիշի 94% կատարողական: Շեղումը զգալիորեն պայմանավորված է ծրագրի ծախսերում մեծ տեսակարար կշիռ ունեցող բարձրագույն մասնագիտական կրթության գծով ուսանողական նպաստների տրամադրման ծախսերի կատարողականով: Ծրագիրն ուղղված է գիտելիքների տնտեսության և գիտության զարգացման արդի պահանջներին համապատասխան բարձրագույն և հետբուհական մասնագիտական որակավորում ունեցող մասնագետների պատրաստմանը: Նախորդ տարվա համեմատ Բարձրագույն և հետբուհական մասնագիտական կրթության ծրագրի ծախսերն աճել են 2.8%-ով կամ 351.9 մլն դրամով` հիմնականում պայմանավորված 2023 թվականի սեպտեմբերի 19-ից հետո Լեռնային Ղարաբաղից բռնի տեղահանված և ՀՀ-ում բարձրագույն մասնագիտական կրթություն ստացող ուսանողներին ուսման վարձի լրիվ կամ մասնակի փոխհատուցման և Լեռնային Ղարաբաղից բռնի տեղահանված ընտանիքների </w:t>
      </w:r>
      <w:r w:rsidR="003A6300" w:rsidRPr="00C921DE">
        <w:rPr>
          <w:rFonts w:ascii="GHEA Grapalat" w:hAnsi="GHEA Grapalat" w:cs="Sylfaen"/>
          <w:sz w:val="22"/>
          <w:szCs w:val="22"/>
          <w:lang w:val="en-US"/>
        </w:rPr>
        <w:t>ՀՀ</w:t>
      </w:r>
      <w:r w:rsidRPr="00C921DE">
        <w:rPr>
          <w:rFonts w:ascii="GHEA Grapalat" w:hAnsi="GHEA Grapalat" w:cs="Sylfaen"/>
          <w:sz w:val="22"/>
          <w:szCs w:val="22"/>
        </w:rPr>
        <w:t xml:space="preserve"> բարձրագույն և հետբուհական մասնագիտական կրթական ծրագրեր իրականացնող ուսումնական հաստատություններում սովորող ուսանողների ուսման վարձի փոխհատուց</w:t>
      </w:r>
      <w:r w:rsidR="003A6300" w:rsidRPr="00C921DE">
        <w:rPr>
          <w:rFonts w:ascii="GHEA Grapalat" w:hAnsi="GHEA Grapalat" w:cs="Sylfaen"/>
          <w:sz w:val="22"/>
          <w:szCs w:val="22"/>
          <w:lang w:val="en-US"/>
        </w:rPr>
        <w:t>ման նպատակով</w:t>
      </w:r>
      <w:r w:rsidRPr="00C921DE">
        <w:rPr>
          <w:rFonts w:ascii="GHEA Grapalat" w:hAnsi="GHEA Grapalat" w:cs="Sylfaen"/>
          <w:sz w:val="22"/>
          <w:szCs w:val="22"/>
        </w:rPr>
        <w:t xml:space="preserve"> գումարների հատկացմամբ:</w:t>
      </w:r>
    </w:p>
    <w:p w14:paraId="0C2C4B8A" w14:textId="034CF97A"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Բարձրագույն մասնագիտական կրթության գծով ուսանողական նպաստների տրամադրման միջոցառման շրջանակներում 2023 թվականին նպաստ ստացող ուսանողների թիվը կազմել է 10591՝ կանխատեսված 11145-ի և 2022 թվականի 10639-ի դիմաց, իսկ ուսման վարձավճարի լրիվ փոխհատուցում ստացած ուսանողների միջին տարեկան թիվը կազմել է 647՝ կանխատեսված 1000-ի և 2022 թվականի 732-ի դիմաց</w:t>
      </w:r>
      <w:r w:rsidR="00DA4C1A" w:rsidRPr="00C921DE">
        <w:rPr>
          <w:rFonts w:ascii="GHEA Grapalat" w:hAnsi="GHEA Grapalat" w:cs="Sylfaen"/>
          <w:sz w:val="22"/>
          <w:szCs w:val="22"/>
        </w:rPr>
        <w:t xml:space="preserve">: Միջոցառման ծախսերը կազմել են </w:t>
      </w:r>
      <w:r w:rsidRPr="00C921DE">
        <w:rPr>
          <w:rFonts w:ascii="GHEA Grapalat" w:hAnsi="GHEA Grapalat" w:cs="Sylfaen"/>
          <w:sz w:val="22"/>
          <w:szCs w:val="22"/>
        </w:rPr>
        <w:t>9.9</w:t>
      </w:r>
      <w:r w:rsidRPr="00C921DE">
        <w:rPr>
          <w:rFonts w:ascii="Courier New" w:hAnsi="Courier New" w:cs="Courier New"/>
          <w:sz w:val="22"/>
          <w:szCs w:val="22"/>
        </w:rPr>
        <w:t> </w:t>
      </w:r>
      <w:r w:rsidRPr="00C921DE">
        <w:rPr>
          <w:rFonts w:ascii="GHEA Grapalat" w:hAnsi="GHEA Grapalat" w:cs="GHEA Grapalat"/>
          <w:sz w:val="22"/>
          <w:szCs w:val="22"/>
        </w:rPr>
        <w:t>մլրդ</w:t>
      </w:r>
      <w:r w:rsidRPr="00C921DE">
        <w:rPr>
          <w:rFonts w:ascii="GHEA Grapalat" w:hAnsi="GHEA Grapalat" w:cs="Sylfaen"/>
          <w:sz w:val="22"/>
          <w:szCs w:val="22"/>
        </w:rPr>
        <w:t xml:space="preserve"> </w:t>
      </w:r>
      <w:r w:rsidRPr="00C921DE">
        <w:rPr>
          <w:rFonts w:ascii="GHEA Grapalat" w:hAnsi="GHEA Grapalat" w:cs="GHEA Grapalat"/>
          <w:sz w:val="22"/>
          <w:szCs w:val="22"/>
        </w:rPr>
        <w:t>դրամ՝</w:t>
      </w:r>
      <w:r w:rsidRPr="00C921DE">
        <w:rPr>
          <w:rFonts w:ascii="GHEA Grapalat" w:hAnsi="GHEA Grapalat" w:cs="Sylfaen"/>
          <w:sz w:val="22"/>
          <w:szCs w:val="22"/>
        </w:rPr>
        <w:t xml:space="preserve"> </w:t>
      </w:r>
      <w:r w:rsidRPr="00C921DE">
        <w:rPr>
          <w:rFonts w:ascii="GHEA Grapalat" w:hAnsi="GHEA Grapalat" w:cs="GHEA Grapalat"/>
          <w:sz w:val="22"/>
          <w:szCs w:val="22"/>
        </w:rPr>
        <w:t>ապահովելով</w:t>
      </w:r>
      <w:r w:rsidRPr="00C921DE">
        <w:rPr>
          <w:rFonts w:ascii="GHEA Grapalat" w:hAnsi="GHEA Grapalat" w:cs="Sylfaen"/>
          <w:sz w:val="22"/>
          <w:szCs w:val="22"/>
        </w:rPr>
        <w:t xml:space="preserve"> 94.5% կատարողական՝ հիմնականում պայմանավորված նպաստ և ուսման վարձավճարի լրիվ փոխհատուցում ստացած ուսանողների</w:t>
      </w:r>
      <w:r w:rsidR="00DA4C1A" w:rsidRPr="00C921DE">
        <w:rPr>
          <w:rFonts w:ascii="GHEA Grapalat" w:hAnsi="GHEA Grapalat" w:cs="Sylfaen"/>
          <w:sz w:val="22"/>
          <w:szCs w:val="22"/>
          <w:lang w:val="en-US"/>
        </w:rPr>
        <w:t>՝ կանխատեսվածից պակաս</w:t>
      </w:r>
      <w:r w:rsidRPr="00C921DE">
        <w:rPr>
          <w:rFonts w:ascii="GHEA Grapalat" w:hAnsi="GHEA Grapalat" w:cs="Sylfaen"/>
          <w:sz w:val="22"/>
          <w:szCs w:val="22"/>
        </w:rPr>
        <w:t xml:space="preserve"> թվով: Նախորդ տարվա համեմատ տվյալ ծրագրի ծախսերն էական փոփոխություն չեն կրել։</w:t>
      </w:r>
    </w:p>
    <w:p w14:paraId="1A5AB19F" w14:textId="78A200F2" w:rsidR="001556D3" w:rsidRPr="00C921DE" w:rsidRDefault="001556D3" w:rsidP="001556D3">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Arial"/>
          <w:sz w:val="22"/>
          <w:szCs w:val="22"/>
        </w:rPr>
        <w:t>Բարձրագույն</w:t>
      </w:r>
      <w:r w:rsidRPr="00C921DE">
        <w:rPr>
          <w:rFonts w:ascii="GHEA Grapalat" w:hAnsi="GHEA Grapalat" w:cs="Sylfaen"/>
          <w:sz w:val="22"/>
          <w:szCs w:val="22"/>
          <w:lang w:val="af-ZA"/>
        </w:rPr>
        <w:t xml:space="preserve"> </w:t>
      </w:r>
      <w:r w:rsidRPr="00C921DE">
        <w:rPr>
          <w:rFonts w:ascii="GHEA Grapalat" w:hAnsi="GHEA Grapalat" w:cs="Arial"/>
          <w:sz w:val="22"/>
          <w:szCs w:val="22"/>
        </w:rPr>
        <w:t>մասնագիտական</w:t>
      </w:r>
      <w:r w:rsidRPr="00C921DE">
        <w:rPr>
          <w:rFonts w:ascii="GHEA Grapalat" w:hAnsi="GHEA Grapalat" w:cs="Sylfaen"/>
          <w:sz w:val="22"/>
          <w:szCs w:val="22"/>
          <w:lang w:val="af-ZA"/>
        </w:rPr>
        <w:t xml:space="preserve"> </w:t>
      </w:r>
      <w:r w:rsidRPr="00C921DE">
        <w:rPr>
          <w:rFonts w:ascii="GHEA Grapalat" w:hAnsi="GHEA Grapalat" w:cs="Arial"/>
          <w:sz w:val="22"/>
          <w:szCs w:val="22"/>
        </w:rPr>
        <w:t>կրթություն</w:t>
      </w:r>
      <w:r w:rsidRPr="00C921DE">
        <w:rPr>
          <w:rFonts w:ascii="GHEA Grapalat" w:hAnsi="GHEA Grapalat" w:cs="Sylfaen"/>
          <w:sz w:val="22"/>
          <w:szCs w:val="22"/>
          <w:lang w:val="af-ZA"/>
        </w:rPr>
        <w:t xml:space="preserve"> ստացող ուսանողներից կրթաթոշակ </w:t>
      </w:r>
      <w:r w:rsidRPr="00C921DE">
        <w:rPr>
          <w:rFonts w:ascii="GHEA Grapalat" w:hAnsi="GHEA Grapalat" w:cs="Arial"/>
          <w:sz w:val="22"/>
          <w:szCs w:val="22"/>
        </w:rPr>
        <w:t>ստացողների փաստացի</w:t>
      </w:r>
      <w:r w:rsidRPr="00C921DE">
        <w:rPr>
          <w:rFonts w:ascii="GHEA Grapalat" w:hAnsi="GHEA Grapalat" w:cs="Arial"/>
          <w:sz w:val="22"/>
          <w:szCs w:val="22"/>
          <w:lang w:val="af-ZA"/>
        </w:rPr>
        <w:t xml:space="preserve"> </w:t>
      </w:r>
      <w:r w:rsidRPr="00C921DE">
        <w:rPr>
          <w:rFonts w:ascii="GHEA Grapalat" w:hAnsi="GHEA Grapalat" w:cs="Arial"/>
          <w:sz w:val="22"/>
          <w:szCs w:val="22"/>
        </w:rPr>
        <w:t>թիվը</w:t>
      </w:r>
      <w:r w:rsidRPr="00C921DE">
        <w:rPr>
          <w:rFonts w:ascii="GHEA Grapalat" w:hAnsi="GHEA Grapalat" w:cs="Arial"/>
          <w:sz w:val="22"/>
          <w:szCs w:val="22"/>
          <w:lang w:val="af-ZA"/>
        </w:rPr>
        <w:t xml:space="preserve"> </w:t>
      </w:r>
      <w:r w:rsidRPr="00C921DE">
        <w:rPr>
          <w:rFonts w:ascii="GHEA Grapalat" w:hAnsi="GHEA Grapalat" w:cs="Sylfaen"/>
          <w:sz w:val="22"/>
          <w:szCs w:val="22"/>
        </w:rPr>
        <w:t>կազմել է 7567` կանխատեսված 10450-ի և 2022 թվականի 9031-ի դիմաց, արտերկրում սովորող ուսանողների թիվը</w:t>
      </w:r>
      <w:r w:rsidR="00311EC7" w:rsidRPr="00C921DE">
        <w:rPr>
          <w:rFonts w:ascii="GHEA Grapalat" w:hAnsi="GHEA Grapalat" w:cs="Sylfaen"/>
          <w:sz w:val="22"/>
          <w:szCs w:val="22"/>
          <w:lang w:val="en-US"/>
        </w:rPr>
        <w:t xml:space="preserve"> համապատասխանել է կանխատեսվածին՝</w:t>
      </w:r>
      <w:r w:rsidRPr="00C921DE">
        <w:rPr>
          <w:rFonts w:ascii="GHEA Grapalat" w:hAnsi="GHEA Grapalat" w:cs="Sylfaen"/>
          <w:sz w:val="22"/>
          <w:szCs w:val="22"/>
        </w:rPr>
        <w:t xml:space="preserve"> կազմ</w:t>
      </w:r>
      <w:r w:rsidR="00311EC7" w:rsidRPr="00C921DE">
        <w:rPr>
          <w:rFonts w:ascii="GHEA Grapalat" w:hAnsi="GHEA Grapalat" w:cs="Sylfaen"/>
          <w:sz w:val="22"/>
          <w:szCs w:val="22"/>
        </w:rPr>
        <w:t xml:space="preserve">ելով 85 և </w:t>
      </w:r>
      <w:r w:rsidR="009E2050" w:rsidRPr="00C921DE">
        <w:rPr>
          <w:rFonts w:ascii="GHEA Grapalat" w:hAnsi="GHEA Grapalat" w:cs="Sylfaen"/>
          <w:sz w:val="22"/>
          <w:szCs w:val="22"/>
          <w:lang w:val="en-US"/>
        </w:rPr>
        <w:t>պահպանելով</w:t>
      </w:r>
      <w:r w:rsidRPr="00C921DE">
        <w:rPr>
          <w:rFonts w:ascii="GHEA Grapalat" w:hAnsi="GHEA Grapalat" w:cs="Sylfaen"/>
          <w:sz w:val="22"/>
          <w:szCs w:val="22"/>
        </w:rPr>
        <w:t xml:space="preserve"> 2022 թվականի</w:t>
      </w:r>
      <w:r w:rsidR="009E2050" w:rsidRPr="00C921DE">
        <w:rPr>
          <w:rFonts w:ascii="GHEA Grapalat" w:hAnsi="GHEA Grapalat" w:cs="Sylfaen"/>
          <w:sz w:val="22"/>
          <w:szCs w:val="22"/>
          <w:lang w:val="en-US"/>
        </w:rPr>
        <w:t xml:space="preserve"> ցուցանիշը</w:t>
      </w:r>
      <w:r w:rsidRPr="00C921DE">
        <w:rPr>
          <w:rFonts w:ascii="GHEA Grapalat" w:hAnsi="GHEA Grapalat" w:cs="Sylfaen"/>
          <w:sz w:val="22"/>
          <w:szCs w:val="22"/>
        </w:rPr>
        <w:t xml:space="preserve">: Բարձրագույն </w:t>
      </w:r>
      <w:r w:rsidRPr="00C921DE">
        <w:rPr>
          <w:rFonts w:ascii="GHEA Grapalat" w:hAnsi="GHEA Grapalat" w:cs="Arial"/>
          <w:sz w:val="22"/>
          <w:szCs w:val="22"/>
        </w:rPr>
        <w:t>մասնագիտական</w:t>
      </w:r>
      <w:r w:rsidRPr="00C921DE">
        <w:rPr>
          <w:rFonts w:ascii="GHEA Grapalat" w:hAnsi="GHEA Grapalat" w:cs="Sylfaen"/>
          <w:sz w:val="22"/>
          <w:szCs w:val="22"/>
          <w:lang w:val="af-ZA"/>
        </w:rPr>
        <w:t xml:space="preserve"> </w:t>
      </w:r>
      <w:r w:rsidRPr="00C921DE">
        <w:rPr>
          <w:rFonts w:ascii="GHEA Grapalat" w:hAnsi="GHEA Grapalat" w:cs="Arial"/>
          <w:sz w:val="22"/>
          <w:szCs w:val="22"/>
        </w:rPr>
        <w:t>կրթություն</w:t>
      </w:r>
      <w:r w:rsidRPr="00C921DE">
        <w:rPr>
          <w:rFonts w:ascii="GHEA Grapalat" w:hAnsi="GHEA Grapalat" w:cs="Sylfaen"/>
          <w:sz w:val="22"/>
          <w:szCs w:val="22"/>
          <w:lang w:val="af-ZA"/>
        </w:rPr>
        <w:t xml:space="preserve"> </w:t>
      </w:r>
      <w:r w:rsidRPr="00C921DE">
        <w:rPr>
          <w:rFonts w:ascii="GHEA Grapalat" w:hAnsi="GHEA Grapalat" w:cs="Arial"/>
          <w:sz w:val="22"/>
          <w:szCs w:val="22"/>
        </w:rPr>
        <w:t>ստացող</w:t>
      </w:r>
      <w:r w:rsidRPr="00C921DE">
        <w:rPr>
          <w:rFonts w:ascii="GHEA Grapalat" w:hAnsi="GHEA Grapalat" w:cs="Sylfaen"/>
          <w:sz w:val="22"/>
          <w:szCs w:val="22"/>
          <w:lang w:val="af-ZA"/>
        </w:rPr>
        <w:t xml:space="preserve"> </w:t>
      </w:r>
      <w:r w:rsidRPr="00C921DE">
        <w:rPr>
          <w:rFonts w:ascii="GHEA Grapalat" w:hAnsi="GHEA Grapalat" w:cs="Arial"/>
          <w:sz w:val="22"/>
          <w:szCs w:val="22"/>
        </w:rPr>
        <w:t>ուսանողների</w:t>
      </w:r>
      <w:r w:rsidRPr="00C921DE">
        <w:rPr>
          <w:rFonts w:ascii="GHEA Grapalat" w:hAnsi="GHEA Grapalat" w:cs="Sylfaen"/>
          <w:sz w:val="22"/>
          <w:szCs w:val="22"/>
          <w:lang w:val="af-ZA"/>
        </w:rPr>
        <w:t xml:space="preserve"> </w:t>
      </w:r>
      <w:r w:rsidRPr="00C921DE">
        <w:rPr>
          <w:rFonts w:ascii="GHEA Grapalat" w:hAnsi="GHEA Grapalat" w:cs="Arial"/>
          <w:sz w:val="22"/>
          <w:szCs w:val="22"/>
        </w:rPr>
        <w:t>կրթաթոշակների</w:t>
      </w:r>
      <w:r w:rsidRPr="00C921DE">
        <w:rPr>
          <w:rFonts w:ascii="GHEA Grapalat" w:hAnsi="GHEA Grapalat" w:cs="Arial"/>
          <w:sz w:val="22"/>
          <w:szCs w:val="22"/>
          <w:lang w:val="af-ZA"/>
        </w:rPr>
        <w:t xml:space="preserve"> </w:t>
      </w:r>
      <w:r w:rsidRPr="00C921DE">
        <w:rPr>
          <w:rFonts w:ascii="GHEA Grapalat" w:hAnsi="GHEA Grapalat" w:cs="Arial"/>
          <w:sz w:val="22"/>
          <w:szCs w:val="22"/>
        </w:rPr>
        <w:t>ծախսերը</w:t>
      </w:r>
      <w:r w:rsidRPr="00C921DE">
        <w:rPr>
          <w:rFonts w:ascii="GHEA Grapalat" w:hAnsi="GHEA Grapalat" w:cs="Arial"/>
          <w:sz w:val="22"/>
          <w:szCs w:val="22"/>
          <w:lang w:val="af-ZA"/>
        </w:rPr>
        <w:t xml:space="preserve"> </w:t>
      </w:r>
      <w:r w:rsidRPr="00C921DE">
        <w:rPr>
          <w:rFonts w:ascii="GHEA Grapalat" w:hAnsi="GHEA Grapalat" w:cs="Arial"/>
          <w:sz w:val="22"/>
          <w:szCs w:val="22"/>
        </w:rPr>
        <w:t>կազմել են շուրջ 741.2</w:t>
      </w:r>
      <w:r w:rsidR="009E2050" w:rsidRPr="00C921DE">
        <w:rPr>
          <w:rFonts w:ascii="Calibri" w:hAnsi="Calibri" w:cs="Calibri"/>
          <w:sz w:val="22"/>
          <w:szCs w:val="22"/>
          <w:lang w:val="en-US"/>
        </w:rPr>
        <w:t> </w:t>
      </w:r>
      <w:r w:rsidRPr="00C921DE">
        <w:rPr>
          <w:rFonts w:ascii="GHEA Grapalat" w:hAnsi="GHEA Grapalat" w:cs="Arial"/>
          <w:sz w:val="22"/>
          <w:szCs w:val="22"/>
        </w:rPr>
        <w:t>մլն դրամ` ապահովելով 87.6% կատարողական, որը պայմանավորված է կրթաթոշակ ստացող ուսանողների փաստացի թվով, արտերկրում սովորող ուսանողների</w:t>
      </w:r>
      <w:r w:rsidR="00311EC7" w:rsidRPr="00C921DE">
        <w:rPr>
          <w:rFonts w:ascii="GHEA Grapalat" w:hAnsi="GHEA Grapalat" w:cs="Arial"/>
          <w:sz w:val="22"/>
          <w:szCs w:val="22"/>
          <w:lang w:val="en-US"/>
        </w:rPr>
        <w:t>՝</w:t>
      </w:r>
      <w:r w:rsidRPr="00C921DE">
        <w:rPr>
          <w:rFonts w:ascii="GHEA Grapalat" w:hAnsi="GHEA Grapalat" w:cs="Arial"/>
          <w:sz w:val="22"/>
          <w:szCs w:val="22"/>
        </w:rPr>
        <w:t xml:space="preserve"> չորրորդ եռամսյակի կրթական ծախսերի հաշիվները չներկայացվելու հանգամանքով, ինչպես նաև արտարժույթի կանխատեսված ու փաստացի փոխարժեքների տարբերությամբ:</w:t>
      </w:r>
      <w:r w:rsidRPr="00C921DE">
        <w:rPr>
          <w:rFonts w:ascii="GHEA Grapalat" w:hAnsi="GHEA Grapalat" w:cs="Sylfaen"/>
          <w:sz w:val="22"/>
          <w:szCs w:val="22"/>
        </w:rPr>
        <w:t xml:space="preserve"> Նախորդ տարվա համեմատ միջոցառման գծով ծախսերն աճել են </w:t>
      </w:r>
      <w:r w:rsidRPr="00C921DE">
        <w:rPr>
          <w:rFonts w:ascii="GHEA Grapalat" w:hAnsi="GHEA Grapalat" w:cs="Arial"/>
          <w:sz w:val="22"/>
          <w:szCs w:val="22"/>
        </w:rPr>
        <w:t xml:space="preserve">8%-ով կամ 55.2 մլն դրամով, որը պայմանավորված է </w:t>
      </w:r>
      <w:r w:rsidR="00AD52D2" w:rsidRPr="00C921DE">
        <w:rPr>
          <w:rFonts w:ascii="GHEA Grapalat" w:hAnsi="GHEA Grapalat" w:cs="Arial"/>
          <w:sz w:val="22"/>
          <w:szCs w:val="22"/>
        </w:rPr>
        <w:t xml:space="preserve">բարձրագույն ուսումնական </w:t>
      </w:r>
      <w:r w:rsidR="00AD52D2" w:rsidRPr="00C921DE">
        <w:rPr>
          <w:rFonts w:ascii="GHEA Grapalat" w:hAnsi="GHEA Grapalat" w:cs="Arial"/>
          <w:sz w:val="22"/>
          <w:szCs w:val="22"/>
        </w:rPr>
        <w:lastRenderedPageBreak/>
        <w:t>հաստատություններում կամ կազմակերպություններում բակալավրի և մագիստրոսի կրթական աստիճաններով առկա ուսուցմամբ սովորողներին տրվող պետական կրթաթոշակի չափերի</w:t>
      </w:r>
      <w:r w:rsidR="00AD52D2" w:rsidRPr="00C921DE">
        <w:rPr>
          <w:rFonts w:ascii="GHEA Grapalat" w:hAnsi="GHEA Grapalat" w:cs="Arial"/>
          <w:sz w:val="22"/>
          <w:szCs w:val="22"/>
          <w:lang w:val="en-US"/>
        </w:rPr>
        <w:t xml:space="preserve"> բարձրացմամբ</w:t>
      </w:r>
      <w:r w:rsidRPr="00C921DE">
        <w:rPr>
          <w:rFonts w:ascii="GHEA Grapalat" w:hAnsi="GHEA Grapalat" w:cs="Arial"/>
          <w:sz w:val="22"/>
          <w:szCs w:val="22"/>
        </w:rPr>
        <w:t>:</w:t>
      </w:r>
    </w:p>
    <w:p w14:paraId="245CD4FD" w14:textId="60953847" w:rsidR="001556D3" w:rsidRPr="00C921DE" w:rsidRDefault="001556D3" w:rsidP="001556D3">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Arial"/>
          <w:sz w:val="22"/>
          <w:szCs w:val="22"/>
        </w:rPr>
        <w:t>2023 թվականի սեպտեմբերի 19-ից հետո Լեռնային Ղարաբաղից բռնի տեղահանված և ՀՀ-ում բարձրագույն մասնագիտական կրթություն ստացող ուսանողներին ուսման վարձի լրիվ կամ մասնակի փոխհատուցման նպատակով կրթաթոշակի տրամադրման միջոցառման շրջանակում բակալավրի կրթական ծրագրով ուսման</w:t>
      </w:r>
      <w:r w:rsidR="00CF57DF" w:rsidRPr="00C921DE">
        <w:rPr>
          <w:rFonts w:ascii="GHEA Grapalat" w:hAnsi="GHEA Grapalat" w:cs="Arial"/>
          <w:sz w:val="22"/>
          <w:szCs w:val="22"/>
          <w:lang w:val="en-US"/>
        </w:rPr>
        <w:t xml:space="preserve"> վարձի</w:t>
      </w:r>
      <w:r w:rsidRPr="00C921DE">
        <w:rPr>
          <w:rFonts w:ascii="GHEA Grapalat" w:hAnsi="GHEA Grapalat" w:cs="Arial"/>
          <w:sz w:val="22"/>
          <w:szCs w:val="22"/>
        </w:rPr>
        <w:t xml:space="preserve"> փոխհատուցում է ստացել 1728 ուսանող, իսկ մագիստրոսական կրթական ծրագրով՝ 108 ուսանող: Նշված ծախսերը 2023 թվականին կազմել են 439.3 մլն դրամ՝ ապահովելով 99.8% կատարողական:</w:t>
      </w:r>
    </w:p>
    <w:p w14:paraId="1863B88B" w14:textId="3DAA5461" w:rsidR="001556D3" w:rsidRPr="00C921DE" w:rsidRDefault="001556D3" w:rsidP="001556D3">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Arial"/>
          <w:sz w:val="22"/>
          <w:szCs w:val="22"/>
        </w:rPr>
        <w:t>Լեռնային Ղարաբաղից բռնի տեղահանված ընտանիքների</w:t>
      </w:r>
      <w:r w:rsidR="00383E8C" w:rsidRPr="00C921DE">
        <w:rPr>
          <w:rFonts w:ascii="GHEA Grapalat" w:hAnsi="GHEA Grapalat" w:cs="Arial"/>
          <w:sz w:val="22"/>
          <w:szCs w:val="22"/>
        </w:rPr>
        <w:t>՝</w:t>
      </w:r>
      <w:r w:rsidRPr="00C921DE">
        <w:rPr>
          <w:rFonts w:ascii="GHEA Grapalat" w:hAnsi="GHEA Grapalat" w:cs="Arial"/>
          <w:sz w:val="22"/>
          <w:szCs w:val="22"/>
        </w:rPr>
        <w:t xml:space="preserve"> ՀՀ բարձրագույն և հետբուհական մասնագիտական կրթական ծրագրեր իրականացնող ուսումնական հաստատություններում վճարովի ուսուցման համակարգում սովորող ուսանողների ուսման վարձի փոխհատուցում է ստացել 823 ուսանող՝ </w:t>
      </w:r>
      <w:r w:rsidR="00383E8C" w:rsidRPr="00C921DE">
        <w:rPr>
          <w:rFonts w:ascii="GHEA Grapalat" w:hAnsi="GHEA Grapalat" w:cs="Arial"/>
          <w:sz w:val="22"/>
          <w:szCs w:val="22"/>
        </w:rPr>
        <w:t>կան</w:t>
      </w:r>
      <w:r w:rsidRPr="00C921DE">
        <w:rPr>
          <w:rFonts w:ascii="GHEA Grapalat" w:hAnsi="GHEA Grapalat" w:cs="Arial"/>
          <w:sz w:val="22"/>
          <w:szCs w:val="22"/>
        </w:rPr>
        <w:t xml:space="preserve">խատեսված 860-ի դիմաց։ </w:t>
      </w:r>
      <w:r w:rsidR="00383E8C" w:rsidRPr="00C921DE">
        <w:rPr>
          <w:rFonts w:ascii="GHEA Grapalat" w:hAnsi="GHEA Grapalat" w:cs="Arial"/>
          <w:sz w:val="22"/>
          <w:szCs w:val="22"/>
        </w:rPr>
        <w:t>Մ</w:t>
      </w:r>
      <w:r w:rsidRPr="00C921DE">
        <w:rPr>
          <w:rFonts w:ascii="GHEA Grapalat" w:hAnsi="GHEA Grapalat" w:cs="Arial"/>
          <w:sz w:val="22"/>
          <w:szCs w:val="22"/>
        </w:rPr>
        <w:t>իջոցառման ծախսերը կազմել են 254.2 մլն դրամ՝ ապահովելով 98.6% կատարողական, որը պայմանավորված է դիմորդների փաստացի թվով։</w:t>
      </w:r>
    </w:p>
    <w:p w14:paraId="44AB5CAD" w14:textId="23BEADF5"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2023 թվականի ընթացքում ավելի քան 115.3 մլրդ դրամ է օգտագործվել </w:t>
      </w:r>
      <w:r w:rsidRPr="00C921DE">
        <w:rPr>
          <w:rFonts w:ascii="GHEA Grapalat" w:hAnsi="GHEA Grapalat" w:cs="Sylfaen"/>
          <w:i/>
          <w:sz w:val="22"/>
          <w:szCs w:val="22"/>
        </w:rPr>
        <w:t>Հանրակրթության ծրագրի</w:t>
      </w:r>
      <w:r w:rsidRPr="00C921DE">
        <w:rPr>
          <w:rFonts w:ascii="GHEA Grapalat" w:hAnsi="GHEA Grapalat" w:cs="Sylfaen"/>
          <w:sz w:val="22"/>
          <w:szCs w:val="22"/>
        </w:rPr>
        <w:t xml:space="preserve"> շրջանակներում՝ ապահովելով 97.2% կատարողական: Շեղումը հիմնականում պայմանավորված է «Մոդուլային» տիպի մանկապարտեզների շենքային ապահովման և սոցիալական որոշ խմբերի 1.5-5 տարեկան երեխաների նախադպրոցական կրթության ապահովման միջոցառումների կատարողականով: Ծրագրում ընդգրկված են 35 միջոցառումներ: Նախորդ տարվա համեմատ Հանրակրթության ծրագրի ծախսերն աճել են 11.6%-ով կամ 12 մլրդ դրամով` հիմնականում պայմանավորված ընդհանուր հանրակրթության և «Մոդուլային» տիպի մանկապարտեզների շենքային ապահովում միջոցառման շրջանակներում կատարված ծախսերի աճով:</w:t>
      </w:r>
    </w:p>
    <w:p w14:paraId="7D0F2AD1" w14:textId="2EE00DD0"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2023 թվականին ընդհանուր հանրակրթական ուսումնական կրթություն է իրականացվել 1334 պետական ուսումնական հաստատություններում՝ 2022 թվականի 1337-ի դիմաց: Ընդհանուր հանրակրթության ծախսերը 2023 թվականին կատարվել են 99.9%-ով՝ կազմելով 100.4 մլրդ դրամ: Նախորդ տարվա համեմատ տարրական, հիմնական և միջնակարգ ընդհանուր հանրակրթական ուսուցման ծախսերն աճել են 7.7%-ով կամ 7.2 մլրդ դրամով, որը պայմանավորված է հիմնական և միջնակարգ մակարդակներում սովորողների թվի աճով, ինչպես նաև ֆինանսավորման կարգի փոփոխությամբ</w:t>
      </w:r>
      <w:r w:rsidR="001B46B8" w:rsidRPr="00C921DE">
        <w:rPr>
          <w:rFonts w:ascii="GHEA Grapalat" w:hAnsi="GHEA Grapalat" w:cs="Sylfaen"/>
          <w:sz w:val="22"/>
          <w:szCs w:val="22"/>
        </w:rPr>
        <w:t>, որի համաձայն</w:t>
      </w:r>
      <w:r w:rsidRPr="00C921DE">
        <w:rPr>
          <w:rFonts w:ascii="GHEA Grapalat" w:hAnsi="GHEA Grapalat" w:cs="Sylfaen"/>
          <w:sz w:val="22"/>
          <w:szCs w:val="22"/>
        </w:rPr>
        <w:t xml:space="preserve"> 2023 թվականի սեպտեմբերից հաշվարկները կատարվում են </w:t>
      </w:r>
      <w:r w:rsidR="001B46B8" w:rsidRPr="00C921DE">
        <w:rPr>
          <w:rFonts w:ascii="GHEA Grapalat" w:hAnsi="GHEA Grapalat" w:cs="Sylfaen"/>
          <w:sz w:val="22"/>
          <w:szCs w:val="22"/>
          <w:lang w:val="en-US"/>
        </w:rPr>
        <w:t xml:space="preserve">ըստ </w:t>
      </w:r>
      <w:r w:rsidRPr="00C921DE">
        <w:rPr>
          <w:rFonts w:ascii="GHEA Grapalat" w:hAnsi="GHEA Grapalat" w:cs="Sylfaen"/>
          <w:sz w:val="22"/>
          <w:szCs w:val="22"/>
        </w:rPr>
        <w:t xml:space="preserve">դասարանների թվի՝ նախկինում աշակերտների թվի փոխարեն։ Բացի այդ, նոր կարգով սահմանվել են նաև ոչ ուսուցչական անձնակազմի հաստիքներ՝ ըստ դասարանների թվի, որի համաձայն </w:t>
      </w:r>
      <w:r w:rsidRPr="00C921DE">
        <w:rPr>
          <w:rFonts w:ascii="GHEA Grapalat" w:hAnsi="GHEA Grapalat" w:cs="Sylfaen"/>
          <w:sz w:val="22"/>
          <w:szCs w:val="22"/>
        </w:rPr>
        <w:lastRenderedPageBreak/>
        <w:t>նվազագույն դրույքաչափերը սահմանվել են գործակիցներով՝ ՀՀ օրենսդրությամբ սահմանված նվազագույն</w:t>
      </w:r>
      <w:r w:rsidR="00E241EF" w:rsidRPr="00C921DE">
        <w:rPr>
          <w:rFonts w:ascii="GHEA Grapalat" w:hAnsi="GHEA Grapalat" w:cs="Sylfaen"/>
          <w:sz w:val="22"/>
          <w:szCs w:val="22"/>
          <w:lang w:val="en-US"/>
        </w:rPr>
        <w:t xml:space="preserve"> </w:t>
      </w:r>
      <w:r w:rsidR="00E241EF" w:rsidRPr="00C921DE">
        <w:rPr>
          <w:rFonts w:ascii="GHEA Grapalat" w:hAnsi="GHEA Grapalat" w:cs="Sylfaen"/>
          <w:sz w:val="22"/>
          <w:szCs w:val="22"/>
        </w:rPr>
        <w:t>ամսական</w:t>
      </w:r>
      <w:r w:rsidRPr="00C921DE">
        <w:rPr>
          <w:rFonts w:ascii="GHEA Grapalat" w:hAnsi="GHEA Grapalat" w:cs="Sylfaen"/>
          <w:sz w:val="22"/>
          <w:szCs w:val="22"/>
        </w:rPr>
        <w:t xml:space="preserve"> աշխատավարձի նկատմամբ։</w:t>
      </w:r>
    </w:p>
    <w:p w14:paraId="223CD14F" w14:textId="77777777" w:rsidR="00195433" w:rsidRPr="00C921DE" w:rsidRDefault="00195433" w:rsidP="00B134DD">
      <w:pPr>
        <w:autoSpaceDE w:val="0"/>
        <w:autoSpaceDN w:val="0"/>
        <w:adjustRightInd w:val="0"/>
        <w:ind w:firstLine="567"/>
        <w:jc w:val="both"/>
        <w:rPr>
          <w:rFonts w:ascii="GHEA Grapalat" w:hAnsi="GHEA Grapalat" w:cs="Sylfaen"/>
          <w:sz w:val="22"/>
          <w:szCs w:val="22"/>
        </w:rPr>
      </w:pPr>
    </w:p>
    <w:p w14:paraId="49EA8930" w14:textId="77777777" w:rsidR="001556D3" w:rsidRPr="00C921DE" w:rsidRDefault="001556D3" w:rsidP="001556D3">
      <w:pPr>
        <w:pStyle w:val="Caption"/>
        <w:keepNext/>
        <w:numPr>
          <w:ilvl w:val="0"/>
          <w:numId w:val="16"/>
        </w:numPr>
        <w:tabs>
          <w:tab w:val="left" w:pos="1276"/>
        </w:tabs>
        <w:ind w:left="0" w:firstLine="0"/>
        <w:jc w:val="left"/>
        <w:rPr>
          <w:rFonts w:ascii="GHEA Grapalat" w:hAnsi="GHEA Grapalat"/>
          <w:i/>
          <w:sz w:val="18"/>
          <w:szCs w:val="18"/>
          <w:lang w:val="en-US"/>
        </w:rPr>
      </w:pPr>
      <w:r w:rsidRPr="00C921DE">
        <w:rPr>
          <w:rFonts w:ascii="GHEA Grapalat" w:hAnsi="GHEA Grapalat"/>
          <w:i/>
          <w:sz w:val="18"/>
          <w:szCs w:val="18"/>
          <w:lang w:val="en-US"/>
        </w:rPr>
        <w:t>Ընդհանուր հանրակրթության համակարգի ցուցանիշները</w:t>
      </w:r>
    </w:p>
    <w:tbl>
      <w:tblPr>
        <w:tblW w:w="10206" w:type="dxa"/>
        <w:tblInd w:w="108" w:type="dxa"/>
        <w:tblLayout w:type="fixed"/>
        <w:tblLook w:val="00A0" w:firstRow="1" w:lastRow="0" w:firstColumn="1" w:lastColumn="0" w:noHBand="0" w:noVBand="0"/>
      </w:tblPr>
      <w:tblGrid>
        <w:gridCol w:w="2694"/>
        <w:gridCol w:w="1417"/>
        <w:gridCol w:w="1418"/>
        <w:gridCol w:w="1134"/>
        <w:gridCol w:w="1134"/>
        <w:gridCol w:w="1134"/>
        <w:gridCol w:w="1275"/>
      </w:tblGrid>
      <w:tr w:rsidR="001556D3" w:rsidRPr="00C921DE" w14:paraId="01C9892E" w14:textId="77777777" w:rsidTr="001556D3">
        <w:trPr>
          <w:trHeight w:val="1260"/>
        </w:trPr>
        <w:tc>
          <w:tcPr>
            <w:tcW w:w="2694" w:type="dxa"/>
            <w:tcBorders>
              <w:top w:val="single" w:sz="4" w:space="0" w:color="auto"/>
              <w:left w:val="single" w:sz="4" w:space="0" w:color="auto"/>
              <w:bottom w:val="single" w:sz="4" w:space="0" w:color="auto"/>
              <w:right w:val="single" w:sz="4" w:space="0" w:color="auto"/>
            </w:tcBorders>
            <w:noWrap/>
            <w:vAlign w:val="bottom"/>
          </w:tcPr>
          <w:p w14:paraId="459DDA9E" w14:textId="77777777" w:rsidR="001556D3" w:rsidRPr="00C921DE" w:rsidRDefault="001556D3" w:rsidP="001556D3">
            <w:pPr>
              <w:rPr>
                <w:rFonts w:ascii="Calibri" w:hAnsi="Calibri" w:cs="Calibri"/>
                <w:sz w:val="18"/>
                <w:szCs w:val="18"/>
              </w:rPr>
            </w:pPr>
            <w:r w:rsidRPr="00C921DE">
              <w:rPr>
                <w:rFonts w:ascii="Calibri" w:hAnsi="Calibri" w:cs="Calibri"/>
                <w:sz w:val="18"/>
                <w:szCs w:val="18"/>
              </w:rPr>
              <w:t> </w:t>
            </w:r>
          </w:p>
        </w:tc>
        <w:tc>
          <w:tcPr>
            <w:tcW w:w="1417" w:type="dxa"/>
            <w:tcBorders>
              <w:top w:val="single" w:sz="4" w:space="0" w:color="auto"/>
              <w:left w:val="nil"/>
              <w:bottom w:val="single" w:sz="4" w:space="0" w:color="auto"/>
              <w:right w:val="single" w:sz="4" w:space="0" w:color="auto"/>
            </w:tcBorders>
          </w:tcPr>
          <w:p w14:paraId="53D8B39E"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2</w:t>
            </w:r>
            <w:r w:rsidRPr="00C921DE">
              <w:rPr>
                <w:rFonts w:ascii="GHEA Grapalat" w:hAnsi="GHEA Grapalat"/>
                <w:b/>
                <w:sz w:val="18"/>
                <w:szCs w:val="18"/>
              </w:rPr>
              <w:t>թ. սովորողների փաստացի թիվ</w:t>
            </w:r>
          </w:p>
        </w:tc>
        <w:tc>
          <w:tcPr>
            <w:tcW w:w="1418" w:type="dxa"/>
            <w:tcBorders>
              <w:top w:val="single" w:sz="4" w:space="0" w:color="auto"/>
              <w:left w:val="nil"/>
              <w:bottom w:val="single" w:sz="4" w:space="0" w:color="auto"/>
              <w:right w:val="single" w:sz="4" w:space="0" w:color="auto"/>
            </w:tcBorders>
          </w:tcPr>
          <w:p w14:paraId="3B6F9488"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սովորողների փաստացի թիվ</w:t>
            </w:r>
          </w:p>
        </w:tc>
        <w:tc>
          <w:tcPr>
            <w:tcW w:w="1134" w:type="dxa"/>
            <w:tcBorders>
              <w:top w:val="single" w:sz="4" w:space="0" w:color="auto"/>
              <w:left w:val="nil"/>
              <w:bottom w:val="single" w:sz="4" w:space="0" w:color="auto"/>
              <w:right w:val="single" w:sz="4" w:space="0" w:color="auto"/>
            </w:tcBorders>
            <w:noWrap/>
          </w:tcPr>
          <w:p w14:paraId="42A200F8"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2023թ. և 2022թ. տարբե-րությունը</w:t>
            </w:r>
          </w:p>
        </w:tc>
        <w:tc>
          <w:tcPr>
            <w:tcW w:w="1134" w:type="dxa"/>
            <w:tcBorders>
              <w:top w:val="single" w:sz="4" w:space="0" w:color="auto"/>
              <w:left w:val="nil"/>
              <w:bottom w:val="single" w:sz="4" w:space="0" w:color="auto"/>
              <w:right w:val="single" w:sz="4" w:space="0" w:color="auto"/>
            </w:tcBorders>
          </w:tcPr>
          <w:p w14:paraId="5C0C0295"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2</w:t>
            </w:r>
            <w:r w:rsidRPr="00C921DE">
              <w:rPr>
                <w:rFonts w:ascii="GHEA Grapalat" w:hAnsi="GHEA Grapalat"/>
                <w:b/>
                <w:sz w:val="18"/>
                <w:szCs w:val="18"/>
              </w:rPr>
              <w:t>թ. փաստ</w:t>
            </w:r>
          </w:p>
          <w:p w14:paraId="53CBFBD3"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(մլն դրամ)</w:t>
            </w:r>
          </w:p>
        </w:tc>
        <w:tc>
          <w:tcPr>
            <w:tcW w:w="1134" w:type="dxa"/>
            <w:tcBorders>
              <w:top w:val="single" w:sz="4" w:space="0" w:color="auto"/>
              <w:left w:val="nil"/>
              <w:bottom w:val="single" w:sz="4" w:space="0" w:color="auto"/>
              <w:right w:val="single" w:sz="4" w:space="0" w:color="auto"/>
            </w:tcBorders>
          </w:tcPr>
          <w:p w14:paraId="5388A47E"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փաստ (մլն</w:t>
            </w:r>
            <w:r w:rsidRPr="00C921DE">
              <w:rPr>
                <w:rFonts w:ascii="GHEA Grapalat" w:hAnsi="GHEA Grapalat"/>
                <w:b/>
                <w:sz w:val="18"/>
                <w:szCs w:val="18"/>
                <w:lang w:val="en-US"/>
              </w:rPr>
              <w:t xml:space="preserve"> </w:t>
            </w:r>
            <w:r w:rsidRPr="00C921DE">
              <w:rPr>
                <w:rFonts w:ascii="GHEA Grapalat" w:hAnsi="GHEA Grapalat"/>
                <w:b/>
                <w:sz w:val="18"/>
                <w:szCs w:val="18"/>
              </w:rPr>
              <w:t>դրամ)</w:t>
            </w:r>
          </w:p>
        </w:tc>
        <w:tc>
          <w:tcPr>
            <w:tcW w:w="1275" w:type="dxa"/>
            <w:tcBorders>
              <w:top w:val="single" w:sz="4" w:space="0" w:color="auto"/>
              <w:left w:val="nil"/>
              <w:bottom w:val="single" w:sz="4" w:space="0" w:color="auto"/>
              <w:right w:val="single" w:sz="4" w:space="0" w:color="auto"/>
            </w:tcBorders>
          </w:tcPr>
          <w:p w14:paraId="3C1B639E" w14:textId="14D3810D"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2023թ. 2022թ</w:t>
            </w:r>
            <w:r w:rsidR="00D61F4C" w:rsidRPr="00C921DE">
              <w:rPr>
                <w:rFonts w:ascii="GHEA Grapalat" w:hAnsi="GHEA Grapalat"/>
                <w:b/>
                <w:sz w:val="18"/>
                <w:szCs w:val="18"/>
                <w:lang w:val="en-US"/>
              </w:rPr>
              <w:t>.</w:t>
            </w:r>
            <w:r w:rsidRPr="00C921DE">
              <w:rPr>
                <w:rFonts w:ascii="GHEA Grapalat" w:hAnsi="GHEA Grapalat"/>
                <w:b/>
                <w:sz w:val="18"/>
                <w:szCs w:val="18"/>
              </w:rPr>
              <w:t>-ի նկատմամբ (%)</w:t>
            </w:r>
          </w:p>
        </w:tc>
      </w:tr>
      <w:tr w:rsidR="001556D3" w:rsidRPr="00C921DE" w14:paraId="0E18EB8D" w14:textId="77777777" w:rsidTr="001556D3">
        <w:trPr>
          <w:trHeight w:val="397"/>
        </w:trPr>
        <w:tc>
          <w:tcPr>
            <w:tcW w:w="2694" w:type="dxa"/>
            <w:tcBorders>
              <w:top w:val="nil"/>
              <w:left w:val="single" w:sz="4" w:space="0" w:color="auto"/>
              <w:bottom w:val="single" w:sz="4" w:space="0" w:color="auto"/>
              <w:right w:val="single" w:sz="4" w:space="0" w:color="auto"/>
            </w:tcBorders>
          </w:tcPr>
          <w:p w14:paraId="2BA068F4" w14:textId="77777777" w:rsidR="001556D3" w:rsidRPr="00C921DE" w:rsidRDefault="001556D3" w:rsidP="001556D3">
            <w:pPr>
              <w:rPr>
                <w:rFonts w:ascii="GHEA Grapalat" w:hAnsi="GHEA Grapalat"/>
                <w:b/>
                <w:sz w:val="18"/>
                <w:szCs w:val="18"/>
              </w:rPr>
            </w:pPr>
            <w:r w:rsidRPr="00C921DE">
              <w:rPr>
                <w:rFonts w:ascii="GHEA Grapalat" w:hAnsi="GHEA Grapalat" w:cs="Arial"/>
                <w:b/>
                <w:sz w:val="18"/>
                <w:szCs w:val="18"/>
              </w:rPr>
              <w:t>Ընդհանուր հանրակրթություն</w:t>
            </w:r>
          </w:p>
        </w:tc>
        <w:tc>
          <w:tcPr>
            <w:tcW w:w="1417" w:type="dxa"/>
            <w:tcBorders>
              <w:top w:val="nil"/>
              <w:left w:val="nil"/>
              <w:bottom w:val="single" w:sz="4" w:space="0" w:color="auto"/>
              <w:right w:val="single" w:sz="4" w:space="0" w:color="auto"/>
            </w:tcBorders>
            <w:vAlign w:val="bottom"/>
          </w:tcPr>
          <w:p w14:paraId="43E717CF"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390</w:t>
            </w:r>
            <w:r w:rsidRPr="00C921DE">
              <w:rPr>
                <w:rFonts w:ascii="GHEA Grapalat" w:hAnsi="GHEA Grapalat"/>
                <w:b/>
                <w:sz w:val="18"/>
                <w:szCs w:val="18"/>
                <w:lang w:val="en-US"/>
              </w:rPr>
              <w:t>,</w:t>
            </w:r>
            <w:r w:rsidRPr="00C921DE">
              <w:rPr>
                <w:rFonts w:ascii="GHEA Grapalat" w:hAnsi="GHEA Grapalat"/>
                <w:b/>
                <w:sz w:val="18"/>
                <w:szCs w:val="18"/>
              </w:rPr>
              <w:t>151</w:t>
            </w:r>
          </w:p>
        </w:tc>
        <w:tc>
          <w:tcPr>
            <w:tcW w:w="1418" w:type="dxa"/>
            <w:tcBorders>
              <w:top w:val="nil"/>
              <w:left w:val="nil"/>
              <w:bottom w:val="single" w:sz="4" w:space="0" w:color="auto"/>
              <w:right w:val="single" w:sz="4" w:space="0" w:color="auto"/>
            </w:tcBorders>
            <w:vAlign w:val="bottom"/>
          </w:tcPr>
          <w:p w14:paraId="13892F67"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392,887</w:t>
            </w:r>
          </w:p>
        </w:tc>
        <w:tc>
          <w:tcPr>
            <w:tcW w:w="1134" w:type="dxa"/>
            <w:tcBorders>
              <w:top w:val="nil"/>
              <w:left w:val="nil"/>
              <w:bottom w:val="single" w:sz="4" w:space="0" w:color="auto"/>
              <w:right w:val="single" w:sz="4" w:space="0" w:color="auto"/>
            </w:tcBorders>
            <w:vAlign w:val="bottom"/>
          </w:tcPr>
          <w:p w14:paraId="10EC35AC"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 xml:space="preserve">2,736 </w:t>
            </w:r>
          </w:p>
        </w:tc>
        <w:tc>
          <w:tcPr>
            <w:tcW w:w="1134" w:type="dxa"/>
            <w:tcBorders>
              <w:top w:val="nil"/>
              <w:left w:val="nil"/>
              <w:bottom w:val="single" w:sz="4" w:space="0" w:color="auto"/>
              <w:right w:val="single" w:sz="4" w:space="0" w:color="auto"/>
            </w:tcBorders>
            <w:vAlign w:val="bottom"/>
          </w:tcPr>
          <w:p w14:paraId="50D3C440"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rPr>
              <w:t>9</w:t>
            </w:r>
            <w:r w:rsidRPr="00C921DE">
              <w:rPr>
                <w:rFonts w:ascii="GHEA Grapalat" w:hAnsi="GHEA Grapalat"/>
                <w:b/>
                <w:sz w:val="18"/>
                <w:szCs w:val="18"/>
                <w:lang w:val="en-US"/>
              </w:rPr>
              <w:t>3</w:t>
            </w:r>
            <w:r w:rsidRPr="00C921DE">
              <w:rPr>
                <w:rFonts w:ascii="GHEA Grapalat" w:hAnsi="GHEA Grapalat"/>
                <w:b/>
                <w:sz w:val="18"/>
                <w:szCs w:val="18"/>
              </w:rPr>
              <w:t>,</w:t>
            </w:r>
            <w:r w:rsidRPr="00C921DE">
              <w:rPr>
                <w:rFonts w:ascii="GHEA Grapalat" w:hAnsi="GHEA Grapalat"/>
                <w:b/>
                <w:sz w:val="18"/>
                <w:szCs w:val="18"/>
                <w:lang w:val="en-US"/>
              </w:rPr>
              <w:t>18</w:t>
            </w:r>
            <w:r w:rsidRPr="00C921DE">
              <w:rPr>
                <w:rFonts w:ascii="GHEA Grapalat" w:hAnsi="GHEA Grapalat"/>
                <w:b/>
                <w:sz w:val="18"/>
                <w:szCs w:val="18"/>
              </w:rPr>
              <w:t>2.</w:t>
            </w:r>
            <w:r w:rsidRPr="00C921DE">
              <w:rPr>
                <w:rFonts w:ascii="GHEA Grapalat" w:hAnsi="GHEA Grapalat"/>
                <w:b/>
                <w:sz w:val="18"/>
                <w:szCs w:val="18"/>
                <w:lang w:val="en-US"/>
              </w:rPr>
              <w:t>1</w:t>
            </w:r>
          </w:p>
        </w:tc>
        <w:tc>
          <w:tcPr>
            <w:tcW w:w="1134" w:type="dxa"/>
            <w:tcBorders>
              <w:top w:val="nil"/>
              <w:left w:val="nil"/>
              <w:bottom w:val="single" w:sz="4" w:space="0" w:color="auto"/>
              <w:right w:val="single" w:sz="4" w:space="0" w:color="auto"/>
            </w:tcBorders>
            <w:vAlign w:val="bottom"/>
          </w:tcPr>
          <w:p w14:paraId="671CB100"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10</w:t>
            </w:r>
            <w:r w:rsidRPr="00C921DE">
              <w:rPr>
                <w:rFonts w:ascii="GHEA Grapalat" w:hAnsi="GHEA Grapalat"/>
                <w:b/>
                <w:sz w:val="18"/>
                <w:szCs w:val="18"/>
                <w:lang w:val="en-US"/>
              </w:rPr>
              <w:t>0</w:t>
            </w:r>
            <w:r w:rsidRPr="00C921DE">
              <w:rPr>
                <w:rFonts w:ascii="GHEA Grapalat" w:hAnsi="GHEA Grapalat"/>
                <w:b/>
                <w:sz w:val="18"/>
                <w:szCs w:val="18"/>
              </w:rPr>
              <w:t>,394.3</w:t>
            </w:r>
          </w:p>
        </w:tc>
        <w:tc>
          <w:tcPr>
            <w:tcW w:w="1275" w:type="dxa"/>
            <w:tcBorders>
              <w:top w:val="nil"/>
              <w:left w:val="nil"/>
              <w:bottom w:val="single" w:sz="4" w:space="0" w:color="auto"/>
              <w:right w:val="single" w:sz="4" w:space="0" w:color="auto"/>
            </w:tcBorders>
            <w:vAlign w:val="bottom"/>
          </w:tcPr>
          <w:p w14:paraId="52BF4077"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rPr>
              <w:t>10</w:t>
            </w:r>
            <w:r w:rsidRPr="00C921DE">
              <w:rPr>
                <w:rFonts w:ascii="GHEA Grapalat" w:hAnsi="GHEA Grapalat"/>
                <w:b/>
                <w:sz w:val="18"/>
                <w:szCs w:val="18"/>
                <w:lang w:val="en-US"/>
              </w:rPr>
              <w:t>7</w:t>
            </w:r>
            <w:r w:rsidRPr="00C921DE">
              <w:rPr>
                <w:rFonts w:ascii="GHEA Grapalat" w:hAnsi="GHEA Grapalat"/>
                <w:b/>
                <w:sz w:val="18"/>
                <w:szCs w:val="18"/>
              </w:rPr>
              <w:t>.</w:t>
            </w:r>
            <w:r w:rsidRPr="00C921DE">
              <w:rPr>
                <w:rFonts w:ascii="GHEA Grapalat" w:hAnsi="GHEA Grapalat"/>
                <w:b/>
                <w:sz w:val="18"/>
                <w:szCs w:val="18"/>
                <w:lang w:val="en-US"/>
              </w:rPr>
              <w:t>7</w:t>
            </w:r>
          </w:p>
        </w:tc>
      </w:tr>
      <w:tr w:rsidR="001556D3" w:rsidRPr="00C921DE" w14:paraId="3870A40F" w14:textId="77777777" w:rsidTr="001556D3">
        <w:trPr>
          <w:trHeight w:val="169"/>
        </w:trPr>
        <w:tc>
          <w:tcPr>
            <w:tcW w:w="2694" w:type="dxa"/>
            <w:tcBorders>
              <w:top w:val="nil"/>
              <w:left w:val="single" w:sz="4" w:space="0" w:color="auto"/>
              <w:bottom w:val="single" w:sz="4" w:space="0" w:color="auto"/>
              <w:right w:val="single" w:sz="4" w:space="0" w:color="auto"/>
            </w:tcBorders>
          </w:tcPr>
          <w:p w14:paraId="6D113D49" w14:textId="77777777" w:rsidR="001556D3" w:rsidRPr="00C921DE" w:rsidRDefault="001556D3" w:rsidP="001556D3">
            <w:pPr>
              <w:rPr>
                <w:rFonts w:ascii="GHEA Grapalat" w:hAnsi="GHEA Grapalat"/>
                <w:sz w:val="18"/>
                <w:szCs w:val="18"/>
              </w:rPr>
            </w:pPr>
            <w:r w:rsidRPr="00C921DE">
              <w:rPr>
                <w:rFonts w:ascii="GHEA Grapalat" w:hAnsi="GHEA Grapalat" w:cs="Arial"/>
                <w:sz w:val="18"/>
                <w:szCs w:val="18"/>
              </w:rPr>
              <w:t>Տարրական</w:t>
            </w:r>
          </w:p>
        </w:tc>
        <w:tc>
          <w:tcPr>
            <w:tcW w:w="1417" w:type="dxa"/>
            <w:tcBorders>
              <w:top w:val="nil"/>
              <w:left w:val="nil"/>
              <w:bottom w:val="single" w:sz="4" w:space="0" w:color="auto"/>
              <w:right w:val="single" w:sz="4" w:space="0" w:color="auto"/>
            </w:tcBorders>
            <w:vAlign w:val="bottom"/>
          </w:tcPr>
          <w:p w14:paraId="49691B25"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150</w:t>
            </w:r>
            <w:r w:rsidRPr="00C921DE">
              <w:rPr>
                <w:rFonts w:ascii="GHEA Grapalat" w:hAnsi="GHEA Grapalat"/>
                <w:sz w:val="18"/>
                <w:szCs w:val="18"/>
                <w:lang w:val="en-US"/>
              </w:rPr>
              <w:t>,</w:t>
            </w:r>
            <w:r w:rsidRPr="00C921DE">
              <w:rPr>
                <w:rFonts w:ascii="GHEA Grapalat" w:hAnsi="GHEA Grapalat"/>
                <w:sz w:val="18"/>
                <w:szCs w:val="18"/>
              </w:rPr>
              <w:t>750</w:t>
            </w:r>
          </w:p>
        </w:tc>
        <w:tc>
          <w:tcPr>
            <w:tcW w:w="1418" w:type="dxa"/>
            <w:tcBorders>
              <w:top w:val="nil"/>
              <w:left w:val="nil"/>
              <w:bottom w:val="single" w:sz="4" w:space="0" w:color="auto"/>
              <w:right w:val="single" w:sz="4" w:space="0" w:color="auto"/>
            </w:tcBorders>
            <w:vAlign w:val="bottom"/>
          </w:tcPr>
          <w:p w14:paraId="60433D92"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150,158</w:t>
            </w:r>
          </w:p>
        </w:tc>
        <w:tc>
          <w:tcPr>
            <w:tcW w:w="1134" w:type="dxa"/>
            <w:tcBorders>
              <w:top w:val="nil"/>
              <w:left w:val="nil"/>
              <w:bottom w:val="single" w:sz="4" w:space="0" w:color="auto"/>
              <w:right w:val="single" w:sz="4" w:space="0" w:color="auto"/>
            </w:tcBorders>
            <w:vAlign w:val="bottom"/>
          </w:tcPr>
          <w:p w14:paraId="0E9DEFCC"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 xml:space="preserve">(592) </w:t>
            </w:r>
          </w:p>
        </w:tc>
        <w:tc>
          <w:tcPr>
            <w:tcW w:w="1134" w:type="dxa"/>
            <w:tcBorders>
              <w:top w:val="nil"/>
              <w:left w:val="nil"/>
              <w:bottom w:val="single" w:sz="4" w:space="0" w:color="auto"/>
              <w:right w:val="single" w:sz="4" w:space="0" w:color="auto"/>
            </w:tcBorders>
            <w:vAlign w:val="bottom"/>
          </w:tcPr>
          <w:p w14:paraId="5C050BD9"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33,746.5</w:t>
            </w:r>
          </w:p>
        </w:tc>
        <w:tc>
          <w:tcPr>
            <w:tcW w:w="1134" w:type="dxa"/>
            <w:tcBorders>
              <w:top w:val="nil"/>
              <w:left w:val="nil"/>
              <w:bottom w:val="single" w:sz="4" w:space="0" w:color="auto"/>
              <w:right w:val="single" w:sz="4" w:space="0" w:color="auto"/>
            </w:tcBorders>
            <w:vAlign w:val="bottom"/>
          </w:tcPr>
          <w:p w14:paraId="48A45A26"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37,398.1</w:t>
            </w:r>
          </w:p>
        </w:tc>
        <w:tc>
          <w:tcPr>
            <w:tcW w:w="1275" w:type="dxa"/>
            <w:tcBorders>
              <w:top w:val="nil"/>
              <w:left w:val="nil"/>
              <w:bottom w:val="single" w:sz="4" w:space="0" w:color="auto"/>
              <w:right w:val="single" w:sz="4" w:space="0" w:color="auto"/>
            </w:tcBorders>
            <w:vAlign w:val="bottom"/>
          </w:tcPr>
          <w:p w14:paraId="6423473C"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10</w:t>
            </w:r>
            <w:r w:rsidRPr="00C921DE">
              <w:rPr>
                <w:rFonts w:ascii="GHEA Grapalat" w:hAnsi="GHEA Grapalat"/>
                <w:sz w:val="18"/>
                <w:szCs w:val="18"/>
              </w:rPr>
              <w:t>.</w:t>
            </w:r>
            <w:r w:rsidRPr="00C921DE">
              <w:rPr>
                <w:rFonts w:ascii="GHEA Grapalat" w:hAnsi="GHEA Grapalat"/>
                <w:sz w:val="18"/>
                <w:szCs w:val="18"/>
                <w:lang w:val="en-US"/>
              </w:rPr>
              <w:t>8</w:t>
            </w:r>
          </w:p>
        </w:tc>
      </w:tr>
      <w:tr w:rsidR="001556D3" w:rsidRPr="00C921DE" w14:paraId="7AF10CFB" w14:textId="77777777" w:rsidTr="001556D3">
        <w:trPr>
          <w:trHeight w:val="248"/>
        </w:trPr>
        <w:tc>
          <w:tcPr>
            <w:tcW w:w="2694" w:type="dxa"/>
            <w:tcBorders>
              <w:top w:val="nil"/>
              <w:left w:val="single" w:sz="4" w:space="0" w:color="auto"/>
              <w:bottom w:val="single" w:sz="4" w:space="0" w:color="auto"/>
              <w:right w:val="single" w:sz="4" w:space="0" w:color="auto"/>
            </w:tcBorders>
          </w:tcPr>
          <w:p w14:paraId="5452B66E" w14:textId="77777777" w:rsidR="001556D3" w:rsidRPr="00C921DE" w:rsidRDefault="001556D3" w:rsidP="001556D3">
            <w:pPr>
              <w:rPr>
                <w:rFonts w:ascii="GHEA Grapalat" w:hAnsi="GHEA Grapalat"/>
                <w:sz w:val="18"/>
                <w:szCs w:val="18"/>
                <w:lang w:val="en-US"/>
              </w:rPr>
            </w:pPr>
            <w:r w:rsidRPr="00C921DE">
              <w:rPr>
                <w:rFonts w:ascii="GHEA Grapalat" w:hAnsi="GHEA Grapalat" w:cs="Arial"/>
                <w:sz w:val="18"/>
                <w:szCs w:val="18"/>
              </w:rPr>
              <w:t>Հիմնական</w:t>
            </w:r>
          </w:p>
        </w:tc>
        <w:tc>
          <w:tcPr>
            <w:tcW w:w="1417" w:type="dxa"/>
            <w:tcBorders>
              <w:top w:val="nil"/>
              <w:left w:val="nil"/>
              <w:bottom w:val="single" w:sz="4" w:space="0" w:color="auto"/>
              <w:right w:val="single" w:sz="4" w:space="0" w:color="auto"/>
            </w:tcBorders>
            <w:vAlign w:val="bottom"/>
          </w:tcPr>
          <w:p w14:paraId="042D71C8"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180</w:t>
            </w:r>
            <w:r w:rsidRPr="00C921DE">
              <w:rPr>
                <w:rFonts w:ascii="GHEA Grapalat" w:hAnsi="GHEA Grapalat"/>
                <w:sz w:val="18"/>
                <w:szCs w:val="18"/>
                <w:lang w:val="en-US"/>
              </w:rPr>
              <w:t>,</w:t>
            </w:r>
            <w:r w:rsidRPr="00C921DE">
              <w:rPr>
                <w:rFonts w:ascii="GHEA Grapalat" w:hAnsi="GHEA Grapalat"/>
                <w:sz w:val="18"/>
                <w:szCs w:val="18"/>
              </w:rPr>
              <w:t>803</w:t>
            </w:r>
          </w:p>
        </w:tc>
        <w:tc>
          <w:tcPr>
            <w:tcW w:w="1418" w:type="dxa"/>
            <w:tcBorders>
              <w:top w:val="nil"/>
              <w:left w:val="nil"/>
              <w:bottom w:val="single" w:sz="4" w:space="0" w:color="auto"/>
              <w:right w:val="single" w:sz="4" w:space="0" w:color="auto"/>
            </w:tcBorders>
            <w:vAlign w:val="bottom"/>
          </w:tcPr>
          <w:p w14:paraId="5E72B4A2"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183,036</w:t>
            </w:r>
          </w:p>
        </w:tc>
        <w:tc>
          <w:tcPr>
            <w:tcW w:w="1134" w:type="dxa"/>
            <w:tcBorders>
              <w:top w:val="nil"/>
              <w:left w:val="nil"/>
              <w:bottom w:val="single" w:sz="4" w:space="0" w:color="auto"/>
              <w:right w:val="single" w:sz="4" w:space="0" w:color="auto"/>
            </w:tcBorders>
            <w:vAlign w:val="bottom"/>
          </w:tcPr>
          <w:p w14:paraId="7188A6C8"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 xml:space="preserve">2,233 </w:t>
            </w:r>
          </w:p>
        </w:tc>
        <w:tc>
          <w:tcPr>
            <w:tcW w:w="1134" w:type="dxa"/>
            <w:tcBorders>
              <w:top w:val="nil"/>
              <w:left w:val="nil"/>
              <w:bottom w:val="single" w:sz="4" w:space="0" w:color="auto"/>
              <w:right w:val="single" w:sz="4" w:space="0" w:color="auto"/>
            </w:tcBorders>
            <w:vAlign w:val="bottom"/>
          </w:tcPr>
          <w:p w14:paraId="22733122"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42,363.</w:t>
            </w:r>
            <w:r w:rsidRPr="00C921DE">
              <w:rPr>
                <w:rFonts w:ascii="GHEA Grapalat" w:hAnsi="GHEA Grapalat"/>
                <w:sz w:val="18"/>
                <w:szCs w:val="18"/>
                <w:lang w:val="en-US"/>
              </w:rPr>
              <w:t>5</w:t>
            </w:r>
          </w:p>
        </w:tc>
        <w:tc>
          <w:tcPr>
            <w:tcW w:w="1134" w:type="dxa"/>
            <w:tcBorders>
              <w:top w:val="nil"/>
              <w:left w:val="nil"/>
              <w:bottom w:val="single" w:sz="4" w:space="0" w:color="auto"/>
              <w:right w:val="single" w:sz="4" w:space="0" w:color="auto"/>
            </w:tcBorders>
            <w:vAlign w:val="bottom"/>
          </w:tcPr>
          <w:p w14:paraId="38309D2D"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44,650.5</w:t>
            </w:r>
          </w:p>
        </w:tc>
        <w:tc>
          <w:tcPr>
            <w:tcW w:w="1275" w:type="dxa"/>
            <w:tcBorders>
              <w:top w:val="nil"/>
              <w:left w:val="nil"/>
              <w:bottom w:val="single" w:sz="4" w:space="0" w:color="auto"/>
              <w:right w:val="single" w:sz="4" w:space="0" w:color="auto"/>
            </w:tcBorders>
            <w:vAlign w:val="bottom"/>
          </w:tcPr>
          <w:p w14:paraId="3C0A8730"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10</w:t>
            </w: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4</w:t>
            </w:r>
          </w:p>
        </w:tc>
      </w:tr>
      <w:tr w:rsidR="001556D3" w:rsidRPr="00C921DE" w14:paraId="38908F32" w14:textId="77777777" w:rsidTr="001556D3">
        <w:trPr>
          <w:trHeight w:val="221"/>
        </w:trPr>
        <w:tc>
          <w:tcPr>
            <w:tcW w:w="2694" w:type="dxa"/>
            <w:tcBorders>
              <w:top w:val="nil"/>
              <w:left w:val="single" w:sz="4" w:space="0" w:color="auto"/>
              <w:bottom w:val="single" w:sz="4" w:space="0" w:color="auto"/>
              <w:right w:val="single" w:sz="4" w:space="0" w:color="auto"/>
            </w:tcBorders>
          </w:tcPr>
          <w:p w14:paraId="0C8C0381" w14:textId="77777777" w:rsidR="001556D3" w:rsidRPr="00C921DE" w:rsidRDefault="001556D3" w:rsidP="001556D3">
            <w:pPr>
              <w:rPr>
                <w:rFonts w:ascii="GHEA Grapalat" w:hAnsi="GHEA Grapalat"/>
                <w:sz w:val="18"/>
                <w:szCs w:val="18"/>
              </w:rPr>
            </w:pPr>
            <w:r w:rsidRPr="00C921DE">
              <w:rPr>
                <w:rFonts w:ascii="GHEA Grapalat" w:hAnsi="GHEA Grapalat" w:cs="Arial"/>
                <w:sz w:val="18"/>
                <w:szCs w:val="18"/>
              </w:rPr>
              <w:t>Միջնակարգ</w:t>
            </w:r>
          </w:p>
        </w:tc>
        <w:tc>
          <w:tcPr>
            <w:tcW w:w="1417" w:type="dxa"/>
            <w:tcBorders>
              <w:top w:val="nil"/>
              <w:left w:val="nil"/>
              <w:bottom w:val="single" w:sz="4" w:space="0" w:color="auto"/>
              <w:right w:val="single" w:sz="4" w:space="0" w:color="auto"/>
            </w:tcBorders>
            <w:vAlign w:val="bottom"/>
          </w:tcPr>
          <w:p w14:paraId="726F2B53"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58</w:t>
            </w:r>
            <w:r w:rsidRPr="00C921DE">
              <w:rPr>
                <w:rFonts w:ascii="GHEA Grapalat" w:hAnsi="GHEA Grapalat"/>
                <w:sz w:val="18"/>
                <w:szCs w:val="18"/>
                <w:lang w:val="en-US"/>
              </w:rPr>
              <w:t>,</w:t>
            </w:r>
            <w:r w:rsidRPr="00C921DE">
              <w:rPr>
                <w:rFonts w:ascii="GHEA Grapalat" w:hAnsi="GHEA Grapalat"/>
                <w:sz w:val="18"/>
                <w:szCs w:val="18"/>
              </w:rPr>
              <w:t>598</w:t>
            </w:r>
          </w:p>
        </w:tc>
        <w:tc>
          <w:tcPr>
            <w:tcW w:w="1418" w:type="dxa"/>
            <w:tcBorders>
              <w:top w:val="nil"/>
              <w:left w:val="nil"/>
              <w:bottom w:val="single" w:sz="4" w:space="0" w:color="auto"/>
              <w:right w:val="single" w:sz="4" w:space="0" w:color="auto"/>
            </w:tcBorders>
            <w:vAlign w:val="bottom"/>
          </w:tcPr>
          <w:p w14:paraId="2DDE0996"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59,693</w:t>
            </w:r>
          </w:p>
        </w:tc>
        <w:tc>
          <w:tcPr>
            <w:tcW w:w="1134" w:type="dxa"/>
            <w:tcBorders>
              <w:top w:val="nil"/>
              <w:left w:val="nil"/>
              <w:bottom w:val="single" w:sz="4" w:space="0" w:color="auto"/>
              <w:right w:val="single" w:sz="4" w:space="0" w:color="auto"/>
            </w:tcBorders>
            <w:vAlign w:val="bottom"/>
          </w:tcPr>
          <w:p w14:paraId="3A2291D7"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1,095</w:t>
            </w:r>
          </w:p>
        </w:tc>
        <w:tc>
          <w:tcPr>
            <w:tcW w:w="1134" w:type="dxa"/>
            <w:tcBorders>
              <w:top w:val="nil"/>
              <w:left w:val="nil"/>
              <w:bottom w:val="single" w:sz="4" w:space="0" w:color="auto"/>
              <w:right w:val="single" w:sz="4" w:space="0" w:color="auto"/>
            </w:tcBorders>
            <w:vAlign w:val="bottom"/>
          </w:tcPr>
          <w:p w14:paraId="5B41B07B"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072.2</w:t>
            </w:r>
          </w:p>
        </w:tc>
        <w:tc>
          <w:tcPr>
            <w:tcW w:w="1134" w:type="dxa"/>
            <w:tcBorders>
              <w:top w:val="nil"/>
              <w:left w:val="nil"/>
              <w:bottom w:val="single" w:sz="4" w:space="0" w:color="auto"/>
              <w:right w:val="single" w:sz="4" w:space="0" w:color="auto"/>
            </w:tcBorders>
            <w:vAlign w:val="bottom"/>
          </w:tcPr>
          <w:p w14:paraId="021C548D"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18,345.7</w:t>
            </w:r>
          </w:p>
        </w:tc>
        <w:tc>
          <w:tcPr>
            <w:tcW w:w="1275" w:type="dxa"/>
            <w:tcBorders>
              <w:top w:val="nil"/>
              <w:left w:val="nil"/>
              <w:bottom w:val="single" w:sz="4" w:space="0" w:color="auto"/>
              <w:right w:val="single" w:sz="4" w:space="0" w:color="auto"/>
            </w:tcBorders>
            <w:vAlign w:val="bottom"/>
          </w:tcPr>
          <w:p w14:paraId="13E44DFD"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10</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5</w:t>
            </w:r>
          </w:p>
        </w:tc>
      </w:tr>
    </w:tbl>
    <w:p w14:paraId="1CD2490F" w14:textId="77777777" w:rsidR="001556D3" w:rsidRPr="00C921DE" w:rsidRDefault="001556D3" w:rsidP="00B134DD">
      <w:pPr>
        <w:autoSpaceDE w:val="0"/>
        <w:autoSpaceDN w:val="0"/>
        <w:adjustRightInd w:val="0"/>
        <w:ind w:firstLine="567"/>
        <w:jc w:val="both"/>
        <w:rPr>
          <w:rFonts w:ascii="GHEA Grapalat" w:hAnsi="GHEA Grapalat" w:cs="Sylfaen"/>
          <w:sz w:val="22"/>
          <w:szCs w:val="22"/>
        </w:rPr>
      </w:pPr>
    </w:p>
    <w:p w14:paraId="4A497A66" w14:textId="1D4E9E9F"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Հանրակրթության համակարգում 2023 թվականին գործել է 7 հատուկ դպրոց, ինչպես և 2022 թվականին:</w:t>
      </w:r>
      <w:r w:rsidRPr="00C921DE">
        <w:rPr>
          <w:rFonts w:ascii="GHEA Grapalat" w:hAnsi="GHEA Grapalat" w:cs="Arial"/>
          <w:sz w:val="22"/>
          <w:szCs w:val="22"/>
        </w:rPr>
        <w:t xml:space="preserve"> </w:t>
      </w:r>
      <w:r w:rsidRPr="00C921DE">
        <w:rPr>
          <w:rFonts w:ascii="GHEA Grapalat" w:hAnsi="GHEA Grapalat" w:cs="Sylfaen"/>
          <w:sz w:val="22"/>
          <w:szCs w:val="22"/>
        </w:rPr>
        <w:t>Հատուկ հանրակրթության ծախսերը 2023 թվականին կատարվել են 99.7%-ով՝ կազմելով ավելի քան 1.2 մլրդ դրամ: Նախորդ տարվա համեմատ տարրական, հիմնական և միջնակարգ հատուկ հանրակրթական ուսուցման ծախսերն աճել են 4.5%-ով կամ 52.9 մլն դրամով, որը պայմանավորված է ֆինանսավորման կարգի փոփոխությամբ:</w:t>
      </w:r>
    </w:p>
    <w:p w14:paraId="6C280909" w14:textId="77777777" w:rsidR="00195433" w:rsidRPr="00C921DE" w:rsidRDefault="00195433" w:rsidP="00B134DD">
      <w:pPr>
        <w:autoSpaceDE w:val="0"/>
        <w:autoSpaceDN w:val="0"/>
        <w:adjustRightInd w:val="0"/>
        <w:ind w:firstLine="567"/>
        <w:jc w:val="both"/>
        <w:rPr>
          <w:rFonts w:ascii="GHEA Grapalat" w:hAnsi="GHEA Grapalat" w:cs="Arial"/>
          <w:sz w:val="22"/>
          <w:szCs w:val="22"/>
        </w:rPr>
      </w:pPr>
    </w:p>
    <w:p w14:paraId="7FE96C80" w14:textId="77777777" w:rsidR="001556D3" w:rsidRPr="00C921DE" w:rsidRDefault="001556D3" w:rsidP="001556D3">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Հատուկ հանրակրթության համակարգի ցուցանիշները</w:t>
      </w:r>
    </w:p>
    <w:tbl>
      <w:tblPr>
        <w:tblW w:w="9918" w:type="dxa"/>
        <w:tblInd w:w="-5" w:type="dxa"/>
        <w:tblLayout w:type="fixed"/>
        <w:tblLook w:val="00A0" w:firstRow="1" w:lastRow="0" w:firstColumn="1" w:lastColumn="0" w:noHBand="0" w:noVBand="0"/>
      </w:tblPr>
      <w:tblGrid>
        <w:gridCol w:w="2618"/>
        <w:gridCol w:w="1377"/>
        <w:gridCol w:w="1378"/>
        <w:gridCol w:w="1102"/>
        <w:gridCol w:w="1102"/>
        <w:gridCol w:w="1102"/>
        <w:gridCol w:w="1239"/>
      </w:tblGrid>
      <w:tr w:rsidR="001556D3" w:rsidRPr="00C921DE" w14:paraId="55114517" w14:textId="77777777" w:rsidTr="001556D3">
        <w:trPr>
          <w:trHeight w:val="996"/>
        </w:trPr>
        <w:tc>
          <w:tcPr>
            <w:tcW w:w="2618" w:type="dxa"/>
            <w:tcBorders>
              <w:top w:val="single" w:sz="4" w:space="0" w:color="auto"/>
              <w:left w:val="single" w:sz="4" w:space="0" w:color="auto"/>
              <w:bottom w:val="single" w:sz="4" w:space="0" w:color="auto"/>
              <w:right w:val="single" w:sz="4" w:space="0" w:color="auto"/>
            </w:tcBorders>
            <w:noWrap/>
            <w:vAlign w:val="bottom"/>
          </w:tcPr>
          <w:p w14:paraId="38F45559" w14:textId="77777777" w:rsidR="001556D3" w:rsidRPr="00C921DE" w:rsidRDefault="001556D3" w:rsidP="001556D3">
            <w:pPr>
              <w:rPr>
                <w:rFonts w:ascii="Calibri" w:hAnsi="Calibri" w:cs="Calibri"/>
                <w:sz w:val="18"/>
                <w:szCs w:val="18"/>
              </w:rPr>
            </w:pPr>
            <w:r w:rsidRPr="00C921DE">
              <w:rPr>
                <w:rFonts w:ascii="Calibri" w:hAnsi="Calibri" w:cs="Calibri"/>
                <w:sz w:val="18"/>
                <w:szCs w:val="18"/>
              </w:rPr>
              <w:t> </w:t>
            </w:r>
          </w:p>
        </w:tc>
        <w:tc>
          <w:tcPr>
            <w:tcW w:w="1377" w:type="dxa"/>
            <w:tcBorders>
              <w:top w:val="single" w:sz="4" w:space="0" w:color="auto"/>
              <w:left w:val="nil"/>
              <w:bottom w:val="single" w:sz="4" w:space="0" w:color="auto"/>
              <w:right w:val="single" w:sz="4" w:space="0" w:color="auto"/>
            </w:tcBorders>
          </w:tcPr>
          <w:p w14:paraId="107B1213"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2</w:t>
            </w:r>
            <w:r w:rsidRPr="00C921DE">
              <w:rPr>
                <w:rFonts w:ascii="GHEA Grapalat" w:hAnsi="GHEA Grapalat"/>
                <w:b/>
                <w:sz w:val="18"/>
                <w:szCs w:val="18"/>
              </w:rPr>
              <w:t>թ. սովորողների փաստացի թիվ</w:t>
            </w:r>
          </w:p>
        </w:tc>
        <w:tc>
          <w:tcPr>
            <w:tcW w:w="1378" w:type="dxa"/>
            <w:tcBorders>
              <w:top w:val="single" w:sz="4" w:space="0" w:color="auto"/>
              <w:left w:val="nil"/>
              <w:bottom w:val="single" w:sz="4" w:space="0" w:color="auto"/>
              <w:right w:val="single" w:sz="4" w:space="0" w:color="auto"/>
            </w:tcBorders>
          </w:tcPr>
          <w:p w14:paraId="5C71151A"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2023թ. սովորողների փաստացի թիվ</w:t>
            </w:r>
          </w:p>
        </w:tc>
        <w:tc>
          <w:tcPr>
            <w:tcW w:w="1102" w:type="dxa"/>
            <w:tcBorders>
              <w:top w:val="single" w:sz="4" w:space="0" w:color="auto"/>
              <w:left w:val="nil"/>
              <w:bottom w:val="single" w:sz="4" w:space="0" w:color="auto"/>
              <w:right w:val="single" w:sz="4" w:space="0" w:color="auto"/>
            </w:tcBorders>
            <w:noWrap/>
          </w:tcPr>
          <w:p w14:paraId="79437B1B"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2023թ. և 2022թ. տարբե-րությունը</w:t>
            </w:r>
          </w:p>
        </w:tc>
        <w:tc>
          <w:tcPr>
            <w:tcW w:w="1102" w:type="dxa"/>
            <w:tcBorders>
              <w:top w:val="single" w:sz="4" w:space="0" w:color="auto"/>
              <w:left w:val="nil"/>
              <w:bottom w:val="single" w:sz="4" w:space="0" w:color="auto"/>
              <w:right w:val="single" w:sz="4" w:space="0" w:color="auto"/>
            </w:tcBorders>
          </w:tcPr>
          <w:p w14:paraId="2CD6B3E5"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2</w:t>
            </w:r>
            <w:r w:rsidRPr="00C921DE">
              <w:rPr>
                <w:rFonts w:ascii="GHEA Grapalat" w:hAnsi="GHEA Grapalat"/>
                <w:b/>
                <w:sz w:val="18"/>
                <w:szCs w:val="18"/>
              </w:rPr>
              <w:t>թ. փաստ</w:t>
            </w:r>
          </w:p>
          <w:p w14:paraId="43C0200C"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(մլն դրամ)</w:t>
            </w:r>
          </w:p>
        </w:tc>
        <w:tc>
          <w:tcPr>
            <w:tcW w:w="1102" w:type="dxa"/>
            <w:tcBorders>
              <w:top w:val="single" w:sz="4" w:space="0" w:color="auto"/>
              <w:left w:val="nil"/>
              <w:bottom w:val="single" w:sz="4" w:space="0" w:color="auto"/>
              <w:right w:val="single" w:sz="4" w:space="0" w:color="auto"/>
            </w:tcBorders>
          </w:tcPr>
          <w:p w14:paraId="3C9A4D9E"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փաստ (մլն</w:t>
            </w:r>
            <w:r w:rsidRPr="00C921DE">
              <w:rPr>
                <w:rFonts w:ascii="GHEA Grapalat" w:hAnsi="GHEA Grapalat"/>
                <w:b/>
                <w:sz w:val="18"/>
                <w:szCs w:val="18"/>
                <w:lang w:val="en-US"/>
              </w:rPr>
              <w:t xml:space="preserve"> </w:t>
            </w:r>
            <w:r w:rsidRPr="00C921DE">
              <w:rPr>
                <w:rFonts w:ascii="GHEA Grapalat" w:hAnsi="GHEA Grapalat"/>
                <w:b/>
                <w:sz w:val="18"/>
                <w:szCs w:val="18"/>
              </w:rPr>
              <w:t>դրամ)</w:t>
            </w:r>
          </w:p>
        </w:tc>
        <w:tc>
          <w:tcPr>
            <w:tcW w:w="1239" w:type="dxa"/>
            <w:tcBorders>
              <w:top w:val="single" w:sz="4" w:space="0" w:color="auto"/>
              <w:left w:val="nil"/>
              <w:bottom w:val="single" w:sz="4" w:space="0" w:color="auto"/>
              <w:right w:val="single" w:sz="4" w:space="0" w:color="auto"/>
            </w:tcBorders>
          </w:tcPr>
          <w:p w14:paraId="06A07766" w14:textId="2833DD31"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202</w:t>
            </w:r>
            <w:r w:rsidRPr="00C921DE">
              <w:rPr>
                <w:rFonts w:ascii="GHEA Grapalat" w:hAnsi="GHEA Grapalat"/>
                <w:b/>
                <w:sz w:val="18"/>
                <w:szCs w:val="18"/>
                <w:lang w:val="en-US"/>
              </w:rPr>
              <w:t>2</w:t>
            </w:r>
            <w:r w:rsidRPr="00C921DE">
              <w:rPr>
                <w:rFonts w:ascii="GHEA Grapalat" w:hAnsi="GHEA Grapalat"/>
                <w:b/>
                <w:sz w:val="18"/>
                <w:szCs w:val="18"/>
              </w:rPr>
              <w:t>թ</w:t>
            </w:r>
            <w:r w:rsidR="00D61F4C" w:rsidRPr="00C921DE">
              <w:rPr>
                <w:rFonts w:ascii="GHEA Grapalat" w:hAnsi="GHEA Grapalat"/>
                <w:b/>
                <w:sz w:val="18"/>
                <w:szCs w:val="18"/>
                <w:lang w:val="en-US"/>
              </w:rPr>
              <w:t>.</w:t>
            </w:r>
            <w:r w:rsidRPr="00C921DE">
              <w:rPr>
                <w:rFonts w:ascii="GHEA Grapalat" w:hAnsi="GHEA Grapalat"/>
                <w:b/>
                <w:sz w:val="18"/>
                <w:szCs w:val="18"/>
              </w:rPr>
              <w:t>-ի նկատմամբ (%)</w:t>
            </w:r>
          </w:p>
        </w:tc>
      </w:tr>
      <w:tr w:rsidR="001556D3" w:rsidRPr="00C921DE" w14:paraId="74AFEA5C" w14:textId="77777777" w:rsidTr="001556D3">
        <w:trPr>
          <w:trHeight w:val="418"/>
        </w:trPr>
        <w:tc>
          <w:tcPr>
            <w:tcW w:w="2618" w:type="dxa"/>
            <w:tcBorders>
              <w:top w:val="nil"/>
              <w:left w:val="single" w:sz="4" w:space="0" w:color="auto"/>
              <w:bottom w:val="single" w:sz="4" w:space="0" w:color="auto"/>
              <w:right w:val="single" w:sz="4" w:space="0" w:color="auto"/>
            </w:tcBorders>
            <w:vAlign w:val="bottom"/>
          </w:tcPr>
          <w:p w14:paraId="129476AC" w14:textId="77777777" w:rsidR="001556D3" w:rsidRPr="00C921DE" w:rsidRDefault="001556D3" w:rsidP="001556D3">
            <w:pPr>
              <w:rPr>
                <w:rFonts w:ascii="GHEA Grapalat" w:hAnsi="GHEA Grapalat"/>
                <w:b/>
                <w:sz w:val="18"/>
                <w:szCs w:val="18"/>
              </w:rPr>
            </w:pPr>
            <w:r w:rsidRPr="00C921DE">
              <w:rPr>
                <w:rFonts w:ascii="GHEA Grapalat" w:hAnsi="GHEA Grapalat" w:cs="Arial"/>
                <w:b/>
                <w:sz w:val="18"/>
                <w:szCs w:val="18"/>
              </w:rPr>
              <w:t>Հատուկ հանրակրթություն</w:t>
            </w:r>
          </w:p>
        </w:tc>
        <w:tc>
          <w:tcPr>
            <w:tcW w:w="1377" w:type="dxa"/>
            <w:tcBorders>
              <w:top w:val="nil"/>
              <w:left w:val="nil"/>
              <w:bottom w:val="single" w:sz="4" w:space="0" w:color="auto"/>
              <w:right w:val="single" w:sz="4" w:space="0" w:color="auto"/>
            </w:tcBorders>
            <w:vAlign w:val="bottom"/>
          </w:tcPr>
          <w:p w14:paraId="64996CDD"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lang w:val="en-US"/>
              </w:rPr>
              <w:t>551</w:t>
            </w:r>
          </w:p>
        </w:tc>
        <w:tc>
          <w:tcPr>
            <w:tcW w:w="1378" w:type="dxa"/>
            <w:tcBorders>
              <w:top w:val="nil"/>
              <w:left w:val="nil"/>
              <w:bottom w:val="single" w:sz="4" w:space="0" w:color="auto"/>
              <w:right w:val="single" w:sz="4" w:space="0" w:color="auto"/>
            </w:tcBorders>
            <w:vAlign w:val="bottom"/>
          </w:tcPr>
          <w:p w14:paraId="6CF245F4"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lang w:val="en-US"/>
              </w:rPr>
              <w:t>545</w:t>
            </w:r>
          </w:p>
        </w:tc>
        <w:tc>
          <w:tcPr>
            <w:tcW w:w="1102" w:type="dxa"/>
            <w:tcBorders>
              <w:top w:val="nil"/>
              <w:left w:val="nil"/>
              <w:bottom w:val="single" w:sz="4" w:space="0" w:color="auto"/>
              <w:right w:val="single" w:sz="4" w:space="0" w:color="auto"/>
            </w:tcBorders>
            <w:vAlign w:val="bottom"/>
          </w:tcPr>
          <w:p w14:paraId="2572A285"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w:t>
            </w:r>
            <w:r w:rsidRPr="00C921DE">
              <w:rPr>
                <w:rFonts w:ascii="GHEA Grapalat" w:hAnsi="GHEA Grapalat"/>
                <w:b/>
                <w:sz w:val="18"/>
                <w:szCs w:val="18"/>
                <w:lang w:val="en-US"/>
              </w:rPr>
              <w:t>6</w:t>
            </w:r>
            <w:r w:rsidRPr="00C921DE">
              <w:rPr>
                <w:rFonts w:ascii="GHEA Grapalat" w:hAnsi="GHEA Grapalat"/>
                <w:b/>
                <w:sz w:val="18"/>
                <w:szCs w:val="18"/>
              </w:rPr>
              <w:t>)</w:t>
            </w:r>
          </w:p>
        </w:tc>
        <w:tc>
          <w:tcPr>
            <w:tcW w:w="1102" w:type="dxa"/>
            <w:tcBorders>
              <w:top w:val="nil"/>
              <w:left w:val="nil"/>
              <w:bottom w:val="single" w:sz="4" w:space="0" w:color="auto"/>
              <w:right w:val="single" w:sz="4" w:space="0" w:color="auto"/>
            </w:tcBorders>
            <w:vAlign w:val="bottom"/>
          </w:tcPr>
          <w:p w14:paraId="39D18BFA"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1,1</w:t>
            </w:r>
            <w:r w:rsidRPr="00C921DE">
              <w:rPr>
                <w:rFonts w:ascii="GHEA Grapalat" w:hAnsi="GHEA Grapalat"/>
                <w:b/>
                <w:sz w:val="18"/>
                <w:szCs w:val="18"/>
                <w:lang w:val="en-US"/>
              </w:rPr>
              <w:t>6</w:t>
            </w:r>
            <w:r w:rsidRPr="00C921DE">
              <w:rPr>
                <w:rFonts w:ascii="GHEA Grapalat" w:hAnsi="GHEA Grapalat"/>
                <w:b/>
                <w:sz w:val="18"/>
                <w:szCs w:val="18"/>
              </w:rPr>
              <w:t>9.8</w:t>
            </w:r>
          </w:p>
        </w:tc>
        <w:tc>
          <w:tcPr>
            <w:tcW w:w="1102" w:type="dxa"/>
            <w:tcBorders>
              <w:top w:val="nil"/>
              <w:left w:val="nil"/>
              <w:bottom w:val="single" w:sz="4" w:space="0" w:color="auto"/>
              <w:right w:val="single" w:sz="4" w:space="0" w:color="auto"/>
            </w:tcBorders>
            <w:vAlign w:val="bottom"/>
          </w:tcPr>
          <w:p w14:paraId="36F3D07C"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rPr>
              <w:t>1,</w:t>
            </w:r>
            <w:r w:rsidRPr="00C921DE">
              <w:rPr>
                <w:rFonts w:ascii="GHEA Grapalat" w:hAnsi="GHEA Grapalat"/>
                <w:b/>
                <w:sz w:val="18"/>
                <w:szCs w:val="18"/>
                <w:lang w:val="en-US"/>
              </w:rPr>
              <w:t>222</w:t>
            </w:r>
            <w:r w:rsidRPr="00C921DE">
              <w:rPr>
                <w:rFonts w:ascii="GHEA Grapalat" w:hAnsi="GHEA Grapalat"/>
                <w:b/>
                <w:sz w:val="18"/>
                <w:szCs w:val="18"/>
              </w:rPr>
              <w:t>.</w:t>
            </w:r>
            <w:r w:rsidRPr="00C921DE">
              <w:rPr>
                <w:rFonts w:ascii="GHEA Grapalat" w:hAnsi="GHEA Grapalat"/>
                <w:b/>
                <w:sz w:val="18"/>
                <w:szCs w:val="18"/>
                <w:lang w:val="en-US"/>
              </w:rPr>
              <w:t>7</w:t>
            </w:r>
          </w:p>
        </w:tc>
        <w:tc>
          <w:tcPr>
            <w:tcW w:w="1239" w:type="dxa"/>
            <w:tcBorders>
              <w:top w:val="nil"/>
              <w:left w:val="nil"/>
              <w:bottom w:val="single" w:sz="4" w:space="0" w:color="auto"/>
              <w:right w:val="single" w:sz="4" w:space="0" w:color="auto"/>
            </w:tcBorders>
            <w:vAlign w:val="bottom"/>
          </w:tcPr>
          <w:p w14:paraId="4291F6A5"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lang w:val="en-US"/>
              </w:rPr>
              <w:t>104.5</w:t>
            </w:r>
          </w:p>
        </w:tc>
      </w:tr>
      <w:tr w:rsidR="001556D3" w:rsidRPr="00C921DE" w14:paraId="199704E2" w14:textId="77777777" w:rsidTr="001556D3">
        <w:trPr>
          <w:trHeight w:val="455"/>
        </w:trPr>
        <w:tc>
          <w:tcPr>
            <w:tcW w:w="2618" w:type="dxa"/>
            <w:tcBorders>
              <w:top w:val="nil"/>
              <w:left w:val="single" w:sz="4" w:space="0" w:color="auto"/>
              <w:bottom w:val="single" w:sz="4" w:space="0" w:color="auto"/>
              <w:right w:val="single" w:sz="4" w:space="0" w:color="auto"/>
            </w:tcBorders>
            <w:vAlign w:val="bottom"/>
          </w:tcPr>
          <w:p w14:paraId="1BBEC422" w14:textId="77777777" w:rsidR="001556D3" w:rsidRPr="00C921DE" w:rsidRDefault="001556D3" w:rsidP="001556D3">
            <w:pPr>
              <w:rPr>
                <w:rFonts w:ascii="GHEA Grapalat" w:hAnsi="GHEA Grapalat"/>
                <w:sz w:val="18"/>
                <w:szCs w:val="18"/>
              </w:rPr>
            </w:pPr>
            <w:r w:rsidRPr="00C921DE">
              <w:rPr>
                <w:rFonts w:ascii="GHEA Grapalat" w:hAnsi="GHEA Grapalat" w:cs="Arial"/>
                <w:sz w:val="18"/>
                <w:szCs w:val="18"/>
              </w:rPr>
              <w:t>Տարրական</w:t>
            </w:r>
          </w:p>
        </w:tc>
        <w:tc>
          <w:tcPr>
            <w:tcW w:w="1377" w:type="dxa"/>
            <w:tcBorders>
              <w:top w:val="nil"/>
              <w:left w:val="nil"/>
              <w:bottom w:val="single" w:sz="4" w:space="0" w:color="auto"/>
              <w:right w:val="single" w:sz="4" w:space="0" w:color="auto"/>
            </w:tcBorders>
            <w:vAlign w:val="bottom"/>
          </w:tcPr>
          <w:p w14:paraId="007717CF"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15</w:t>
            </w:r>
            <w:r w:rsidRPr="00C921DE">
              <w:rPr>
                <w:rFonts w:ascii="GHEA Grapalat" w:hAnsi="GHEA Grapalat"/>
                <w:sz w:val="18"/>
                <w:szCs w:val="18"/>
                <w:lang w:val="en-US"/>
              </w:rPr>
              <w:t>3</w:t>
            </w:r>
          </w:p>
        </w:tc>
        <w:tc>
          <w:tcPr>
            <w:tcW w:w="1378" w:type="dxa"/>
            <w:tcBorders>
              <w:top w:val="nil"/>
              <w:left w:val="nil"/>
              <w:bottom w:val="single" w:sz="4" w:space="0" w:color="auto"/>
              <w:right w:val="single" w:sz="4" w:space="0" w:color="auto"/>
            </w:tcBorders>
            <w:vAlign w:val="bottom"/>
          </w:tcPr>
          <w:p w14:paraId="73D9104D"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144</w:t>
            </w:r>
          </w:p>
        </w:tc>
        <w:tc>
          <w:tcPr>
            <w:tcW w:w="1102" w:type="dxa"/>
            <w:tcBorders>
              <w:top w:val="nil"/>
              <w:left w:val="nil"/>
              <w:bottom w:val="single" w:sz="4" w:space="0" w:color="auto"/>
              <w:right w:val="single" w:sz="4" w:space="0" w:color="auto"/>
            </w:tcBorders>
            <w:vAlign w:val="bottom"/>
          </w:tcPr>
          <w:p w14:paraId="69534B57"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w:t>
            </w:r>
          </w:p>
        </w:tc>
        <w:tc>
          <w:tcPr>
            <w:tcW w:w="1102" w:type="dxa"/>
            <w:tcBorders>
              <w:top w:val="nil"/>
              <w:left w:val="nil"/>
              <w:bottom w:val="single" w:sz="4" w:space="0" w:color="auto"/>
              <w:right w:val="single" w:sz="4" w:space="0" w:color="auto"/>
            </w:tcBorders>
            <w:vAlign w:val="bottom"/>
          </w:tcPr>
          <w:p w14:paraId="3B7E273E"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300.7</w:t>
            </w:r>
          </w:p>
        </w:tc>
        <w:tc>
          <w:tcPr>
            <w:tcW w:w="1102" w:type="dxa"/>
            <w:tcBorders>
              <w:top w:val="nil"/>
              <w:left w:val="nil"/>
              <w:bottom w:val="single" w:sz="4" w:space="0" w:color="auto"/>
              <w:right w:val="single" w:sz="4" w:space="0" w:color="auto"/>
            </w:tcBorders>
            <w:vAlign w:val="bottom"/>
          </w:tcPr>
          <w:p w14:paraId="71B438CE"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3</w:t>
            </w:r>
            <w:r w:rsidRPr="00C921DE">
              <w:rPr>
                <w:rFonts w:ascii="GHEA Grapalat" w:hAnsi="GHEA Grapalat"/>
                <w:sz w:val="18"/>
                <w:szCs w:val="18"/>
                <w:lang w:val="en-US"/>
              </w:rPr>
              <w:t>27</w:t>
            </w:r>
            <w:r w:rsidRPr="00C921DE">
              <w:rPr>
                <w:rFonts w:ascii="GHEA Grapalat" w:hAnsi="GHEA Grapalat"/>
                <w:sz w:val="18"/>
                <w:szCs w:val="18"/>
              </w:rPr>
              <w:t>.</w:t>
            </w:r>
            <w:r w:rsidRPr="00C921DE">
              <w:rPr>
                <w:rFonts w:ascii="GHEA Grapalat" w:hAnsi="GHEA Grapalat"/>
                <w:sz w:val="18"/>
                <w:szCs w:val="18"/>
                <w:lang w:val="en-US"/>
              </w:rPr>
              <w:t>4</w:t>
            </w:r>
          </w:p>
        </w:tc>
        <w:tc>
          <w:tcPr>
            <w:tcW w:w="1239" w:type="dxa"/>
            <w:tcBorders>
              <w:top w:val="nil"/>
              <w:left w:val="nil"/>
              <w:bottom w:val="single" w:sz="4" w:space="0" w:color="auto"/>
              <w:right w:val="single" w:sz="4" w:space="0" w:color="auto"/>
            </w:tcBorders>
            <w:vAlign w:val="bottom"/>
          </w:tcPr>
          <w:p w14:paraId="29F43B63"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108.9</w:t>
            </w:r>
          </w:p>
        </w:tc>
      </w:tr>
      <w:tr w:rsidR="001556D3" w:rsidRPr="00C921DE" w14:paraId="40F9A6A2" w14:textId="77777777" w:rsidTr="001556D3">
        <w:trPr>
          <w:trHeight w:val="455"/>
        </w:trPr>
        <w:tc>
          <w:tcPr>
            <w:tcW w:w="2618" w:type="dxa"/>
            <w:tcBorders>
              <w:top w:val="nil"/>
              <w:left w:val="single" w:sz="4" w:space="0" w:color="auto"/>
              <w:bottom w:val="single" w:sz="4" w:space="0" w:color="auto"/>
              <w:right w:val="single" w:sz="4" w:space="0" w:color="auto"/>
            </w:tcBorders>
            <w:vAlign w:val="bottom"/>
          </w:tcPr>
          <w:p w14:paraId="51A30341" w14:textId="77777777" w:rsidR="001556D3" w:rsidRPr="00C921DE" w:rsidRDefault="001556D3" w:rsidP="001556D3">
            <w:pPr>
              <w:rPr>
                <w:rFonts w:ascii="GHEA Grapalat" w:hAnsi="GHEA Grapalat"/>
                <w:sz w:val="18"/>
                <w:szCs w:val="18"/>
              </w:rPr>
            </w:pPr>
            <w:r w:rsidRPr="00C921DE">
              <w:rPr>
                <w:rFonts w:ascii="GHEA Grapalat" w:hAnsi="GHEA Grapalat" w:cs="Arial"/>
                <w:sz w:val="18"/>
                <w:szCs w:val="18"/>
              </w:rPr>
              <w:t>Հիմնական</w:t>
            </w:r>
          </w:p>
        </w:tc>
        <w:tc>
          <w:tcPr>
            <w:tcW w:w="1377" w:type="dxa"/>
            <w:tcBorders>
              <w:top w:val="nil"/>
              <w:left w:val="nil"/>
              <w:bottom w:val="single" w:sz="4" w:space="0" w:color="auto"/>
              <w:right w:val="single" w:sz="4" w:space="0" w:color="auto"/>
            </w:tcBorders>
            <w:vAlign w:val="bottom"/>
          </w:tcPr>
          <w:p w14:paraId="75C0B472"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2</w:t>
            </w:r>
            <w:r w:rsidRPr="00C921DE">
              <w:rPr>
                <w:rFonts w:ascii="GHEA Grapalat" w:hAnsi="GHEA Grapalat"/>
                <w:sz w:val="18"/>
                <w:szCs w:val="18"/>
                <w:lang w:val="en-US"/>
              </w:rPr>
              <w:t>48</w:t>
            </w:r>
          </w:p>
        </w:tc>
        <w:tc>
          <w:tcPr>
            <w:tcW w:w="1378" w:type="dxa"/>
            <w:tcBorders>
              <w:top w:val="nil"/>
              <w:left w:val="nil"/>
              <w:bottom w:val="single" w:sz="4" w:space="0" w:color="auto"/>
              <w:right w:val="single" w:sz="4" w:space="0" w:color="auto"/>
            </w:tcBorders>
            <w:vAlign w:val="bottom"/>
          </w:tcPr>
          <w:p w14:paraId="7CD75F77"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243</w:t>
            </w:r>
          </w:p>
        </w:tc>
        <w:tc>
          <w:tcPr>
            <w:tcW w:w="1102" w:type="dxa"/>
            <w:tcBorders>
              <w:top w:val="nil"/>
              <w:left w:val="nil"/>
              <w:bottom w:val="single" w:sz="4" w:space="0" w:color="auto"/>
              <w:right w:val="single" w:sz="4" w:space="0" w:color="auto"/>
            </w:tcBorders>
            <w:vAlign w:val="bottom"/>
          </w:tcPr>
          <w:p w14:paraId="6D76415A"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(5)</w:t>
            </w:r>
          </w:p>
        </w:tc>
        <w:tc>
          <w:tcPr>
            <w:tcW w:w="1102" w:type="dxa"/>
            <w:tcBorders>
              <w:top w:val="nil"/>
              <w:left w:val="nil"/>
              <w:bottom w:val="single" w:sz="4" w:space="0" w:color="auto"/>
              <w:right w:val="single" w:sz="4" w:space="0" w:color="auto"/>
            </w:tcBorders>
            <w:vAlign w:val="bottom"/>
          </w:tcPr>
          <w:p w14:paraId="6CB613E7"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51</w:t>
            </w:r>
            <w:r w:rsidRPr="00C921DE">
              <w:rPr>
                <w:rFonts w:ascii="GHEA Grapalat" w:hAnsi="GHEA Grapalat"/>
                <w:sz w:val="18"/>
                <w:szCs w:val="18"/>
                <w:lang w:val="en-US"/>
              </w:rPr>
              <w:t>5</w:t>
            </w:r>
            <w:r w:rsidRPr="00C921DE">
              <w:rPr>
                <w:rFonts w:ascii="GHEA Grapalat" w:hAnsi="GHEA Grapalat"/>
                <w:sz w:val="18"/>
                <w:szCs w:val="18"/>
              </w:rPr>
              <w:t>.</w:t>
            </w:r>
            <w:r w:rsidRPr="00C921DE">
              <w:rPr>
                <w:rFonts w:ascii="GHEA Grapalat" w:hAnsi="GHEA Grapalat"/>
                <w:sz w:val="18"/>
                <w:szCs w:val="18"/>
                <w:lang w:val="en-US"/>
              </w:rPr>
              <w:t>1</w:t>
            </w:r>
          </w:p>
        </w:tc>
        <w:tc>
          <w:tcPr>
            <w:tcW w:w="1102" w:type="dxa"/>
            <w:tcBorders>
              <w:top w:val="nil"/>
              <w:left w:val="nil"/>
              <w:bottom w:val="single" w:sz="4" w:space="0" w:color="auto"/>
              <w:right w:val="single" w:sz="4" w:space="0" w:color="auto"/>
            </w:tcBorders>
            <w:vAlign w:val="bottom"/>
          </w:tcPr>
          <w:p w14:paraId="202668A6"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5</w:t>
            </w:r>
            <w:r w:rsidRPr="00C921DE">
              <w:rPr>
                <w:rFonts w:ascii="GHEA Grapalat" w:hAnsi="GHEA Grapalat"/>
                <w:sz w:val="18"/>
                <w:szCs w:val="18"/>
                <w:lang w:val="en-US"/>
              </w:rPr>
              <w:t>35.5</w:t>
            </w:r>
          </w:p>
        </w:tc>
        <w:tc>
          <w:tcPr>
            <w:tcW w:w="1239" w:type="dxa"/>
            <w:tcBorders>
              <w:top w:val="nil"/>
              <w:left w:val="nil"/>
              <w:bottom w:val="single" w:sz="4" w:space="0" w:color="auto"/>
              <w:right w:val="single" w:sz="4" w:space="0" w:color="auto"/>
            </w:tcBorders>
            <w:vAlign w:val="bottom"/>
          </w:tcPr>
          <w:p w14:paraId="7C897926"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10</w:t>
            </w:r>
            <w:r w:rsidRPr="00C921DE">
              <w:rPr>
                <w:rFonts w:ascii="GHEA Grapalat" w:hAnsi="GHEA Grapalat"/>
                <w:sz w:val="18"/>
                <w:szCs w:val="18"/>
                <w:lang w:val="en-US"/>
              </w:rPr>
              <w:t>4</w:t>
            </w:r>
            <w:r w:rsidRPr="00C921DE">
              <w:rPr>
                <w:rFonts w:ascii="GHEA Grapalat" w:hAnsi="GHEA Grapalat"/>
                <w:sz w:val="18"/>
                <w:szCs w:val="18"/>
              </w:rPr>
              <w:t>.</w:t>
            </w:r>
            <w:r w:rsidRPr="00C921DE">
              <w:rPr>
                <w:rFonts w:ascii="GHEA Grapalat" w:hAnsi="GHEA Grapalat"/>
                <w:sz w:val="18"/>
                <w:szCs w:val="18"/>
                <w:lang w:val="en-US"/>
              </w:rPr>
              <w:t>0</w:t>
            </w:r>
          </w:p>
        </w:tc>
      </w:tr>
      <w:tr w:rsidR="001556D3" w:rsidRPr="00C921DE" w14:paraId="59F7598A" w14:textId="77777777" w:rsidTr="001556D3">
        <w:trPr>
          <w:trHeight w:val="455"/>
        </w:trPr>
        <w:tc>
          <w:tcPr>
            <w:tcW w:w="2618" w:type="dxa"/>
            <w:tcBorders>
              <w:top w:val="nil"/>
              <w:left w:val="single" w:sz="4" w:space="0" w:color="auto"/>
              <w:bottom w:val="single" w:sz="4" w:space="0" w:color="auto"/>
              <w:right w:val="single" w:sz="4" w:space="0" w:color="auto"/>
            </w:tcBorders>
            <w:vAlign w:val="bottom"/>
          </w:tcPr>
          <w:p w14:paraId="447A6A32" w14:textId="77777777" w:rsidR="001556D3" w:rsidRPr="00C921DE" w:rsidRDefault="001556D3" w:rsidP="001556D3">
            <w:pPr>
              <w:rPr>
                <w:rFonts w:ascii="GHEA Grapalat" w:hAnsi="GHEA Grapalat"/>
                <w:sz w:val="18"/>
                <w:szCs w:val="18"/>
                <w:lang w:val="en-US"/>
              </w:rPr>
            </w:pPr>
            <w:r w:rsidRPr="00C921DE">
              <w:rPr>
                <w:rFonts w:ascii="GHEA Grapalat" w:hAnsi="GHEA Grapalat" w:cs="Arial"/>
                <w:sz w:val="18"/>
                <w:szCs w:val="18"/>
              </w:rPr>
              <w:t>Միջնակարգ</w:t>
            </w:r>
          </w:p>
        </w:tc>
        <w:tc>
          <w:tcPr>
            <w:tcW w:w="1377" w:type="dxa"/>
            <w:tcBorders>
              <w:top w:val="nil"/>
              <w:left w:val="nil"/>
              <w:bottom w:val="single" w:sz="4" w:space="0" w:color="auto"/>
              <w:right w:val="single" w:sz="4" w:space="0" w:color="auto"/>
            </w:tcBorders>
            <w:vAlign w:val="bottom"/>
          </w:tcPr>
          <w:p w14:paraId="2748D5BC"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50</w:t>
            </w:r>
          </w:p>
        </w:tc>
        <w:tc>
          <w:tcPr>
            <w:tcW w:w="1378" w:type="dxa"/>
            <w:tcBorders>
              <w:top w:val="nil"/>
              <w:left w:val="nil"/>
              <w:bottom w:val="single" w:sz="4" w:space="0" w:color="auto"/>
              <w:right w:val="single" w:sz="4" w:space="0" w:color="auto"/>
            </w:tcBorders>
            <w:vAlign w:val="bottom"/>
          </w:tcPr>
          <w:p w14:paraId="303C5168"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158</w:t>
            </w:r>
          </w:p>
        </w:tc>
        <w:tc>
          <w:tcPr>
            <w:tcW w:w="1102" w:type="dxa"/>
            <w:tcBorders>
              <w:top w:val="nil"/>
              <w:left w:val="nil"/>
              <w:bottom w:val="single" w:sz="4" w:space="0" w:color="auto"/>
              <w:right w:val="single" w:sz="4" w:space="0" w:color="auto"/>
            </w:tcBorders>
            <w:vAlign w:val="bottom"/>
          </w:tcPr>
          <w:p w14:paraId="150BE0E5"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8</w:t>
            </w:r>
          </w:p>
        </w:tc>
        <w:tc>
          <w:tcPr>
            <w:tcW w:w="1102" w:type="dxa"/>
            <w:tcBorders>
              <w:top w:val="nil"/>
              <w:left w:val="nil"/>
              <w:bottom w:val="single" w:sz="4" w:space="0" w:color="auto"/>
              <w:right w:val="single" w:sz="4" w:space="0" w:color="auto"/>
            </w:tcBorders>
            <w:vAlign w:val="bottom"/>
          </w:tcPr>
          <w:p w14:paraId="03BF6A11"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3</w:t>
            </w:r>
            <w:r w:rsidRPr="00C921DE">
              <w:rPr>
                <w:rFonts w:ascii="GHEA Grapalat" w:hAnsi="GHEA Grapalat"/>
                <w:sz w:val="18"/>
                <w:szCs w:val="18"/>
                <w:lang w:val="en-US"/>
              </w:rPr>
              <w:t>54.0</w:t>
            </w:r>
          </w:p>
        </w:tc>
        <w:tc>
          <w:tcPr>
            <w:tcW w:w="1102" w:type="dxa"/>
            <w:tcBorders>
              <w:top w:val="nil"/>
              <w:left w:val="nil"/>
              <w:bottom w:val="single" w:sz="4" w:space="0" w:color="auto"/>
              <w:right w:val="single" w:sz="4" w:space="0" w:color="auto"/>
            </w:tcBorders>
            <w:vAlign w:val="bottom"/>
          </w:tcPr>
          <w:p w14:paraId="6154BC7B"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3</w:t>
            </w:r>
            <w:r w:rsidRPr="00C921DE">
              <w:rPr>
                <w:rFonts w:ascii="GHEA Grapalat" w:hAnsi="GHEA Grapalat"/>
                <w:sz w:val="18"/>
                <w:szCs w:val="18"/>
                <w:lang w:val="en-US"/>
              </w:rPr>
              <w:t>59.9</w:t>
            </w:r>
          </w:p>
        </w:tc>
        <w:tc>
          <w:tcPr>
            <w:tcW w:w="1239" w:type="dxa"/>
            <w:tcBorders>
              <w:top w:val="nil"/>
              <w:left w:val="nil"/>
              <w:bottom w:val="single" w:sz="4" w:space="0" w:color="auto"/>
              <w:right w:val="single" w:sz="4" w:space="0" w:color="auto"/>
            </w:tcBorders>
            <w:vAlign w:val="bottom"/>
          </w:tcPr>
          <w:p w14:paraId="0ACF9E44"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10</w:t>
            </w:r>
            <w:r w:rsidRPr="00C921DE">
              <w:rPr>
                <w:rFonts w:ascii="GHEA Grapalat" w:hAnsi="GHEA Grapalat"/>
                <w:sz w:val="18"/>
                <w:szCs w:val="18"/>
                <w:lang w:val="en-US"/>
              </w:rPr>
              <w:t>1</w:t>
            </w:r>
            <w:r w:rsidRPr="00C921DE">
              <w:rPr>
                <w:rFonts w:ascii="GHEA Grapalat" w:hAnsi="GHEA Grapalat"/>
                <w:sz w:val="18"/>
                <w:szCs w:val="18"/>
              </w:rPr>
              <w:t>.7</w:t>
            </w:r>
          </w:p>
        </w:tc>
      </w:tr>
    </w:tbl>
    <w:p w14:paraId="0132DDE0" w14:textId="77777777" w:rsidR="001556D3" w:rsidRPr="00C921DE" w:rsidRDefault="001556D3" w:rsidP="00B134DD">
      <w:pPr>
        <w:autoSpaceDE w:val="0"/>
        <w:autoSpaceDN w:val="0"/>
        <w:adjustRightInd w:val="0"/>
        <w:ind w:firstLine="567"/>
        <w:jc w:val="both"/>
        <w:rPr>
          <w:rFonts w:ascii="GHEA Grapalat" w:hAnsi="GHEA Grapalat" w:cs="Sylfaen"/>
          <w:sz w:val="22"/>
          <w:szCs w:val="22"/>
          <w:lang w:val="en-US"/>
        </w:rPr>
      </w:pPr>
    </w:p>
    <w:p w14:paraId="17768C94" w14:textId="2D4D11C7"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202</w:t>
      </w:r>
      <w:r w:rsidRPr="00C921DE">
        <w:rPr>
          <w:rFonts w:ascii="GHEA Grapalat" w:hAnsi="GHEA Grapalat" w:cs="Sylfaen"/>
          <w:sz w:val="22"/>
          <w:szCs w:val="22"/>
          <w:lang w:val="en-US"/>
        </w:rPr>
        <w:t>3</w:t>
      </w:r>
      <w:r w:rsidRPr="00C921DE">
        <w:rPr>
          <w:rFonts w:ascii="GHEA Grapalat" w:hAnsi="GHEA Grapalat" w:cs="Sylfaen"/>
          <w:sz w:val="22"/>
          <w:szCs w:val="22"/>
        </w:rPr>
        <w:t xml:space="preserve"> թվականին, ինչպես և 2022 թվականին, մասնագիտացված կրթության համակարգում գործել է 10 մասնագիտացված դպրոց: Հաշվետու տարում տարրական, հիմնական և միջնակարգ մասնագիտացված հանրակրթական ուսուցման նպատակով օգտագործվել է 3.6 մլրդ դրամ՝ ապահովելով ծրագրված ցուցանիշի 9</w:t>
      </w:r>
      <w:r w:rsidRPr="00C921DE">
        <w:rPr>
          <w:rFonts w:ascii="GHEA Grapalat" w:hAnsi="GHEA Grapalat" w:cs="Sylfaen"/>
          <w:sz w:val="22"/>
          <w:szCs w:val="22"/>
          <w:lang w:val="en-US"/>
        </w:rPr>
        <w:t>3.4</w:t>
      </w:r>
      <w:r w:rsidRPr="00C921DE">
        <w:rPr>
          <w:rFonts w:ascii="GHEA Grapalat" w:hAnsi="GHEA Grapalat" w:cs="Sylfaen"/>
          <w:sz w:val="22"/>
          <w:szCs w:val="22"/>
        </w:rPr>
        <w:t>%-ը, և նախորդ տարվա համեմատ էական փոփոխություն չեն կրել: Ծրագրային ցուցանիշից շեղումը պայմանավորված է ՀՀ ՊՆ ենթակայությամբ գործող Մոնթե Մելքոնյանի անվան ռազմամարզական վարժարանի սաների՝ կանխատեսվածից պակաս թվով, ինչպ</w:t>
      </w:r>
      <w:r w:rsidR="001B5398" w:rsidRPr="00C921DE">
        <w:rPr>
          <w:rFonts w:ascii="GHEA Grapalat" w:hAnsi="GHEA Grapalat" w:cs="Sylfaen"/>
          <w:sz w:val="22"/>
          <w:szCs w:val="22"/>
        </w:rPr>
        <w:t>ես նաև սննդի ծախսերի տնտեսմամբ:</w:t>
      </w:r>
    </w:p>
    <w:p w14:paraId="00AFCA73" w14:textId="77777777" w:rsidR="00195433" w:rsidRPr="00C921DE" w:rsidRDefault="00195433" w:rsidP="00B134DD">
      <w:pPr>
        <w:autoSpaceDE w:val="0"/>
        <w:autoSpaceDN w:val="0"/>
        <w:adjustRightInd w:val="0"/>
        <w:ind w:firstLine="567"/>
        <w:jc w:val="both"/>
        <w:rPr>
          <w:rFonts w:ascii="GHEA Grapalat" w:hAnsi="GHEA Grapalat" w:cs="Sylfaen"/>
          <w:sz w:val="22"/>
          <w:szCs w:val="22"/>
        </w:rPr>
      </w:pPr>
    </w:p>
    <w:p w14:paraId="39FBD811" w14:textId="77777777" w:rsidR="001556D3" w:rsidRPr="00C921DE" w:rsidRDefault="001556D3" w:rsidP="001556D3">
      <w:pPr>
        <w:pStyle w:val="Caption"/>
        <w:keepNext/>
        <w:numPr>
          <w:ilvl w:val="0"/>
          <w:numId w:val="16"/>
        </w:numPr>
        <w:tabs>
          <w:tab w:val="left" w:pos="1276"/>
        </w:tabs>
        <w:ind w:left="0" w:firstLine="0"/>
        <w:jc w:val="left"/>
        <w:rPr>
          <w:rFonts w:ascii="GHEA Grapalat" w:hAnsi="GHEA Grapalat"/>
          <w:i/>
          <w:sz w:val="18"/>
          <w:szCs w:val="18"/>
          <w:lang w:val="en-US"/>
        </w:rPr>
      </w:pPr>
      <w:r w:rsidRPr="00C921DE">
        <w:rPr>
          <w:rFonts w:ascii="GHEA Grapalat" w:hAnsi="GHEA Grapalat"/>
          <w:i/>
          <w:sz w:val="18"/>
          <w:szCs w:val="18"/>
          <w:lang w:val="en-US"/>
        </w:rPr>
        <w:lastRenderedPageBreak/>
        <w:t>Մասնագիտացված հանրակրթության համակարգի ցուցանիշները</w:t>
      </w:r>
    </w:p>
    <w:tbl>
      <w:tblPr>
        <w:tblW w:w="9628" w:type="dxa"/>
        <w:tblInd w:w="108" w:type="dxa"/>
        <w:tblLayout w:type="fixed"/>
        <w:tblLook w:val="00A0" w:firstRow="1" w:lastRow="0" w:firstColumn="1" w:lastColumn="0" w:noHBand="0" w:noVBand="0"/>
      </w:tblPr>
      <w:tblGrid>
        <w:gridCol w:w="2155"/>
        <w:gridCol w:w="1560"/>
        <w:gridCol w:w="1500"/>
        <w:gridCol w:w="1070"/>
        <w:gridCol w:w="1070"/>
        <w:gridCol w:w="1070"/>
        <w:gridCol w:w="1203"/>
      </w:tblGrid>
      <w:tr w:rsidR="001556D3" w:rsidRPr="00C921DE" w14:paraId="301C71A7" w14:textId="77777777" w:rsidTr="00D61F4C">
        <w:trPr>
          <w:trHeight w:val="1027"/>
        </w:trPr>
        <w:tc>
          <w:tcPr>
            <w:tcW w:w="2155" w:type="dxa"/>
            <w:tcBorders>
              <w:top w:val="single" w:sz="4" w:space="0" w:color="auto"/>
              <w:left w:val="single" w:sz="4" w:space="0" w:color="auto"/>
              <w:bottom w:val="single" w:sz="4" w:space="0" w:color="auto"/>
              <w:right w:val="single" w:sz="4" w:space="0" w:color="auto"/>
            </w:tcBorders>
            <w:noWrap/>
            <w:vAlign w:val="bottom"/>
          </w:tcPr>
          <w:p w14:paraId="0D9CE267" w14:textId="77777777" w:rsidR="001556D3" w:rsidRPr="00C921DE" w:rsidRDefault="001556D3" w:rsidP="001556D3">
            <w:pPr>
              <w:rPr>
                <w:rFonts w:ascii="Calibri" w:hAnsi="Calibri" w:cs="Calibri"/>
                <w:sz w:val="18"/>
                <w:szCs w:val="18"/>
              </w:rPr>
            </w:pPr>
            <w:r w:rsidRPr="00C921DE">
              <w:rPr>
                <w:rFonts w:ascii="Calibri" w:hAnsi="Calibri" w:cs="Calibri"/>
                <w:sz w:val="18"/>
                <w:szCs w:val="18"/>
              </w:rPr>
              <w:t> </w:t>
            </w:r>
          </w:p>
        </w:tc>
        <w:tc>
          <w:tcPr>
            <w:tcW w:w="1560" w:type="dxa"/>
            <w:tcBorders>
              <w:top w:val="single" w:sz="4" w:space="0" w:color="auto"/>
              <w:left w:val="nil"/>
              <w:bottom w:val="single" w:sz="4" w:space="0" w:color="auto"/>
              <w:right w:val="single" w:sz="4" w:space="0" w:color="auto"/>
            </w:tcBorders>
          </w:tcPr>
          <w:p w14:paraId="56A63985"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2</w:t>
            </w:r>
            <w:r w:rsidRPr="00C921DE">
              <w:rPr>
                <w:rFonts w:ascii="GHEA Grapalat" w:hAnsi="GHEA Grapalat"/>
                <w:b/>
                <w:sz w:val="18"/>
                <w:szCs w:val="18"/>
              </w:rPr>
              <w:t>թ. սովորողների փաստացի թիվ</w:t>
            </w:r>
          </w:p>
        </w:tc>
        <w:tc>
          <w:tcPr>
            <w:tcW w:w="1500" w:type="dxa"/>
            <w:tcBorders>
              <w:top w:val="single" w:sz="4" w:space="0" w:color="auto"/>
              <w:left w:val="nil"/>
              <w:bottom w:val="single" w:sz="4" w:space="0" w:color="auto"/>
              <w:right w:val="single" w:sz="4" w:space="0" w:color="auto"/>
            </w:tcBorders>
          </w:tcPr>
          <w:p w14:paraId="41F994AF"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սովորողների փաստացի թիվ</w:t>
            </w:r>
          </w:p>
        </w:tc>
        <w:tc>
          <w:tcPr>
            <w:tcW w:w="1070" w:type="dxa"/>
            <w:tcBorders>
              <w:top w:val="single" w:sz="4" w:space="0" w:color="auto"/>
              <w:left w:val="nil"/>
              <w:bottom w:val="single" w:sz="4" w:space="0" w:color="auto"/>
              <w:right w:val="single" w:sz="4" w:space="0" w:color="auto"/>
            </w:tcBorders>
            <w:noWrap/>
          </w:tcPr>
          <w:p w14:paraId="1EC9D099"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2023թ. և 2022թ. տարբե-րությունը</w:t>
            </w:r>
          </w:p>
        </w:tc>
        <w:tc>
          <w:tcPr>
            <w:tcW w:w="1070" w:type="dxa"/>
            <w:tcBorders>
              <w:top w:val="single" w:sz="4" w:space="0" w:color="auto"/>
              <w:left w:val="nil"/>
              <w:bottom w:val="single" w:sz="4" w:space="0" w:color="auto"/>
              <w:right w:val="single" w:sz="4" w:space="0" w:color="auto"/>
            </w:tcBorders>
          </w:tcPr>
          <w:p w14:paraId="3F543AF3"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2022թ. փաստ</w:t>
            </w:r>
          </w:p>
          <w:p w14:paraId="1D664D0D"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(մլն դրամ)</w:t>
            </w:r>
          </w:p>
        </w:tc>
        <w:tc>
          <w:tcPr>
            <w:tcW w:w="1070" w:type="dxa"/>
            <w:tcBorders>
              <w:top w:val="single" w:sz="4" w:space="0" w:color="auto"/>
              <w:left w:val="nil"/>
              <w:bottom w:val="single" w:sz="4" w:space="0" w:color="auto"/>
              <w:right w:val="single" w:sz="4" w:space="0" w:color="auto"/>
            </w:tcBorders>
          </w:tcPr>
          <w:p w14:paraId="78A6BE37" w14:textId="77777777"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փաստ (մլն</w:t>
            </w:r>
            <w:r w:rsidRPr="00C921DE">
              <w:rPr>
                <w:rFonts w:ascii="GHEA Grapalat" w:hAnsi="GHEA Grapalat"/>
                <w:b/>
                <w:sz w:val="18"/>
                <w:szCs w:val="18"/>
                <w:lang w:val="en-US"/>
              </w:rPr>
              <w:t xml:space="preserve"> </w:t>
            </w:r>
            <w:r w:rsidRPr="00C921DE">
              <w:rPr>
                <w:rFonts w:ascii="GHEA Grapalat" w:hAnsi="GHEA Grapalat"/>
                <w:b/>
                <w:sz w:val="18"/>
                <w:szCs w:val="18"/>
              </w:rPr>
              <w:t>դրամ)</w:t>
            </w:r>
          </w:p>
        </w:tc>
        <w:tc>
          <w:tcPr>
            <w:tcW w:w="1203" w:type="dxa"/>
            <w:tcBorders>
              <w:top w:val="single" w:sz="4" w:space="0" w:color="auto"/>
              <w:left w:val="nil"/>
              <w:bottom w:val="single" w:sz="4" w:space="0" w:color="auto"/>
              <w:right w:val="single" w:sz="4" w:space="0" w:color="auto"/>
            </w:tcBorders>
          </w:tcPr>
          <w:p w14:paraId="2FDC43A9" w14:textId="12B9E77F" w:rsidR="001556D3" w:rsidRPr="00C921DE" w:rsidRDefault="001556D3" w:rsidP="001556D3">
            <w:pPr>
              <w:jc w:val="center"/>
              <w:rPr>
                <w:rFonts w:ascii="GHEA Grapalat" w:hAnsi="GHEA Grapalat"/>
                <w:b/>
                <w:sz w:val="18"/>
                <w:szCs w:val="18"/>
              </w:rPr>
            </w:pPr>
            <w:r w:rsidRPr="00C921DE">
              <w:rPr>
                <w:rFonts w:ascii="GHEA Grapalat" w:hAnsi="GHEA Grapalat"/>
                <w:b/>
                <w:sz w:val="18"/>
                <w:szCs w:val="18"/>
              </w:rPr>
              <w:t>202</w:t>
            </w:r>
            <w:r w:rsidRPr="00C921DE">
              <w:rPr>
                <w:rFonts w:ascii="GHEA Grapalat" w:hAnsi="GHEA Grapalat"/>
                <w:b/>
                <w:sz w:val="18"/>
                <w:szCs w:val="18"/>
                <w:lang w:val="en-US"/>
              </w:rPr>
              <w:t>3</w:t>
            </w:r>
            <w:r w:rsidRPr="00C921DE">
              <w:rPr>
                <w:rFonts w:ascii="GHEA Grapalat" w:hAnsi="GHEA Grapalat"/>
                <w:b/>
                <w:sz w:val="18"/>
                <w:szCs w:val="18"/>
              </w:rPr>
              <w:t>թ. 202</w:t>
            </w:r>
            <w:r w:rsidRPr="00C921DE">
              <w:rPr>
                <w:rFonts w:ascii="GHEA Grapalat" w:hAnsi="GHEA Grapalat"/>
                <w:b/>
                <w:sz w:val="18"/>
                <w:szCs w:val="18"/>
                <w:lang w:val="en-US"/>
              </w:rPr>
              <w:t>2</w:t>
            </w:r>
            <w:r w:rsidRPr="00C921DE">
              <w:rPr>
                <w:rFonts w:ascii="GHEA Grapalat" w:hAnsi="GHEA Grapalat"/>
                <w:b/>
                <w:sz w:val="18"/>
                <w:szCs w:val="18"/>
              </w:rPr>
              <w:t>թ</w:t>
            </w:r>
            <w:r w:rsidR="00D61F4C" w:rsidRPr="00C921DE">
              <w:rPr>
                <w:rFonts w:ascii="GHEA Grapalat" w:hAnsi="GHEA Grapalat"/>
                <w:b/>
                <w:sz w:val="18"/>
                <w:szCs w:val="18"/>
                <w:lang w:val="en-US"/>
              </w:rPr>
              <w:t>.</w:t>
            </w:r>
            <w:r w:rsidRPr="00C921DE">
              <w:rPr>
                <w:rFonts w:ascii="GHEA Grapalat" w:hAnsi="GHEA Grapalat"/>
                <w:b/>
                <w:sz w:val="18"/>
                <w:szCs w:val="18"/>
              </w:rPr>
              <w:t>-ի նկատմամբ (%)</w:t>
            </w:r>
          </w:p>
        </w:tc>
      </w:tr>
      <w:tr w:rsidR="001556D3" w:rsidRPr="00C921DE" w14:paraId="6269F04C" w14:textId="77777777" w:rsidTr="00D61F4C">
        <w:trPr>
          <w:trHeight w:val="482"/>
        </w:trPr>
        <w:tc>
          <w:tcPr>
            <w:tcW w:w="2155" w:type="dxa"/>
            <w:tcBorders>
              <w:top w:val="nil"/>
              <w:left w:val="single" w:sz="4" w:space="0" w:color="auto"/>
              <w:bottom w:val="single" w:sz="4" w:space="0" w:color="auto"/>
              <w:right w:val="single" w:sz="4" w:space="0" w:color="auto"/>
            </w:tcBorders>
            <w:vAlign w:val="bottom"/>
          </w:tcPr>
          <w:p w14:paraId="4E40E38A" w14:textId="77777777" w:rsidR="001556D3" w:rsidRPr="00C921DE" w:rsidRDefault="001556D3" w:rsidP="001556D3">
            <w:pPr>
              <w:rPr>
                <w:rFonts w:ascii="GHEA Grapalat" w:hAnsi="GHEA Grapalat"/>
                <w:b/>
                <w:sz w:val="18"/>
                <w:szCs w:val="18"/>
              </w:rPr>
            </w:pPr>
            <w:r w:rsidRPr="00C921DE">
              <w:rPr>
                <w:rFonts w:ascii="GHEA Grapalat" w:hAnsi="GHEA Grapalat" w:cs="Arial"/>
                <w:b/>
                <w:sz w:val="18"/>
                <w:szCs w:val="18"/>
              </w:rPr>
              <w:t>Մասնագիտացված հանրակրթություն</w:t>
            </w:r>
          </w:p>
        </w:tc>
        <w:tc>
          <w:tcPr>
            <w:tcW w:w="1560" w:type="dxa"/>
            <w:tcBorders>
              <w:top w:val="nil"/>
              <w:left w:val="nil"/>
              <w:bottom w:val="single" w:sz="4" w:space="0" w:color="auto"/>
              <w:right w:val="single" w:sz="4" w:space="0" w:color="auto"/>
            </w:tcBorders>
            <w:vAlign w:val="bottom"/>
          </w:tcPr>
          <w:p w14:paraId="2A66171A" w14:textId="77777777" w:rsidR="001556D3" w:rsidRPr="00C921DE" w:rsidRDefault="001556D3" w:rsidP="001556D3">
            <w:pPr>
              <w:jc w:val="right"/>
              <w:rPr>
                <w:rFonts w:ascii="GHEA Grapalat" w:hAnsi="GHEA Grapalat"/>
                <w:b/>
                <w:sz w:val="18"/>
                <w:szCs w:val="18"/>
              </w:rPr>
            </w:pPr>
            <w:r w:rsidRPr="00C921DE">
              <w:rPr>
                <w:rFonts w:ascii="GHEA Grapalat" w:hAnsi="GHEA Grapalat"/>
                <w:b/>
                <w:sz w:val="18"/>
                <w:szCs w:val="18"/>
              </w:rPr>
              <w:t>3</w:t>
            </w:r>
            <w:r w:rsidRPr="00C921DE">
              <w:rPr>
                <w:rFonts w:ascii="GHEA Grapalat" w:hAnsi="GHEA Grapalat"/>
                <w:b/>
                <w:sz w:val="18"/>
                <w:szCs w:val="18"/>
                <w:lang w:val="en-US"/>
              </w:rPr>
              <w:t>398</w:t>
            </w:r>
          </w:p>
        </w:tc>
        <w:tc>
          <w:tcPr>
            <w:tcW w:w="1500" w:type="dxa"/>
            <w:tcBorders>
              <w:top w:val="nil"/>
              <w:left w:val="nil"/>
              <w:bottom w:val="single" w:sz="4" w:space="0" w:color="auto"/>
              <w:right w:val="single" w:sz="4" w:space="0" w:color="auto"/>
            </w:tcBorders>
            <w:vAlign w:val="bottom"/>
          </w:tcPr>
          <w:p w14:paraId="2990FE7D"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rPr>
              <w:t>3</w:t>
            </w:r>
            <w:r w:rsidRPr="00C921DE">
              <w:rPr>
                <w:rFonts w:ascii="GHEA Grapalat" w:hAnsi="GHEA Grapalat"/>
                <w:b/>
                <w:sz w:val="18"/>
                <w:szCs w:val="18"/>
                <w:lang w:val="en-US"/>
              </w:rPr>
              <w:t>152</w:t>
            </w:r>
          </w:p>
        </w:tc>
        <w:tc>
          <w:tcPr>
            <w:tcW w:w="1070" w:type="dxa"/>
            <w:tcBorders>
              <w:top w:val="nil"/>
              <w:left w:val="nil"/>
              <w:bottom w:val="single" w:sz="4" w:space="0" w:color="auto"/>
              <w:right w:val="single" w:sz="4" w:space="0" w:color="auto"/>
            </w:tcBorders>
            <w:vAlign w:val="bottom"/>
          </w:tcPr>
          <w:p w14:paraId="3A7FC42C" w14:textId="77777777" w:rsidR="001556D3" w:rsidRPr="00C921DE" w:rsidRDefault="001556D3" w:rsidP="001556D3">
            <w:pPr>
              <w:jc w:val="right"/>
              <w:rPr>
                <w:rFonts w:ascii="GHEA Grapalat" w:hAnsi="GHEA Grapalat"/>
                <w:b/>
                <w:noProof w:val="0"/>
                <w:sz w:val="18"/>
                <w:szCs w:val="18"/>
                <w:lang w:val="en-US"/>
              </w:rPr>
            </w:pPr>
            <w:r w:rsidRPr="00C921DE">
              <w:rPr>
                <w:rFonts w:ascii="GHEA Grapalat" w:hAnsi="GHEA Grapalat"/>
                <w:b/>
                <w:sz w:val="18"/>
                <w:szCs w:val="18"/>
              </w:rPr>
              <w:t>(2</w:t>
            </w:r>
            <w:r w:rsidRPr="00C921DE">
              <w:rPr>
                <w:rFonts w:ascii="GHEA Grapalat" w:hAnsi="GHEA Grapalat"/>
                <w:b/>
                <w:sz w:val="18"/>
                <w:szCs w:val="18"/>
                <w:lang w:val="en-US"/>
              </w:rPr>
              <w:t>4</w:t>
            </w:r>
            <w:r w:rsidRPr="00C921DE">
              <w:rPr>
                <w:rFonts w:ascii="GHEA Grapalat" w:hAnsi="GHEA Grapalat"/>
                <w:b/>
                <w:sz w:val="18"/>
                <w:szCs w:val="18"/>
              </w:rPr>
              <w:t>6)</w:t>
            </w:r>
          </w:p>
        </w:tc>
        <w:tc>
          <w:tcPr>
            <w:tcW w:w="1070" w:type="dxa"/>
            <w:tcBorders>
              <w:top w:val="nil"/>
              <w:left w:val="nil"/>
              <w:bottom w:val="single" w:sz="4" w:space="0" w:color="auto"/>
              <w:right w:val="single" w:sz="4" w:space="0" w:color="auto"/>
            </w:tcBorders>
            <w:vAlign w:val="bottom"/>
          </w:tcPr>
          <w:p w14:paraId="52959FC1"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rPr>
              <w:t>3,6</w:t>
            </w:r>
            <w:r w:rsidRPr="00C921DE">
              <w:rPr>
                <w:rFonts w:ascii="GHEA Grapalat" w:hAnsi="GHEA Grapalat"/>
                <w:b/>
                <w:sz w:val="18"/>
                <w:szCs w:val="18"/>
                <w:lang w:val="en-US"/>
              </w:rPr>
              <w:t>20</w:t>
            </w:r>
            <w:r w:rsidRPr="00C921DE">
              <w:rPr>
                <w:rFonts w:ascii="GHEA Grapalat" w:hAnsi="GHEA Grapalat"/>
                <w:b/>
                <w:sz w:val="18"/>
                <w:szCs w:val="18"/>
              </w:rPr>
              <w:t>.</w:t>
            </w:r>
            <w:r w:rsidRPr="00C921DE">
              <w:rPr>
                <w:rFonts w:ascii="GHEA Grapalat" w:hAnsi="GHEA Grapalat"/>
                <w:b/>
                <w:sz w:val="18"/>
                <w:szCs w:val="18"/>
                <w:lang w:val="en-US"/>
              </w:rPr>
              <w:t>8</w:t>
            </w:r>
          </w:p>
        </w:tc>
        <w:tc>
          <w:tcPr>
            <w:tcW w:w="1070" w:type="dxa"/>
            <w:tcBorders>
              <w:top w:val="nil"/>
              <w:left w:val="nil"/>
              <w:bottom w:val="single" w:sz="4" w:space="0" w:color="auto"/>
              <w:right w:val="single" w:sz="4" w:space="0" w:color="auto"/>
            </w:tcBorders>
            <w:vAlign w:val="bottom"/>
          </w:tcPr>
          <w:p w14:paraId="511E8BCD"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rPr>
              <w:t>3,6</w:t>
            </w:r>
            <w:r w:rsidRPr="00C921DE">
              <w:rPr>
                <w:rFonts w:ascii="GHEA Grapalat" w:hAnsi="GHEA Grapalat"/>
                <w:b/>
                <w:sz w:val="18"/>
                <w:szCs w:val="18"/>
                <w:lang w:val="en-US"/>
              </w:rPr>
              <w:t>29</w:t>
            </w:r>
            <w:r w:rsidRPr="00C921DE">
              <w:rPr>
                <w:rFonts w:ascii="GHEA Grapalat" w:hAnsi="GHEA Grapalat"/>
                <w:b/>
                <w:sz w:val="18"/>
                <w:szCs w:val="18"/>
              </w:rPr>
              <w:t>.</w:t>
            </w:r>
            <w:r w:rsidRPr="00C921DE">
              <w:rPr>
                <w:rFonts w:ascii="GHEA Grapalat" w:hAnsi="GHEA Grapalat"/>
                <w:b/>
                <w:sz w:val="18"/>
                <w:szCs w:val="18"/>
                <w:lang w:val="en-US"/>
              </w:rPr>
              <w:t>7</w:t>
            </w:r>
          </w:p>
        </w:tc>
        <w:tc>
          <w:tcPr>
            <w:tcW w:w="1203" w:type="dxa"/>
            <w:tcBorders>
              <w:top w:val="nil"/>
              <w:left w:val="nil"/>
              <w:bottom w:val="single" w:sz="4" w:space="0" w:color="auto"/>
              <w:right w:val="single" w:sz="4" w:space="0" w:color="auto"/>
            </w:tcBorders>
            <w:vAlign w:val="bottom"/>
          </w:tcPr>
          <w:p w14:paraId="1BE60567" w14:textId="77777777" w:rsidR="001556D3" w:rsidRPr="00C921DE" w:rsidRDefault="001556D3" w:rsidP="001556D3">
            <w:pPr>
              <w:jc w:val="right"/>
              <w:rPr>
                <w:rFonts w:ascii="GHEA Grapalat" w:hAnsi="GHEA Grapalat"/>
                <w:b/>
                <w:sz w:val="18"/>
                <w:szCs w:val="18"/>
                <w:lang w:val="en-US"/>
              </w:rPr>
            </w:pPr>
            <w:r w:rsidRPr="00C921DE">
              <w:rPr>
                <w:rFonts w:ascii="GHEA Grapalat" w:hAnsi="GHEA Grapalat"/>
                <w:b/>
                <w:sz w:val="18"/>
                <w:szCs w:val="18"/>
                <w:lang w:val="en-US"/>
              </w:rPr>
              <w:t>100.2</w:t>
            </w:r>
          </w:p>
        </w:tc>
      </w:tr>
      <w:tr w:rsidR="001556D3" w:rsidRPr="00C921DE" w14:paraId="2CA84926" w14:textId="77777777" w:rsidTr="00D61F4C">
        <w:trPr>
          <w:trHeight w:val="413"/>
        </w:trPr>
        <w:tc>
          <w:tcPr>
            <w:tcW w:w="2155" w:type="dxa"/>
            <w:tcBorders>
              <w:top w:val="nil"/>
              <w:left w:val="single" w:sz="4" w:space="0" w:color="auto"/>
              <w:bottom w:val="single" w:sz="4" w:space="0" w:color="auto"/>
              <w:right w:val="single" w:sz="4" w:space="0" w:color="auto"/>
            </w:tcBorders>
            <w:vAlign w:val="bottom"/>
          </w:tcPr>
          <w:p w14:paraId="15347013" w14:textId="77777777" w:rsidR="001556D3" w:rsidRPr="00C921DE" w:rsidRDefault="001556D3" w:rsidP="001556D3">
            <w:pPr>
              <w:rPr>
                <w:rFonts w:ascii="GHEA Grapalat" w:hAnsi="GHEA Grapalat"/>
                <w:sz w:val="18"/>
                <w:szCs w:val="18"/>
              </w:rPr>
            </w:pPr>
            <w:r w:rsidRPr="00C921DE">
              <w:rPr>
                <w:rFonts w:ascii="GHEA Grapalat" w:hAnsi="GHEA Grapalat" w:cs="Arial"/>
                <w:sz w:val="18"/>
                <w:szCs w:val="18"/>
              </w:rPr>
              <w:t>Տարրական</w:t>
            </w:r>
          </w:p>
        </w:tc>
        <w:tc>
          <w:tcPr>
            <w:tcW w:w="1560" w:type="dxa"/>
            <w:tcBorders>
              <w:top w:val="nil"/>
              <w:left w:val="nil"/>
              <w:bottom w:val="single" w:sz="4" w:space="0" w:color="auto"/>
              <w:right w:val="single" w:sz="4" w:space="0" w:color="auto"/>
            </w:tcBorders>
            <w:vAlign w:val="bottom"/>
          </w:tcPr>
          <w:p w14:paraId="17BC41ED"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208</w:t>
            </w:r>
          </w:p>
        </w:tc>
        <w:tc>
          <w:tcPr>
            <w:tcW w:w="1500" w:type="dxa"/>
            <w:tcBorders>
              <w:top w:val="nil"/>
              <w:left w:val="nil"/>
              <w:bottom w:val="single" w:sz="4" w:space="0" w:color="auto"/>
              <w:right w:val="single" w:sz="4" w:space="0" w:color="auto"/>
            </w:tcBorders>
            <w:vAlign w:val="bottom"/>
          </w:tcPr>
          <w:p w14:paraId="2C39DD57"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210</w:t>
            </w:r>
          </w:p>
        </w:tc>
        <w:tc>
          <w:tcPr>
            <w:tcW w:w="1070" w:type="dxa"/>
            <w:tcBorders>
              <w:top w:val="nil"/>
              <w:left w:val="nil"/>
              <w:bottom w:val="single" w:sz="4" w:space="0" w:color="auto"/>
              <w:right w:val="single" w:sz="4" w:space="0" w:color="auto"/>
            </w:tcBorders>
            <w:vAlign w:val="bottom"/>
          </w:tcPr>
          <w:p w14:paraId="42ED2DF1"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lang w:val="en-US"/>
              </w:rPr>
              <w:t>2</w:t>
            </w:r>
            <w:r w:rsidRPr="00C921DE">
              <w:rPr>
                <w:rFonts w:ascii="GHEA Grapalat" w:hAnsi="GHEA Grapalat"/>
                <w:sz w:val="18"/>
                <w:szCs w:val="18"/>
              </w:rPr>
              <w:t xml:space="preserve"> </w:t>
            </w:r>
          </w:p>
        </w:tc>
        <w:tc>
          <w:tcPr>
            <w:tcW w:w="1070" w:type="dxa"/>
            <w:tcBorders>
              <w:top w:val="nil"/>
              <w:left w:val="nil"/>
              <w:bottom w:val="single" w:sz="4" w:space="0" w:color="auto"/>
              <w:right w:val="single" w:sz="4" w:space="0" w:color="auto"/>
            </w:tcBorders>
            <w:vAlign w:val="bottom"/>
          </w:tcPr>
          <w:p w14:paraId="20086080"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215.8</w:t>
            </w:r>
          </w:p>
        </w:tc>
        <w:tc>
          <w:tcPr>
            <w:tcW w:w="1070" w:type="dxa"/>
            <w:tcBorders>
              <w:top w:val="nil"/>
              <w:left w:val="nil"/>
              <w:bottom w:val="single" w:sz="4" w:space="0" w:color="auto"/>
              <w:right w:val="single" w:sz="4" w:space="0" w:color="auto"/>
            </w:tcBorders>
            <w:vAlign w:val="bottom"/>
          </w:tcPr>
          <w:p w14:paraId="7C6AE231"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2</w:t>
            </w:r>
            <w:r w:rsidRPr="00C921DE">
              <w:rPr>
                <w:rFonts w:ascii="GHEA Grapalat" w:hAnsi="GHEA Grapalat"/>
                <w:sz w:val="18"/>
                <w:szCs w:val="18"/>
                <w:lang w:val="en-US"/>
              </w:rPr>
              <w:t>28</w:t>
            </w:r>
            <w:r w:rsidRPr="00C921DE">
              <w:rPr>
                <w:rFonts w:ascii="GHEA Grapalat" w:hAnsi="GHEA Grapalat"/>
                <w:sz w:val="18"/>
                <w:szCs w:val="18"/>
              </w:rPr>
              <w:t>.</w:t>
            </w:r>
            <w:r w:rsidRPr="00C921DE">
              <w:rPr>
                <w:rFonts w:ascii="GHEA Grapalat" w:hAnsi="GHEA Grapalat"/>
                <w:sz w:val="18"/>
                <w:szCs w:val="18"/>
                <w:lang w:val="en-US"/>
              </w:rPr>
              <w:t>3</w:t>
            </w:r>
          </w:p>
        </w:tc>
        <w:tc>
          <w:tcPr>
            <w:tcW w:w="1203" w:type="dxa"/>
            <w:tcBorders>
              <w:top w:val="nil"/>
              <w:left w:val="nil"/>
              <w:bottom w:val="single" w:sz="4" w:space="0" w:color="auto"/>
              <w:right w:val="single" w:sz="4" w:space="0" w:color="auto"/>
            </w:tcBorders>
            <w:vAlign w:val="bottom"/>
          </w:tcPr>
          <w:p w14:paraId="2B746DE2"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lang w:val="en-US"/>
              </w:rPr>
              <w:t>105.8</w:t>
            </w:r>
          </w:p>
        </w:tc>
      </w:tr>
      <w:tr w:rsidR="001556D3" w:rsidRPr="00C921DE" w14:paraId="753CA903" w14:textId="77777777" w:rsidTr="00D61F4C">
        <w:trPr>
          <w:trHeight w:val="413"/>
        </w:trPr>
        <w:tc>
          <w:tcPr>
            <w:tcW w:w="2155" w:type="dxa"/>
            <w:tcBorders>
              <w:top w:val="nil"/>
              <w:left w:val="single" w:sz="4" w:space="0" w:color="auto"/>
              <w:bottom w:val="single" w:sz="4" w:space="0" w:color="auto"/>
              <w:right w:val="single" w:sz="4" w:space="0" w:color="auto"/>
            </w:tcBorders>
            <w:vAlign w:val="bottom"/>
          </w:tcPr>
          <w:p w14:paraId="4F0B0CAC" w14:textId="77777777" w:rsidR="001556D3" w:rsidRPr="00C921DE" w:rsidRDefault="001556D3" w:rsidP="001556D3">
            <w:pPr>
              <w:rPr>
                <w:rFonts w:ascii="GHEA Grapalat" w:hAnsi="GHEA Grapalat"/>
                <w:sz w:val="18"/>
                <w:szCs w:val="18"/>
              </w:rPr>
            </w:pPr>
            <w:r w:rsidRPr="00C921DE">
              <w:rPr>
                <w:rFonts w:ascii="GHEA Grapalat" w:hAnsi="GHEA Grapalat" w:cs="Arial"/>
                <w:sz w:val="18"/>
                <w:szCs w:val="18"/>
              </w:rPr>
              <w:t>Հիմնական</w:t>
            </w:r>
          </w:p>
        </w:tc>
        <w:tc>
          <w:tcPr>
            <w:tcW w:w="1560" w:type="dxa"/>
            <w:tcBorders>
              <w:top w:val="nil"/>
              <w:left w:val="nil"/>
              <w:bottom w:val="single" w:sz="4" w:space="0" w:color="auto"/>
              <w:right w:val="single" w:sz="4" w:space="0" w:color="auto"/>
            </w:tcBorders>
            <w:vAlign w:val="bottom"/>
          </w:tcPr>
          <w:p w14:paraId="75F20277"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733</w:t>
            </w:r>
          </w:p>
        </w:tc>
        <w:tc>
          <w:tcPr>
            <w:tcW w:w="1500" w:type="dxa"/>
            <w:tcBorders>
              <w:top w:val="nil"/>
              <w:left w:val="nil"/>
              <w:bottom w:val="single" w:sz="4" w:space="0" w:color="auto"/>
              <w:right w:val="single" w:sz="4" w:space="0" w:color="auto"/>
            </w:tcBorders>
            <w:vAlign w:val="bottom"/>
          </w:tcPr>
          <w:p w14:paraId="60558338"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575</w:t>
            </w:r>
          </w:p>
        </w:tc>
        <w:tc>
          <w:tcPr>
            <w:tcW w:w="1070" w:type="dxa"/>
            <w:tcBorders>
              <w:top w:val="nil"/>
              <w:left w:val="nil"/>
              <w:bottom w:val="single" w:sz="4" w:space="0" w:color="auto"/>
              <w:right w:val="single" w:sz="4" w:space="0" w:color="auto"/>
            </w:tcBorders>
            <w:vAlign w:val="bottom"/>
          </w:tcPr>
          <w:p w14:paraId="4B97DC13"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w:t>
            </w:r>
            <w:r w:rsidRPr="00C921DE">
              <w:rPr>
                <w:rFonts w:ascii="GHEA Grapalat" w:hAnsi="GHEA Grapalat"/>
                <w:sz w:val="18"/>
                <w:szCs w:val="18"/>
                <w:lang w:val="en-US"/>
              </w:rPr>
              <w:t>158</w:t>
            </w:r>
            <w:r w:rsidRPr="00C921DE">
              <w:rPr>
                <w:rFonts w:ascii="GHEA Grapalat" w:hAnsi="GHEA Grapalat"/>
                <w:sz w:val="18"/>
                <w:szCs w:val="18"/>
              </w:rPr>
              <w:t xml:space="preserve">) </w:t>
            </w:r>
          </w:p>
        </w:tc>
        <w:tc>
          <w:tcPr>
            <w:tcW w:w="1070" w:type="dxa"/>
            <w:tcBorders>
              <w:top w:val="nil"/>
              <w:left w:val="nil"/>
              <w:bottom w:val="single" w:sz="4" w:space="0" w:color="auto"/>
              <w:right w:val="single" w:sz="4" w:space="0" w:color="auto"/>
            </w:tcBorders>
            <w:vAlign w:val="bottom"/>
          </w:tcPr>
          <w:p w14:paraId="1BE2B1DA"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650.3</w:t>
            </w:r>
          </w:p>
        </w:tc>
        <w:tc>
          <w:tcPr>
            <w:tcW w:w="1070" w:type="dxa"/>
            <w:tcBorders>
              <w:top w:val="nil"/>
              <w:left w:val="nil"/>
              <w:bottom w:val="single" w:sz="4" w:space="0" w:color="auto"/>
              <w:right w:val="single" w:sz="4" w:space="0" w:color="auto"/>
            </w:tcBorders>
            <w:vAlign w:val="bottom"/>
          </w:tcPr>
          <w:p w14:paraId="62CDAFB7"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655.3</w:t>
            </w:r>
          </w:p>
        </w:tc>
        <w:tc>
          <w:tcPr>
            <w:tcW w:w="1203" w:type="dxa"/>
            <w:tcBorders>
              <w:top w:val="nil"/>
              <w:left w:val="nil"/>
              <w:bottom w:val="single" w:sz="4" w:space="0" w:color="auto"/>
              <w:right w:val="single" w:sz="4" w:space="0" w:color="auto"/>
            </w:tcBorders>
            <w:vAlign w:val="bottom"/>
          </w:tcPr>
          <w:p w14:paraId="07DAF02D"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10</w:t>
            </w:r>
            <w:r w:rsidRPr="00C921DE">
              <w:rPr>
                <w:rFonts w:ascii="GHEA Grapalat" w:hAnsi="GHEA Grapalat"/>
                <w:sz w:val="18"/>
                <w:szCs w:val="18"/>
                <w:lang w:val="en-US"/>
              </w:rPr>
              <w:t>0</w:t>
            </w:r>
            <w:r w:rsidRPr="00C921DE">
              <w:rPr>
                <w:rFonts w:ascii="GHEA Grapalat" w:hAnsi="GHEA Grapalat"/>
                <w:sz w:val="18"/>
                <w:szCs w:val="18"/>
              </w:rPr>
              <w:t>.</w:t>
            </w:r>
            <w:r w:rsidRPr="00C921DE">
              <w:rPr>
                <w:rFonts w:ascii="GHEA Grapalat" w:hAnsi="GHEA Grapalat"/>
                <w:sz w:val="18"/>
                <w:szCs w:val="18"/>
                <w:lang w:val="en-US"/>
              </w:rPr>
              <w:t>3</w:t>
            </w:r>
          </w:p>
        </w:tc>
      </w:tr>
      <w:tr w:rsidR="001556D3" w:rsidRPr="00C921DE" w14:paraId="5BEC8455" w14:textId="77777777" w:rsidTr="00D61F4C">
        <w:trPr>
          <w:trHeight w:val="413"/>
        </w:trPr>
        <w:tc>
          <w:tcPr>
            <w:tcW w:w="2155" w:type="dxa"/>
            <w:tcBorders>
              <w:top w:val="nil"/>
              <w:left w:val="single" w:sz="4" w:space="0" w:color="auto"/>
              <w:bottom w:val="single" w:sz="4" w:space="0" w:color="auto"/>
              <w:right w:val="single" w:sz="4" w:space="0" w:color="auto"/>
            </w:tcBorders>
            <w:vAlign w:val="bottom"/>
          </w:tcPr>
          <w:p w14:paraId="332CE0E9" w14:textId="77777777" w:rsidR="001556D3" w:rsidRPr="00C921DE" w:rsidRDefault="001556D3" w:rsidP="001556D3">
            <w:pPr>
              <w:rPr>
                <w:rFonts w:ascii="GHEA Grapalat" w:hAnsi="GHEA Grapalat"/>
                <w:sz w:val="18"/>
                <w:szCs w:val="18"/>
                <w:lang w:val="en-US"/>
              </w:rPr>
            </w:pPr>
            <w:r w:rsidRPr="00C921DE">
              <w:rPr>
                <w:rFonts w:ascii="GHEA Grapalat" w:hAnsi="GHEA Grapalat" w:cs="Arial"/>
                <w:sz w:val="18"/>
                <w:szCs w:val="18"/>
              </w:rPr>
              <w:t>Միջնակարգ</w:t>
            </w:r>
          </w:p>
        </w:tc>
        <w:tc>
          <w:tcPr>
            <w:tcW w:w="1560" w:type="dxa"/>
            <w:tcBorders>
              <w:top w:val="nil"/>
              <w:left w:val="nil"/>
              <w:bottom w:val="single" w:sz="4" w:space="0" w:color="auto"/>
              <w:right w:val="single" w:sz="4" w:space="0" w:color="auto"/>
            </w:tcBorders>
            <w:vAlign w:val="bottom"/>
          </w:tcPr>
          <w:p w14:paraId="5BBD1832"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14</w:t>
            </w:r>
            <w:r w:rsidRPr="00C921DE">
              <w:rPr>
                <w:rFonts w:ascii="GHEA Grapalat" w:hAnsi="GHEA Grapalat"/>
                <w:sz w:val="18"/>
                <w:szCs w:val="18"/>
                <w:lang w:val="en-US"/>
              </w:rPr>
              <w:t>57</w:t>
            </w:r>
          </w:p>
        </w:tc>
        <w:tc>
          <w:tcPr>
            <w:tcW w:w="1500" w:type="dxa"/>
            <w:tcBorders>
              <w:top w:val="nil"/>
              <w:left w:val="nil"/>
              <w:bottom w:val="single" w:sz="4" w:space="0" w:color="auto"/>
              <w:right w:val="single" w:sz="4" w:space="0" w:color="auto"/>
            </w:tcBorders>
            <w:vAlign w:val="bottom"/>
          </w:tcPr>
          <w:p w14:paraId="00560FEF"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1367</w:t>
            </w:r>
          </w:p>
        </w:tc>
        <w:tc>
          <w:tcPr>
            <w:tcW w:w="1070" w:type="dxa"/>
            <w:tcBorders>
              <w:top w:val="nil"/>
              <w:left w:val="nil"/>
              <w:bottom w:val="single" w:sz="4" w:space="0" w:color="auto"/>
              <w:right w:val="single" w:sz="4" w:space="0" w:color="auto"/>
            </w:tcBorders>
            <w:vAlign w:val="bottom"/>
          </w:tcPr>
          <w:p w14:paraId="00ADE82B" w14:textId="77777777" w:rsidR="001556D3" w:rsidRPr="00C921DE" w:rsidRDefault="001556D3" w:rsidP="001556D3">
            <w:pPr>
              <w:jc w:val="right"/>
              <w:rPr>
                <w:rFonts w:ascii="GHEA Grapalat" w:hAnsi="GHEA Grapalat"/>
                <w:noProof w:val="0"/>
                <w:sz w:val="18"/>
                <w:szCs w:val="18"/>
                <w:lang w:val="en-US"/>
              </w:rPr>
            </w:pPr>
            <w:r w:rsidRPr="00C921DE">
              <w:rPr>
                <w:rFonts w:ascii="GHEA Grapalat" w:hAnsi="GHEA Grapalat"/>
                <w:sz w:val="18"/>
                <w:szCs w:val="18"/>
              </w:rPr>
              <w:t>(9</w:t>
            </w:r>
            <w:r w:rsidRPr="00C921DE">
              <w:rPr>
                <w:rFonts w:ascii="GHEA Grapalat" w:hAnsi="GHEA Grapalat"/>
                <w:sz w:val="18"/>
                <w:szCs w:val="18"/>
                <w:lang w:val="en-US"/>
              </w:rPr>
              <w:t>0</w:t>
            </w:r>
            <w:r w:rsidRPr="00C921DE">
              <w:rPr>
                <w:rFonts w:ascii="GHEA Grapalat" w:hAnsi="GHEA Grapalat"/>
                <w:sz w:val="18"/>
                <w:szCs w:val="18"/>
              </w:rPr>
              <w:t>)</w:t>
            </w:r>
          </w:p>
        </w:tc>
        <w:tc>
          <w:tcPr>
            <w:tcW w:w="1070" w:type="dxa"/>
            <w:tcBorders>
              <w:top w:val="nil"/>
              <w:left w:val="nil"/>
              <w:bottom w:val="single" w:sz="4" w:space="0" w:color="auto"/>
              <w:right w:val="single" w:sz="4" w:space="0" w:color="auto"/>
            </w:tcBorders>
            <w:vAlign w:val="bottom"/>
          </w:tcPr>
          <w:p w14:paraId="2AB070C5"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754</w:t>
            </w:r>
            <w:r w:rsidRPr="00C921DE">
              <w:rPr>
                <w:rFonts w:ascii="GHEA Grapalat" w:hAnsi="GHEA Grapalat"/>
                <w:sz w:val="18"/>
                <w:szCs w:val="18"/>
              </w:rPr>
              <w:t>.</w:t>
            </w:r>
            <w:r w:rsidRPr="00C921DE">
              <w:rPr>
                <w:rFonts w:ascii="GHEA Grapalat" w:hAnsi="GHEA Grapalat"/>
                <w:sz w:val="18"/>
                <w:szCs w:val="18"/>
                <w:lang w:val="en-US"/>
              </w:rPr>
              <w:t>8</w:t>
            </w:r>
          </w:p>
        </w:tc>
        <w:tc>
          <w:tcPr>
            <w:tcW w:w="1070" w:type="dxa"/>
            <w:tcBorders>
              <w:top w:val="nil"/>
              <w:left w:val="nil"/>
              <w:bottom w:val="single" w:sz="4" w:space="0" w:color="auto"/>
              <w:right w:val="single" w:sz="4" w:space="0" w:color="auto"/>
            </w:tcBorders>
            <w:vAlign w:val="bottom"/>
          </w:tcPr>
          <w:p w14:paraId="4DE311CA" w14:textId="77777777" w:rsidR="001556D3" w:rsidRPr="00C921DE" w:rsidRDefault="001556D3" w:rsidP="001556D3">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746.0</w:t>
            </w:r>
          </w:p>
        </w:tc>
        <w:tc>
          <w:tcPr>
            <w:tcW w:w="1203" w:type="dxa"/>
            <w:tcBorders>
              <w:top w:val="nil"/>
              <w:left w:val="nil"/>
              <w:bottom w:val="single" w:sz="4" w:space="0" w:color="auto"/>
              <w:right w:val="single" w:sz="4" w:space="0" w:color="auto"/>
            </w:tcBorders>
            <w:vAlign w:val="bottom"/>
          </w:tcPr>
          <w:p w14:paraId="1B2E57D7" w14:textId="77777777" w:rsidR="001556D3" w:rsidRPr="00C921DE" w:rsidRDefault="001556D3" w:rsidP="001556D3">
            <w:pPr>
              <w:jc w:val="right"/>
              <w:rPr>
                <w:rFonts w:ascii="GHEA Grapalat" w:hAnsi="GHEA Grapalat"/>
                <w:sz w:val="18"/>
                <w:szCs w:val="18"/>
              </w:rPr>
            </w:pPr>
            <w:r w:rsidRPr="00C921DE">
              <w:rPr>
                <w:rFonts w:ascii="GHEA Grapalat" w:hAnsi="GHEA Grapalat"/>
                <w:sz w:val="18"/>
                <w:szCs w:val="18"/>
              </w:rPr>
              <w:t>9</w:t>
            </w:r>
            <w:r w:rsidRPr="00C921DE">
              <w:rPr>
                <w:rFonts w:ascii="GHEA Grapalat" w:hAnsi="GHEA Grapalat"/>
                <w:sz w:val="18"/>
                <w:szCs w:val="18"/>
                <w:lang w:val="en-US"/>
              </w:rPr>
              <w:t>9</w:t>
            </w:r>
            <w:r w:rsidRPr="00C921DE">
              <w:rPr>
                <w:rFonts w:ascii="GHEA Grapalat" w:hAnsi="GHEA Grapalat"/>
                <w:sz w:val="18"/>
                <w:szCs w:val="18"/>
              </w:rPr>
              <w:t>.5</w:t>
            </w:r>
          </w:p>
        </w:tc>
      </w:tr>
    </w:tbl>
    <w:p w14:paraId="1B9D97AF" w14:textId="77777777" w:rsidR="001556D3" w:rsidRPr="00C921DE" w:rsidRDefault="001556D3" w:rsidP="00B134DD">
      <w:pPr>
        <w:autoSpaceDE w:val="0"/>
        <w:autoSpaceDN w:val="0"/>
        <w:adjustRightInd w:val="0"/>
        <w:ind w:firstLine="567"/>
        <w:jc w:val="both"/>
        <w:rPr>
          <w:rFonts w:ascii="GHEA Grapalat" w:hAnsi="GHEA Grapalat" w:cs="Sylfaen"/>
          <w:sz w:val="22"/>
          <w:szCs w:val="22"/>
        </w:rPr>
      </w:pPr>
    </w:p>
    <w:p w14:paraId="07D0D025" w14:textId="2D96C2AC"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«Մոդուլային» տիպի մանկապարտեզների շենքային ապահովման շրջանակներում ավարտին </w:t>
      </w:r>
      <w:r w:rsidR="00566D14" w:rsidRPr="00C921DE">
        <w:rPr>
          <w:rFonts w:ascii="GHEA Grapalat" w:hAnsi="GHEA Grapalat" w:cs="Sylfaen"/>
          <w:sz w:val="22"/>
          <w:szCs w:val="22"/>
          <w:lang w:val="en-US"/>
        </w:rPr>
        <w:t>են</w:t>
      </w:r>
      <w:r w:rsidRPr="00C921DE">
        <w:rPr>
          <w:rFonts w:ascii="GHEA Grapalat" w:hAnsi="GHEA Grapalat" w:cs="Sylfaen"/>
          <w:sz w:val="22"/>
          <w:szCs w:val="22"/>
        </w:rPr>
        <w:t xml:space="preserve"> հասցվել ՀՀ Արմավիրի մարզի Արևիկ համայնքի «Մոդուլային» տիպի մսուր-մանկապարտեզի կառուցման աշխատանքները, 9 համայնքում</w:t>
      </w:r>
      <w:r w:rsidR="00566D14" w:rsidRPr="00C921DE">
        <w:rPr>
          <w:rFonts w:ascii="GHEA Grapalat" w:hAnsi="GHEA Grapalat" w:cs="Sylfaen"/>
          <w:sz w:val="22"/>
          <w:szCs w:val="22"/>
          <w:lang w:val="en-US"/>
        </w:rPr>
        <w:t xml:space="preserve"> </w:t>
      </w:r>
      <w:r w:rsidR="00566D14" w:rsidRPr="00C921DE">
        <w:rPr>
          <w:rFonts w:ascii="GHEA Grapalat" w:hAnsi="GHEA Grapalat" w:cs="Sylfaen"/>
          <w:sz w:val="22"/>
          <w:szCs w:val="22"/>
        </w:rPr>
        <w:t>մեկնարկել են</w:t>
      </w:r>
      <w:r w:rsidR="00566D14" w:rsidRPr="00C921DE">
        <w:rPr>
          <w:rFonts w:ascii="GHEA Grapalat" w:hAnsi="GHEA Grapalat" w:cs="Sylfaen"/>
          <w:sz w:val="22"/>
          <w:szCs w:val="22"/>
          <w:lang w:val="en-US"/>
        </w:rPr>
        <w:t xml:space="preserve"> և 6 համայնքում շարունակվել են</w:t>
      </w:r>
      <w:r w:rsidR="00566D14" w:rsidRPr="00C921DE">
        <w:rPr>
          <w:rFonts w:ascii="GHEA Grapalat" w:hAnsi="GHEA Grapalat" w:cs="Sylfaen"/>
          <w:sz w:val="22"/>
          <w:szCs w:val="22"/>
        </w:rPr>
        <w:t xml:space="preserve"> </w:t>
      </w:r>
      <w:r w:rsidRPr="00C921DE">
        <w:rPr>
          <w:rFonts w:ascii="GHEA Grapalat" w:hAnsi="GHEA Grapalat" w:cs="Sylfaen"/>
          <w:sz w:val="22"/>
          <w:szCs w:val="22"/>
        </w:rPr>
        <w:t>«Մոդուլային» տիպի 144 տեղ հզորությամբ մսուր-մանկապարտեզների կառուցման աշխատանքն</w:t>
      </w:r>
      <w:r w:rsidR="00566D14" w:rsidRPr="00C921DE">
        <w:rPr>
          <w:rFonts w:ascii="GHEA Grapalat" w:hAnsi="GHEA Grapalat" w:cs="Sylfaen"/>
          <w:sz w:val="22"/>
          <w:szCs w:val="22"/>
        </w:rPr>
        <w:t>երը</w:t>
      </w:r>
      <w:r w:rsidRPr="00C921DE">
        <w:rPr>
          <w:rFonts w:ascii="GHEA Grapalat" w:hAnsi="GHEA Grapalat" w:cs="Sylfaen"/>
          <w:sz w:val="22"/>
          <w:szCs w:val="22"/>
        </w:rPr>
        <w:t>: 2023 թվականի ընթացքում մշակվել են նաև նախագծանախահաշվային փաստաթղթեր «Մոդուլային» տիպի 50, 100 և 200 տեղ հզորությամբ մսուր–մանկապարտեզների կառուցման համար։ «Մոդուլային» տիպի մանկապարտեզների շենքային ապահովման ծախսերը 2023 թվականին կազմել են շուրջ 3.6</w:t>
      </w:r>
      <w:r w:rsidR="00566D14" w:rsidRPr="00C921DE">
        <w:rPr>
          <w:rFonts w:ascii="Calibri" w:hAnsi="Calibri" w:cs="Calibri"/>
          <w:sz w:val="22"/>
          <w:szCs w:val="22"/>
          <w:lang w:val="en-US"/>
        </w:rPr>
        <w:t> </w:t>
      </w:r>
      <w:r w:rsidRPr="00C921DE">
        <w:rPr>
          <w:rFonts w:ascii="GHEA Grapalat" w:hAnsi="GHEA Grapalat" w:cs="Sylfaen"/>
          <w:sz w:val="22"/>
          <w:szCs w:val="22"/>
        </w:rPr>
        <w:t>մլրդ դրամ կամ ծրագր</w:t>
      </w:r>
      <w:r w:rsidR="00566D14" w:rsidRPr="00C921DE">
        <w:rPr>
          <w:rFonts w:ascii="GHEA Grapalat" w:hAnsi="GHEA Grapalat" w:cs="Sylfaen"/>
          <w:sz w:val="22"/>
          <w:szCs w:val="22"/>
          <w:lang w:val="en-US"/>
        </w:rPr>
        <w:t>ված ցուցանիշ</w:t>
      </w:r>
      <w:r w:rsidRPr="00C921DE">
        <w:rPr>
          <w:rFonts w:ascii="GHEA Grapalat" w:hAnsi="GHEA Grapalat" w:cs="Sylfaen"/>
          <w:sz w:val="22"/>
          <w:szCs w:val="22"/>
        </w:rPr>
        <w:t xml:space="preserve">ի 72.4%-ը, որը հիմնականում պայմանավորված </w:t>
      </w:r>
      <w:r w:rsidR="00566D14" w:rsidRPr="00C921DE">
        <w:rPr>
          <w:rFonts w:ascii="GHEA Grapalat" w:hAnsi="GHEA Grapalat" w:cs="Sylfaen"/>
          <w:sz w:val="22"/>
          <w:szCs w:val="22"/>
          <w:lang w:val="en-US"/>
        </w:rPr>
        <w:t xml:space="preserve">ներկայացված </w:t>
      </w:r>
      <w:r w:rsidRPr="00C921DE">
        <w:rPr>
          <w:rFonts w:ascii="GHEA Grapalat" w:hAnsi="GHEA Grapalat" w:cs="Sylfaen"/>
          <w:sz w:val="22"/>
          <w:szCs w:val="22"/>
        </w:rPr>
        <w:t>կատարողական ակտեր</w:t>
      </w:r>
      <w:r w:rsidR="00566D14" w:rsidRPr="00C921DE">
        <w:rPr>
          <w:rFonts w:ascii="GHEA Grapalat" w:hAnsi="GHEA Grapalat" w:cs="Sylfaen"/>
          <w:sz w:val="22"/>
          <w:szCs w:val="22"/>
          <w:lang w:val="en-US"/>
        </w:rPr>
        <w:t>ով</w:t>
      </w:r>
      <w:r w:rsidRPr="00C921DE">
        <w:rPr>
          <w:rFonts w:ascii="GHEA Grapalat" w:hAnsi="GHEA Grapalat" w:cs="Sylfaen"/>
          <w:sz w:val="22"/>
          <w:szCs w:val="22"/>
        </w:rPr>
        <w:t>, ինչպես նաև</w:t>
      </w:r>
      <w:r w:rsidR="00940500" w:rsidRPr="00C921DE">
        <w:rPr>
          <w:rFonts w:ascii="GHEA Grapalat" w:hAnsi="GHEA Grapalat" w:cs="Sylfaen"/>
          <w:sz w:val="22"/>
          <w:szCs w:val="22"/>
          <w:lang w:val="en-US"/>
        </w:rPr>
        <w:t xml:space="preserve"> նր</w:t>
      </w:r>
      <w:r w:rsidR="004F42DE" w:rsidRPr="00C921DE">
        <w:rPr>
          <w:rFonts w:ascii="GHEA Grapalat" w:hAnsi="GHEA Grapalat" w:cs="Sylfaen"/>
          <w:sz w:val="22"/>
          <w:szCs w:val="22"/>
          <w:lang w:val="en-US"/>
        </w:rPr>
        <w:t>ա</w:t>
      </w:r>
      <w:r w:rsidR="00940500" w:rsidRPr="00C921DE">
        <w:rPr>
          <w:rFonts w:ascii="GHEA Grapalat" w:hAnsi="GHEA Grapalat" w:cs="Sylfaen"/>
          <w:sz w:val="22"/>
          <w:szCs w:val="22"/>
          <w:lang w:val="en-US"/>
        </w:rPr>
        <w:t>նով, որ</w:t>
      </w:r>
      <w:r w:rsidRPr="00C921DE">
        <w:rPr>
          <w:rFonts w:ascii="GHEA Grapalat" w:hAnsi="GHEA Grapalat" w:cs="Sylfaen"/>
          <w:sz w:val="22"/>
          <w:szCs w:val="22"/>
        </w:rPr>
        <w:t xml:space="preserve"> 2 օբյեկտի մասով՝ գնման գործընթացով պայմանավորված, աշխատանքները մեկնարկել են տար</w:t>
      </w:r>
      <w:r w:rsidR="004F42DE" w:rsidRPr="00C921DE">
        <w:rPr>
          <w:rFonts w:ascii="GHEA Grapalat" w:hAnsi="GHEA Grapalat" w:cs="Sylfaen"/>
          <w:sz w:val="22"/>
          <w:szCs w:val="22"/>
          <w:lang w:val="en-US"/>
        </w:rPr>
        <w:t>ե</w:t>
      </w:r>
      <w:r w:rsidRPr="00C921DE">
        <w:rPr>
          <w:rFonts w:ascii="GHEA Grapalat" w:hAnsi="GHEA Grapalat" w:cs="Sylfaen"/>
          <w:sz w:val="22"/>
          <w:szCs w:val="22"/>
        </w:rPr>
        <w:t>վերջին: Նախորդ տարվա համեմատ «Մոդուլային» տիպի մանկապարտեզների շենքային ապահովման միջոցառման գծով ծախսերն աճել են 6.6 անգամ կամ 3 մլրդ դրամով՝ պայմանավորված կառո</w:t>
      </w:r>
      <w:r w:rsidR="00940500" w:rsidRPr="00C921DE">
        <w:rPr>
          <w:rFonts w:ascii="GHEA Grapalat" w:hAnsi="GHEA Grapalat" w:cs="Sylfaen"/>
          <w:sz w:val="22"/>
          <w:szCs w:val="22"/>
          <w:lang w:val="en-US"/>
        </w:rPr>
        <w:t>ւ</w:t>
      </w:r>
      <w:r w:rsidRPr="00C921DE">
        <w:rPr>
          <w:rFonts w:ascii="GHEA Grapalat" w:hAnsi="GHEA Grapalat" w:cs="Sylfaen"/>
          <w:sz w:val="22"/>
          <w:szCs w:val="22"/>
        </w:rPr>
        <w:t xml:space="preserve">ցվող օբյեկտների քանակով: </w:t>
      </w:r>
    </w:p>
    <w:p w14:paraId="0E429809" w14:textId="3A32A4C4" w:rsidR="001556D3" w:rsidRPr="00C921DE" w:rsidRDefault="001556D3" w:rsidP="000D04FD">
      <w:pPr>
        <w:autoSpaceDE w:val="0"/>
        <w:autoSpaceDN w:val="0"/>
        <w:adjustRightInd w:val="0"/>
        <w:spacing w:line="360" w:lineRule="auto"/>
        <w:ind w:firstLine="567"/>
        <w:jc w:val="both"/>
        <w:rPr>
          <w:rFonts w:ascii="GHEA Grapalat" w:hAnsi="GHEA Grapalat" w:cs="Sylfaen"/>
        </w:rPr>
      </w:pPr>
      <w:r w:rsidRPr="00C921DE">
        <w:rPr>
          <w:rFonts w:ascii="GHEA Grapalat" w:hAnsi="GHEA Grapalat" w:cs="Sylfaen"/>
          <w:sz w:val="22"/>
          <w:szCs w:val="22"/>
        </w:rPr>
        <w:t>Սոցիալական որոշ խմբերի 1.5-5 տարեկան երեխաների նախադպրոցական կրթության ապահովման շրջանակում պետական բյուջեից փոխհատուցում ստացող կրթության և զարգացման առանձնահատուկ պայմանների կարիք ունեցող երեխաների թիվ</w:t>
      </w:r>
      <w:r w:rsidR="009D46E5" w:rsidRPr="00C921DE">
        <w:rPr>
          <w:rFonts w:ascii="GHEA Grapalat" w:hAnsi="GHEA Grapalat" w:cs="Sylfaen"/>
          <w:sz w:val="22"/>
          <w:szCs w:val="22"/>
          <w:lang w:val="en-US"/>
        </w:rPr>
        <w:t>ը</w:t>
      </w:r>
      <w:r w:rsidRPr="00C921DE">
        <w:rPr>
          <w:rFonts w:ascii="GHEA Grapalat" w:hAnsi="GHEA Grapalat" w:cs="Sylfaen"/>
          <w:sz w:val="22"/>
          <w:szCs w:val="22"/>
        </w:rPr>
        <w:t xml:space="preserve"> կազմել է 893՝ կանխատեսված</w:t>
      </w:r>
      <w:r w:rsidR="00C77490" w:rsidRPr="00C921DE">
        <w:rPr>
          <w:rFonts w:ascii="GHEA Grapalat" w:hAnsi="GHEA Grapalat" w:cs="Sylfaen"/>
          <w:sz w:val="22"/>
          <w:szCs w:val="22"/>
        </w:rPr>
        <w:t xml:space="preserve"> 1670</w:t>
      </w:r>
      <w:r w:rsidR="00C77490" w:rsidRPr="00C921DE">
        <w:rPr>
          <w:rFonts w:ascii="GHEA Grapalat" w:hAnsi="GHEA Grapalat" w:cs="Sylfaen"/>
          <w:sz w:val="22"/>
          <w:szCs w:val="22"/>
        </w:rPr>
        <w:noBreakHyphen/>
      </w:r>
      <w:r w:rsidRPr="00C921DE">
        <w:rPr>
          <w:rFonts w:ascii="GHEA Grapalat" w:hAnsi="GHEA Grapalat" w:cs="Sylfaen"/>
          <w:sz w:val="22"/>
          <w:szCs w:val="22"/>
        </w:rPr>
        <w:t xml:space="preserve">ի և 2022 թվականի 156-ի դիմաց, </w:t>
      </w:r>
      <w:r w:rsidR="00C77490" w:rsidRPr="00C921DE">
        <w:rPr>
          <w:rFonts w:ascii="GHEA Grapalat" w:hAnsi="GHEA Grapalat" w:cs="Sylfaen"/>
          <w:sz w:val="22"/>
          <w:szCs w:val="22"/>
        </w:rPr>
        <w:t>իսկ</w:t>
      </w:r>
      <w:r w:rsidRPr="00C921DE">
        <w:rPr>
          <w:rFonts w:ascii="GHEA Grapalat" w:hAnsi="GHEA Grapalat" w:cs="Sylfaen"/>
          <w:sz w:val="22"/>
          <w:szCs w:val="22"/>
        </w:rPr>
        <w:t xml:space="preserve"> </w:t>
      </w:r>
      <w:r w:rsidR="006C15A2" w:rsidRPr="00C921DE">
        <w:rPr>
          <w:rFonts w:ascii="GHEA Grapalat" w:hAnsi="GHEA Grapalat" w:cs="Sylfaen"/>
          <w:sz w:val="22"/>
          <w:szCs w:val="22"/>
        </w:rPr>
        <w:t>զինծառայող</w:t>
      </w:r>
      <w:r w:rsidRPr="00C921DE">
        <w:rPr>
          <w:rFonts w:ascii="GHEA Grapalat" w:hAnsi="GHEA Grapalat" w:cs="Sylfaen"/>
          <w:sz w:val="22"/>
          <w:szCs w:val="22"/>
        </w:rPr>
        <w:t xml:space="preserve"> ծնողի (ծնողների) երեխաների թիվը 4747՝ կանխատեսված 8000-ի դիմաց: </w:t>
      </w:r>
      <w:r w:rsidR="006C15A2" w:rsidRPr="00C921DE">
        <w:rPr>
          <w:rFonts w:ascii="GHEA Grapalat" w:hAnsi="GHEA Grapalat" w:cs="Sylfaen"/>
          <w:sz w:val="22"/>
          <w:szCs w:val="22"/>
          <w:lang w:val="en-US"/>
        </w:rPr>
        <w:t>Ն</w:t>
      </w:r>
      <w:r w:rsidRPr="00C921DE">
        <w:rPr>
          <w:rFonts w:ascii="GHEA Grapalat" w:hAnsi="GHEA Grapalat" w:cs="Sylfaen"/>
          <w:sz w:val="22"/>
          <w:szCs w:val="22"/>
        </w:rPr>
        <w:t>ախադպրոցական կրթության ոլորտում համընդհանուր ներառական կրթության համակարգը</w:t>
      </w:r>
      <w:r w:rsidR="00C77490" w:rsidRPr="00C921DE">
        <w:rPr>
          <w:rFonts w:ascii="GHEA Grapalat" w:hAnsi="GHEA Grapalat" w:cs="Sylfaen"/>
          <w:sz w:val="22"/>
          <w:szCs w:val="22"/>
          <w:lang w:val="en-US"/>
        </w:rPr>
        <w:t xml:space="preserve"> </w:t>
      </w:r>
      <w:r w:rsidR="00874B3E" w:rsidRPr="00C921DE">
        <w:rPr>
          <w:rFonts w:ascii="GHEA Grapalat" w:hAnsi="GHEA Grapalat" w:cs="Sylfaen"/>
          <w:sz w:val="22"/>
          <w:szCs w:val="22"/>
        </w:rPr>
        <w:t>2022 թվականի</w:t>
      </w:r>
      <w:r w:rsidR="00874B3E" w:rsidRPr="00C921DE">
        <w:rPr>
          <w:rFonts w:ascii="GHEA Grapalat" w:hAnsi="GHEA Grapalat" w:cs="Sylfaen"/>
          <w:sz w:val="22"/>
          <w:szCs w:val="22"/>
          <w:lang w:val="en-US"/>
        </w:rPr>
        <w:t>ն</w:t>
      </w:r>
      <w:r w:rsidR="00C77490" w:rsidRPr="00C921DE">
        <w:rPr>
          <w:rFonts w:ascii="GHEA Grapalat" w:hAnsi="GHEA Grapalat" w:cs="Sylfaen"/>
          <w:sz w:val="22"/>
          <w:szCs w:val="22"/>
        </w:rPr>
        <w:t xml:space="preserve"> ներդրվել էր Երևանում, ՀՀ Լոռու, Սյունիքի և Տավուշի մարզերում</w:t>
      </w:r>
      <w:r w:rsidR="00C77490" w:rsidRPr="00C921DE">
        <w:rPr>
          <w:rFonts w:ascii="GHEA Grapalat" w:hAnsi="GHEA Grapalat" w:cs="Sylfaen"/>
          <w:sz w:val="22"/>
          <w:szCs w:val="22"/>
          <w:lang w:val="en-US"/>
        </w:rPr>
        <w:t>, իսկ</w:t>
      </w:r>
      <w:r w:rsidRPr="00C921DE">
        <w:rPr>
          <w:rFonts w:ascii="GHEA Grapalat" w:hAnsi="GHEA Grapalat" w:cs="Sylfaen"/>
          <w:sz w:val="22"/>
          <w:szCs w:val="22"/>
        </w:rPr>
        <w:t xml:space="preserve"> 2023 թվականից գործում է բոլոր մարզերում և Երևան քաղաքում: </w:t>
      </w:r>
    </w:p>
    <w:p w14:paraId="2BCF58D4" w14:textId="2DDA6174"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Սոցիալական որոշ խմբերի 1.5-5 տարեկան երեխաների նախադպրոցական կրթության ապահովման ծախսերը կազմել են 783.2 մլն դրամ` ապահովելով 43.1%</w:t>
      </w:r>
      <w:r w:rsidR="009D46E5" w:rsidRPr="00C921DE">
        <w:rPr>
          <w:rFonts w:ascii="GHEA Grapalat" w:hAnsi="GHEA Grapalat" w:cs="Sylfaen"/>
          <w:sz w:val="22"/>
          <w:szCs w:val="22"/>
          <w:lang w:val="en-US"/>
        </w:rPr>
        <w:t xml:space="preserve"> կատարողական, որը պայմանավորված է </w:t>
      </w:r>
      <w:r w:rsidR="00874B3E" w:rsidRPr="00C921DE">
        <w:rPr>
          <w:rFonts w:ascii="GHEA Grapalat" w:hAnsi="GHEA Grapalat" w:cs="Sylfaen"/>
          <w:sz w:val="22"/>
          <w:szCs w:val="22"/>
          <w:lang w:val="en-US"/>
        </w:rPr>
        <w:t xml:space="preserve">երեխաների՝ կանխատեսվածից փոքր թվով: Նախորդ տարվա համեմատ նշված </w:t>
      </w:r>
      <w:r w:rsidR="00874B3E" w:rsidRPr="00C921DE">
        <w:rPr>
          <w:rFonts w:ascii="GHEA Grapalat" w:hAnsi="GHEA Grapalat" w:cs="Sylfaen"/>
          <w:sz w:val="22"/>
          <w:szCs w:val="22"/>
          <w:lang w:val="en-US"/>
        </w:rPr>
        <w:lastRenderedPageBreak/>
        <w:t>ծախսերն աճել են</w:t>
      </w:r>
      <w:r w:rsidRPr="00C921DE">
        <w:rPr>
          <w:rFonts w:ascii="GHEA Grapalat" w:hAnsi="GHEA Grapalat" w:cs="Sylfaen"/>
          <w:sz w:val="22"/>
          <w:szCs w:val="22"/>
        </w:rPr>
        <w:t xml:space="preserve"> 23.1 անգամ կամ 749.4 մլն դրամով</w:t>
      </w:r>
      <w:r w:rsidR="00874B3E" w:rsidRPr="00C921DE">
        <w:rPr>
          <w:rFonts w:ascii="GHEA Grapalat" w:hAnsi="GHEA Grapalat" w:cs="Sylfaen"/>
          <w:sz w:val="22"/>
          <w:szCs w:val="22"/>
          <w:lang w:val="en-US"/>
        </w:rPr>
        <w:t xml:space="preserve">՝ պայմանավորված </w:t>
      </w:r>
      <w:r w:rsidR="00EF432F" w:rsidRPr="00C921DE">
        <w:rPr>
          <w:rFonts w:ascii="GHEA Grapalat" w:hAnsi="GHEA Grapalat" w:cs="Sylfaen"/>
          <w:sz w:val="22"/>
          <w:szCs w:val="22"/>
          <w:lang w:val="en-US"/>
        </w:rPr>
        <w:t xml:space="preserve">2023 </w:t>
      </w:r>
      <w:r w:rsidR="009A381B" w:rsidRPr="00C921DE">
        <w:rPr>
          <w:rFonts w:ascii="GHEA Grapalat" w:hAnsi="GHEA Grapalat" w:cs="Sylfaen"/>
          <w:sz w:val="22"/>
          <w:szCs w:val="22"/>
          <w:lang w:val="en-US"/>
        </w:rPr>
        <w:t>թվականին</w:t>
      </w:r>
      <w:r w:rsidR="00EF432F" w:rsidRPr="00C921DE">
        <w:rPr>
          <w:rFonts w:ascii="GHEA Grapalat" w:hAnsi="GHEA Grapalat" w:cs="Sylfaen"/>
          <w:sz w:val="22"/>
          <w:szCs w:val="22"/>
          <w:lang w:val="en-US"/>
        </w:rPr>
        <w:t xml:space="preserve"> </w:t>
      </w:r>
      <w:r w:rsidR="00874B3E" w:rsidRPr="00C921DE">
        <w:rPr>
          <w:rFonts w:ascii="GHEA Grapalat" w:hAnsi="GHEA Grapalat" w:cs="Sylfaen"/>
          <w:sz w:val="22"/>
          <w:szCs w:val="22"/>
          <w:lang w:val="en-US"/>
        </w:rPr>
        <w:t>հանրապետության ամբողջ տարածքում համակարգի ներդրմամբ</w:t>
      </w:r>
      <w:r w:rsidRPr="00C921DE">
        <w:rPr>
          <w:rFonts w:ascii="GHEA Grapalat" w:hAnsi="GHEA Grapalat" w:cs="Sylfaen"/>
          <w:sz w:val="22"/>
          <w:szCs w:val="22"/>
        </w:rPr>
        <w:t xml:space="preserve">: </w:t>
      </w:r>
    </w:p>
    <w:p w14:paraId="4C8F8266" w14:textId="24D7DAD1"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2023 թվականի ընթացքում շուրջ </w:t>
      </w:r>
      <w:r w:rsidRPr="00C921DE">
        <w:rPr>
          <w:rFonts w:ascii="GHEA Grapalat" w:hAnsi="GHEA Grapalat" w:cs="Sylfaen"/>
          <w:sz w:val="22"/>
          <w:szCs w:val="22"/>
          <w:lang w:val="pt-BR"/>
        </w:rPr>
        <w:t>22.7</w:t>
      </w:r>
      <w:r w:rsidRPr="00C921DE">
        <w:rPr>
          <w:rFonts w:ascii="GHEA Grapalat" w:hAnsi="GHEA Grapalat" w:cs="Sylfaen"/>
          <w:sz w:val="22"/>
          <w:szCs w:val="22"/>
        </w:rPr>
        <w:t xml:space="preserve"> մլրդ դրամ է տրամադրվել </w:t>
      </w:r>
      <w:r w:rsidRPr="00C921DE">
        <w:rPr>
          <w:rFonts w:ascii="GHEA Grapalat" w:hAnsi="GHEA Grapalat" w:cs="Sylfaen"/>
          <w:i/>
          <w:sz w:val="22"/>
          <w:szCs w:val="22"/>
        </w:rPr>
        <w:t>Գիտական և գիտատեխնիկական հետազոտությունների ծրագրին</w:t>
      </w:r>
      <w:r w:rsidRPr="00C921DE">
        <w:rPr>
          <w:rFonts w:ascii="GHEA Grapalat" w:hAnsi="GHEA Grapalat" w:cs="Sylfaen"/>
          <w:sz w:val="22"/>
          <w:szCs w:val="22"/>
        </w:rPr>
        <w:t>՝ ապահովելով 90.4% կատարողական: Ծրագրի նկատմամբ շեղումը հիմնականում պայմանավորված է «Գիտական և գիտատեխնիկական պայմանագրային (թեմատիկ) հետազոտություններ», «Գ</w:t>
      </w:r>
      <w:r w:rsidR="00F01625" w:rsidRPr="00C921DE">
        <w:rPr>
          <w:rFonts w:ascii="GHEA Grapalat" w:hAnsi="GHEA Grapalat" w:cs="Sylfaen"/>
          <w:sz w:val="22"/>
          <w:szCs w:val="22"/>
        </w:rPr>
        <w:t>իտական կենտրոնների վերանորոգում</w:t>
      </w:r>
      <w:r w:rsidRPr="00C921DE">
        <w:rPr>
          <w:rFonts w:ascii="GHEA Grapalat" w:hAnsi="GHEA Grapalat" w:cs="Sylfaen"/>
          <w:sz w:val="22"/>
          <w:szCs w:val="22"/>
        </w:rPr>
        <w:t>» և «Գիտական ենթակառուցվածքի արդիականացում» միջոցառումների կատարողականով: Ծրագիրն ուղղված է գիտության և տեխնիկայի զարգացման գերակա ուղղությունների հետազոտությունների իրականացմանը, գիտական ներուժի զարգացմանը, ազգային արժեք ներկայացնող գիտական օբյեկտների պահպանմանը: Նախորդ տարվա համեմատ Գիտական և գիտատեխնիկական հետազոտությունների ծրագրի</w:t>
      </w:r>
      <w:r w:rsidRPr="00C921DE">
        <w:rPr>
          <w:rFonts w:ascii="GHEA Grapalat" w:hAnsi="GHEA Grapalat" w:cs="Sylfaen"/>
          <w:i/>
          <w:sz w:val="22"/>
          <w:szCs w:val="22"/>
        </w:rPr>
        <w:t xml:space="preserve"> </w:t>
      </w:r>
      <w:r w:rsidRPr="00C921DE">
        <w:rPr>
          <w:rFonts w:ascii="GHEA Grapalat" w:hAnsi="GHEA Grapalat" w:cs="Sylfaen"/>
          <w:sz w:val="22"/>
          <w:szCs w:val="22"/>
        </w:rPr>
        <w:t>ծախսերն աճել են 2.3%-ով կամ 510.7 մլն դրամով` հիմնականում պայմանավորված գիտական կենտրոնները ժամանակակից սարքավորումներով վերազինման</w:t>
      </w:r>
      <w:r w:rsidR="009B409B" w:rsidRPr="00C921DE">
        <w:rPr>
          <w:rFonts w:ascii="GHEA Grapalat" w:hAnsi="GHEA Grapalat" w:cs="Sylfaen"/>
          <w:sz w:val="22"/>
          <w:szCs w:val="22"/>
        </w:rPr>
        <w:t xml:space="preserve"> </w:t>
      </w:r>
      <w:r w:rsidRPr="00C921DE">
        <w:rPr>
          <w:rFonts w:ascii="GHEA Grapalat" w:hAnsi="GHEA Grapalat" w:cs="Sylfaen"/>
          <w:sz w:val="22"/>
          <w:szCs w:val="22"/>
        </w:rPr>
        <w:t xml:space="preserve">ու համատեղ օգտագործման գիտական սարքավորումների կենտրոնների ստեղծման համար </w:t>
      </w:r>
      <w:r w:rsidRPr="00C921DE">
        <w:rPr>
          <w:rFonts w:ascii="GHEA Grapalat" w:hAnsi="GHEA Grapalat" w:cs="Sylfaen"/>
          <w:iCs/>
          <w:sz w:val="22"/>
          <w:szCs w:val="22"/>
        </w:rPr>
        <w:t>միջոցների հատկացմամբ, որը 2022 թվականին նախատեսված չէր։</w:t>
      </w:r>
    </w:p>
    <w:p w14:paraId="388A648A" w14:textId="210DDEEE"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Գիտական ենթակառուցվածքների արդիականացման միջոցառման նպատակն</w:t>
      </w:r>
      <w:r w:rsidR="006D110D" w:rsidRPr="00C921DE">
        <w:rPr>
          <w:rFonts w:ascii="GHEA Grapalat" w:hAnsi="GHEA Grapalat" w:cs="Sylfaen"/>
          <w:sz w:val="22"/>
          <w:szCs w:val="22"/>
          <w:lang w:val="en-US"/>
        </w:rPr>
        <w:t>երն</w:t>
      </w:r>
      <w:r w:rsidRPr="00C921DE">
        <w:rPr>
          <w:rFonts w:ascii="GHEA Grapalat" w:hAnsi="GHEA Grapalat" w:cs="Sylfaen"/>
          <w:sz w:val="22"/>
          <w:szCs w:val="22"/>
        </w:rPr>
        <w:t xml:space="preserve"> </w:t>
      </w:r>
      <w:r w:rsidR="006D110D" w:rsidRPr="00C921DE">
        <w:rPr>
          <w:rFonts w:ascii="GHEA Grapalat" w:hAnsi="GHEA Grapalat" w:cs="Sylfaen"/>
          <w:sz w:val="22"/>
          <w:szCs w:val="22"/>
          <w:lang w:val="en-US"/>
        </w:rPr>
        <w:t>են՝</w:t>
      </w:r>
      <w:r w:rsidRPr="00C921DE">
        <w:rPr>
          <w:rFonts w:ascii="GHEA Grapalat" w:hAnsi="GHEA Grapalat" w:cs="Sylfaen"/>
          <w:sz w:val="22"/>
          <w:szCs w:val="22"/>
        </w:rPr>
        <w:t xml:space="preserve"> գիտական կազմակերպությունների և բուհերի գիտական ստորաբաժանումների զարգացումը, ծրագրերի իրականացումը, գիտական սարքավորումների արդիականացումը, միջազգային համագործակցությանն աջակցությունը: 2023 թվականին «Գիտական ենթակառուցվածքի արդիականացում» միջոցառման շրջանակներում փաստացի ներգրավված է եղել 57 կազմակերպություն՝ 2022 թվականի 67-ի դիմաց, ՀՀ-ն անդամակցել է 4 միջազգային գիտական կառույցի՝ 2022 թվականի 5-ի դիմաց, ինչպես նաև</w:t>
      </w:r>
      <w:r w:rsidRPr="00C921DE">
        <w:rPr>
          <w:rFonts w:ascii="GHEA Grapalat" w:hAnsi="GHEA Grapalat" w:cs="Sylfaen"/>
          <w:color w:val="FF0000"/>
          <w:sz w:val="22"/>
          <w:szCs w:val="22"/>
        </w:rPr>
        <w:t xml:space="preserve"> </w:t>
      </w:r>
      <w:r w:rsidRPr="00C921DE">
        <w:rPr>
          <w:rFonts w:ascii="GHEA Grapalat" w:hAnsi="GHEA Grapalat" w:cs="Sylfaen"/>
          <w:sz w:val="22"/>
          <w:szCs w:val="22"/>
        </w:rPr>
        <w:t>պետական բյուջեից ֆինանսավորվել է երիտասարդ գիտնականների 5 դպրոց և 22 երաշխավորված գիտական միջոցառում՝ կանխատեսված համապատասխանաբար 20-ի և 30-ի դիմաց: Կատարվել է նաև 541 գիտական հայտի փորձաքննություն՝ կանխատեսված 700-ի և 2022 թվականի 196-ի դիմաց:</w:t>
      </w:r>
      <w:r w:rsidRPr="00C921DE">
        <w:rPr>
          <w:rFonts w:ascii="GHEA Grapalat" w:hAnsi="GHEA Grapalat" w:cs="Sylfaen"/>
          <w:color w:val="FF0000"/>
          <w:sz w:val="22"/>
          <w:szCs w:val="22"/>
        </w:rPr>
        <w:t xml:space="preserve"> </w:t>
      </w:r>
      <w:r w:rsidRPr="00C921DE">
        <w:rPr>
          <w:rFonts w:ascii="GHEA Grapalat" w:hAnsi="GHEA Grapalat" w:cs="Sylfaen"/>
          <w:sz w:val="22"/>
          <w:szCs w:val="22"/>
        </w:rPr>
        <w:t xml:space="preserve">Միջոցառման գծով ծախսերը կազմել են շուրջ 12 մլրդ դրամ կամ ծրագրված ցուցանիշի 96.3%-ը: </w:t>
      </w:r>
      <w:r w:rsidR="00BF7B53" w:rsidRPr="00C921DE">
        <w:rPr>
          <w:rFonts w:ascii="GHEA Grapalat" w:hAnsi="GHEA Grapalat" w:cs="Sylfaen"/>
          <w:sz w:val="22"/>
          <w:szCs w:val="22"/>
          <w:lang w:val="en-US"/>
        </w:rPr>
        <w:t>Ֆինանսական և արդյունքային փաստացի ցուցանիշերի՝ ծ</w:t>
      </w:r>
      <w:r w:rsidRPr="00C921DE">
        <w:rPr>
          <w:rFonts w:ascii="GHEA Grapalat" w:hAnsi="GHEA Grapalat" w:cs="Sylfaen"/>
          <w:sz w:val="22"/>
          <w:szCs w:val="22"/>
        </w:rPr>
        <w:t>րագրված ցուցանիշ</w:t>
      </w:r>
      <w:r w:rsidR="00BF7B53" w:rsidRPr="00C921DE">
        <w:rPr>
          <w:rFonts w:ascii="GHEA Grapalat" w:hAnsi="GHEA Grapalat" w:cs="Sylfaen"/>
          <w:sz w:val="22"/>
          <w:szCs w:val="22"/>
          <w:lang w:val="en-US"/>
        </w:rPr>
        <w:t>ներ</w:t>
      </w:r>
      <w:r w:rsidRPr="00C921DE">
        <w:rPr>
          <w:rFonts w:ascii="GHEA Grapalat" w:hAnsi="GHEA Grapalat" w:cs="Sylfaen"/>
          <w:sz w:val="22"/>
          <w:szCs w:val="22"/>
        </w:rPr>
        <w:t>ից շեղում</w:t>
      </w:r>
      <w:r w:rsidR="00BF7B53" w:rsidRPr="00C921DE">
        <w:rPr>
          <w:rFonts w:ascii="GHEA Grapalat" w:hAnsi="GHEA Grapalat" w:cs="Sylfaen"/>
          <w:sz w:val="22"/>
          <w:szCs w:val="22"/>
          <w:lang w:val="en-US"/>
        </w:rPr>
        <w:t>ներ</w:t>
      </w:r>
      <w:r w:rsidRPr="00C921DE">
        <w:rPr>
          <w:rFonts w:ascii="GHEA Grapalat" w:hAnsi="GHEA Grapalat" w:cs="Sylfaen"/>
          <w:sz w:val="22"/>
          <w:szCs w:val="22"/>
        </w:rPr>
        <w:t>ը հիմնականում պայմանավորված են գիտական կազմակերպությունների կողմից ներկայացված հայտերով, գործուղումների և պետական բյուջեից ֆինանսավորման երաշխավորված երիտասարդ գիտնականների դպրոցների՝ նախատեսվածից պակաս քանակով</w:t>
      </w:r>
      <w:r w:rsidRPr="00C921DE">
        <w:rPr>
          <w:rFonts w:ascii="GHEA Grapalat" w:hAnsi="GHEA Grapalat" w:cs="Sylfaen"/>
          <w:sz w:val="22"/>
          <w:szCs w:val="22"/>
          <w:lang w:val="pt-BR"/>
        </w:rPr>
        <w:t xml:space="preserve">: </w:t>
      </w:r>
      <w:r w:rsidRPr="00C921DE">
        <w:rPr>
          <w:rFonts w:ascii="GHEA Grapalat" w:hAnsi="GHEA Grapalat" w:cs="Sylfaen"/>
          <w:sz w:val="22"/>
          <w:szCs w:val="22"/>
        </w:rPr>
        <w:t>Նախորդ տարվա համեմատ նշված ծախսերը նվազել են 3.8%-ով կամ 475.6</w:t>
      </w:r>
      <w:r w:rsidRPr="00C921DE">
        <w:rPr>
          <w:rFonts w:ascii="Calibri" w:hAnsi="Calibri" w:cs="Calibri"/>
          <w:sz w:val="22"/>
          <w:szCs w:val="22"/>
        </w:rPr>
        <w:t> </w:t>
      </w:r>
      <w:r w:rsidRPr="00C921DE">
        <w:rPr>
          <w:rFonts w:ascii="GHEA Grapalat" w:hAnsi="GHEA Grapalat" w:cs="Sylfaen"/>
          <w:sz w:val="22"/>
          <w:szCs w:val="22"/>
        </w:rPr>
        <w:t xml:space="preserve">մլն դրամով, որը </w:t>
      </w:r>
      <w:r w:rsidR="00BF7B53" w:rsidRPr="00C921DE">
        <w:rPr>
          <w:rFonts w:ascii="GHEA Grapalat" w:hAnsi="GHEA Grapalat" w:cs="Sylfaen"/>
          <w:sz w:val="22"/>
          <w:szCs w:val="22"/>
        </w:rPr>
        <w:t>պայմանավորված</w:t>
      </w:r>
      <w:r w:rsidRPr="00C921DE">
        <w:rPr>
          <w:rFonts w:ascii="GHEA Grapalat" w:hAnsi="GHEA Grapalat" w:cs="Sylfaen"/>
          <w:sz w:val="22"/>
          <w:szCs w:val="22"/>
        </w:rPr>
        <w:t xml:space="preserve"> 2023 թվականին ընդգրկված կազմակերպությունների և Հայաստանի կողմից անդամակցած միջազգային գիտական կառույցների թվ</w:t>
      </w:r>
      <w:r w:rsidR="0027518F" w:rsidRPr="00C921DE">
        <w:rPr>
          <w:rFonts w:ascii="GHEA Grapalat" w:hAnsi="GHEA Grapalat" w:cs="Sylfaen"/>
          <w:sz w:val="22"/>
          <w:szCs w:val="22"/>
          <w:lang w:val="en-US"/>
        </w:rPr>
        <w:t>ի նվազմամբ</w:t>
      </w:r>
      <w:r w:rsidRPr="00C921DE">
        <w:rPr>
          <w:rFonts w:ascii="GHEA Grapalat" w:hAnsi="GHEA Grapalat" w:cs="Sylfaen"/>
          <w:sz w:val="22"/>
          <w:szCs w:val="22"/>
        </w:rPr>
        <w:t>:</w:t>
      </w:r>
    </w:p>
    <w:p w14:paraId="303FC1AC" w14:textId="2C2E0DAE"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lastRenderedPageBreak/>
        <w:t>Գիտական և գիտատեխնիկական պայմանագրային (թեմատիկ) հետազոտությունների միջոցառման շրջանակներում 2023 թվականի ընթացքում պետական բյուջեից ֆինանսավորվել են 644 գիտական թեմաներ՝ կանխատեսված 672-ի և 202</w:t>
      </w:r>
      <w:r w:rsidRPr="00C921DE">
        <w:rPr>
          <w:rFonts w:ascii="GHEA Grapalat" w:hAnsi="GHEA Grapalat" w:cs="Sylfaen"/>
          <w:sz w:val="22"/>
          <w:szCs w:val="22"/>
          <w:lang w:val="pt-BR"/>
        </w:rPr>
        <w:t>2</w:t>
      </w:r>
      <w:r w:rsidRPr="00C921DE">
        <w:rPr>
          <w:rFonts w:ascii="GHEA Grapalat" w:hAnsi="GHEA Grapalat" w:cs="Sylfaen"/>
          <w:sz w:val="22"/>
          <w:szCs w:val="22"/>
        </w:rPr>
        <w:t xml:space="preserve"> թվականի 56</w:t>
      </w:r>
      <w:r w:rsidRPr="00C921DE">
        <w:rPr>
          <w:rFonts w:ascii="GHEA Grapalat" w:hAnsi="GHEA Grapalat" w:cs="Sylfaen"/>
          <w:sz w:val="22"/>
          <w:szCs w:val="22"/>
          <w:lang w:val="pt-BR"/>
        </w:rPr>
        <w:t>4</w:t>
      </w:r>
      <w:r w:rsidRPr="00C921DE">
        <w:rPr>
          <w:rFonts w:ascii="GHEA Grapalat" w:hAnsi="GHEA Grapalat" w:cs="Sylfaen"/>
          <w:sz w:val="22"/>
          <w:szCs w:val="22"/>
        </w:rPr>
        <w:t>-ի դիմաց: Միջոցառման շրջանակներում իրականացվել են երիտասարդ (մինչև 35 տարեկան) գիտաշխատողների աջակցության ծրագրերի և հետազոտությունների ֆինանսավորում, «Արհեստական բանականություն և տվյալագիտություն», «Քվանտային տեխնոլոգիաներ», «Ռոբոտատեխնիկա» մասնագիտություննե</w:t>
      </w:r>
      <w:r w:rsidR="0027518F" w:rsidRPr="00C921DE">
        <w:rPr>
          <w:rFonts w:ascii="GHEA Grapalat" w:hAnsi="GHEA Grapalat" w:cs="Sylfaen"/>
          <w:sz w:val="22"/>
          <w:szCs w:val="22"/>
          <w:lang w:val="en-US"/>
        </w:rPr>
        <w:t>-</w:t>
      </w:r>
      <w:r w:rsidRPr="00C921DE">
        <w:rPr>
          <w:rFonts w:ascii="GHEA Grapalat" w:hAnsi="GHEA Grapalat" w:cs="Sylfaen"/>
          <w:sz w:val="22"/>
          <w:szCs w:val="22"/>
        </w:rPr>
        <w:t>րով հետազոտություններ, «Հասարակական գիտություններ», «Հայագիտություն և հումանիտար գիտություններ» բնագավառների հետազոտություններ, Արցախի հետ համագործակցության ծրագիր, կիրառական արդյունքի ձեռքբերմանն ուղղված հետազոտություններ: Տրամադրվել են հավելավճարներ բարձր արդյունավետությամբ աշխատող գիտաշխատողներին, այդ թվում՝ երիտասարդ գիտաշխատողներին (մինչև 35 տարեկան), աջակցություն՝ ասպիրանտներին և երիտասարդ հայցորդներին հետազոտությունների իրականացման համար, գիտական խմբերի կամ լաբորատորիաների ամրապնդմանն ուղղված ծրագրերին, հեռավար լաբորատորիաների ստեղծմանը, կին ղեկավարների առաջխաղացմանն ուղղված ծրագրերին, միջազգային գիտական համագործակցության շրջանակներում իրականացվող գիտական ծրագրերին (հայ-բելառուսական, հայ-ռուսական, եվրասիական, հայ-գերմանական, հայ-իտալական և հայ-չինական):</w:t>
      </w:r>
    </w:p>
    <w:p w14:paraId="18F5BE86" w14:textId="239A57BC"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Գիտական և գիտատեխնիկական պայմանագրային (թեմատիկ) հետազոտությունների գծով ծախսերը 2023 թվականին կազմել են ավելի քան 5.9 մլրդ դրամ կամ ծրագրված ցուցանիշի 86.8%-ը: Նախորդ տարվա համեմատ նշված ծախսերն աճել են 2.6%-ով կամ 150.8 մլն դրամով` հիմնականում պայմանավորված թեմատիկ հետազոտությունների թվի ա</w:t>
      </w:r>
      <w:r w:rsidR="00F774CD" w:rsidRPr="00C921DE">
        <w:rPr>
          <w:rFonts w:ascii="GHEA Grapalat" w:hAnsi="GHEA Grapalat" w:cs="Sylfaen"/>
          <w:sz w:val="22"/>
          <w:szCs w:val="22"/>
          <w:lang w:val="en-US"/>
        </w:rPr>
        <w:t>ճով</w:t>
      </w:r>
      <w:r w:rsidRPr="00C921DE">
        <w:rPr>
          <w:rFonts w:ascii="GHEA Grapalat" w:hAnsi="GHEA Grapalat" w:cs="Sylfaen"/>
          <w:sz w:val="22"/>
          <w:szCs w:val="22"/>
        </w:rPr>
        <w:t>:</w:t>
      </w:r>
    </w:p>
    <w:p w14:paraId="1FE0184B" w14:textId="19D59BDF" w:rsidR="001556D3" w:rsidRPr="00C921DE" w:rsidRDefault="001556D3" w:rsidP="00F774CD">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«Գիտական կենտրոնների վերանորոգում» միջոցառման շրջանակներում մեկնարկել է Ակադեմիական քաղաքի նախագծման փուլը, որը նախատեսվում է ավարտել մինչև 2025 թվականի սեպտեմբեր։ Ակադեմիական քաղաքը հանդիսանալու է միջգիտակարգային, միջմշակութային, միջազգային շփումների հարթակ, ինչը հանգեցնելու է թե՛ գիտակրթական, թե՛ սոցիալական նորարարությունների: Ակադեմիական քաղաքի հիմնադրման իրավական հիմքերը դրված են «ՀՀ կրթության մինչև 2030 թվականի զարգացման պետական ծրագիրը» հաստատելու մասին» օրենքում, որում սահմանված մի շարք կարևորագույն թիրախներից են</w:t>
      </w:r>
      <w:r w:rsidRPr="00C921DE">
        <w:rPr>
          <w:rFonts w:ascii="Cambria Math" w:hAnsi="Cambria Math" w:cs="Cambria Math"/>
          <w:sz w:val="22"/>
          <w:szCs w:val="22"/>
        </w:rPr>
        <w:t>․</w:t>
      </w:r>
    </w:p>
    <w:p w14:paraId="7310C976" w14:textId="77777777" w:rsidR="001556D3" w:rsidRPr="00C921DE" w:rsidRDefault="001556D3" w:rsidP="00AF07CE">
      <w:pPr>
        <w:pStyle w:val="ListParagraph"/>
        <w:numPr>
          <w:ilvl w:val="0"/>
          <w:numId w:val="29"/>
        </w:numPr>
        <w:autoSpaceDE w:val="0"/>
        <w:autoSpaceDN w:val="0"/>
        <w:adjustRightInd w:val="0"/>
        <w:spacing w:line="360" w:lineRule="auto"/>
        <w:ind w:left="0" w:firstLine="567"/>
        <w:jc w:val="both"/>
        <w:rPr>
          <w:rFonts w:ascii="GHEA Grapalat" w:hAnsi="GHEA Grapalat" w:cs="Sylfaen"/>
          <w:noProof/>
        </w:rPr>
      </w:pPr>
      <w:r w:rsidRPr="00C921DE">
        <w:rPr>
          <w:rFonts w:ascii="GHEA Grapalat" w:hAnsi="GHEA Grapalat" w:cs="Sylfaen"/>
          <w:noProof/>
        </w:rPr>
        <w:t>ունենալ առնվազն չորս ԲՈՒՀ միջազգային վարկանիշային աղյուսակների լավագույն 500-ի մեջ.</w:t>
      </w:r>
    </w:p>
    <w:p w14:paraId="660DBA5D" w14:textId="77777777" w:rsidR="001556D3" w:rsidRPr="00C921DE" w:rsidRDefault="001556D3" w:rsidP="00AE2FA9">
      <w:pPr>
        <w:pStyle w:val="ListParagraph"/>
        <w:numPr>
          <w:ilvl w:val="0"/>
          <w:numId w:val="29"/>
        </w:numPr>
        <w:autoSpaceDE w:val="0"/>
        <w:autoSpaceDN w:val="0"/>
        <w:adjustRightInd w:val="0"/>
        <w:spacing w:after="0" w:line="360" w:lineRule="auto"/>
        <w:ind w:left="0" w:firstLine="567"/>
        <w:jc w:val="both"/>
        <w:rPr>
          <w:rFonts w:ascii="GHEA Grapalat" w:hAnsi="GHEA Grapalat" w:cs="Sylfaen"/>
          <w:noProof/>
        </w:rPr>
      </w:pPr>
      <w:r w:rsidRPr="00C921DE">
        <w:rPr>
          <w:rFonts w:ascii="GHEA Grapalat" w:hAnsi="GHEA Grapalat" w:cs="Sylfaen"/>
          <w:noProof/>
        </w:rPr>
        <w:t>առնվազն կրկնապատկել օտարերկրյա ուսանողների թիվը` բարձրացնելով բարձրագույն կրթության համակարգի միջազգային հեղինակությունը։</w:t>
      </w:r>
    </w:p>
    <w:p w14:paraId="7713D7B1" w14:textId="54C73C39" w:rsidR="001556D3" w:rsidRPr="00C921DE" w:rsidRDefault="001556D3" w:rsidP="009A46B7">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lastRenderedPageBreak/>
        <w:t>Ակադեմիական քաղաքի ֆիզիկական տեղադիրքի համար նախատեսվում են երկու տեղամասեր` Երևան քաղաքի 17-րդ թաղամասին հարող տարածքը (հիմնական տեղամաս) և Համո Բեկնազարյանի անվան «Հայֆիլմ» կինոստուդիայի տարածքը (պահեստային տեղամաս), որոնց գումարային մակերեսը կազմում է շուրջ 700 հա: Քաղաքը բաղկացած է լինելու չորս ակադեմիական կլաստերներից (տեխնոլոգիական, արվեստների, կրթական, սպայական), որոնք կազմավորվելու են համապատասխան չորս խոշորացված համալսարանների և դրանց միավորված գիտահետազոտական մի շարք կազմակերպությունների հենքի վրա:</w:t>
      </w:r>
      <w:r w:rsidR="009A46B7" w:rsidRPr="00C921DE">
        <w:rPr>
          <w:rFonts w:ascii="GHEA Grapalat" w:hAnsi="GHEA Grapalat" w:cs="Sylfaen"/>
          <w:sz w:val="22"/>
          <w:szCs w:val="22"/>
        </w:rPr>
        <w:t xml:space="preserve"> </w:t>
      </w:r>
      <w:r w:rsidRPr="00C921DE">
        <w:rPr>
          <w:rFonts w:ascii="GHEA Grapalat" w:hAnsi="GHEA Grapalat" w:cs="Sylfaen"/>
          <w:sz w:val="22"/>
          <w:szCs w:val="22"/>
        </w:rPr>
        <w:t>Ակադեմիական քաղաքի տարածքները նախատեսվելու են այն տրամաբանությամբ, որ հնարավորություն լինի ֆիզիկապես տեղակայել մինչև 16 ԲՈՒՀ՝ օրենքով նախատեսված մինչև ութ պետական խոշորացված ԲՈՒՀ և մինչև ութ մասնավոր կամ միջազգային ԲՈՒՀ: Ակադեմիական քաղաք են տեղափոխվելու նաև ՀՀ ԿԳՄՍ նախարարության բարձրագույն կրթության և գիտության կոմիտեն, «Ակադեմիական քաղաք» ծրագրի մշակման, իրականացման, համակարգման և հետագա կառավարման համար ստեղծված «Ակադեմիական քաղաք» հիմնադրամը, ինչպես նաև ըստ նպատակահարմարության` ոլորտին առնչվող այլ պետական և մասնավոր կառույցներ։</w:t>
      </w:r>
    </w:p>
    <w:p w14:paraId="4F468AE0" w14:textId="45F66C0E" w:rsidR="001556D3" w:rsidRPr="00C921DE" w:rsidRDefault="001556D3" w:rsidP="009A46B7">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Հաշվետու տարում «Գիտական կենտրոնների վերանորոգում, «Ակադեմիական քաղաք» նախագծի իրականացման շրջանակներում առաջացած հրատապ ծախսերի ապահովում» միջոցառման</w:t>
      </w:r>
      <w:r w:rsidR="009A46B7" w:rsidRPr="00C921DE">
        <w:rPr>
          <w:rFonts w:ascii="GHEA Grapalat" w:hAnsi="GHEA Grapalat" w:cs="Sylfaen"/>
          <w:sz w:val="22"/>
          <w:szCs w:val="22"/>
          <w:lang w:val="en-US"/>
        </w:rPr>
        <w:t>ը տրամադր</w:t>
      </w:r>
      <w:r w:rsidRPr="00C921DE">
        <w:rPr>
          <w:rFonts w:ascii="GHEA Grapalat" w:hAnsi="GHEA Grapalat" w:cs="Sylfaen"/>
          <w:sz w:val="22"/>
          <w:szCs w:val="22"/>
        </w:rPr>
        <w:t xml:space="preserve">վել է 86.2 մլն դրամ, որը կազմել է ծրագրված ցուցանիշի 9.2%-ը: </w:t>
      </w:r>
      <w:r w:rsidR="009A46B7" w:rsidRPr="00C921DE">
        <w:rPr>
          <w:rFonts w:ascii="GHEA Grapalat" w:hAnsi="GHEA Grapalat" w:cs="Sylfaen"/>
          <w:sz w:val="22"/>
          <w:szCs w:val="22"/>
          <w:lang w:val="en-US"/>
        </w:rPr>
        <w:t xml:space="preserve">Ցածր </w:t>
      </w:r>
      <w:r w:rsidR="009A46B7" w:rsidRPr="00C921DE">
        <w:rPr>
          <w:rFonts w:ascii="GHEA Grapalat" w:hAnsi="GHEA Grapalat" w:cs="Sylfaen"/>
          <w:sz w:val="22"/>
          <w:szCs w:val="22"/>
        </w:rPr>
        <w:t xml:space="preserve">կատարողականը </w:t>
      </w:r>
      <w:r w:rsidRPr="00C921DE">
        <w:rPr>
          <w:rFonts w:ascii="GHEA Grapalat" w:hAnsi="GHEA Grapalat" w:cs="Sylfaen"/>
          <w:sz w:val="22"/>
          <w:szCs w:val="22"/>
        </w:rPr>
        <w:t xml:space="preserve">հիմնականում պայմանավորված է միջոցառման </w:t>
      </w:r>
      <w:r w:rsidR="00BD172B" w:rsidRPr="00C921DE">
        <w:rPr>
          <w:rFonts w:ascii="GHEA Grapalat" w:hAnsi="GHEA Grapalat" w:cs="Sylfaen"/>
          <w:sz w:val="22"/>
          <w:szCs w:val="22"/>
        </w:rPr>
        <w:t>կատարող հանդիսացող</w:t>
      </w:r>
      <w:r w:rsidRPr="00C921DE">
        <w:rPr>
          <w:rFonts w:ascii="GHEA Grapalat" w:hAnsi="GHEA Grapalat" w:cs="Sylfaen"/>
          <w:sz w:val="22"/>
          <w:szCs w:val="22"/>
        </w:rPr>
        <w:t xml:space="preserve"> լիազոր մարմնի </w:t>
      </w:r>
      <w:r w:rsidR="00BD172B" w:rsidRPr="00C921DE">
        <w:rPr>
          <w:rFonts w:ascii="GHEA Grapalat" w:hAnsi="GHEA Grapalat" w:cs="Sylfaen"/>
          <w:sz w:val="22"/>
          <w:szCs w:val="22"/>
        </w:rPr>
        <w:t>սահմանմա</w:t>
      </w:r>
      <w:r w:rsidRPr="00C921DE">
        <w:rPr>
          <w:rFonts w:ascii="GHEA Grapalat" w:hAnsi="GHEA Grapalat" w:cs="Sylfaen"/>
          <w:sz w:val="22"/>
          <w:szCs w:val="22"/>
        </w:rPr>
        <w:t>ն վերաբերյալ կառավարության որոշման բացակայության հանգամանքով, ինչպես նաև արտարժույթի</w:t>
      </w:r>
      <w:r w:rsidR="004C2E12" w:rsidRPr="00C921DE">
        <w:rPr>
          <w:rFonts w:ascii="GHEA Grapalat" w:hAnsi="GHEA Grapalat" w:cs="Sylfaen"/>
          <w:sz w:val="22"/>
          <w:szCs w:val="22"/>
        </w:rPr>
        <w:t>՝</w:t>
      </w:r>
      <w:r w:rsidRPr="00C921DE">
        <w:rPr>
          <w:rFonts w:ascii="GHEA Grapalat" w:hAnsi="GHEA Grapalat" w:cs="Sylfaen"/>
          <w:sz w:val="22"/>
          <w:szCs w:val="22"/>
        </w:rPr>
        <w:t xml:space="preserve"> կանխատեսված</w:t>
      </w:r>
      <w:r w:rsidR="004C2E12" w:rsidRPr="00C921DE">
        <w:rPr>
          <w:rFonts w:ascii="GHEA Grapalat" w:hAnsi="GHEA Grapalat" w:cs="Sylfaen"/>
          <w:sz w:val="22"/>
          <w:szCs w:val="22"/>
        </w:rPr>
        <w:t>ից ցածր փոխարժեքով</w:t>
      </w:r>
      <w:r w:rsidRPr="00C921DE">
        <w:rPr>
          <w:rFonts w:ascii="GHEA Grapalat" w:hAnsi="GHEA Grapalat" w:cs="Sylfaen"/>
          <w:sz w:val="22"/>
          <w:szCs w:val="22"/>
        </w:rPr>
        <w:t xml:space="preserve">: </w:t>
      </w:r>
    </w:p>
    <w:p w14:paraId="604A8AAA" w14:textId="71FF64D8"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Գիտական կենտրոններ</w:t>
      </w:r>
      <w:r w:rsidR="007B608B" w:rsidRPr="00C921DE">
        <w:rPr>
          <w:rFonts w:ascii="GHEA Grapalat" w:hAnsi="GHEA Grapalat" w:cs="Sylfaen"/>
          <w:sz w:val="22"/>
          <w:szCs w:val="22"/>
          <w:lang w:val="en-US"/>
        </w:rPr>
        <w:t>ի՝</w:t>
      </w:r>
      <w:r w:rsidRPr="00C921DE">
        <w:rPr>
          <w:rFonts w:ascii="GHEA Grapalat" w:hAnsi="GHEA Grapalat" w:cs="Sylfaen"/>
          <w:sz w:val="22"/>
          <w:szCs w:val="22"/>
        </w:rPr>
        <w:t xml:space="preserve"> ժամանակակից սարքավորումներով վերազինման ու համատեղ օգտագործման գիտական սարքավորումների կենտրոնների ստեղծման</w:t>
      </w:r>
      <w:r w:rsidR="00143D5E" w:rsidRPr="00C921DE">
        <w:rPr>
          <w:rFonts w:ascii="GHEA Grapalat" w:hAnsi="GHEA Grapalat" w:cs="Sylfaen"/>
          <w:sz w:val="22"/>
          <w:szCs w:val="22"/>
          <w:lang w:val="en-US"/>
        </w:rPr>
        <w:t xml:space="preserve"> միջոցառման</w:t>
      </w:r>
      <w:r w:rsidRPr="00C921DE">
        <w:rPr>
          <w:rFonts w:ascii="GHEA Grapalat" w:hAnsi="GHEA Grapalat" w:cs="Sylfaen"/>
          <w:sz w:val="22"/>
          <w:szCs w:val="22"/>
        </w:rPr>
        <w:t xml:space="preserve"> շրջանակներում 17 գիտական կենտրոններ վերազինվել են 25 սարքավորում</w:t>
      </w:r>
      <w:r w:rsidR="00F3033B" w:rsidRPr="00C921DE">
        <w:rPr>
          <w:rFonts w:ascii="GHEA Grapalat" w:hAnsi="GHEA Grapalat" w:cs="Sylfaen"/>
          <w:sz w:val="22"/>
          <w:szCs w:val="22"/>
          <w:lang w:val="en-US"/>
        </w:rPr>
        <w:t>ներ</w:t>
      </w:r>
      <w:r w:rsidRPr="00C921DE">
        <w:rPr>
          <w:rFonts w:ascii="GHEA Grapalat" w:hAnsi="GHEA Grapalat" w:cs="Sylfaen"/>
          <w:sz w:val="22"/>
          <w:szCs w:val="22"/>
        </w:rPr>
        <w:t>ով՝ կանխատեսված համապատասխանաբար 16-ի և 70-ի դիմաց։ Փաստացի արդյունքային ցուցանիշների շեղումը կանխատեսվածի նկատմամբ հիմնականում պայմանավորված է</w:t>
      </w:r>
      <w:r w:rsidR="00F3033B" w:rsidRPr="00C921DE">
        <w:rPr>
          <w:rFonts w:ascii="GHEA Grapalat" w:hAnsi="GHEA Grapalat" w:cs="Sylfaen"/>
          <w:sz w:val="22"/>
          <w:szCs w:val="22"/>
        </w:rPr>
        <w:t xml:space="preserve"> գ</w:t>
      </w:r>
      <w:r w:rsidR="00F3033B" w:rsidRPr="00C921DE">
        <w:rPr>
          <w:rFonts w:ascii="GHEA Grapalat" w:hAnsi="GHEA Grapalat" w:cs="Sylfaen"/>
          <w:sz w:val="22"/>
          <w:szCs w:val="22"/>
          <w:lang w:val="en-US"/>
        </w:rPr>
        <w:t>նումների</w:t>
      </w:r>
      <w:r w:rsidRPr="00C921DE">
        <w:rPr>
          <w:rFonts w:ascii="GHEA Grapalat" w:hAnsi="GHEA Grapalat" w:cs="Sylfaen"/>
          <w:sz w:val="22"/>
          <w:szCs w:val="22"/>
        </w:rPr>
        <w:t xml:space="preserve"> գործընթացով</w:t>
      </w:r>
      <w:r w:rsidR="00F3033B" w:rsidRPr="00C921DE">
        <w:rPr>
          <w:rFonts w:ascii="GHEA Grapalat" w:hAnsi="GHEA Grapalat" w:cs="Sylfaen"/>
          <w:sz w:val="22"/>
          <w:szCs w:val="22"/>
          <w:lang w:val="en-US"/>
        </w:rPr>
        <w:t>.</w:t>
      </w:r>
      <w:r w:rsidRPr="00C921DE">
        <w:rPr>
          <w:rFonts w:ascii="GHEA Grapalat" w:hAnsi="GHEA Grapalat" w:cs="Sylfaen"/>
          <w:sz w:val="22"/>
          <w:szCs w:val="22"/>
        </w:rPr>
        <w:t xml:space="preserve"> սարքավորումների մի մասի</w:t>
      </w:r>
      <w:r w:rsidR="00F3033B" w:rsidRPr="00C921DE">
        <w:rPr>
          <w:rFonts w:ascii="GHEA Grapalat" w:hAnsi="GHEA Grapalat" w:cs="Sylfaen"/>
          <w:sz w:val="22"/>
          <w:szCs w:val="22"/>
          <w:lang w:val="en-US"/>
        </w:rPr>
        <w:t xml:space="preserve"> գնման</w:t>
      </w:r>
      <w:r w:rsidRPr="00C921DE">
        <w:rPr>
          <w:rFonts w:ascii="GHEA Grapalat" w:hAnsi="GHEA Grapalat" w:cs="Sylfaen"/>
          <w:sz w:val="22"/>
          <w:szCs w:val="22"/>
        </w:rPr>
        <w:t xml:space="preserve"> պայմանագրերը կնքվել են տարեվերջին, որի արդյունքում մատակարարումը տեղափոխվել է 2024 թվական: </w:t>
      </w:r>
      <w:r w:rsidR="00F3033B" w:rsidRPr="00C921DE">
        <w:rPr>
          <w:rFonts w:ascii="GHEA Grapalat" w:hAnsi="GHEA Grapalat" w:cs="Sylfaen"/>
          <w:sz w:val="22"/>
          <w:szCs w:val="22"/>
          <w:lang w:val="en-US"/>
        </w:rPr>
        <w:t>Մ</w:t>
      </w:r>
      <w:r w:rsidRPr="00C921DE">
        <w:rPr>
          <w:rFonts w:ascii="GHEA Grapalat" w:hAnsi="GHEA Grapalat" w:cs="Sylfaen"/>
          <w:sz w:val="22"/>
          <w:szCs w:val="22"/>
        </w:rPr>
        <w:t>իջոցառման ծախսերը կազմել են 940.7</w:t>
      </w:r>
      <w:r w:rsidRPr="00C921DE">
        <w:rPr>
          <w:rFonts w:ascii="Calibri" w:hAnsi="Calibri" w:cs="Calibri"/>
          <w:sz w:val="22"/>
          <w:szCs w:val="22"/>
        </w:rPr>
        <w:t> </w:t>
      </w:r>
      <w:r w:rsidRPr="00C921DE">
        <w:rPr>
          <w:rFonts w:ascii="GHEA Grapalat" w:hAnsi="GHEA Grapalat" w:cs="Sylfaen"/>
          <w:sz w:val="22"/>
          <w:szCs w:val="22"/>
        </w:rPr>
        <w:t>մլն դրամ կամ նախատեսվածի 94.1%-ը՝ պայմանավորված գնումների արդյունքում առաջացած տնտեսումներով:</w:t>
      </w:r>
    </w:p>
    <w:p w14:paraId="6B909BA5" w14:textId="6A52BDA1" w:rsidR="00222A50" w:rsidRPr="00C921DE" w:rsidRDefault="001556D3" w:rsidP="00BD172B">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Հաշվետու տարում </w:t>
      </w:r>
      <w:r w:rsidRPr="00C921DE">
        <w:rPr>
          <w:rFonts w:ascii="GHEA Grapalat" w:hAnsi="GHEA Grapalat" w:cs="Sylfaen"/>
          <w:i/>
          <w:sz w:val="22"/>
          <w:szCs w:val="22"/>
        </w:rPr>
        <w:t>Արվեստների</w:t>
      </w:r>
      <w:r w:rsidRPr="00C921DE">
        <w:rPr>
          <w:rFonts w:ascii="GHEA Grapalat" w:hAnsi="GHEA Grapalat" w:cs="Sylfaen"/>
          <w:sz w:val="22"/>
          <w:szCs w:val="22"/>
        </w:rPr>
        <w:t xml:space="preserve"> ծրագրի շրջանակներում օգտագործվել է նախատեսված միջոցների 96.1%-ը՝ ավելի քան 12.5 մլրդ դրամ: Ծրագրում ընդգրկված են տասնհինգ միջոցառումներ, որոնցից ութում արձանագրվել են շեղումներ, իսկ յոթ միջոցառման համար նախատեսված 2.8</w:t>
      </w:r>
      <w:r w:rsidRPr="00C921DE">
        <w:rPr>
          <w:rFonts w:ascii="Calibri" w:hAnsi="Calibri" w:cs="Calibri"/>
          <w:sz w:val="22"/>
          <w:szCs w:val="22"/>
        </w:rPr>
        <w:t> </w:t>
      </w:r>
      <w:r w:rsidRPr="00C921DE">
        <w:rPr>
          <w:rFonts w:ascii="GHEA Grapalat" w:hAnsi="GHEA Grapalat" w:cs="Sylfaen"/>
          <w:sz w:val="22"/>
          <w:szCs w:val="22"/>
        </w:rPr>
        <w:t xml:space="preserve">մլրդ </w:t>
      </w:r>
      <w:r w:rsidRPr="00C921DE">
        <w:rPr>
          <w:rFonts w:ascii="GHEA Grapalat" w:hAnsi="GHEA Grapalat" w:cs="Sylfaen"/>
          <w:sz w:val="22"/>
          <w:szCs w:val="22"/>
        </w:rPr>
        <w:lastRenderedPageBreak/>
        <w:t>դրամ</w:t>
      </w:r>
      <w:r w:rsidR="00326B6F" w:rsidRPr="00C921DE">
        <w:rPr>
          <w:rFonts w:ascii="GHEA Grapalat" w:hAnsi="GHEA Grapalat" w:cs="Sylfaen"/>
          <w:sz w:val="22"/>
          <w:szCs w:val="22"/>
        </w:rPr>
        <w:t>ն</w:t>
      </w:r>
      <w:r w:rsidRPr="00C921DE">
        <w:rPr>
          <w:rFonts w:ascii="GHEA Grapalat" w:hAnsi="GHEA Grapalat" w:cs="Sylfaen"/>
          <w:sz w:val="22"/>
          <w:szCs w:val="22"/>
        </w:rPr>
        <w:t xml:space="preserve"> օգտագործվել է ամբողջությամբ: Շեղումը հիմնականում պայմանավորված է «Մշակութային միջոցառումների իրականացում», «Թատերական ներկայացումներ» և «Երաժշտարվեստի և պարարվեստի համերգներ» միջոցառումների կատարողականով՝ հիմնականում պայմանավորված ԱԱՀ-ի վճարման համար նախատեսված հատկացումներն ամբողջությամբ չօգտագործելու հանգամանքով, ինչպես նաև տնտեսումներով:</w:t>
      </w:r>
      <w:r w:rsidR="00396FDB" w:rsidRPr="00C921DE">
        <w:rPr>
          <w:rFonts w:ascii="GHEA Grapalat" w:hAnsi="GHEA Grapalat" w:cs="Sylfaen"/>
          <w:sz w:val="22"/>
          <w:szCs w:val="22"/>
        </w:rPr>
        <w:t xml:space="preserve"> Ցածր կատարողական է արձանագրվել նաև</w:t>
      </w:r>
      <w:r w:rsidR="00EB3B4A" w:rsidRPr="00C921DE">
        <w:rPr>
          <w:rFonts w:ascii="GHEA Grapalat" w:hAnsi="GHEA Grapalat" w:cs="Sylfaen"/>
          <w:sz w:val="22"/>
          <w:szCs w:val="22"/>
        </w:rPr>
        <w:t xml:space="preserve"> </w:t>
      </w:r>
      <w:r w:rsidR="00396FDB" w:rsidRPr="00C921DE">
        <w:rPr>
          <w:rFonts w:ascii="GHEA Grapalat" w:hAnsi="GHEA Grapalat" w:cs="Sylfaen"/>
          <w:sz w:val="22"/>
          <w:szCs w:val="22"/>
        </w:rPr>
        <w:t>թատրոնների և համերգային կազմակերպությունների շենքերի կապիտալ վերանորոգման համար ներդրումների ծախսերում, որո</w:t>
      </w:r>
      <w:r w:rsidR="00687DFA" w:rsidRPr="00C921DE">
        <w:rPr>
          <w:rFonts w:ascii="GHEA Grapalat" w:hAnsi="GHEA Grapalat" w:cs="Sylfaen"/>
          <w:sz w:val="22"/>
          <w:szCs w:val="22"/>
        </w:rPr>
        <w:t>նք կատարվել են 44.3%-ով՝ կազմելով 46.6 մլն դրամ:</w:t>
      </w:r>
      <w:r w:rsidR="00222A50" w:rsidRPr="00C921DE">
        <w:rPr>
          <w:rFonts w:ascii="GHEA Grapalat" w:hAnsi="GHEA Grapalat" w:cs="Sylfaen"/>
          <w:sz w:val="22"/>
          <w:szCs w:val="22"/>
        </w:rPr>
        <w:t xml:space="preserve"> Միջոցառման շրջանակներում նախատեսված</w:t>
      </w:r>
      <w:r w:rsidR="00C44DA4" w:rsidRPr="00C921DE">
        <w:rPr>
          <w:rFonts w:ascii="GHEA Grapalat" w:hAnsi="GHEA Grapalat" w:cs="Sylfaen"/>
          <w:sz w:val="22"/>
          <w:szCs w:val="22"/>
        </w:rPr>
        <w:t>՝</w:t>
      </w:r>
      <w:r w:rsidR="00222A50" w:rsidRPr="00C921DE">
        <w:rPr>
          <w:rFonts w:ascii="GHEA Grapalat" w:hAnsi="GHEA Grapalat" w:cs="Sylfaen"/>
          <w:sz w:val="22"/>
          <w:szCs w:val="22"/>
        </w:rPr>
        <w:t xml:space="preserve"> </w:t>
      </w:r>
      <w:r w:rsidR="00C44DA4" w:rsidRPr="00C921DE">
        <w:rPr>
          <w:rFonts w:ascii="GHEA Grapalat" w:hAnsi="GHEA Grapalat" w:cs="Sylfaen"/>
          <w:sz w:val="22"/>
          <w:szCs w:val="22"/>
        </w:rPr>
        <w:t>Երևանի մնջախաղի պետական թատրոնի</w:t>
      </w:r>
      <w:r w:rsidR="00222A50" w:rsidRPr="00C921DE">
        <w:rPr>
          <w:rFonts w:ascii="GHEA Grapalat" w:hAnsi="GHEA Grapalat" w:cs="Sylfaen"/>
          <w:sz w:val="22"/>
          <w:szCs w:val="22"/>
        </w:rPr>
        <w:t xml:space="preserve"> մասով աշխատանքները </w:t>
      </w:r>
      <w:r w:rsidR="00C44DA4" w:rsidRPr="00C921DE">
        <w:rPr>
          <w:rFonts w:ascii="GHEA Grapalat" w:hAnsi="GHEA Grapalat" w:cs="Sylfaen"/>
          <w:sz w:val="22"/>
          <w:szCs w:val="22"/>
        </w:rPr>
        <w:t>գտնվել են ընթացքում, ուստի</w:t>
      </w:r>
      <w:r w:rsidR="00222A50" w:rsidRPr="00C921DE">
        <w:rPr>
          <w:rFonts w:ascii="GHEA Grapalat" w:hAnsi="GHEA Grapalat" w:cs="Sylfaen"/>
          <w:sz w:val="22"/>
          <w:szCs w:val="22"/>
        </w:rPr>
        <w:t xml:space="preserve"> կատարողական ակտերն ամբողջությամբ չեն ներկայացվել, </w:t>
      </w:r>
      <w:r w:rsidR="00EE7AEF" w:rsidRPr="00C921DE">
        <w:rPr>
          <w:rFonts w:ascii="GHEA Grapalat" w:hAnsi="GHEA Grapalat" w:cs="Sylfaen"/>
          <w:sz w:val="22"/>
          <w:szCs w:val="22"/>
          <w:lang w:val="en-US"/>
        </w:rPr>
        <w:t xml:space="preserve">իսկ </w:t>
      </w:r>
      <w:r w:rsidR="00EE7AEF" w:rsidRPr="00C921DE">
        <w:rPr>
          <w:rFonts w:ascii="GHEA Grapalat" w:hAnsi="GHEA Grapalat" w:cs="Sylfaen"/>
          <w:sz w:val="22"/>
          <w:szCs w:val="22"/>
        </w:rPr>
        <w:t>Հայաստանի պետական սիմֆոնիկ նվագախմբի շենք</w:t>
      </w:r>
      <w:r w:rsidR="00222A50" w:rsidRPr="00C921DE">
        <w:rPr>
          <w:rFonts w:ascii="GHEA Grapalat" w:hAnsi="GHEA Grapalat" w:cs="Sylfaen"/>
          <w:sz w:val="22"/>
          <w:szCs w:val="22"/>
        </w:rPr>
        <w:t>ի մասով նախագծումն ավարտվել է տարեվերջին</w:t>
      </w:r>
      <w:r w:rsidR="00D812A9" w:rsidRPr="00C921DE">
        <w:rPr>
          <w:rFonts w:ascii="GHEA Grapalat" w:hAnsi="GHEA Grapalat" w:cs="Sylfaen"/>
          <w:sz w:val="22"/>
          <w:szCs w:val="22"/>
        </w:rPr>
        <w:t>,</w:t>
      </w:r>
      <w:r w:rsidR="00222A50" w:rsidRPr="00C921DE">
        <w:rPr>
          <w:rFonts w:ascii="GHEA Grapalat" w:hAnsi="GHEA Grapalat" w:cs="Sylfaen"/>
          <w:sz w:val="22"/>
          <w:szCs w:val="22"/>
        </w:rPr>
        <w:t xml:space="preserve"> և փորձաքննության համար նախատեսված գումարը չի իրացվել: 2023 թվականին շարունակվել են Երևանի մնջախաղի պետական թատրոնի շենքի վերակառուցման աշխատանքները, ինչպես նաև կապիտալ դրամաշնորհներ են հատկացվել «Երևանի Հ.Թումանյանի անվան պետական տիկնիկային թատրոն» ՊՈԱԿ–ին՝ հովացման համակարգի արդիականացման աշխատանքների ձեռքբերման համար և «Գաբրիել Սունդուկյանի անվան ազգային ակադեմիական թատրոն» ՊՈԱԿ-ին` շենքի տանիքի հիմնանորոգման ծավալների ավելացման համար (տանիքի հիմնանորոգման գումարը հատկ</w:t>
      </w:r>
      <w:r w:rsidR="00D812A9" w:rsidRPr="00C921DE">
        <w:rPr>
          <w:rFonts w:ascii="GHEA Grapalat" w:hAnsi="GHEA Grapalat" w:cs="Sylfaen"/>
          <w:sz w:val="22"/>
          <w:szCs w:val="22"/>
        </w:rPr>
        <w:t>ա</w:t>
      </w:r>
      <w:r w:rsidR="00222A50" w:rsidRPr="00C921DE">
        <w:rPr>
          <w:rFonts w:ascii="GHEA Grapalat" w:hAnsi="GHEA Grapalat" w:cs="Sylfaen"/>
          <w:sz w:val="22"/>
          <w:szCs w:val="22"/>
        </w:rPr>
        <w:t>ցվել էր 2022 թվականին</w:t>
      </w:r>
      <w:r w:rsidR="00D812A9" w:rsidRPr="00C921DE">
        <w:rPr>
          <w:rFonts w:ascii="GHEA Grapalat" w:hAnsi="GHEA Grapalat" w:cs="Sylfaen"/>
          <w:sz w:val="22"/>
          <w:szCs w:val="22"/>
        </w:rPr>
        <w:t>)</w:t>
      </w:r>
      <w:r w:rsidR="00222A50" w:rsidRPr="00C921DE">
        <w:rPr>
          <w:rFonts w:ascii="GHEA Grapalat" w:hAnsi="GHEA Grapalat" w:cs="Sylfaen"/>
          <w:sz w:val="22"/>
          <w:szCs w:val="22"/>
        </w:rPr>
        <w:t>։</w:t>
      </w:r>
    </w:p>
    <w:p w14:paraId="26B68D0D" w14:textId="578A3225" w:rsidR="001556D3" w:rsidRPr="00C921DE" w:rsidRDefault="001556D3" w:rsidP="001556D3">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Sylfaen"/>
          <w:sz w:val="22"/>
          <w:szCs w:val="22"/>
        </w:rPr>
        <w:t>Նախորդ տարվա համեմատ</w:t>
      </w:r>
      <w:r w:rsidR="000012F6" w:rsidRPr="00C921DE">
        <w:rPr>
          <w:rFonts w:ascii="GHEA Grapalat" w:hAnsi="GHEA Grapalat" w:cs="Sylfaen"/>
          <w:sz w:val="22"/>
          <w:szCs w:val="22"/>
          <w:lang w:val="en-US"/>
        </w:rPr>
        <w:t xml:space="preserve"> Արվեստների</w:t>
      </w:r>
      <w:r w:rsidRPr="00C921DE">
        <w:rPr>
          <w:rFonts w:ascii="GHEA Grapalat" w:hAnsi="GHEA Grapalat" w:cs="Sylfaen"/>
          <w:sz w:val="22"/>
          <w:szCs w:val="22"/>
        </w:rPr>
        <w:t xml:space="preserve"> ծրագրի ծախսերն աճել են 17.2%-ով կամ 1.8 մլրդ դրամով` հիմնականում</w:t>
      </w:r>
      <w:r w:rsidRPr="00C921DE">
        <w:rPr>
          <w:rFonts w:ascii="GHEA Grapalat" w:hAnsi="GHEA Grapalat" w:cs="Sylfaen"/>
          <w:sz w:val="22"/>
          <w:szCs w:val="22"/>
          <w:lang w:val="zu-ZA"/>
        </w:rPr>
        <w:t xml:space="preserve"> </w:t>
      </w:r>
      <w:r w:rsidRPr="00C921DE">
        <w:rPr>
          <w:rFonts w:ascii="GHEA Grapalat" w:hAnsi="GHEA Grapalat" w:cs="Sylfaen"/>
          <w:sz w:val="22"/>
          <w:szCs w:val="22"/>
        </w:rPr>
        <w:t>պայմանավորված մշակութային միջոցառումների իրականացման գծով ծախսերի աճով:</w:t>
      </w:r>
    </w:p>
    <w:p w14:paraId="444DF7C6" w14:textId="40AAE123"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Մշակութային միջոցառումների նպատակն է հայ ժամանակակից արվեստի զարգացումն ու հանրահռչակումը, երիտասարդ ստեղծագործական ներուժի բացահայտումը, դրա զարգացման համար պայմանների ստեղծումը և ժամանակակից ստեղծագործական գործընթացներում ներգրավումը, նոր գաղափարների և մտահղացումների խթանումը, խաղացանկերի և երկացանկերի ժանրային ու ոճական բազմազանության և որակի ապահովումը: Միջոցառման շրջանակ</w:t>
      </w:r>
      <w:r w:rsidR="00992D65" w:rsidRPr="00C921DE">
        <w:rPr>
          <w:rFonts w:ascii="GHEA Grapalat" w:hAnsi="GHEA Grapalat" w:cs="Sylfaen"/>
          <w:sz w:val="22"/>
          <w:szCs w:val="22"/>
          <w:lang w:val="en-US"/>
        </w:rPr>
        <w:t>ներ</w:t>
      </w:r>
      <w:r w:rsidRPr="00C921DE">
        <w:rPr>
          <w:rFonts w:ascii="GHEA Grapalat" w:hAnsi="GHEA Grapalat" w:cs="Sylfaen"/>
          <w:sz w:val="22"/>
          <w:szCs w:val="22"/>
        </w:rPr>
        <w:t>ում 2023 թվականին իրականացված միջոցառումներից հատկանշական են` «Պիաֆ սիմֆոնիկ», «Համերգներ տանիքում», «Ջազ երեխաների համար» նախագծերը: Արամ Խաչատրյանի 120-ամյակի հոբելյանական միջոցառումների շրջանակում կայացել է 65 համերգ, Ալ</w:t>
      </w:r>
      <w:r w:rsidRPr="00C921DE">
        <w:rPr>
          <w:rFonts w:ascii="Cambria Math" w:hAnsi="Cambria Math" w:cs="Cambria Math"/>
          <w:sz w:val="22"/>
          <w:szCs w:val="22"/>
        </w:rPr>
        <w:t>․</w:t>
      </w:r>
      <w:r w:rsidR="00992D65" w:rsidRPr="00C921DE">
        <w:rPr>
          <w:rFonts w:ascii="GHEA Grapalat" w:hAnsi="GHEA Grapalat" w:cs="Sylfaen"/>
          <w:sz w:val="22"/>
          <w:szCs w:val="22"/>
        </w:rPr>
        <w:t xml:space="preserve"> Սպենդիարյանի</w:t>
      </w:r>
      <w:r w:rsidRPr="00C921DE">
        <w:rPr>
          <w:rFonts w:ascii="GHEA Grapalat" w:hAnsi="GHEA Grapalat" w:cs="Sylfaen"/>
          <w:sz w:val="22"/>
          <w:szCs w:val="22"/>
        </w:rPr>
        <w:t xml:space="preserve"> անվան ազգային ակադեմիական թատրոնի 12 հյուրախաղ Ֆրանսիայում (Փարիզ և Ստրասբուրգ քաղաքներում), Արամ Խաչատրյանի 120-ամյակին նվիրված փառատոն Չինաստանում, Մեցցո ալիքի կողմից </w:t>
      </w:r>
      <w:r w:rsidR="00992D65" w:rsidRPr="00C921DE">
        <w:rPr>
          <w:rFonts w:ascii="GHEA Grapalat" w:hAnsi="GHEA Grapalat" w:cs="Sylfaen"/>
          <w:sz w:val="22"/>
          <w:szCs w:val="22"/>
        </w:rPr>
        <w:t xml:space="preserve">իրականացվել </w:t>
      </w:r>
      <w:r w:rsidR="00992D65" w:rsidRPr="00C921DE">
        <w:rPr>
          <w:rFonts w:ascii="GHEA Grapalat" w:hAnsi="GHEA Grapalat" w:cs="Sylfaen"/>
          <w:sz w:val="22"/>
          <w:szCs w:val="22"/>
          <w:lang w:val="en-US"/>
        </w:rPr>
        <w:t>են</w:t>
      </w:r>
      <w:r w:rsidR="00992D65" w:rsidRPr="00C921DE">
        <w:rPr>
          <w:rFonts w:ascii="GHEA Grapalat" w:hAnsi="GHEA Grapalat" w:cs="Sylfaen"/>
          <w:sz w:val="22"/>
          <w:szCs w:val="22"/>
        </w:rPr>
        <w:t xml:space="preserve"> </w:t>
      </w:r>
      <w:r w:rsidRPr="00C921DE">
        <w:rPr>
          <w:rFonts w:ascii="GHEA Grapalat" w:hAnsi="GHEA Grapalat" w:cs="Sylfaen"/>
          <w:sz w:val="22"/>
          <w:szCs w:val="22"/>
        </w:rPr>
        <w:t>Ա. Խաչատրյանի 120-ամյակին նվիրված տեսաֆիլմի պատրաստման աշխատանքները, կազմակե</w:t>
      </w:r>
      <w:r w:rsidR="00AD2598" w:rsidRPr="00C921DE">
        <w:rPr>
          <w:rFonts w:ascii="GHEA Grapalat" w:hAnsi="GHEA Grapalat" w:cs="Sylfaen"/>
          <w:sz w:val="22"/>
          <w:szCs w:val="22"/>
          <w:lang w:val="en-US"/>
        </w:rPr>
        <w:t>ր</w:t>
      </w:r>
      <w:r w:rsidRPr="00C921DE">
        <w:rPr>
          <w:rFonts w:ascii="GHEA Grapalat" w:hAnsi="GHEA Grapalat" w:cs="Sylfaen"/>
          <w:sz w:val="22"/>
          <w:szCs w:val="22"/>
        </w:rPr>
        <w:t xml:space="preserve">պվել են Թուրքմենստանի և Ռուսաստանի մշակույթի օրերը </w:t>
      </w:r>
      <w:r w:rsidRPr="00C921DE">
        <w:rPr>
          <w:rFonts w:ascii="GHEA Grapalat" w:hAnsi="GHEA Grapalat" w:cs="Sylfaen"/>
          <w:sz w:val="22"/>
          <w:szCs w:val="22"/>
        </w:rPr>
        <w:lastRenderedPageBreak/>
        <w:t>Հայաստանում, մասնակցություն է ապահովվել Լառնակայի բիեննալեին, եվրոպական երաժշտական փառատոներին Գերմանիայում, Իտալիայում, ապահովվել է միջազգային համագործակցությունը Եվրախորհրդի, ՅՈՒՆԵՍԿՕ-ի, ՄԱԿ-ի, ԱՊՀ համապատասխան 12 կառույցների հետ</w:t>
      </w:r>
      <w:r w:rsidRPr="00C921DE">
        <w:rPr>
          <w:rFonts w:ascii="GHEA Grapalat" w:hAnsi="GHEA Grapalat" w:cs="Sylfaen"/>
        </w:rPr>
        <w:t>։</w:t>
      </w:r>
      <w:r w:rsidRPr="00C921DE">
        <w:rPr>
          <w:rFonts w:ascii="GHEA Grapalat" w:hAnsi="GHEA Grapalat" w:cs="Sylfaen"/>
          <w:color w:val="00B050"/>
          <w:sz w:val="22"/>
          <w:szCs w:val="22"/>
        </w:rPr>
        <w:t xml:space="preserve"> </w:t>
      </w:r>
      <w:r w:rsidRPr="00C921DE">
        <w:rPr>
          <w:rFonts w:ascii="GHEA Grapalat" w:hAnsi="GHEA Grapalat" w:cs="Sylfaen"/>
          <w:sz w:val="22"/>
          <w:szCs w:val="22"/>
        </w:rPr>
        <w:t>Մշակութային միջոցառումների իրականացմանը հաշվետու տարվա ընթացքում տրամադրվել է ավելի քան 3.9 մլրդ դրամ` ապահովելով 93.5% կատարողական: Նախորդ տարվա համեմատ մշակութային միջոցառումների գծով ծախսերն աճել են 3.2 անգամ կամ 2.7</w:t>
      </w:r>
      <w:r w:rsidRPr="00C921DE">
        <w:rPr>
          <w:rFonts w:ascii="Calibri" w:hAnsi="Calibri" w:cs="Calibri"/>
          <w:sz w:val="22"/>
          <w:szCs w:val="22"/>
        </w:rPr>
        <w:t> </w:t>
      </w:r>
      <w:r w:rsidRPr="00C921DE">
        <w:rPr>
          <w:rFonts w:ascii="GHEA Grapalat" w:hAnsi="GHEA Grapalat" w:cs="Sylfaen"/>
          <w:sz w:val="22"/>
          <w:szCs w:val="22"/>
        </w:rPr>
        <w:t>մլրդ դրամով, որը հիմնականում պայմանավորված է 2023 թվականին «Համաշխարհային աստղի հայաստանյան հյուրախաղեր» երաժշտական նախագծի համար</w:t>
      </w:r>
      <w:r w:rsidR="009B409B" w:rsidRPr="00C921DE">
        <w:rPr>
          <w:rFonts w:ascii="GHEA Grapalat" w:hAnsi="GHEA Grapalat" w:cs="Sylfaen"/>
          <w:sz w:val="22"/>
          <w:szCs w:val="22"/>
        </w:rPr>
        <w:t xml:space="preserve"> </w:t>
      </w:r>
      <w:r w:rsidRPr="00C921DE">
        <w:rPr>
          <w:rFonts w:ascii="GHEA Grapalat" w:hAnsi="GHEA Grapalat" w:cs="Sylfaen"/>
          <w:sz w:val="22"/>
          <w:szCs w:val="22"/>
        </w:rPr>
        <w:t xml:space="preserve">միջոցների տրամադրմամբ, </w:t>
      </w:r>
      <w:r w:rsidR="00B92BDC" w:rsidRPr="00C921DE">
        <w:rPr>
          <w:rFonts w:ascii="GHEA Grapalat" w:hAnsi="GHEA Grapalat" w:cs="Sylfaen"/>
          <w:sz w:val="22"/>
          <w:szCs w:val="22"/>
          <w:lang w:val="en-US"/>
        </w:rPr>
        <w:t>որ</w:t>
      </w:r>
      <w:r w:rsidRPr="00C921DE">
        <w:rPr>
          <w:rFonts w:ascii="GHEA Grapalat" w:hAnsi="GHEA Grapalat" w:cs="Sylfaen"/>
          <w:sz w:val="22"/>
          <w:szCs w:val="22"/>
        </w:rPr>
        <w:t>ը հետաձգվել և տեղափոխվել է 2024 թվական:</w:t>
      </w:r>
    </w:p>
    <w:p w14:paraId="7E274EC7" w14:textId="4038F349"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2023 թվականին երաժշտարվեստի և պարարվեստի համերգների միջոցառման շրջանակներում հատկացումներն ուղղվել են 9 համերգային կազմակերպությունների երաժշտարվեստի և պարարվեստի պահպանմանը, զարգացմանն ու տարածմանը, երաժշտադրամատիկական, երաժշտական կատարողական, երգի-պարի արվեստին հաղորդակցմանը, նոր գաղափարների ու արժեքների տարածմանը: Փաստացի համերգների քանակը 2023 թվականին կազմել է 736՝ կանխատեսված 536-ի և 2022 թվականի 612-ի դիմաց, իսկ նոր համերգային համարների քանակը կազմել է 105՝ նախատեսված 42-ի և 2022 թվականի 85-ի դիմաց: Փաստացի արդյունքային ցուցանիշների գերազանցումը կանխատեսվածի նկատմամբ հիմնականում պայմանավորված է 2023 թվականին նշվող Արամ Խաչատրյանի 120-ամյա հոբելյանով, ՀՀ մարզերում իրականացվող միջոցառումների թվով,</w:t>
      </w:r>
      <w:r w:rsidR="009B409B" w:rsidRPr="00C921DE">
        <w:rPr>
          <w:rFonts w:ascii="GHEA Grapalat" w:hAnsi="GHEA Grapalat" w:cs="Sylfaen"/>
          <w:sz w:val="22"/>
          <w:szCs w:val="22"/>
        </w:rPr>
        <w:t xml:space="preserve"> </w:t>
      </w:r>
      <w:r w:rsidRPr="00C921DE">
        <w:rPr>
          <w:rFonts w:ascii="GHEA Grapalat" w:hAnsi="GHEA Grapalat" w:cs="Sylfaen"/>
          <w:sz w:val="22"/>
          <w:szCs w:val="22"/>
        </w:rPr>
        <w:t>2023 թվականին իրականացված մի շարք նոր նախագծերով, որոնց թվում են՝ «Ջերմ Ամանոր» համերգ-տոնավաճառը Ջերմուկում», «Հոգևոր երաժշտության փառատոն», «ՖեստիՎառ», «Զատկի փառատոն», ինչպես նաև երաժշտական խմբերի հյուրախաղերի թվի ավելացմամբ:</w:t>
      </w:r>
      <w:r w:rsidRPr="00C921DE">
        <w:rPr>
          <w:rFonts w:ascii="GHEA Grapalat" w:hAnsi="GHEA Grapalat" w:cs="Sylfaen"/>
          <w:color w:val="000000" w:themeColor="text1"/>
          <w:sz w:val="22"/>
          <w:szCs w:val="22"/>
        </w:rPr>
        <w:t xml:space="preserve"> </w:t>
      </w:r>
      <w:r w:rsidRPr="00C921DE">
        <w:rPr>
          <w:rFonts w:ascii="GHEA Grapalat" w:hAnsi="GHEA Grapalat" w:cs="Sylfaen"/>
          <w:sz w:val="22"/>
          <w:szCs w:val="22"/>
        </w:rPr>
        <w:t xml:space="preserve">2023 թվականին երաժշտարվեստի և պարարվեստի համերգների միջոցառման ծախսերը կազմել են շուրջ 3 մլրդ դրամ կամ նախատեսվածի 98.2%-ը, իսկ նախորդ տարվա համեմատ նվազել են 5%-ով կամ 155.3 մլն դրամով, որը հիմնականում պայմանավորված է </w:t>
      </w:r>
      <w:r w:rsidRPr="00C921DE">
        <w:rPr>
          <w:rFonts w:ascii="GHEA Grapalat" w:hAnsi="GHEA Grapalat" w:cs="GHEA Grapalat"/>
          <w:iCs/>
          <w:sz w:val="22"/>
          <w:szCs w:val="22"/>
        </w:rPr>
        <w:t>պահպանման ծախսերի տնտեսմամբ:</w:t>
      </w:r>
      <w:r w:rsidRPr="00C921DE">
        <w:rPr>
          <w:rFonts w:ascii="GHEA Grapalat" w:hAnsi="GHEA Grapalat" w:cs="Sylfaen"/>
          <w:sz w:val="22"/>
          <w:szCs w:val="22"/>
        </w:rPr>
        <w:t xml:space="preserve"> </w:t>
      </w:r>
    </w:p>
    <w:p w14:paraId="45061F0E" w14:textId="099A9385" w:rsidR="001556D3" w:rsidRPr="00C921DE" w:rsidRDefault="001556D3" w:rsidP="001556D3">
      <w:pPr>
        <w:autoSpaceDE w:val="0"/>
        <w:autoSpaceDN w:val="0"/>
        <w:adjustRightInd w:val="0"/>
        <w:spacing w:line="360" w:lineRule="auto"/>
        <w:ind w:firstLine="567"/>
        <w:jc w:val="both"/>
        <w:rPr>
          <w:rFonts w:ascii="GHEA Grapalat" w:hAnsi="GHEA Grapalat" w:cs="Sylfaen"/>
          <w:color w:val="00B0F0"/>
          <w:sz w:val="22"/>
          <w:szCs w:val="22"/>
        </w:rPr>
      </w:pPr>
      <w:r w:rsidRPr="00C921DE">
        <w:rPr>
          <w:rFonts w:ascii="GHEA Grapalat" w:hAnsi="GHEA Grapalat" w:cs="Sylfaen"/>
          <w:color w:val="000000" w:themeColor="text1"/>
          <w:sz w:val="22"/>
          <w:szCs w:val="22"/>
        </w:rPr>
        <w:t>Թատերական ներկայացումների միջոցառման շրջանակներում հատկացումներն ուղղվել են 15 թատրոնների գործունեության ապահովմանը: Փաստացի ներկայացումների քանակը 2023 թվականին կազմել է 2794՝ նախատեսված 2529-ի և 2022 թվականի 2719-ի դիմաց, հանդիսատեսի թիվը կազմել է 451305՝ կանխատեսված 414167-ի և 2022 թվականի 458888-ի դիմաց, իսկ նոր ներկայացումների քանակը կազմել է 74՝ նախատեսված 57-ի և 2022 թվականի 73-ի դիմաց: Թատերական ներկայացումների ծախսերը կազմել են շուրջ 2.3 մլրդ դրամ</w:t>
      </w:r>
      <w:r w:rsidR="00F37B6E" w:rsidRPr="00C921DE">
        <w:rPr>
          <w:rFonts w:ascii="GHEA Grapalat" w:hAnsi="GHEA Grapalat" w:cs="Sylfaen"/>
          <w:color w:val="000000" w:themeColor="text1"/>
          <w:sz w:val="22"/>
          <w:szCs w:val="22"/>
          <w:lang w:val="en-US"/>
        </w:rPr>
        <w:t xml:space="preserve"> կամ ծրագրված ցուցանիշի</w:t>
      </w:r>
      <w:r w:rsidRPr="00C921DE">
        <w:rPr>
          <w:rFonts w:ascii="GHEA Grapalat" w:hAnsi="GHEA Grapalat" w:cs="Sylfaen"/>
          <w:color w:val="000000" w:themeColor="text1"/>
          <w:sz w:val="22"/>
          <w:szCs w:val="22"/>
        </w:rPr>
        <w:t xml:space="preserve"> 96.8%-</w:t>
      </w:r>
      <w:r w:rsidR="00F37B6E" w:rsidRPr="00C921DE">
        <w:rPr>
          <w:rFonts w:ascii="GHEA Grapalat" w:hAnsi="GHEA Grapalat" w:cs="Sylfaen"/>
          <w:color w:val="000000" w:themeColor="text1"/>
          <w:sz w:val="22"/>
          <w:szCs w:val="22"/>
          <w:lang w:val="en-US"/>
        </w:rPr>
        <w:t>ը</w:t>
      </w:r>
      <w:r w:rsidRPr="00C921DE">
        <w:rPr>
          <w:rFonts w:ascii="GHEA Grapalat" w:hAnsi="GHEA Grapalat" w:cs="Sylfaen"/>
          <w:color w:val="000000" w:themeColor="text1"/>
          <w:sz w:val="22"/>
          <w:szCs w:val="22"/>
        </w:rPr>
        <w:t>: Նախորդ տարվա համեմատ միջոցառման ծախսերն աճել</w:t>
      </w:r>
      <w:r w:rsidR="00F37B6E" w:rsidRPr="00C921DE">
        <w:rPr>
          <w:rFonts w:ascii="GHEA Grapalat" w:hAnsi="GHEA Grapalat" w:cs="Sylfaen"/>
          <w:color w:val="000000" w:themeColor="text1"/>
          <w:sz w:val="22"/>
          <w:szCs w:val="22"/>
        </w:rPr>
        <w:t xml:space="preserve"> են 1.4%-ով կամ 30.7 մլն դրամով</w:t>
      </w:r>
      <w:r w:rsidRPr="00C921DE">
        <w:rPr>
          <w:rFonts w:ascii="GHEA Grapalat" w:hAnsi="GHEA Grapalat" w:cs="GHEA Grapalat"/>
          <w:iCs/>
          <w:color w:val="000000" w:themeColor="text1"/>
          <w:sz w:val="22"/>
          <w:szCs w:val="22"/>
        </w:rPr>
        <w:t>:</w:t>
      </w:r>
      <w:r w:rsidRPr="00C921DE">
        <w:rPr>
          <w:rFonts w:ascii="GHEA Grapalat" w:hAnsi="GHEA Grapalat" w:cs="Sylfaen"/>
          <w:color w:val="000000" w:themeColor="text1"/>
          <w:sz w:val="22"/>
          <w:szCs w:val="22"/>
        </w:rPr>
        <w:t xml:space="preserve"> </w:t>
      </w:r>
    </w:p>
    <w:p w14:paraId="16E2322E" w14:textId="22D6A51E" w:rsidR="001556D3" w:rsidRPr="00C921DE" w:rsidRDefault="001556D3" w:rsidP="001556D3">
      <w:pPr>
        <w:autoSpaceDE w:val="0"/>
        <w:autoSpaceDN w:val="0"/>
        <w:adjustRightInd w:val="0"/>
        <w:spacing w:line="360" w:lineRule="auto"/>
        <w:ind w:firstLine="567"/>
        <w:jc w:val="both"/>
        <w:rPr>
          <w:rFonts w:ascii="GHEA Grapalat" w:hAnsi="GHEA Grapalat" w:cs="Sylfaen"/>
          <w:color w:val="000000" w:themeColor="text1"/>
          <w:sz w:val="22"/>
          <w:szCs w:val="22"/>
        </w:rPr>
      </w:pPr>
      <w:r w:rsidRPr="00C921DE">
        <w:rPr>
          <w:rFonts w:ascii="GHEA Grapalat" w:hAnsi="GHEA Grapalat" w:cs="Sylfaen"/>
          <w:color w:val="000000" w:themeColor="text1"/>
          <w:sz w:val="22"/>
          <w:szCs w:val="22"/>
        </w:rPr>
        <w:lastRenderedPageBreak/>
        <w:t>Օպերային և բալետային արվեստի ներկայացումներին աջակցության միջոցառումն իրականացվել է օպերային և բալետային արվեստի ավանդույթների պահպանման, տարածման և զարգացման, դասական ու ժամանակակից օպերային և բալետային ստեղծագործությունների բեմադրման նպատակով: Փաստացի ներկայացումների քանա</w:t>
      </w:r>
      <w:r w:rsidR="000012F6" w:rsidRPr="00C921DE">
        <w:rPr>
          <w:rFonts w:ascii="GHEA Grapalat" w:hAnsi="GHEA Grapalat" w:cs="Sylfaen"/>
          <w:color w:val="000000" w:themeColor="text1"/>
          <w:sz w:val="22"/>
          <w:szCs w:val="22"/>
        </w:rPr>
        <w:t xml:space="preserve">կը 2023 թվականին կազմել է 156՝ </w:t>
      </w:r>
      <w:r w:rsidR="000012F6" w:rsidRPr="00C921DE">
        <w:rPr>
          <w:rFonts w:ascii="GHEA Grapalat" w:hAnsi="GHEA Grapalat" w:cs="Sylfaen"/>
          <w:color w:val="000000" w:themeColor="text1"/>
          <w:sz w:val="22"/>
          <w:szCs w:val="22"/>
          <w:lang w:val="en-US"/>
        </w:rPr>
        <w:t>կան</w:t>
      </w:r>
      <w:r w:rsidRPr="00C921DE">
        <w:rPr>
          <w:rFonts w:ascii="GHEA Grapalat" w:hAnsi="GHEA Grapalat" w:cs="Sylfaen"/>
          <w:color w:val="000000" w:themeColor="text1"/>
          <w:sz w:val="22"/>
          <w:szCs w:val="22"/>
        </w:rPr>
        <w:t>խատեսված 120-ի և 2022 թվականի 179-ի դ</w:t>
      </w:r>
      <w:r w:rsidR="000012F6" w:rsidRPr="00C921DE">
        <w:rPr>
          <w:rFonts w:ascii="GHEA Grapalat" w:hAnsi="GHEA Grapalat" w:cs="Sylfaen"/>
          <w:color w:val="000000" w:themeColor="text1"/>
          <w:sz w:val="22"/>
          <w:szCs w:val="22"/>
        </w:rPr>
        <w:t xml:space="preserve">իմաց, հանդիսատեսի թիվը՝ 89283՝ </w:t>
      </w:r>
      <w:r w:rsidR="000012F6" w:rsidRPr="00C921DE">
        <w:rPr>
          <w:rFonts w:ascii="GHEA Grapalat" w:hAnsi="GHEA Grapalat" w:cs="Sylfaen"/>
          <w:color w:val="000000" w:themeColor="text1"/>
          <w:sz w:val="22"/>
          <w:szCs w:val="22"/>
          <w:lang w:val="en-US"/>
        </w:rPr>
        <w:t>կան</w:t>
      </w:r>
      <w:r w:rsidRPr="00C921DE">
        <w:rPr>
          <w:rFonts w:ascii="GHEA Grapalat" w:hAnsi="GHEA Grapalat" w:cs="Sylfaen"/>
          <w:color w:val="000000" w:themeColor="text1"/>
          <w:sz w:val="22"/>
          <w:szCs w:val="22"/>
        </w:rPr>
        <w:t>խատեսված 70620-ի և 2022 թվականի 90691-ի դիմաց: 2023 թվականին բեմադրվել են 3 նոր ներկայացումներ` «Կարապի լիճը», «Տուրանդոտը», «Մուկը»: Նշված ցուցանիշների բարձ մակարդակը կանխատեսվածների նկատմամբ հիմնականում պայմանավորված է նոր ներկայացումների առաջնախաղերով, վերականգնված ներկայացումների քանակով, ինչպես նաև կազմակերպությ</w:t>
      </w:r>
      <w:r w:rsidR="00D93D08" w:rsidRPr="00C921DE">
        <w:rPr>
          <w:rFonts w:ascii="GHEA Grapalat" w:hAnsi="GHEA Grapalat" w:cs="Sylfaen"/>
          <w:color w:val="000000" w:themeColor="text1"/>
          <w:sz w:val="22"/>
          <w:szCs w:val="22"/>
          <w:lang w:val="en-US"/>
        </w:rPr>
        <w:t>ան</w:t>
      </w:r>
      <w:r w:rsidRPr="00C921DE">
        <w:rPr>
          <w:rFonts w:ascii="GHEA Grapalat" w:hAnsi="GHEA Grapalat" w:cs="Sylfaen"/>
          <w:color w:val="000000" w:themeColor="text1"/>
          <w:sz w:val="22"/>
          <w:szCs w:val="22"/>
        </w:rPr>
        <w:t xml:space="preserve"> գովազդատեղեկատվական ակտիվ գործունեությամբ: Միջոցառման շրջանակներում հաշվետու</w:t>
      </w:r>
      <w:r w:rsidRPr="00C921DE">
        <w:rPr>
          <w:rFonts w:ascii="GHEA Grapalat" w:hAnsi="GHEA Grapalat" w:cs="Sylfaen"/>
          <w:sz w:val="22"/>
          <w:szCs w:val="22"/>
        </w:rPr>
        <w:t xml:space="preserve"> տարում Ալ. Սպենդիարյանի անվան օպերայի և բալետի պետական ակադեմիական թատրոնին</w:t>
      </w:r>
      <w:r w:rsidR="00D93D08" w:rsidRPr="00C921DE">
        <w:rPr>
          <w:rFonts w:ascii="GHEA Grapalat" w:hAnsi="GHEA Grapalat" w:cs="Sylfaen"/>
          <w:sz w:val="22"/>
          <w:szCs w:val="22"/>
          <w:lang w:val="en-US"/>
        </w:rPr>
        <w:t xml:space="preserve"> տրամադրվել է </w:t>
      </w:r>
      <w:r w:rsidR="00D93D08" w:rsidRPr="00C921DE">
        <w:rPr>
          <w:rFonts w:ascii="GHEA Grapalat" w:hAnsi="GHEA Grapalat" w:cs="Sylfaen"/>
          <w:sz w:val="22"/>
          <w:szCs w:val="22"/>
        </w:rPr>
        <w:t>ավելի քան 1.4 մլրդ դրամ</w:t>
      </w:r>
      <w:r w:rsidRPr="00C921DE">
        <w:rPr>
          <w:rFonts w:ascii="GHEA Grapalat" w:hAnsi="GHEA Grapalat" w:cs="Sylfaen"/>
          <w:sz w:val="22"/>
          <w:szCs w:val="22"/>
        </w:rPr>
        <w:t xml:space="preserve">` ապահովելով 100% </w:t>
      </w:r>
      <w:r w:rsidRPr="00C921DE">
        <w:rPr>
          <w:rFonts w:ascii="GHEA Grapalat" w:hAnsi="GHEA Grapalat" w:cs="Sylfaen"/>
          <w:color w:val="000000" w:themeColor="text1"/>
          <w:sz w:val="22"/>
          <w:szCs w:val="22"/>
        </w:rPr>
        <w:t>կատարողական: Նախորդ տարվա համեմատ նշված ծախսերն աճել են 1.7%</w:t>
      </w:r>
      <w:r w:rsidRPr="00C921DE">
        <w:rPr>
          <w:rFonts w:ascii="GHEA Grapalat" w:hAnsi="GHEA Grapalat" w:cs="Sylfaen"/>
          <w:color w:val="000000" w:themeColor="text1"/>
          <w:sz w:val="22"/>
          <w:szCs w:val="22"/>
        </w:rPr>
        <w:noBreakHyphen/>
        <w:t>ով կամ 24.2 մլն դրամով:</w:t>
      </w:r>
    </w:p>
    <w:p w14:paraId="7EABDD3B" w14:textId="1DCD4565"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color w:val="000000" w:themeColor="text1"/>
          <w:sz w:val="22"/>
          <w:szCs w:val="22"/>
        </w:rPr>
        <w:t xml:space="preserve">2023 թվականին </w:t>
      </w:r>
      <w:r w:rsidRPr="00C921DE">
        <w:rPr>
          <w:rFonts w:ascii="GHEA Grapalat" w:hAnsi="GHEA Grapalat" w:cs="Sylfaen"/>
          <w:i/>
          <w:color w:val="000000" w:themeColor="text1"/>
          <w:sz w:val="22"/>
          <w:szCs w:val="22"/>
        </w:rPr>
        <w:t>«Ապահով դպրոց»</w:t>
      </w:r>
      <w:r w:rsidRPr="00C921DE">
        <w:rPr>
          <w:rFonts w:ascii="GHEA Grapalat" w:hAnsi="GHEA Grapalat" w:cs="Sylfaen"/>
          <w:color w:val="000000" w:themeColor="text1"/>
          <w:sz w:val="22"/>
          <w:szCs w:val="22"/>
        </w:rPr>
        <w:t xml:space="preserve"> ծրագրի շրջանակներում օգտագործվել է նախատեսված</w:t>
      </w:r>
      <w:r w:rsidRPr="00C921DE">
        <w:rPr>
          <w:rFonts w:ascii="GHEA Grapalat" w:hAnsi="GHEA Grapalat" w:cs="Sylfaen"/>
          <w:sz w:val="22"/>
          <w:szCs w:val="22"/>
        </w:rPr>
        <w:t xml:space="preserve"> միջոցների </w:t>
      </w:r>
      <w:r w:rsidR="005D158E" w:rsidRPr="00C921DE">
        <w:rPr>
          <w:rFonts w:ascii="GHEA Grapalat" w:hAnsi="GHEA Grapalat" w:cs="Sylfaen"/>
          <w:sz w:val="22"/>
          <w:szCs w:val="22"/>
        </w:rPr>
        <w:t>76.1</w:t>
      </w:r>
      <w:r w:rsidRPr="00C921DE">
        <w:rPr>
          <w:rFonts w:ascii="GHEA Grapalat" w:hAnsi="GHEA Grapalat" w:cs="Sylfaen"/>
          <w:sz w:val="22"/>
          <w:szCs w:val="22"/>
        </w:rPr>
        <w:t>%-ը՝ 7.7 մլրդ դրամ:</w:t>
      </w:r>
      <w:r w:rsidRPr="00C921DE">
        <w:rPr>
          <w:rFonts w:ascii="GHEA Grapalat" w:hAnsi="GHEA Grapalat" w:cs="Arial"/>
          <w:sz w:val="22"/>
          <w:szCs w:val="22"/>
        </w:rPr>
        <w:t xml:space="preserve"> Ծրագրում</w:t>
      </w:r>
      <w:r w:rsidRPr="00C921DE">
        <w:rPr>
          <w:rFonts w:ascii="GHEA Grapalat" w:hAnsi="GHEA Grapalat" w:cs="Times Armenian"/>
          <w:sz w:val="22"/>
          <w:szCs w:val="22"/>
        </w:rPr>
        <w:t xml:space="preserve"> </w:t>
      </w:r>
      <w:r w:rsidRPr="00C921DE">
        <w:rPr>
          <w:rFonts w:ascii="GHEA Grapalat" w:hAnsi="GHEA Grapalat" w:cs="Arial"/>
          <w:sz w:val="22"/>
          <w:szCs w:val="22"/>
        </w:rPr>
        <w:t>ընդգրկված</w:t>
      </w:r>
      <w:r w:rsidRPr="00C921DE">
        <w:rPr>
          <w:rFonts w:ascii="GHEA Grapalat" w:hAnsi="GHEA Grapalat" w:cs="Times Armenian"/>
          <w:sz w:val="22"/>
          <w:szCs w:val="22"/>
        </w:rPr>
        <w:t xml:space="preserve"> </w:t>
      </w:r>
      <w:r w:rsidRPr="00C921DE">
        <w:rPr>
          <w:rFonts w:ascii="GHEA Grapalat" w:hAnsi="GHEA Grapalat" w:cs="Arial"/>
          <w:sz w:val="22"/>
          <w:szCs w:val="22"/>
        </w:rPr>
        <w:t>են</w:t>
      </w:r>
      <w:r w:rsidRPr="00C921DE">
        <w:rPr>
          <w:rFonts w:ascii="GHEA Grapalat" w:hAnsi="GHEA Grapalat" w:cs="Times Armenian"/>
          <w:sz w:val="22"/>
          <w:szCs w:val="22"/>
        </w:rPr>
        <w:t xml:space="preserve"> </w:t>
      </w:r>
      <w:r w:rsidR="005D158E" w:rsidRPr="00C921DE">
        <w:rPr>
          <w:rFonts w:ascii="GHEA Grapalat" w:hAnsi="GHEA Grapalat" w:cs="Arial"/>
          <w:sz w:val="22"/>
          <w:szCs w:val="22"/>
          <w:lang w:val="en-US"/>
        </w:rPr>
        <w:t xml:space="preserve">9 </w:t>
      </w:r>
      <w:r w:rsidRPr="00C921DE">
        <w:rPr>
          <w:rFonts w:ascii="GHEA Grapalat" w:hAnsi="GHEA Grapalat" w:cs="Arial"/>
          <w:sz w:val="22"/>
          <w:szCs w:val="22"/>
        </w:rPr>
        <w:t>միջոցառումներ</w:t>
      </w:r>
      <w:r w:rsidRPr="00C921DE">
        <w:rPr>
          <w:rFonts w:ascii="GHEA Grapalat" w:hAnsi="GHEA Grapalat" w:cs="Times Armenian"/>
          <w:sz w:val="22"/>
          <w:szCs w:val="22"/>
        </w:rPr>
        <w:t>, որոնց բոլորի գծով արձանագրվել են շեղումներ:</w:t>
      </w:r>
      <w:r w:rsidRPr="00C921DE">
        <w:rPr>
          <w:rFonts w:ascii="GHEA Grapalat" w:hAnsi="GHEA Grapalat" w:cs="Sylfaen"/>
          <w:sz w:val="22"/>
          <w:szCs w:val="22"/>
        </w:rPr>
        <w:t xml:space="preserve"> Ծրագիրն ուղղված է դպրոցական միջավայրի բարելավմանը</w:t>
      </w:r>
      <w:r w:rsidRPr="00C921DE">
        <w:rPr>
          <w:rFonts w:ascii="GHEA Grapalat" w:hAnsi="GHEA Grapalat" w:cs="Sylfaen"/>
          <w:sz w:val="22"/>
          <w:szCs w:val="22"/>
          <w:lang w:val="af-ZA"/>
        </w:rPr>
        <w:t>:</w:t>
      </w:r>
      <w:r w:rsidRPr="00C921DE">
        <w:rPr>
          <w:rFonts w:ascii="GHEA Grapalat" w:hAnsi="GHEA Grapalat" w:cs="Sylfaen"/>
          <w:sz w:val="22"/>
          <w:szCs w:val="22"/>
        </w:rPr>
        <w:t xml:space="preserve"> Նախորդ տարվա համեմատ «Ապահով դպրոց» ծրագրի ծախսերը նվազել են 27.1%-ով կամ 2.8 մլրդ դրամով, որը հիմնականում պայմանավորված է փոքրաքանակ երեխաներով համալրված հանրակրթական դպրոցների մոդուլային շենքերի կառուցման, կրթական օբյեկտների շենքային պայմանների բարելավման, ինչպես նաև հանրակրթական կրթություն իրականացնող ուսումնական հաստատությունների նոր մարզադահլիճների կառուցման ծախսերի նվազմամբ:</w:t>
      </w:r>
    </w:p>
    <w:p w14:paraId="22532E6D" w14:textId="0DDA2A8D"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Փոքրաքանակ երեխաներով համալրված հանրակրթական դպրոցների մոդուլային շենքերի կառուցման միջոցառման շրջանակներում 2023 թվականին շարունակվել են մոդուլային դպրոցների 2020-2021 </w:t>
      </w:r>
      <w:r w:rsidRPr="00C921DE">
        <w:rPr>
          <w:rFonts w:ascii="GHEA Grapalat" w:hAnsi="GHEA Grapalat" w:cs="Sylfaen"/>
          <w:color w:val="000000" w:themeColor="text1"/>
          <w:sz w:val="22"/>
          <w:szCs w:val="22"/>
        </w:rPr>
        <w:t>թվականներին մեկնարկած</w:t>
      </w:r>
      <w:r w:rsidR="009B409B" w:rsidRPr="00C921DE">
        <w:rPr>
          <w:rFonts w:ascii="GHEA Grapalat" w:hAnsi="GHEA Grapalat" w:cs="Sylfaen"/>
          <w:color w:val="000000" w:themeColor="text1"/>
          <w:sz w:val="22"/>
          <w:szCs w:val="22"/>
        </w:rPr>
        <w:t xml:space="preserve"> </w:t>
      </w:r>
      <w:r w:rsidRPr="00C921DE">
        <w:rPr>
          <w:rFonts w:ascii="GHEA Grapalat" w:hAnsi="GHEA Grapalat" w:cs="Sylfaen"/>
          <w:color w:val="000000" w:themeColor="text1"/>
          <w:sz w:val="22"/>
          <w:szCs w:val="22"/>
        </w:rPr>
        <w:t>20 ուսումնական հաստատություններ</w:t>
      </w:r>
      <w:r w:rsidR="003A2C9F" w:rsidRPr="00C921DE">
        <w:rPr>
          <w:rFonts w:ascii="GHEA Grapalat" w:hAnsi="GHEA Grapalat" w:cs="Sylfaen"/>
          <w:color w:val="000000" w:themeColor="text1"/>
          <w:sz w:val="22"/>
          <w:szCs w:val="22"/>
          <w:lang w:val="en-US"/>
        </w:rPr>
        <w:t>ի</w:t>
      </w:r>
      <w:r w:rsidRPr="00C921DE">
        <w:rPr>
          <w:rFonts w:ascii="GHEA Grapalat" w:hAnsi="GHEA Grapalat" w:cs="Sylfaen"/>
          <w:color w:val="000000" w:themeColor="text1"/>
          <w:sz w:val="22"/>
          <w:szCs w:val="22"/>
        </w:rPr>
        <w:t xml:space="preserve"> կառուցման </w:t>
      </w:r>
      <w:r w:rsidRPr="00C921DE">
        <w:rPr>
          <w:rFonts w:ascii="GHEA Grapalat" w:hAnsi="GHEA Grapalat" w:cs="Sylfaen"/>
          <w:sz w:val="22"/>
          <w:szCs w:val="22"/>
        </w:rPr>
        <w:t>աշխատանքները: 2023 թվականին ավարտվել են ՀՀ Կոտայքի մարզի «Ջրառատի միջնակարգ դպրոց»</w:t>
      </w:r>
      <w:r w:rsidR="001A1C03" w:rsidRPr="00C921DE">
        <w:rPr>
          <w:rFonts w:ascii="GHEA Grapalat" w:hAnsi="GHEA Grapalat" w:cs="Sylfaen"/>
          <w:sz w:val="22"/>
          <w:szCs w:val="22"/>
        </w:rPr>
        <w:t xml:space="preserve"> և «Կաթնաղբյուրի հիմնական դպրոց»</w:t>
      </w:r>
      <w:r w:rsidRPr="00C921DE">
        <w:rPr>
          <w:rFonts w:ascii="GHEA Grapalat" w:hAnsi="GHEA Grapalat" w:cs="Sylfaen"/>
          <w:sz w:val="22"/>
          <w:szCs w:val="22"/>
        </w:rPr>
        <w:t xml:space="preserve"> ՊՈԱԿ-ների մոդուլային դպրոցների շինարարական աշխատանքները: </w:t>
      </w:r>
    </w:p>
    <w:p w14:paraId="6C28C72A" w14:textId="701B17FB" w:rsidR="001556D3" w:rsidRPr="00C921DE" w:rsidRDefault="001556D3" w:rsidP="001556D3">
      <w:pPr>
        <w:autoSpaceDE w:val="0"/>
        <w:autoSpaceDN w:val="0"/>
        <w:adjustRightInd w:val="0"/>
        <w:spacing w:line="360" w:lineRule="auto"/>
        <w:ind w:firstLine="567"/>
        <w:jc w:val="both"/>
        <w:rPr>
          <w:rFonts w:ascii="GHEA Grapalat" w:hAnsi="GHEA Grapalat" w:cs="Sylfaen"/>
          <w:color w:val="000000" w:themeColor="text1"/>
          <w:sz w:val="22"/>
          <w:szCs w:val="22"/>
        </w:rPr>
      </w:pPr>
      <w:r w:rsidRPr="00C921DE">
        <w:rPr>
          <w:rFonts w:ascii="GHEA Grapalat" w:hAnsi="GHEA Grapalat"/>
          <w:sz w:val="22"/>
          <w:szCs w:val="22"/>
        </w:rPr>
        <w:t>Փոքրաքանակ երեխաներով համալրված հանրակրթական դպրոցների մոդուլային շենքերի կառուցման նպատակով տրամադրվել է 3.3 մլրդ դրամ` ապահովելով ծրագրված ցուցանիշի 77.1%</w:t>
      </w:r>
      <w:r w:rsidRPr="00C921DE">
        <w:rPr>
          <w:rFonts w:ascii="GHEA Grapalat" w:hAnsi="GHEA Grapalat"/>
          <w:sz w:val="22"/>
          <w:szCs w:val="22"/>
        </w:rPr>
        <w:noBreakHyphen/>
        <w:t xml:space="preserve">ը: </w:t>
      </w:r>
      <w:r w:rsidRPr="00C921DE">
        <w:rPr>
          <w:rFonts w:ascii="GHEA Grapalat" w:hAnsi="GHEA Grapalat" w:cs="Sylfaen"/>
          <w:sz w:val="22"/>
          <w:szCs w:val="22"/>
        </w:rPr>
        <w:t xml:space="preserve">Շեղումը հիմնականում պայմանավորված է այն </w:t>
      </w:r>
      <w:r w:rsidR="004716E2" w:rsidRPr="00C921DE">
        <w:rPr>
          <w:rFonts w:ascii="GHEA Grapalat" w:hAnsi="GHEA Grapalat" w:cs="Sylfaen"/>
          <w:color w:val="000000" w:themeColor="text1"/>
          <w:sz w:val="22"/>
          <w:szCs w:val="22"/>
        </w:rPr>
        <w:t>հանգամանքով, որ աշխատանքներ</w:t>
      </w:r>
      <w:r w:rsidR="005E3FF5" w:rsidRPr="00C921DE">
        <w:rPr>
          <w:rFonts w:ascii="GHEA Grapalat" w:hAnsi="GHEA Grapalat" w:cs="Sylfaen"/>
          <w:color w:val="000000" w:themeColor="text1"/>
          <w:sz w:val="22"/>
          <w:szCs w:val="22"/>
          <w:lang w:val="en-US"/>
        </w:rPr>
        <w:t>ը գտնվել են ընթացքում</w:t>
      </w:r>
      <w:r w:rsidR="00DB588E" w:rsidRPr="00C921DE">
        <w:rPr>
          <w:rFonts w:ascii="GHEA Grapalat" w:hAnsi="GHEA Grapalat" w:cs="Sylfaen"/>
          <w:color w:val="000000" w:themeColor="text1"/>
          <w:sz w:val="22"/>
          <w:szCs w:val="22"/>
          <w:lang w:val="en-US"/>
        </w:rPr>
        <w:t>, և կատարողական ակտերն ամբողջությամբ չեն ներկայացվել</w:t>
      </w:r>
      <w:r w:rsidRPr="00C921DE">
        <w:rPr>
          <w:rFonts w:ascii="GHEA Grapalat" w:hAnsi="GHEA Grapalat" w:cs="Sylfaen"/>
          <w:color w:val="000000" w:themeColor="text1"/>
          <w:sz w:val="22"/>
          <w:szCs w:val="22"/>
        </w:rPr>
        <w:t xml:space="preserve">: Նախորդ տարվա </w:t>
      </w:r>
      <w:r w:rsidRPr="00C921DE">
        <w:rPr>
          <w:rFonts w:ascii="GHEA Grapalat" w:hAnsi="GHEA Grapalat" w:cs="Sylfaen"/>
          <w:color w:val="000000" w:themeColor="text1"/>
          <w:sz w:val="22"/>
          <w:szCs w:val="22"/>
        </w:rPr>
        <w:lastRenderedPageBreak/>
        <w:t>համեմատ նշված միջոցառման ծախսերը նվազել են 28%-ով կամ 1.3</w:t>
      </w:r>
      <w:r w:rsidRPr="00C921DE">
        <w:rPr>
          <w:rFonts w:ascii="Calibri" w:hAnsi="Calibri" w:cs="Calibri"/>
          <w:color w:val="000000" w:themeColor="text1"/>
          <w:sz w:val="22"/>
          <w:szCs w:val="22"/>
        </w:rPr>
        <w:t> </w:t>
      </w:r>
      <w:r w:rsidRPr="00C921DE">
        <w:rPr>
          <w:rFonts w:ascii="GHEA Grapalat" w:hAnsi="GHEA Grapalat" w:cs="Sylfaen"/>
          <w:color w:val="000000" w:themeColor="text1"/>
          <w:sz w:val="22"/>
          <w:szCs w:val="22"/>
        </w:rPr>
        <w:t>մլրդ դրամով՝ պայմանավորված</w:t>
      </w:r>
      <w:r w:rsidR="005E3FF5" w:rsidRPr="00C921DE">
        <w:rPr>
          <w:rFonts w:ascii="GHEA Grapalat" w:hAnsi="GHEA Grapalat" w:cs="Sylfaen"/>
          <w:color w:val="000000" w:themeColor="text1"/>
          <w:sz w:val="22"/>
          <w:szCs w:val="22"/>
          <w:lang w:val="en-US"/>
        </w:rPr>
        <w:t xml:space="preserve"> կառուցվող</w:t>
      </w:r>
      <w:r w:rsidR="005E3FF5" w:rsidRPr="00C921DE">
        <w:rPr>
          <w:rFonts w:ascii="GHEA Grapalat" w:hAnsi="GHEA Grapalat" w:cs="Sylfaen"/>
          <w:color w:val="000000" w:themeColor="text1"/>
          <w:sz w:val="22"/>
          <w:szCs w:val="22"/>
        </w:rPr>
        <w:t xml:space="preserve"> օբյեկտների քանակով</w:t>
      </w:r>
      <w:r w:rsidR="005E3FF5" w:rsidRPr="00C921DE">
        <w:rPr>
          <w:rFonts w:ascii="GHEA Grapalat" w:hAnsi="GHEA Grapalat" w:cs="Sylfaen"/>
          <w:color w:val="000000" w:themeColor="text1"/>
          <w:sz w:val="22"/>
          <w:szCs w:val="22"/>
          <w:lang w:val="en-US"/>
        </w:rPr>
        <w:t xml:space="preserve"> </w:t>
      </w:r>
      <w:r w:rsidRPr="00C921DE">
        <w:rPr>
          <w:rFonts w:ascii="GHEA Grapalat" w:hAnsi="GHEA Grapalat" w:cs="Sylfaen"/>
          <w:color w:val="000000" w:themeColor="text1"/>
          <w:sz w:val="22"/>
          <w:szCs w:val="22"/>
        </w:rPr>
        <w:t xml:space="preserve">և </w:t>
      </w:r>
      <w:r w:rsidR="005E3FF5" w:rsidRPr="00C921DE">
        <w:rPr>
          <w:rFonts w:ascii="GHEA Grapalat" w:hAnsi="GHEA Grapalat" w:cs="Sylfaen"/>
          <w:color w:val="000000" w:themeColor="text1"/>
          <w:sz w:val="22"/>
          <w:szCs w:val="22"/>
          <w:lang w:val="en-US"/>
        </w:rPr>
        <w:t xml:space="preserve">դրանցում </w:t>
      </w:r>
      <w:r w:rsidRPr="00C921DE">
        <w:rPr>
          <w:rFonts w:ascii="GHEA Grapalat" w:hAnsi="GHEA Grapalat" w:cs="Sylfaen"/>
          <w:color w:val="000000" w:themeColor="text1"/>
          <w:sz w:val="22"/>
          <w:szCs w:val="22"/>
        </w:rPr>
        <w:t>կատարված աշխատանքների ծավալներով:</w:t>
      </w:r>
    </w:p>
    <w:p w14:paraId="736D7F9B" w14:textId="54DCA5E5" w:rsidR="001556D3" w:rsidRPr="00C921DE" w:rsidRDefault="001556D3" w:rsidP="001556D3">
      <w:pPr>
        <w:spacing w:line="360" w:lineRule="auto"/>
        <w:ind w:firstLine="561"/>
        <w:jc w:val="both"/>
        <w:rPr>
          <w:rFonts w:ascii="GHEA Grapalat" w:hAnsi="GHEA Grapalat" w:cs="Sylfaen"/>
          <w:sz w:val="22"/>
          <w:szCs w:val="22"/>
        </w:rPr>
      </w:pPr>
      <w:r w:rsidRPr="00C921DE">
        <w:rPr>
          <w:rFonts w:ascii="GHEA Grapalat" w:hAnsi="GHEA Grapalat" w:cs="Sylfaen"/>
          <w:sz w:val="22"/>
          <w:szCs w:val="22"/>
        </w:rPr>
        <w:t>Կրթական օբյեկտների շենքային պայմանների բարելավման միջոցառման շրջանակում 20 կրթական օբյեկտներում իրականացվել են շենքային պայմանների բարելավման աշխատանքներ</w:t>
      </w:r>
      <w:r w:rsidR="00D91EF3" w:rsidRPr="00C921DE">
        <w:rPr>
          <w:rFonts w:ascii="GHEA Grapalat" w:hAnsi="GHEA Grapalat" w:cs="Sylfaen"/>
          <w:sz w:val="22"/>
          <w:szCs w:val="22"/>
          <w:lang w:val="en-US"/>
        </w:rPr>
        <w:t>՝</w:t>
      </w:r>
      <w:r w:rsidRPr="00C921DE">
        <w:rPr>
          <w:rFonts w:ascii="GHEA Grapalat" w:hAnsi="GHEA Grapalat" w:cs="Sylfaen"/>
          <w:sz w:val="22"/>
          <w:szCs w:val="22"/>
        </w:rPr>
        <w:t xml:space="preserve"> 2022 թվականի 94-ի դիմաց: Կրթական</w:t>
      </w:r>
      <w:r w:rsidRPr="00C921DE">
        <w:rPr>
          <w:rFonts w:ascii="GHEA Grapalat" w:hAnsi="GHEA Grapalat" w:cs="Sylfaen"/>
          <w:sz w:val="22"/>
          <w:szCs w:val="22"/>
          <w:lang w:val="pt-BR"/>
        </w:rPr>
        <w:t xml:space="preserve"> </w:t>
      </w:r>
      <w:r w:rsidRPr="00C921DE">
        <w:rPr>
          <w:rFonts w:ascii="GHEA Grapalat" w:hAnsi="GHEA Grapalat" w:cs="Sylfaen"/>
          <w:sz w:val="22"/>
          <w:szCs w:val="22"/>
        </w:rPr>
        <w:t>օբյեկտների</w:t>
      </w:r>
      <w:r w:rsidRPr="00C921DE">
        <w:rPr>
          <w:rFonts w:ascii="GHEA Grapalat" w:hAnsi="GHEA Grapalat" w:cs="Sylfaen"/>
          <w:sz w:val="22"/>
          <w:szCs w:val="22"/>
          <w:lang w:val="pt-BR"/>
        </w:rPr>
        <w:t xml:space="preserve"> </w:t>
      </w:r>
      <w:r w:rsidRPr="00C921DE">
        <w:rPr>
          <w:rFonts w:ascii="GHEA Grapalat" w:hAnsi="GHEA Grapalat" w:cs="Sylfaen"/>
          <w:sz w:val="22"/>
          <w:szCs w:val="22"/>
        </w:rPr>
        <w:t xml:space="preserve">շենքային պայմանների բարելավման ծախսերը կազմել են ավելի քան </w:t>
      </w:r>
      <w:r w:rsidRPr="00C921DE">
        <w:rPr>
          <w:rFonts w:ascii="GHEA Grapalat" w:hAnsi="GHEA Grapalat" w:cs="Sylfaen"/>
          <w:sz w:val="22"/>
          <w:szCs w:val="22"/>
          <w:lang w:val="et-EE"/>
        </w:rPr>
        <w:t xml:space="preserve">259.9 </w:t>
      </w:r>
      <w:r w:rsidRPr="00C921DE">
        <w:rPr>
          <w:rFonts w:ascii="GHEA Grapalat" w:hAnsi="GHEA Grapalat" w:cs="Sylfaen"/>
          <w:sz w:val="22"/>
          <w:szCs w:val="22"/>
        </w:rPr>
        <w:t>մլն</w:t>
      </w:r>
      <w:r w:rsidRPr="00C921DE">
        <w:rPr>
          <w:rFonts w:ascii="GHEA Grapalat" w:hAnsi="GHEA Grapalat" w:cs="Sylfaen"/>
          <w:sz w:val="22"/>
          <w:szCs w:val="22"/>
          <w:lang w:val="et-EE"/>
        </w:rPr>
        <w:t xml:space="preserve"> </w:t>
      </w:r>
      <w:r w:rsidRPr="00C921DE">
        <w:rPr>
          <w:rFonts w:ascii="GHEA Grapalat" w:hAnsi="GHEA Grapalat" w:cs="Sylfaen"/>
          <w:sz w:val="22"/>
          <w:szCs w:val="22"/>
        </w:rPr>
        <w:t>դրամ կամ</w:t>
      </w:r>
      <w:r w:rsidRPr="00C921DE">
        <w:rPr>
          <w:rFonts w:ascii="GHEA Grapalat" w:hAnsi="GHEA Grapalat" w:cs="Times Armenian"/>
          <w:sz w:val="22"/>
          <w:szCs w:val="22"/>
        </w:rPr>
        <w:t xml:space="preserve"> ծրագրի 93.9%-ը՝ </w:t>
      </w:r>
      <w:r w:rsidR="00D91EF3" w:rsidRPr="00C921DE">
        <w:rPr>
          <w:rFonts w:ascii="GHEA Grapalat" w:hAnsi="GHEA Grapalat"/>
          <w:sz w:val="22"/>
          <w:szCs w:val="22"/>
        </w:rPr>
        <w:t>պայմանավորված</w:t>
      </w:r>
      <w:r w:rsidRPr="00C921DE">
        <w:rPr>
          <w:rFonts w:ascii="GHEA Grapalat" w:hAnsi="GHEA Grapalat"/>
          <w:sz w:val="22"/>
          <w:szCs w:val="22"/>
        </w:rPr>
        <w:t xml:space="preserve"> տնտեսումներով, ինչպես նաև </w:t>
      </w:r>
      <w:r w:rsidR="00DB588E" w:rsidRPr="00C921DE">
        <w:rPr>
          <w:rFonts w:ascii="GHEA Grapalat" w:hAnsi="GHEA Grapalat"/>
          <w:sz w:val="22"/>
          <w:szCs w:val="22"/>
          <w:lang w:val="en-US"/>
        </w:rPr>
        <w:t xml:space="preserve">որոշ </w:t>
      </w:r>
      <w:r w:rsidRPr="00C921DE">
        <w:rPr>
          <w:rFonts w:ascii="GHEA Grapalat" w:hAnsi="GHEA Grapalat" w:cs="Sylfaen"/>
          <w:sz w:val="22"/>
          <w:szCs w:val="22"/>
        </w:rPr>
        <w:t>աշխատանքներ</w:t>
      </w:r>
      <w:r w:rsidR="00E71C87" w:rsidRPr="00C921DE">
        <w:rPr>
          <w:rFonts w:ascii="GHEA Grapalat" w:hAnsi="GHEA Grapalat" w:cs="Sylfaen"/>
          <w:sz w:val="22"/>
          <w:szCs w:val="22"/>
          <w:lang w:val="en-US"/>
        </w:rPr>
        <w:t xml:space="preserve"> ավարտված չլինելու հանգամանքով</w:t>
      </w:r>
      <w:r w:rsidRPr="00C921DE">
        <w:rPr>
          <w:rFonts w:ascii="GHEA Grapalat" w:hAnsi="GHEA Grapalat" w:cs="Sylfaen"/>
          <w:sz w:val="22"/>
          <w:szCs w:val="22"/>
        </w:rPr>
        <w:t>: Նախորդ տարվա համեմատ կրթական</w:t>
      </w:r>
      <w:r w:rsidRPr="00C921DE">
        <w:rPr>
          <w:rFonts w:ascii="GHEA Grapalat" w:hAnsi="GHEA Grapalat" w:cs="Sylfaen"/>
          <w:sz w:val="22"/>
          <w:szCs w:val="22"/>
          <w:lang w:val="pt-BR"/>
        </w:rPr>
        <w:t xml:space="preserve"> </w:t>
      </w:r>
      <w:r w:rsidRPr="00C921DE">
        <w:rPr>
          <w:rFonts w:ascii="GHEA Grapalat" w:hAnsi="GHEA Grapalat" w:cs="Sylfaen"/>
          <w:sz w:val="22"/>
          <w:szCs w:val="22"/>
        </w:rPr>
        <w:t>օբյեկտների</w:t>
      </w:r>
      <w:r w:rsidRPr="00C921DE">
        <w:rPr>
          <w:rFonts w:ascii="GHEA Grapalat" w:hAnsi="GHEA Grapalat" w:cs="Sylfaen"/>
          <w:sz w:val="22"/>
          <w:szCs w:val="22"/>
          <w:lang w:val="pt-BR"/>
        </w:rPr>
        <w:t xml:space="preserve"> </w:t>
      </w:r>
      <w:r w:rsidRPr="00C921DE">
        <w:rPr>
          <w:rFonts w:ascii="GHEA Grapalat" w:hAnsi="GHEA Grapalat" w:cs="Sylfaen"/>
          <w:sz w:val="22"/>
          <w:szCs w:val="22"/>
        </w:rPr>
        <w:t>շենքային պայմանների բարելավման ծախսերը նվազել են 82.9</w:t>
      </w:r>
      <w:r w:rsidRPr="00C921DE">
        <w:rPr>
          <w:rFonts w:ascii="GHEA Grapalat" w:hAnsi="GHEA Grapalat" w:cs="Times Armenian"/>
          <w:sz w:val="22"/>
          <w:szCs w:val="22"/>
        </w:rPr>
        <w:t>%-ով</w:t>
      </w:r>
      <w:r w:rsidRPr="00C921DE">
        <w:rPr>
          <w:rFonts w:ascii="GHEA Grapalat" w:hAnsi="GHEA Grapalat" w:cs="Sylfaen"/>
          <w:sz w:val="22"/>
          <w:szCs w:val="22"/>
        </w:rPr>
        <w:t xml:space="preserve"> կամ 1.3</w:t>
      </w:r>
      <w:r w:rsidRPr="00C921DE">
        <w:rPr>
          <w:rFonts w:ascii="Courier New" w:hAnsi="Courier New" w:cs="Courier New"/>
          <w:sz w:val="22"/>
          <w:szCs w:val="22"/>
        </w:rPr>
        <w:t> </w:t>
      </w:r>
      <w:r w:rsidRPr="00C921DE">
        <w:rPr>
          <w:rFonts w:ascii="GHEA Grapalat" w:hAnsi="GHEA Grapalat" w:cs="Sylfaen"/>
          <w:sz w:val="22"/>
          <w:szCs w:val="22"/>
        </w:rPr>
        <w:t xml:space="preserve">մլրդ դրամով՝ պայմանավորված </w:t>
      </w:r>
      <w:r w:rsidR="002A4430" w:rsidRPr="00C921DE">
        <w:rPr>
          <w:rFonts w:ascii="GHEA Grapalat" w:hAnsi="GHEA Grapalat" w:cs="Sylfaen"/>
          <w:sz w:val="22"/>
          <w:szCs w:val="22"/>
          <w:lang w:val="en-US"/>
        </w:rPr>
        <w:t>հիմնանորոգվող</w:t>
      </w:r>
      <w:r w:rsidRPr="00C921DE">
        <w:rPr>
          <w:rFonts w:ascii="GHEA Grapalat" w:hAnsi="GHEA Grapalat" w:cs="Sylfaen"/>
          <w:sz w:val="22"/>
          <w:szCs w:val="22"/>
        </w:rPr>
        <w:t xml:space="preserve"> օբյեկտների թվ</w:t>
      </w:r>
      <w:r w:rsidR="002A4430" w:rsidRPr="00C921DE">
        <w:rPr>
          <w:rFonts w:ascii="GHEA Grapalat" w:hAnsi="GHEA Grapalat" w:cs="Sylfaen"/>
          <w:sz w:val="22"/>
          <w:szCs w:val="22"/>
          <w:lang w:val="en-US"/>
        </w:rPr>
        <w:t>ի նվազմամբ</w:t>
      </w:r>
      <w:r w:rsidRPr="00C921DE">
        <w:rPr>
          <w:rFonts w:ascii="GHEA Grapalat" w:hAnsi="GHEA Grapalat" w:cs="Sylfaen"/>
          <w:sz w:val="22"/>
          <w:szCs w:val="22"/>
        </w:rPr>
        <w:t xml:space="preserve"> և շինարարական աշխատանքների տեսակներով:</w:t>
      </w:r>
    </w:p>
    <w:p w14:paraId="4AC54622" w14:textId="50477566" w:rsidR="001556D3" w:rsidRPr="00C921DE" w:rsidRDefault="001556D3" w:rsidP="001556D3">
      <w:pPr>
        <w:spacing w:line="360" w:lineRule="auto"/>
        <w:ind w:firstLine="561"/>
        <w:jc w:val="both"/>
        <w:rPr>
          <w:rFonts w:ascii="GHEA Grapalat" w:hAnsi="GHEA Grapalat" w:cs="Sylfaen"/>
          <w:sz w:val="22"/>
          <w:szCs w:val="22"/>
        </w:rPr>
      </w:pPr>
      <w:r w:rsidRPr="00C921DE">
        <w:rPr>
          <w:rFonts w:ascii="GHEA Grapalat" w:hAnsi="GHEA Grapalat" w:cs="Sylfaen"/>
          <w:sz w:val="22"/>
          <w:szCs w:val="22"/>
        </w:rPr>
        <w:t>Հանրակրթական կրթություն իրականացնող ուսումնական հաստատությունների նոր մարզադահլիճների կառուցման միջոցառման շրջանակներում 16</w:t>
      </w:r>
      <w:r w:rsidRPr="00C921DE">
        <w:rPr>
          <w:rFonts w:ascii="GHEA Grapalat" w:hAnsi="GHEA Grapalat"/>
          <w:sz w:val="22"/>
          <w:szCs w:val="22"/>
        </w:rPr>
        <w:t xml:space="preserve"> ուսումնական հաստատություններում շարունակվել են </w:t>
      </w:r>
      <w:r w:rsidRPr="00C921DE">
        <w:rPr>
          <w:rFonts w:ascii="GHEA Grapalat" w:hAnsi="GHEA Grapalat" w:cs="Sylfaen"/>
          <w:sz w:val="22"/>
          <w:szCs w:val="22"/>
        </w:rPr>
        <w:t xml:space="preserve">մարզադահլիճների կառուցման աշխատանքները: </w:t>
      </w:r>
      <w:r w:rsidR="006472FC" w:rsidRPr="00C921DE">
        <w:rPr>
          <w:rFonts w:ascii="GHEA Grapalat" w:hAnsi="GHEA Grapalat" w:cs="Sylfaen"/>
          <w:sz w:val="22"/>
          <w:szCs w:val="22"/>
          <w:lang w:val="en-US"/>
        </w:rPr>
        <w:t>Միջոցառման</w:t>
      </w:r>
      <w:r w:rsidRPr="00C921DE">
        <w:rPr>
          <w:rFonts w:ascii="GHEA Grapalat" w:hAnsi="GHEA Grapalat" w:cs="Sylfaen"/>
          <w:sz w:val="22"/>
          <w:szCs w:val="22"/>
        </w:rPr>
        <w:t xml:space="preserve"> </w:t>
      </w:r>
      <w:r w:rsidRPr="00C921DE">
        <w:rPr>
          <w:rFonts w:ascii="GHEA Grapalat" w:hAnsi="GHEA Grapalat"/>
          <w:sz w:val="22"/>
          <w:szCs w:val="22"/>
        </w:rPr>
        <w:t xml:space="preserve">ծախսերը կազմել են </w:t>
      </w:r>
      <w:r w:rsidRPr="00C921DE">
        <w:rPr>
          <w:rFonts w:ascii="GHEA Grapalat" w:hAnsi="GHEA Grapalat" w:cs="Sylfaen"/>
          <w:sz w:val="22"/>
          <w:szCs w:val="22"/>
        </w:rPr>
        <w:t>1.4 մլրդ դրամ</w:t>
      </w:r>
      <w:r w:rsidR="006472FC" w:rsidRPr="00C921DE">
        <w:rPr>
          <w:rFonts w:ascii="GHEA Grapalat" w:hAnsi="GHEA Grapalat" w:cs="Sylfaen"/>
          <w:sz w:val="22"/>
          <w:szCs w:val="22"/>
          <w:lang w:val="en-US"/>
        </w:rPr>
        <w:t>՝ ապահովելով ծրագրված ցուցանիշի</w:t>
      </w:r>
      <w:r w:rsidRPr="00C921DE">
        <w:rPr>
          <w:rFonts w:ascii="GHEA Grapalat" w:hAnsi="GHEA Grapalat" w:cs="Sylfaen"/>
          <w:sz w:val="22"/>
          <w:szCs w:val="22"/>
        </w:rPr>
        <w:t xml:space="preserve"> 74.1%</w:t>
      </w:r>
      <w:r w:rsidR="006472FC" w:rsidRPr="00C921DE">
        <w:rPr>
          <w:rFonts w:ascii="GHEA Grapalat" w:hAnsi="GHEA Grapalat" w:cs="Sylfaen"/>
          <w:sz w:val="22"/>
          <w:szCs w:val="22"/>
          <w:lang w:val="en-US"/>
        </w:rPr>
        <w:t>-ը</w:t>
      </w:r>
      <w:r w:rsidRPr="00C921DE">
        <w:rPr>
          <w:rFonts w:ascii="GHEA Grapalat" w:hAnsi="GHEA Grapalat" w:cs="Sylfaen"/>
          <w:sz w:val="22"/>
          <w:szCs w:val="22"/>
        </w:rPr>
        <w:t>: Շեղումը պայմանավորված է այն հանգամանքով, որ աշխատանքների համար կատարողական ակտեր</w:t>
      </w:r>
      <w:r w:rsidR="007550ED" w:rsidRPr="00C921DE">
        <w:rPr>
          <w:rFonts w:ascii="GHEA Grapalat" w:hAnsi="GHEA Grapalat" w:cs="Sylfaen"/>
          <w:sz w:val="22"/>
          <w:szCs w:val="22"/>
          <w:lang w:val="en-US"/>
        </w:rPr>
        <w:t>ն ամբողջությամբ</w:t>
      </w:r>
      <w:r w:rsidRPr="00C921DE">
        <w:rPr>
          <w:rFonts w:ascii="GHEA Grapalat" w:hAnsi="GHEA Grapalat" w:cs="Sylfaen"/>
          <w:sz w:val="22"/>
          <w:szCs w:val="22"/>
        </w:rPr>
        <w:t xml:space="preserve"> չեն ներկայացվել: Նախորդ տարվա համեմատ նշված միջոցառման ծախսերը նվազել են 26</w:t>
      </w:r>
      <w:r w:rsidRPr="00C921DE">
        <w:rPr>
          <w:rFonts w:ascii="GHEA Grapalat" w:hAnsi="GHEA Grapalat" w:cs="Times Armenian"/>
          <w:sz w:val="22"/>
          <w:szCs w:val="22"/>
        </w:rPr>
        <w:t>%-ով</w:t>
      </w:r>
      <w:r w:rsidRPr="00C921DE">
        <w:rPr>
          <w:rFonts w:ascii="GHEA Grapalat" w:hAnsi="GHEA Grapalat" w:cs="Sylfaen"/>
          <w:sz w:val="22"/>
          <w:szCs w:val="22"/>
        </w:rPr>
        <w:t xml:space="preserve"> կամ 498.3 մլն դրամով՝ պայմանավորված </w:t>
      </w:r>
      <w:r w:rsidR="007550ED" w:rsidRPr="00C921DE">
        <w:rPr>
          <w:rFonts w:ascii="GHEA Grapalat" w:hAnsi="GHEA Grapalat" w:cs="Sylfaen"/>
          <w:sz w:val="22"/>
          <w:szCs w:val="22"/>
          <w:lang w:val="en-US"/>
        </w:rPr>
        <w:t xml:space="preserve">կատարված </w:t>
      </w:r>
      <w:r w:rsidRPr="00C921DE">
        <w:rPr>
          <w:rFonts w:ascii="GHEA Grapalat" w:hAnsi="GHEA Grapalat" w:cs="Sylfaen"/>
          <w:sz w:val="22"/>
          <w:szCs w:val="22"/>
        </w:rPr>
        <w:t>շինարարական աշխատանքների ծավալներով:</w:t>
      </w:r>
    </w:p>
    <w:p w14:paraId="0D2064B1" w14:textId="31D00921"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2023 թվականի ընթացքում շուրջ 7 մլրդ դրամ է տրամադրվել </w:t>
      </w:r>
      <w:r w:rsidRPr="00C921DE">
        <w:rPr>
          <w:rFonts w:ascii="GHEA Grapalat" w:hAnsi="GHEA Grapalat" w:cs="Sylfaen"/>
          <w:i/>
          <w:sz w:val="22"/>
          <w:szCs w:val="22"/>
        </w:rPr>
        <w:t>Կրթության որակի ապահովման ծրագրին</w:t>
      </w:r>
      <w:r w:rsidRPr="00C921DE">
        <w:rPr>
          <w:rFonts w:ascii="GHEA Grapalat" w:hAnsi="GHEA Grapalat" w:cs="Sylfaen"/>
          <w:sz w:val="22"/>
          <w:szCs w:val="22"/>
        </w:rPr>
        <w:t>՝ կազմելով ծրագրված ցուցանիշի 80.7%-ը և 74.6%</w:t>
      </w:r>
      <w:r w:rsidRPr="00C921DE">
        <w:rPr>
          <w:rFonts w:ascii="GHEA Grapalat" w:hAnsi="GHEA Grapalat" w:cs="Sylfaen"/>
          <w:sz w:val="22"/>
          <w:szCs w:val="22"/>
        </w:rPr>
        <w:noBreakHyphen/>
        <w:t xml:space="preserve">ով կամ 3 մլրդ դրամով գերազանցելով նախորդ տարվա ցուցանիշը: Ծրագրի նկատմամբ շեղումը և նախորդ տարվա համեմատ աճը հիմնականում </w:t>
      </w:r>
      <w:r w:rsidR="00507CDF" w:rsidRPr="00C921DE">
        <w:rPr>
          <w:rFonts w:ascii="GHEA Grapalat" w:hAnsi="GHEA Grapalat" w:cs="Sylfaen"/>
          <w:sz w:val="22"/>
          <w:szCs w:val="22"/>
          <w:lang w:val="en-US"/>
        </w:rPr>
        <w:t>արձանագրվել</w:t>
      </w:r>
      <w:r w:rsidRPr="00C921DE">
        <w:rPr>
          <w:rFonts w:ascii="GHEA Grapalat" w:hAnsi="GHEA Grapalat" w:cs="Sylfaen"/>
          <w:sz w:val="22"/>
          <w:szCs w:val="22"/>
        </w:rPr>
        <w:t xml:space="preserve"> են ծրագրի ծախսերում մեծ տեսակարար կշիռ ունեցող՝ ուսուցիչների որակի բարձրացմանն ուղղված ատեստավորման նոր համակարգի ներդրման և Համաշխարհային բանկի աջակցությամբ իրականացվող «Կրթության բարելավման ծրագրի լրացուցիչ ֆինանսավորում» վարկային ծրագրի ծախսերի կատարողականով: Կրթության որակի ապահովման ծրագիրն ուղղված է նախադպրոցականից մինչև հետբուհական կրթության որակի՝ սովորողների, միջավայրի, ծրագրերի և ուսումնական նյութերի բովանդակության, գործընթացների, ինչպես նաև վերջնարդյունքների որակի՝ ըստ ներպետական և միջազգային ցուցիչների</w:t>
      </w:r>
      <w:r w:rsidR="00507CDF" w:rsidRPr="00C921DE">
        <w:rPr>
          <w:rFonts w:ascii="GHEA Grapalat" w:hAnsi="GHEA Grapalat" w:cs="Sylfaen"/>
          <w:sz w:val="22"/>
          <w:szCs w:val="22"/>
          <w:lang w:val="en-US"/>
        </w:rPr>
        <w:t>,</w:t>
      </w:r>
      <w:r w:rsidRPr="00C921DE">
        <w:rPr>
          <w:rFonts w:ascii="GHEA Grapalat" w:hAnsi="GHEA Grapalat" w:cs="Sylfaen"/>
          <w:sz w:val="22"/>
          <w:szCs w:val="22"/>
        </w:rPr>
        <w:t xml:space="preserve"> բարելավմանը: </w:t>
      </w:r>
    </w:p>
    <w:p w14:paraId="1D5411CA" w14:textId="3B1E4F76" w:rsidR="001556D3" w:rsidRPr="00C921DE" w:rsidRDefault="001556D3" w:rsidP="00AC571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Arial"/>
          <w:sz w:val="22"/>
          <w:szCs w:val="22"/>
          <w:lang w:val="zu-ZA"/>
        </w:rPr>
        <w:t xml:space="preserve">«Ատեստավորման նոր համակարգի </w:t>
      </w:r>
      <w:r w:rsidRPr="00C921DE">
        <w:rPr>
          <w:rFonts w:ascii="GHEA Grapalat" w:hAnsi="GHEA Grapalat" w:cs="Sylfaen"/>
          <w:sz w:val="22"/>
          <w:szCs w:val="22"/>
        </w:rPr>
        <w:t>ներդրում՝ ուղղված ուսուցիչների որակի բարձրացմանը» միջոցառման շրջանակներում</w:t>
      </w:r>
      <w:r w:rsidR="00CA3B7C" w:rsidRPr="00C921DE">
        <w:rPr>
          <w:rFonts w:ascii="GHEA Grapalat" w:hAnsi="GHEA Grapalat" w:cs="Sylfaen"/>
          <w:sz w:val="22"/>
          <w:szCs w:val="22"/>
          <w:lang w:val="en-US"/>
        </w:rPr>
        <w:t xml:space="preserve"> 2023 թվականին</w:t>
      </w:r>
      <w:r w:rsidRPr="00C921DE">
        <w:rPr>
          <w:rFonts w:ascii="GHEA Grapalat" w:hAnsi="GHEA Grapalat" w:cs="Sylfaen"/>
          <w:sz w:val="22"/>
          <w:szCs w:val="22"/>
        </w:rPr>
        <w:t xml:space="preserve"> կամավոր ատեստավորմանը մասնակցել են 3805 </w:t>
      </w:r>
      <w:r w:rsidRPr="00C921DE">
        <w:rPr>
          <w:rFonts w:ascii="GHEA Grapalat" w:hAnsi="GHEA Grapalat"/>
          <w:sz w:val="22"/>
          <w:szCs w:val="22"/>
        </w:rPr>
        <w:t>ուսուցիչներ</w:t>
      </w:r>
      <w:r w:rsidRPr="00C921DE">
        <w:rPr>
          <w:rFonts w:ascii="GHEA Grapalat" w:hAnsi="GHEA Grapalat" w:cs="Sylfaen"/>
          <w:sz w:val="22"/>
          <w:szCs w:val="22"/>
        </w:rPr>
        <w:t>՝ նախատեսված 4692-ի և 2022 թվականի 2653-ի դիմաց</w:t>
      </w:r>
      <w:r w:rsidR="00507CDF" w:rsidRPr="00C921DE">
        <w:rPr>
          <w:rFonts w:ascii="GHEA Grapalat" w:hAnsi="GHEA Grapalat" w:cs="Sylfaen"/>
          <w:sz w:val="22"/>
          <w:szCs w:val="22"/>
          <w:lang w:val="en-US"/>
        </w:rPr>
        <w:t>: Ատեստավորմանը մասնակցած ուսուցիչներից</w:t>
      </w:r>
      <w:r w:rsidRPr="00C921DE">
        <w:rPr>
          <w:rFonts w:ascii="GHEA Grapalat" w:hAnsi="GHEA Grapalat" w:cs="Sylfaen"/>
          <w:sz w:val="22"/>
          <w:szCs w:val="22"/>
        </w:rPr>
        <w:t xml:space="preserve"> 2271</w:t>
      </w:r>
      <w:r w:rsidR="00507CDF" w:rsidRPr="00C921DE">
        <w:rPr>
          <w:rFonts w:ascii="GHEA Grapalat" w:hAnsi="GHEA Grapalat"/>
          <w:sz w:val="22"/>
          <w:szCs w:val="22"/>
        </w:rPr>
        <w:t>-ը</w:t>
      </w:r>
      <w:r w:rsidRPr="00C921DE">
        <w:rPr>
          <w:rFonts w:ascii="GHEA Grapalat" w:hAnsi="GHEA Grapalat" w:cs="Sylfaen"/>
          <w:sz w:val="22"/>
          <w:szCs w:val="22"/>
        </w:rPr>
        <w:t xml:space="preserve"> հաղթահարել են անհրաժեշտ շեմը և ստացել են </w:t>
      </w:r>
      <w:r w:rsidRPr="00C921DE">
        <w:rPr>
          <w:rFonts w:ascii="GHEA Grapalat" w:hAnsi="GHEA Grapalat" w:cs="Arial"/>
          <w:sz w:val="22"/>
          <w:szCs w:val="22"/>
          <w:lang w:val="zu-ZA"/>
        </w:rPr>
        <w:t xml:space="preserve">հավելավճարներ՝ </w:t>
      </w:r>
      <w:r w:rsidRPr="00C921DE">
        <w:rPr>
          <w:rFonts w:ascii="GHEA Grapalat" w:hAnsi="GHEA Grapalat" w:cs="Arial"/>
          <w:sz w:val="22"/>
          <w:szCs w:val="22"/>
          <w:lang w:val="zu-ZA"/>
        </w:rPr>
        <w:lastRenderedPageBreak/>
        <w:t>աշխատավարձի 30-50</w:t>
      </w:r>
      <w:r w:rsidR="00DE610B" w:rsidRPr="00C921DE">
        <w:rPr>
          <w:rFonts w:ascii="GHEA Grapalat" w:hAnsi="GHEA Grapalat" w:cs="Arial"/>
          <w:sz w:val="22"/>
          <w:szCs w:val="22"/>
          <w:lang w:val="zu-ZA"/>
        </w:rPr>
        <w:t xml:space="preserve">%-ի չափով՝ կանխատեսված 3276-ի, </w:t>
      </w:r>
      <w:r w:rsidRPr="00C921DE">
        <w:rPr>
          <w:rFonts w:ascii="GHEA Grapalat" w:hAnsi="GHEA Grapalat" w:cs="Arial"/>
          <w:sz w:val="22"/>
          <w:szCs w:val="22"/>
          <w:lang w:val="zu-ZA"/>
        </w:rPr>
        <w:t>2022 թվականի 1048-ի</w:t>
      </w:r>
      <w:r w:rsidR="00DE610B" w:rsidRPr="00C921DE">
        <w:rPr>
          <w:rFonts w:ascii="GHEA Grapalat" w:hAnsi="GHEA Grapalat" w:cs="Arial"/>
          <w:sz w:val="22"/>
          <w:szCs w:val="22"/>
          <w:lang w:val="zu-ZA"/>
        </w:rPr>
        <w:t xml:space="preserve"> և 2021 թվականի 474-ի</w:t>
      </w:r>
      <w:r w:rsidRPr="00C921DE">
        <w:rPr>
          <w:rFonts w:ascii="GHEA Grapalat" w:hAnsi="GHEA Grapalat" w:cs="Arial"/>
          <w:sz w:val="22"/>
          <w:szCs w:val="22"/>
          <w:lang w:val="zu-ZA"/>
        </w:rPr>
        <w:t xml:space="preserve"> դիմաց</w:t>
      </w:r>
      <w:r w:rsidR="009B0743" w:rsidRPr="00C921DE">
        <w:rPr>
          <w:rFonts w:ascii="GHEA Grapalat" w:hAnsi="GHEA Grapalat" w:cs="Arial"/>
          <w:sz w:val="22"/>
          <w:szCs w:val="22"/>
          <w:lang w:val="zu-ZA"/>
        </w:rPr>
        <w:t>:</w:t>
      </w:r>
      <w:r w:rsidRPr="00C921DE">
        <w:rPr>
          <w:rFonts w:ascii="GHEA Grapalat" w:hAnsi="GHEA Grapalat" w:cs="Arial"/>
          <w:sz w:val="22"/>
          <w:szCs w:val="22"/>
          <w:lang w:val="zu-ZA"/>
        </w:rPr>
        <w:t xml:space="preserve"> </w:t>
      </w:r>
      <w:r w:rsidR="009B0743" w:rsidRPr="00C921DE">
        <w:rPr>
          <w:rFonts w:ascii="GHEA Grapalat" w:hAnsi="GHEA Grapalat" w:cs="Arial"/>
          <w:sz w:val="22"/>
          <w:szCs w:val="22"/>
          <w:lang w:val="zu-ZA"/>
        </w:rPr>
        <w:t>Ը</w:t>
      </w:r>
      <w:r w:rsidRPr="00C921DE">
        <w:rPr>
          <w:rFonts w:ascii="GHEA Grapalat" w:hAnsi="GHEA Grapalat" w:cs="Arial"/>
          <w:sz w:val="22"/>
          <w:szCs w:val="22"/>
          <w:lang w:val="zu-ZA"/>
        </w:rPr>
        <w:t>նդհանուր</w:t>
      </w:r>
      <w:r w:rsidR="009B0743" w:rsidRPr="00C921DE">
        <w:rPr>
          <w:rFonts w:ascii="GHEA Grapalat" w:hAnsi="GHEA Grapalat" w:cs="Arial"/>
          <w:sz w:val="22"/>
          <w:szCs w:val="22"/>
          <w:lang w:val="zu-ZA"/>
        </w:rPr>
        <w:t xml:space="preserve"> առմամբ</w:t>
      </w:r>
      <w:r w:rsidRPr="00C921DE">
        <w:rPr>
          <w:rFonts w:ascii="GHEA Grapalat" w:hAnsi="GHEA Grapalat" w:cs="Arial"/>
          <w:sz w:val="22"/>
          <w:szCs w:val="22"/>
          <w:lang w:val="zu-ZA"/>
        </w:rPr>
        <w:t xml:space="preserve"> կամավոր ատեստավորման արդյունքում հավելավճար </w:t>
      </w:r>
      <w:r w:rsidR="009B0743" w:rsidRPr="00C921DE">
        <w:rPr>
          <w:rFonts w:ascii="GHEA Grapalat" w:hAnsi="GHEA Grapalat" w:cs="Arial"/>
          <w:sz w:val="22"/>
          <w:szCs w:val="22"/>
          <w:lang w:val="zu-ZA"/>
        </w:rPr>
        <w:t>է</w:t>
      </w:r>
      <w:r w:rsidRPr="00C921DE">
        <w:rPr>
          <w:rFonts w:ascii="GHEA Grapalat" w:hAnsi="GHEA Grapalat" w:cs="Arial"/>
          <w:sz w:val="22"/>
          <w:szCs w:val="22"/>
          <w:lang w:val="zu-ZA"/>
        </w:rPr>
        <w:t xml:space="preserve"> ստացել 3585</w:t>
      </w:r>
      <w:r w:rsidR="009B0743" w:rsidRPr="00C921DE">
        <w:rPr>
          <w:rFonts w:ascii="GHEA Grapalat" w:hAnsi="GHEA Grapalat" w:cs="Arial"/>
          <w:sz w:val="22"/>
          <w:szCs w:val="22"/>
          <w:lang w:val="zu-ZA"/>
        </w:rPr>
        <w:t xml:space="preserve"> ուսուցիչ</w:t>
      </w:r>
      <w:r w:rsidRPr="00C921DE">
        <w:rPr>
          <w:rFonts w:ascii="GHEA Grapalat" w:hAnsi="GHEA Grapalat" w:cs="Arial"/>
          <w:sz w:val="22"/>
          <w:szCs w:val="22"/>
          <w:lang w:val="zu-ZA"/>
        </w:rPr>
        <w:t>:</w:t>
      </w:r>
      <w:r w:rsidR="00AC5713" w:rsidRPr="00C921DE">
        <w:rPr>
          <w:rFonts w:ascii="GHEA Grapalat" w:hAnsi="GHEA Grapalat" w:cs="Arial"/>
          <w:sz w:val="22"/>
          <w:szCs w:val="22"/>
          <w:lang w:val="zu-ZA"/>
        </w:rPr>
        <w:t xml:space="preserve"> </w:t>
      </w:r>
      <w:r w:rsidR="00395F56" w:rsidRPr="00C921DE">
        <w:rPr>
          <w:rFonts w:ascii="GHEA Grapalat" w:hAnsi="GHEA Grapalat" w:cs="Sylfaen"/>
          <w:sz w:val="22"/>
          <w:szCs w:val="22"/>
          <w:lang w:val="en-US"/>
        </w:rPr>
        <w:t>Հ</w:t>
      </w:r>
      <w:r w:rsidRPr="00C921DE">
        <w:rPr>
          <w:rFonts w:ascii="GHEA Grapalat" w:hAnsi="GHEA Grapalat" w:cs="Sylfaen"/>
          <w:sz w:val="22"/>
          <w:szCs w:val="22"/>
        </w:rPr>
        <w:t xml:space="preserve">աստատված կարգի համաձայն՝ ատեստավորումն անցած ուսուցիչներին հավելավճար տրվում է 5 տարի ժամկետով, և այն պահպանվում է նաև դպրոցից դպրոց տեղափոխման դեպքում: «Ատեստավորման նոր համակարգի ներդրում՝ ուղղված ուսուցիչների որակի բարձրացմանը» միջոցառման ծախսերը կազմել են </w:t>
      </w:r>
      <w:r w:rsidRPr="00C921DE">
        <w:rPr>
          <w:rFonts w:ascii="GHEA Grapalat" w:hAnsi="GHEA Grapalat" w:cs="Sylfaen"/>
          <w:sz w:val="22"/>
          <w:szCs w:val="22"/>
          <w:lang w:val="zu-ZA"/>
        </w:rPr>
        <w:t xml:space="preserve">3.2 </w:t>
      </w:r>
      <w:r w:rsidRPr="00C921DE">
        <w:rPr>
          <w:rFonts w:ascii="GHEA Grapalat" w:hAnsi="GHEA Grapalat" w:cs="Sylfaen"/>
          <w:sz w:val="22"/>
          <w:szCs w:val="22"/>
        </w:rPr>
        <w:t>մլրդ դրամ` ապահովելով 81.6% կատարողական</w:t>
      </w:r>
      <w:r w:rsidR="006C519B" w:rsidRPr="00C921DE">
        <w:rPr>
          <w:rFonts w:ascii="GHEA Grapalat" w:hAnsi="GHEA Grapalat" w:cs="Sylfaen"/>
          <w:sz w:val="22"/>
          <w:szCs w:val="22"/>
          <w:lang w:val="en-US"/>
        </w:rPr>
        <w:t xml:space="preserve">, որը պայմանավորված է </w:t>
      </w:r>
      <w:r w:rsidR="006C519B" w:rsidRPr="00C921DE">
        <w:rPr>
          <w:rFonts w:ascii="GHEA Grapalat" w:hAnsi="GHEA Grapalat" w:cs="Sylfaen"/>
          <w:sz w:val="22"/>
          <w:szCs w:val="22"/>
        </w:rPr>
        <w:t>կամավոր ատեստավորման շեմը հաղթ</w:t>
      </w:r>
      <w:r w:rsidR="001A2A16" w:rsidRPr="00C921DE">
        <w:rPr>
          <w:rFonts w:ascii="GHEA Grapalat" w:hAnsi="GHEA Grapalat" w:cs="Sylfaen"/>
          <w:sz w:val="22"/>
          <w:szCs w:val="22"/>
        </w:rPr>
        <w:t>ահարած ուսուցիչների թվի աճով</w:t>
      </w:r>
      <w:r w:rsidR="00927C70" w:rsidRPr="00C921DE">
        <w:rPr>
          <w:rFonts w:ascii="GHEA Grapalat" w:hAnsi="GHEA Grapalat" w:cs="Sylfaen"/>
          <w:sz w:val="22"/>
          <w:szCs w:val="22"/>
          <w:lang w:val="en-US"/>
        </w:rPr>
        <w:t xml:space="preserve">: Նախորդ </w:t>
      </w:r>
      <w:r w:rsidR="00927C70" w:rsidRPr="00C921DE">
        <w:rPr>
          <w:rFonts w:ascii="GHEA Grapalat" w:hAnsi="GHEA Grapalat" w:cs="Sylfaen"/>
          <w:sz w:val="22"/>
          <w:szCs w:val="22"/>
        </w:rPr>
        <w:t>տարվա համեմատ միջոցառման ծախսերի</w:t>
      </w:r>
      <w:r w:rsidRPr="00C921DE">
        <w:rPr>
          <w:rFonts w:ascii="GHEA Grapalat" w:hAnsi="GHEA Grapalat" w:cs="Sylfaen"/>
          <w:sz w:val="22"/>
          <w:szCs w:val="22"/>
        </w:rPr>
        <w:t xml:space="preserve"> 3.2 անգամ կամ 2.2 մլրդ դրամ</w:t>
      </w:r>
      <w:r w:rsidR="00927C70" w:rsidRPr="00C921DE">
        <w:rPr>
          <w:rFonts w:ascii="GHEA Grapalat" w:hAnsi="GHEA Grapalat" w:cs="Sylfaen"/>
          <w:sz w:val="22"/>
          <w:szCs w:val="22"/>
        </w:rPr>
        <w:t xml:space="preserve"> ա</w:t>
      </w:r>
      <w:r w:rsidRPr="00C921DE">
        <w:rPr>
          <w:rFonts w:ascii="GHEA Grapalat" w:hAnsi="GHEA Grapalat" w:cs="Sylfaen"/>
          <w:sz w:val="22"/>
          <w:szCs w:val="22"/>
        </w:rPr>
        <w:t>ճը</w:t>
      </w:r>
      <w:r w:rsidR="001E43E4" w:rsidRPr="00C921DE">
        <w:rPr>
          <w:rFonts w:ascii="GHEA Grapalat" w:hAnsi="GHEA Grapalat" w:cs="Sylfaen"/>
          <w:sz w:val="22"/>
          <w:szCs w:val="22"/>
          <w:lang w:val="en-US"/>
        </w:rPr>
        <w:t xml:space="preserve"> հիմնականում</w:t>
      </w:r>
      <w:r w:rsidRPr="00C921DE">
        <w:rPr>
          <w:rFonts w:ascii="GHEA Grapalat" w:hAnsi="GHEA Grapalat" w:cs="Sylfaen"/>
          <w:sz w:val="22"/>
          <w:szCs w:val="22"/>
        </w:rPr>
        <w:t xml:space="preserve"> պայմանավորված է</w:t>
      </w:r>
      <w:r w:rsidR="00927C70" w:rsidRPr="00C921DE">
        <w:rPr>
          <w:rFonts w:ascii="GHEA Grapalat" w:hAnsi="GHEA Grapalat" w:cs="Sylfaen"/>
          <w:sz w:val="22"/>
          <w:szCs w:val="22"/>
        </w:rPr>
        <w:t xml:space="preserve"> նրանով, որ 2023 թվականին 12 ամիս հավելավճար են ստացել 2021 և 2022 թվականներին ատեստավորվածները և 3 ամիս՝ 2023 թվականի սեպտեմբերին ատեստավորվածները, իսկ 2022 թվականին</w:t>
      </w:r>
      <w:r w:rsidR="00927C70" w:rsidRPr="00C921DE">
        <w:rPr>
          <w:rFonts w:ascii="Calibri" w:hAnsi="Calibri" w:cs="Calibri"/>
          <w:sz w:val="22"/>
          <w:szCs w:val="22"/>
        </w:rPr>
        <w:t> </w:t>
      </w:r>
      <w:r w:rsidR="00927C70" w:rsidRPr="00C921DE">
        <w:rPr>
          <w:rFonts w:ascii="GHEA Grapalat" w:hAnsi="GHEA Grapalat" w:cs="Sylfaen"/>
          <w:sz w:val="22"/>
          <w:szCs w:val="22"/>
        </w:rPr>
        <w:t>հավելավճար էին ստացել</w:t>
      </w:r>
      <w:r w:rsidR="00927C70" w:rsidRPr="00C921DE">
        <w:rPr>
          <w:rFonts w:ascii="Calibri" w:hAnsi="Calibri" w:cs="Calibri"/>
          <w:sz w:val="22"/>
          <w:szCs w:val="22"/>
        </w:rPr>
        <w:t> </w:t>
      </w:r>
      <w:r w:rsidR="00927C70" w:rsidRPr="00C921DE">
        <w:rPr>
          <w:rFonts w:ascii="GHEA Grapalat" w:hAnsi="GHEA Grapalat" w:cs="Sylfaen"/>
          <w:sz w:val="22"/>
          <w:szCs w:val="22"/>
        </w:rPr>
        <w:t xml:space="preserve">2021 թվականին ատեստավորվածները և 3 ամիս՝ 2022 թվականի սեպտեմբերին ատեստավորվածները։ </w:t>
      </w:r>
      <w:r w:rsidR="001E43E4" w:rsidRPr="00C921DE">
        <w:rPr>
          <w:rFonts w:ascii="GHEA Grapalat" w:hAnsi="GHEA Grapalat" w:cs="Sylfaen"/>
          <w:sz w:val="22"/>
          <w:szCs w:val="22"/>
          <w:lang w:val="en-US"/>
        </w:rPr>
        <w:t xml:space="preserve">Ծախսերի աճը պայմանավորված </w:t>
      </w:r>
      <w:r w:rsidR="00927C70" w:rsidRPr="00C921DE">
        <w:rPr>
          <w:rFonts w:ascii="GHEA Grapalat" w:hAnsi="GHEA Grapalat" w:cs="Sylfaen"/>
          <w:sz w:val="22"/>
          <w:szCs w:val="22"/>
        </w:rPr>
        <w:t>է նաև կամավոր ատեստավորման շեմը հաղթահարած ուսուցիչների թ</w:t>
      </w:r>
      <w:r w:rsidR="001E43E4" w:rsidRPr="00C921DE">
        <w:rPr>
          <w:rFonts w:ascii="GHEA Grapalat" w:hAnsi="GHEA Grapalat" w:cs="Sylfaen"/>
          <w:sz w:val="22"/>
          <w:szCs w:val="22"/>
          <w:lang w:val="en-US"/>
        </w:rPr>
        <w:t>վի աճով</w:t>
      </w:r>
      <w:r w:rsidRPr="00C921DE">
        <w:rPr>
          <w:rFonts w:ascii="GHEA Grapalat" w:hAnsi="GHEA Grapalat" w:cs="Sylfaen"/>
          <w:sz w:val="22"/>
          <w:szCs w:val="22"/>
        </w:rPr>
        <w:t>:</w:t>
      </w:r>
    </w:p>
    <w:p w14:paraId="4E5CFE2C" w14:textId="063056DA" w:rsidR="001556D3" w:rsidRPr="00C921DE" w:rsidRDefault="001556D3" w:rsidP="005E0F4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Համաշխարհային բանկի աջակցությամբ իրականացվող «Կրթության բարելավման վարկային ծրագրի լրացուցիչ ֆինանսավորում» վարկային ծրագրի շրջանակներում 2023 թվականին հիմնվել են 29 նախակրթարան, այդ թվում՝ 8–ը ՀՀ Արագածոտնի մարզում, 3–ը՝ ՀՀ Արարատի մարզում, 9–ը՝ ՀՀ Արմավիրի մարզում, 8–ը՝ ՀՀ Գեղարքունիքի մարզում, 1–ը՝ ՀՀ Կոտայքի մարզում։ Հիմնված նախակրթարաններում ընդգրկվել են նախադպրոցական տարիքի 575 երեխա և վերապատրաստվել են նախակրթարանների 62 դաստիարակներ։ </w:t>
      </w:r>
      <w:r w:rsidRPr="00C921DE">
        <w:rPr>
          <w:rFonts w:ascii="GHEA Grapalat" w:hAnsi="GHEA Grapalat" w:cs="GHEA Grapalat"/>
        </w:rPr>
        <w:t>Ն</w:t>
      </w:r>
      <w:r w:rsidRPr="00C921DE">
        <w:rPr>
          <w:rFonts w:ascii="GHEA Grapalat" w:hAnsi="GHEA Grapalat" w:cs="Sylfaen"/>
          <w:sz w:val="22"/>
          <w:szCs w:val="22"/>
        </w:rPr>
        <w:t>որարարությունների մրցակցային հիմնադրամի շրջանակներում 5 ԲՈՒՀ–երի տրամադրվել են դրամաշնորհներ</w:t>
      </w:r>
      <w:r w:rsidR="005E0F40" w:rsidRPr="00C921DE">
        <w:rPr>
          <w:rFonts w:ascii="GHEA Grapalat" w:hAnsi="GHEA Grapalat" w:cs="Sylfaen"/>
          <w:sz w:val="22"/>
          <w:szCs w:val="22"/>
        </w:rPr>
        <w:t xml:space="preserve">՝ </w:t>
      </w:r>
      <w:r w:rsidR="00D43330" w:rsidRPr="00C921DE">
        <w:rPr>
          <w:rFonts w:ascii="GHEA Grapalat" w:hAnsi="GHEA Grapalat" w:cs="Sylfaen"/>
          <w:sz w:val="22"/>
          <w:szCs w:val="22"/>
          <w:lang w:val="en-US"/>
        </w:rPr>
        <w:t xml:space="preserve">նորարարական </w:t>
      </w:r>
      <w:r w:rsidR="005E0F40" w:rsidRPr="00C921DE">
        <w:rPr>
          <w:rFonts w:ascii="GHEA Grapalat" w:hAnsi="GHEA Grapalat" w:cs="Sylfaen"/>
          <w:sz w:val="22"/>
          <w:szCs w:val="22"/>
        </w:rPr>
        <w:t>ծրագրերի իրականացման նպատակով</w:t>
      </w:r>
      <w:r w:rsidR="005E0F40" w:rsidRPr="00C921DE">
        <w:rPr>
          <w:rFonts w:ascii="GHEA Grapalat" w:hAnsi="GHEA Grapalat" w:cs="Sylfaen"/>
          <w:sz w:val="22"/>
          <w:szCs w:val="22"/>
          <w:lang w:val="en-US"/>
        </w:rPr>
        <w:t>:</w:t>
      </w:r>
      <w:r w:rsidRPr="00C921DE">
        <w:rPr>
          <w:rFonts w:ascii="GHEA Grapalat" w:hAnsi="GHEA Grapalat" w:cs="Sylfaen"/>
          <w:sz w:val="22"/>
          <w:szCs w:val="22"/>
        </w:rPr>
        <w:t xml:space="preserve"> 2023 թվականին մշակվել են նաև 4 ավագ դպրոցների տեղանքի բնապահպանական և սոցիալական կառավարման պլաններ։ </w:t>
      </w:r>
    </w:p>
    <w:p w14:paraId="608FC65C" w14:textId="7DCF8F0B" w:rsidR="001556D3" w:rsidRPr="00C921DE" w:rsidRDefault="004D2F2F"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lang w:val="en-US"/>
        </w:rPr>
        <w:t>Վ</w:t>
      </w:r>
      <w:r w:rsidR="001556D3" w:rsidRPr="00C921DE">
        <w:rPr>
          <w:rFonts w:ascii="GHEA Grapalat" w:hAnsi="GHEA Grapalat" w:cs="Sylfaen"/>
          <w:sz w:val="22"/>
          <w:szCs w:val="22"/>
        </w:rPr>
        <w:t>արկային</w:t>
      </w:r>
      <w:r w:rsidR="001556D3" w:rsidRPr="00C921DE">
        <w:rPr>
          <w:rFonts w:ascii="GHEA Grapalat" w:hAnsi="GHEA Grapalat" w:cs="Sylfaen"/>
          <w:sz w:val="22"/>
          <w:szCs w:val="22"/>
          <w:lang w:val="zu-ZA"/>
        </w:rPr>
        <w:t xml:space="preserve"> </w:t>
      </w:r>
      <w:r w:rsidR="001556D3" w:rsidRPr="00C921DE">
        <w:rPr>
          <w:rFonts w:ascii="GHEA Grapalat" w:hAnsi="GHEA Grapalat" w:cs="Sylfaen"/>
          <w:sz w:val="22"/>
          <w:szCs w:val="22"/>
        </w:rPr>
        <w:t>ծրագրի</w:t>
      </w:r>
      <w:r w:rsidRPr="00C921DE">
        <w:rPr>
          <w:rFonts w:ascii="GHEA Grapalat" w:hAnsi="GHEA Grapalat" w:cs="Sylfaen"/>
          <w:sz w:val="22"/>
          <w:szCs w:val="22"/>
          <w:lang w:val="en-US"/>
        </w:rPr>
        <w:t>՝</w:t>
      </w:r>
      <w:r w:rsidR="001556D3" w:rsidRPr="00C921DE">
        <w:rPr>
          <w:rFonts w:ascii="GHEA Grapalat" w:hAnsi="GHEA Grapalat" w:cs="Sylfaen"/>
          <w:sz w:val="22"/>
          <w:szCs w:val="22"/>
        </w:rPr>
        <w:t xml:space="preserve"> հանրակրթական</w:t>
      </w:r>
      <w:r w:rsidR="001556D3" w:rsidRPr="00C921DE">
        <w:rPr>
          <w:rFonts w:ascii="GHEA Grapalat" w:hAnsi="GHEA Grapalat" w:cs="Sylfaen"/>
          <w:sz w:val="22"/>
          <w:szCs w:val="22"/>
          <w:lang w:val="zu-ZA"/>
        </w:rPr>
        <w:t xml:space="preserve"> </w:t>
      </w:r>
      <w:r w:rsidR="001556D3" w:rsidRPr="00C921DE">
        <w:rPr>
          <w:rFonts w:ascii="GHEA Grapalat" w:hAnsi="GHEA Grapalat" w:cs="Sylfaen"/>
          <w:sz w:val="22"/>
          <w:szCs w:val="22"/>
        </w:rPr>
        <w:t>ուսումնական</w:t>
      </w:r>
      <w:r w:rsidR="001556D3" w:rsidRPr="00C921DE">
        <w:rPr>
          <w:rFonts w:ascii="GHEA Grapalat" w:hAnsi="GHEA Grapalat" w:cs="Sylfaen"/>
          <w:sz w:val="22"/>
          <w:szCs w:val="22"/>
          <w:lang w:val="zu-ZA"/>
        </w:rPr>
        <w:t xml:space="preserve"> </w:t>
      </w:r>
      <w:r w:rsidR="001556D3" w:rsidRPr="00C921DE">
        <w:rPr>
          <w:rFonts w:ascii="GHEA Grapalat" w:hAnsi="GHEA Grapalat" w:cs="Sylfaen"/>
          <w:sz w:val="22"/>
          <w:szCs w:val="22"/>
        </w:rPr>
        <w:t>հաստատություններում կապիտալ ներդրումների</w:t>
      </w:r>
      <w:r w:rsidRPr="00C921DE">
        <w:rPr>
          <w:rFonts w:ascii="GHEA Grapalat" w:hAnsi="GHEA Grapalat" w:cs="Sylfaen"/>
          <w:sz w:val="22"/>
          <w:szCs w:val="22"/>
          <w:lang w:val="en-US"/>
        </w:rPr>
        <w:t xml:space="preserve"> բաղադրիչի</w:t>
      </w:r>
      <w:r w:rsidR="001556D3" w:rsidRPr="00C921DE">
        <w:rPr>
          <w:rFonts w:ascii="GHEA Grapalat" w:hAnsi="GHEA Grapalat" w:cs="Sylfaen"/>
          <w:sz w:val="22"/>
          <w:szCs w:val="22"/>
        </w:rPr>
        <w:t xml:space="preserve"> շրջանակներում 2023 թվականին մեկնարկել են Երևանի թիվ 139 ավագ դպրոցի նոր շենքի կառուցման, Աշտարակի թիվ 5 ավագ դպրոցի, Արտաշատի ավագ դպրոցի և Վանաձորի թիվ 13 ավագ դպրոցի շենքերի վերակառուցման աշխատանքները։ Բացի այդ, </w:t>
      </w:r>
      <w:r w:rsidR="004F4CAD" w:rsidRPr="00C921DE">
        <w:rPr>
          <w:rFonts w:ascii="GHEA Grapalat" w:hAnsi="GHEA Grapalat" w:cs="Sylfaen"/>
          <w:sz w:val="22"/>
          <w:szCs w:val="22"/>
        </w:rPr>
        <w:t xml:space="preserve">100 դպրոց </w:t>
      </w:r>
      <w:r w:rsidR="004F4CAD" w:rsidRPr="00C921DE">
        <w:rPr>
          <w:rFonts w:ascii="GHEA Grapalat" w:hAnsi="GHEA Grapalat" w:cs="Sylfaen"/>
          <w:sz w:val="22"/>
          <w:szCs w:val="22"/>
          <w:lang w:val="en-US"/>
        </w:rPr>
        <w:t xml:space="preserve">ապահովվել է </w:t>
      </w:r>
      <w:r w:rsidR="001556D3" w:rsidRPr="00C921DE">
        <w:rPr>
          <w:rFonts w:ascii="GHEA Grapalat" w:hAnsi="GHEA Grapalat" w:cs="Sylfaen"/>
          <w:sz w:val="22"/>
          <w:szCs w:val="22"/>
        </w:rPr>
        <w:t>բնագիտական լաբորատորիաներով, որոնցից 4</w:t>
      </w:r>
      <w:r w:rsidR="00351015" w:rsidRPr="00C921DE">
        <w:rPr>
          <w:rFonts w:ascii="GHEA Grapalat" w:hAnsi="GHEA Grapalat" w:cs="Sylfaen"/>
          <w:sz w:val="22"/>
          <w:szCs w:val="22"/>
          <w:lang w:val="en-US"/>
        </w:rPr>
        <w:t>-</w:t>
      </w:r>
      <w:r w:rsidR="001556D3" w:rsidRPr="00C921DE">
        <w:rPr>
          <w:rFonts w:ascii="GHEA Grapalat" w:hAnsi="GHEA Grapalat" w:cs="Sylfaen"/>
          <w:sz w:val="22"/>
          <w:szCs w:val="22"/>
        </w:rPr>
        <w:t>ը՝ ՀՀ Արագածոտնի մարզում, 1</w:t>
      </w:r>
      <w:r w:rsidR="00351015" w:rsidRPr="00C921DE">
        <w:rPr>
          <w:rFonts w:ascii="GHEA Grapalat" w:hAnsi="GHEA Grapalat" w:cs="Sylfaen"/>
          <w:sz w:val="22"/>
          <w:szCs w:val="22"/>
          <w:lang w:val="en-US"/>
        </w:rPr>
        <w:t>-</w:t>
      </w:r>
      <w:r w:rsidR="001556D3" w:rsidRPr="00C921DE">
        <w:rPr>
          <w:rFonts w:ascii="GHEA Grapalat" w:hAnsi="GHEA Grapalat" w:cs="Sylfaen"/>
          <w:sz w:val="22"/>
          <w:szCs w:val="22"/>
        </w:rPr>
        <w:t>ը՝ Արարատի մարզում, 88</w:t>
      </w:r>
      <w:r w:rsidR="00351015" w:rsidRPr="00C921DE">
        <w:rPr>
          <w:rFonts w:ascii="GHEA Grapalat" w:hAnsi="GHEA Grapalat" w:cs="Sylfaen"/>
          <w:sz w:val="22"/>
          <w:szCs w:val="22"/>
          <w:lang w:val="en-US"/>
        </w:rPr>
        <w:t>-</w:t>
      </w:r>
      <w:r w:rsidR="001556D3" w:rsidRPr="00C921DE">
        <w:rPr>
          <w:rFonts w:ascii="GHEA Grapalat" w:hAnsi="GHEA Grapalat" w:cs="Sylfaen"/>
          <w:sz w:val="22"/>
          <w:szCs w:val="22"/>
        </w:rPr>
        <w:t xml:space="preserve">ը՝ </w:t>
      </w:r>
      <w:r w:rsidR="00351015" w:rsidRPr="00C921DE">
        <w:rPr>
          <w:rFonts w:ascii="GHEA Grapalat" w:hAnsi="GHEA Grapalat" w:cs="Sylfaen"/>
          <w:sz w:val="22"/>
          <w:szCs w:val="22"/>
        </w:rPr>
        <w:t>ՀՀ Արմավիրի մարզում, 1-</w:t>
      </w:r>
      <w:r w:rsidR="001556D3" w:rsidRPr="00C921DE">
        <w:rPr>
          <w:rFonts w:ascii="GHEA Grapalat" w:hAnsi="GHEA Grapalat" w:cs="Sylfaen"/>
          <w:sz w:val="22"/>
          <w:szCs w:val="22"/>
        </w:rPr>
        <w:t xml:space="preserve">ը՝ </w:t>
      </w:r>
      <w:r w:rsidR="00351015" w:rsidRPr="00C921DE">
        <w:rPr>
          <w:rFonts w:ascii="GHEA Grapalat" w:hAnsi="GHEA Grapalat" w:cs="Sylfaen"/>
          <w:sz w:val="22"/>
          <w:szCs w:val="22"/>
        </w:rPr>
        <w:t>ՀՀ Գեղարքունիքի մարզում, 1</w:t>
      </w:r>
      <w:r w:rsidR="00351015" w:rsidRPr="00C921DE">
        <w:rPr>
          <w:rFonts w:ascii="GHEA Grapalat" w:hAnsi="GHEA Grapalat" w:cs="Sylfaen"/>
          <w:sz w:val="22"/>
          <w:szCs w:val="22"/>
        </w:rPr>
        <w:noBreakHyphen/>
      </w:r>
      <w:r w:rsidR="001556D3" w:rsidRPr="00C921DE">
        <w:rPr>
          <w:rFonts w:ascii="GHEA Grapalat" w:hAnsi="GHEA Grapalat" w:cs="Sylfaen"/>
          <w:sz w:val="22"/>
          <w:szCs w:val="22"/>
        </w:rPr>
        <w:t>ը՝ ՀՀ Լոռու մարզում</w:t>
      </w:r>
      <w:r w:rsidR="00351015" w:rsidRPr="00C921DE">
        <w:rPr>
          <w:rFonts w:ascii="GHEA Grapalat" w:hAnsi="GHEA Grapalat" w:cs="Sylfaen"/>
          <w:sz w:val="22"/>
          <w:szCs w:val="22"/>
        </w:rPr>
        <w:t>, 2-</w:t>
      </w:r>
      <w:r w:rsidR="001556D3" w:rsidRPr="00C921DE">
        <w:rPr>
          <w:rFonts w:ascii="GHEA Grapalat" w:hAnsi="GHEA Grapalat" w:cs="Sylfaen"/>
          <w:sz w:val="22"/>
          <w:szCs w:val="22"/>
        </w:rPr>
        <w:t>ը՝ ՀՀ Կոտայքի մարզում, 2</w:t>
      </w:r>
      <w:r w:rsidR="00351015" w:rsidRPr="00C921DE">
        <w:rPr>
          <w:rFonts w:ascii="GHEA Grapalat" w:hAnsi="GHEA Grapalat" w:cs="Sylfaen"/>
          <w:sz w:val="22"/>
          <w:szCs w:val="22"/>
          <w:lang w:val="en-US"/>
        </w:rPr>
        <w:t>-</w:t>
      </w:r>
      <w:r w:rsidR="001556D3" w:rsidRPr="00C921DE">
        <w:rPr>
          <w:rFonts w:ascii="GHEA Grapalat" w:hAnsi="GHEA Grapalat" w:cs="Sylfaen"/>
          <w:sz w:val="22"/>
          <w:szCs w:val="22"/>
        </w:rPr>
        <w:t>ը՝ ՀՀ Շիրակի մարզում, 1</w:t>
      </w:r>
      <w:r w:rsidR="00351015" w:rsidRPr="00C921DE">
        <w:rPr>
          <w:rFonts w:ascii="GHEA Grapalat" w:hAnsi="GHEA Grapalat" w:cs="Sylfaen"/>
          <w:sz w:val="22"/>
          <w:szCs w:val="22"/>
          <w:lang w:val="en-US"/>
        </w:rPr>
        <w:t>-</w:t>
      </w:r>
      <w:r w:rsidR="001556D3" w:rsidRPr="00C921DE">
        <w:rPr>
          <w:rFonts w:ascii="GHEA Grapalat" w:hAnsi="GHEA Grapalat" w:cs="Sylfaen"/>
          <w:sz w:val="22"/>
          <w:szCs w:val="22"/>
        </w:rPr>
        <w:t>ը՝ ՀՀ Վայոց ձորի մարզում։</w:t>
      </w:r>
    </w:p>
    <w:p w14:paraId="06B9923D" w14:textId="32B0F584" w:rsidR="001556D3" w:rsidRPr="00C921DE" w:rsidRDefault="001556D3" w:rsidP="001556D3">
      <w:pPr>
        <w:tabs>
          <w:tab w:val="left" w:pos="-5387"/>
        </w:tabs>
        <w:spacing w:line="360" w:lineRule="auto"/>
        <w:ind w:left="-90" w:firstLine="630"/>
        <w:jc w:val="both"/>
        <w:rPr>
          <w:rFonts w:ascii="GHEA Grapalat" w:hAnsi="GHEA Grapalat" w:cs="Sylfaen"/>
          <w:sz w:val="22"/>
          <w:szCs w:val="22"/>
        </w:rPr>
      </w:pPr>
      <w:r w:rsidRPr="00C921DE">
        <w:rPr>
          <w:rFonts w:ascii="GHEA Grapalat" w:hAnsi="GHEA Grapalat"/>
          <w:sz w:val="22"/>
          <w:szCs w:val="22"/>
        </w:rPr>
        <w:t xml:space="preserve">Համաշխարհային բանկի աջակցությամբ իրականացվող կրթության բարելավման վարկային ծրագրի լրացուցիչ ֆինանսավորման շրջանակներում 2023 թվականին օգտագործվել է 2.7 մլրդ դրամ </w:t>
      </w:r>
      <w:r w:rsidRPr="00C921DE">
        <w:rPr>
          <w:rFonts w:ascii="GHEA Grapalat" w:hAnsi="GHEA Grapalat"/>
          <w:sz w:val="22"/>
          <w:szCs w:val="22"/>
        </w:rPr>
        <w:lastRenderedPageBreak/>
        <w:t>կամ նախատեսված միջոցների 78.1%</w:t>
      </w:r>
      <w:r w:rsidRPr="00C921DE">
        <w:rPr>
          <w:rFonts w:ascii="GHEA Grapalat" w:hAnsi="GHEA Grapalat"/>
          <w:sz w:val="22"/>
          <w:szCs w:val="22"/>
        </w:rPr>
        <w:noBreakHyphen/>
        <w:t xml:space="preserve">ը: Նշված գումարից 618.8 մլն դրամը օգտագործվել է ծառայությունների ձեռքբերման նպատակով՝ կազմելով նախատեսված միջոցների 69.9%-ը, </w:t>
      </w:r>
      <w:r w:rsidRPr="00C921DE">
        <w:rPr>
          <w:rFonts w:ascii="GHEA Grapalat" w:hAnsi="GHEA Grapalat" w:cs="Sylfaen"/>
          <w:sz w:val="22"/>
          <w:szCs w:val="22"/>
        </w:rPr>
        <w:t xml:space="preserve">որը </w:t>
      </w:r>
      <w:r w:rsidRPr="00C921DE">
        <w:rPr>
          <w:rFonts w:ascii="GHEA Grapalat" w:hAnsi="GHEA Grapalat"/>
          <w:sz w:val="22"/>
          <w:szCs w:val="22"/>
        </w:rPr>
        <w:t xml:space="preserve">պայմանավորված է </w:t>
      </w:r>
      <w:r w:rsidRPr="00C921DE">
        <w:rPr>
          <w:rFonts w:ascii="GHEA Grapalat" w:hAnsi="GHEA Grapalat" w:cs="Sylfaen"/>
          <w:sz w:val="22"/>
          <w:szCs w:val="22"/>
        </w:rPr>
        <w:t>կրթական տեղեկատվական համակարգի բարելավման աշխատանքների մեկնարկի հետաձգմամբ հաջորդ տարի</w:t>
      </w:r>
      <w:r w:rsidRPr="00C921DE">
        <w:rPr>
          <w:rFonts w:ascii="GHEA Grapalat" w:hAnsi="GHEA Grapalat"/>
          <w:sz w:val="22"/>
          <w:szCs w:val="22"/>
        </w:rPr>
        <w:t xml:space="preserve">՝ </w:t>
      </w:r>
      <w:r w:rsidR="00EB6E2F" w:rsidRPr="00C921DE">
        <w:rPr>
          <w:rFonts w:ascii="GHEA Grapalat" w:hAnsi="GHEA Grapalat"/>
          <w:sz w:val="22"/>
          <w:szCs w:val="22"/>
          <w:lang w:val="en-US"/>
        </w:rPr>
        <w:t xml:space="preserve">պայմանավորված </w:t>
      </w:r>
      <w:r w:rsidRPr="00C921DE">
        <w:rPr>
          <w:rFonts w:ascii="GHEA Grapalat" w:hAnsi="GHEA Grapalat"/>
          <w:sz w:val="22"/>
          <w:szCs w:val="22"/>
        </w:rPr>
        <w:t>տեխնիկական առաջադրանքի նախագծի</w:t>
      </w:r>
      <w:r w:rsidR="00EB6E2F" w:rsidRPr="00C921DE">
        <w:rPr>
          <w:rFonts w:ascii="GHEA Grapalat" w:hAnsi="GHEA Grapalat"/>
          <w:sz w:val="22"/>
          <w:szCs w:val="22"/>
          <w:lang w:val="en-US"/>
        </w:rPr>
        <w:t>՝</w:t>
      </w:r>
      <w:r w:rsidRPr="00C921DE">
        <w:rPr>
          <w:rFonts w:ascii="GHEA Grapalat" w:hAnsi="GHEA Grapalat"/>
          <w:sz w:val="22"/>
          <w:szCs w:val="22"/>
        </w:rPr>
        <w:t xml:space="preserve"> «Տեղեկատվական համակարգերի կառավարման» խորհրդի կողմից համ</w:t>
      </w:r>
      <w:r w:rsidR="004F4CAD" w:rsidRPr="00C921DE">
        <w:rPr>
          <w:rFonts w:ascii="GHEA Grapalat" w:hAnsi="GHEA Grapalat"/>
          <w:sz w:val="22"/>
          <w:szCs w:val="22"/>
        </w:rPr>
        <w:t>աձայնեցման</w:t>
      </w:r>
      <w:r w:rsidRPr="00C921DE">
        <w:rPr>
          <w:rFonts w:ascii="GHEA Grapalat" w:hAnsi="GHEA Grapalat"/>
          <w:sz w:val="22"/>
          <w:szCs w:val="22"/>
        </w:rPr>
        <w:t>, ինչպես նաև ՀԲ-ի կողմից ԿՏԱԿ-ի կարողությունների գնահատմա</w:t>
      </w:r>
      <w:r w:rsidR="00EB6E2F" w:rsidRPr="00C921DE">
        <w:rPr>
          <w:rFonts w:ascii="GHEA Grapalat" w:hAnsi="GHEA Grapalat"/>
          <w:sz w:val="22"/>
          <w:szCs w:val="22"/>
          <w:lang w:val="en-US"/>
        </w:rPr>
        <w:t>ն</w:t>
      </w:r>
      <w:r w:rsidRPr="00C921DE">
        <w:rPr>
          <w:rFonts w:ascii="GHEA Grapalat" w:hAnsi="GHEA Grapalat"/>
          <w:sz w:val="22"/>
          <w:szCs w:val="22"/>
        </w:rPr>
        <w:t xml:space="preserve"> և տ</w:t>
      </w:r>
      <w:r w:rsidR="00EB6E2F" w:rsidRPr="00C921DE">
        <w:rPr>
          <w:rFonts w:ascii="GHEA Grapalat" w:hAnsi="GHEA Grapalat"/>
          <w:sz w:val="22"/>
          <w:szCs w:val="22"/>
        </w:rPr>
        <w:t>եխնիկական առաջադրանքի հաստատման գործընթացներով</w:t>
      </w:r>
      <w:r w:rsidRPr="00C921DE">
        <w:rPr>
          <w:rFonts w:ascii="GHEA Grapalat" w:hAnsi="GHEA Grapalat"/>
          <w:sz w:val="22"/>
          <w:szCs w:val="22"/>
        </w:rPr>
        <w:t>:</w:t>
      </w:r>
      <w:r w:rsidRPr="00C921DE">
        <w:rPr>
          <w:rFonts w:ascii="GHEA Grapalat" w:hAnsi="GHEA Grapalat" w:cs="Sylfaen"/>
          <w:sz w:val="22"/>
          <w:szCs w:val="22"/>
        </w:rPr>
        <w:t xml:space="preserve"> 2.1 մլրդ դրամ է օգտագործվել հանրակրթական ուսումնական հաստատություններում կապիտալ ներդրումների ֆինանսավորման նպատակով՝ կազմելով նախատեսված միջոցների </w:t>
      </w:r>
      <w:r w:rsidR="00EB6E2F" w:rsidRPr="00C921DE">
        <w:rPr>
          <w:rFonts w:ascii="GHEA Grapalat" w:hAnsi="GHEA Grapalat" w:cs="Sylfaen"/>
          <w:sz w:val="22"/>
          <w:szCs w:val="22"/>
        </w:rPr>
        <w:t>80.9%-ը, որը</w:t>
      </w:r>
      <w:r w:rsidRPr="00C921DE">
        <w:rPr>
          <w:rFonts w:ascii="GHEA Grapalat" w:hAnsi="GHEA Grapalat" w:cs="Sylfaen"/>
          <w:sz w:val="22"/>
          <w:szCs w:val="22"/>
        </w:rPr>
        <w:t xml:space="preserve"> պայմանավորված</w:t>
      </w:r>
      <w:r w:rsidR="00EB6E2F" w:rsidRPr="00C921DE">
        <w:rPr>
          <w:rFonts w:ascii="GHEA Grapalat" w:hAnsi="GHEA Grapalat" w:cs="Sylfaen"/>
          <w:sz w:val="22"/>
          <w:szCs w:val="22"/>
          <w:lang w:val="en-US"/>
        </w:rPr>
        <w:t xml:space="preserve"> է</w:t>
      </w:r>
      <w:r w:rsidRPr="00C921DE">
        <w:rPr>
          <w:rFonts w:ascii="GHEA Grapalat" w:hAnsi="GHEA Grapalat" w:cs="Sylfaen"/>
          <w:sz w:val="22"/>
          <w:szCs w:val="22"/>
        </w:rPr>
        <w:t xml:space="preserve"> մատակարարների կողմից ներմուծվող ապրա</w:t>
      </w:r>
      <w:r w:rsidR="00EB6E2F" w:rsidRPr="00C921DE">
        <w:rPr>
          <w:rFonts w:ascii="GHEA Grapalat" w:hAnsi="GHEA Grapalat" w:cs="Sylfaen"/>
          <w:sz w:val="22"/>
          <w:szCs w:val="22"/>
        </w:rPr>
        <w:t xml:space="preserve">նքների մաքսազերծման գործընթացի հետ </w:t>
      </w:r>
      <w:r w:rsidR="00EB6E2F" w:rsidRPr="00C921DE">
        <w:rPr>
          <w:rFonts w:ascii="GHEA Grapalat" w:hAnsi="GHEA Grapalat" w:cs="Sylfaen"/>
          <w:sz w:val="22"/>
          <w:szCs w:val="22"/>
          <w:lang w:val="en-US"/>
        </w:rPr>
        <w:t>կապված՝</w:t>
      </w:r>
      <w:r w:rsidR="00291999" w:rsidRPr="00C921DE">
        <w:rPr>
          <w:rFonts w:ascii="GHEA Grapalat" w:hAnsi="GHEA Grapalat" w:cs="Sylfaen"/>
          <w:sz w:val="22"/>
          <w:szCs w:val="22"/>
          <w:lang w:val="en-US"/>
        </w:rPr>
        <w:t xml:space="preserve"> </w:t>
      </w:r>
      <w:r w:rsidR="00291999" w:rsidRPr="00C921DE">
        <w:rPr>
          <w:rFonts w:ascii="GHEA Grapalat" w:hAnsi="GHEA Grapalat" w:cs="Sylfaen"/>
          <w:sz w:val="22"/>
          <w:szCs w:val="22"/>
        </w:rPr>
        <w:t>դպրոցներին</w:t>
      </w:r>
      <w:r w:rsidRPr="00C921DE">
        <w:rPr>
          <w:rFonts w:ascii="GHEA Grapalat" w:hAnsi="GHEA Grapalat" w:cs="Sylfaen"/>
          <w:sz w:val="22"/>
          <w:szCs w:val="22"/>
        </w:rPr>
        <w:t xml:space="preserve"> լաբորատոր նյութերի և սարքավորումների մի մասի մատակարար</w:t>
      </w:r>
      <w:r w:rsidR="00291999" w:rsidRPr="00C921DE">
        <w:rPr>
          <w:rFonts w:ascii="GHEA Grapalat" w:hAnsi="GHEA Grapalat" w:cs="Sylfaen"/>
          <w:sz w:val="22"/>
          <w:szCs w:val="22"/>
          <w:lang w:val="en-US"/>
        </w:rPr>
        <w:t>ման</w:t>
      </w:r>
      <w:r w:rsidRPr="00C921DE">
        <w:rPr>
          <w:rFonts w:ascii="GHEA Grapalat" w:hAnsi="GHEA Grapalat" w:cs="Sylfaen"/>
          <w:sz w:val="22"/>
          <w:szCs w:val="22"/>
        </w:rPr>
        <w:t xml:space="preserve"> </w:t>
      </w:r>
      <w:r w:rsidR="00291999" w:rsidRPr="00C921DE">
        <w:rPr>
          <w:rFonts w:ascii="GHEA Grapalat" w:hAnsi="GHEA Grapalat" w:cs="Sylfaen"/>
          <w:sz w:val="22"/>
          <w:szCs w:val="22"/>
        </w:rPr>
        <w:t>հետաձգ</w:t>
      </w:r>
      <w:r w:rsidR="00291999" w:rsidRPr="00C921DE">
        <w:rPr>
          <w:rFonts w:ascii="GHEA Grapalat" w:hAnsi="GHEA Grapalat" w:cs="Sylfaen"/>
          <w:sz w:val="22"/>
          <w:szCs w:val="22"/>
          <w:lang w:val="en-US"/>
        </w:rPr>
        <w:t>մամբ</w:t>
      </w:r>
      <w:r w:rsidRPr="00C921DE">
        <w:rPr>
          <w:rFonts w:ascii="GHEA Grapalat" w:hAnsi="GHEA Grapalat" w:cs="Sylfaen"/>
          <w:sz w:val="22"/>
          <w:szCs w:val="22"/>
        </w:rPr>
        <w:t xml:space="preserve">: </w:t>
      </w:r>
    </w:p>
    <w:p w14:paraId="182BE755" w14:textId="52ABA954"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sz w:val="22"/>
          <w:szCs w:val="22"/>
        </w:rPr>
        <w:t>ՀՀ ԿԳՄՍ նախարարության պատասխանատվությամբ իրականացվող այլ ծրագրերից</w:t>
      </w:r>
      <w:r w:rsidRPr="00C921DE">
        <w:rPr>
          <w:rFonts w:ascii="GHEA Grapalat" w:hAnsi="GHEA Grapalat"/>
          <w:i/>
          <w:sz w:val="22"/>
          <w:szCs w:val="22"/>
        </w:rPr>
        <w:t xml:space="preserve"> </w:t>
      </w:r>
      <w:r w:rsidRPr="00C921DE">
        <w:rPr>
          <w:rFonts w:ascii="GHEA Grapalat" w:hAnsi="GHEA Grapalat"/>
          <w:sz w:val="22"/>
          <w:szCs w:val="22"/>
        </w:rPr>
        <w:t>ավելի քան</w:t>
      </w:r>
      <w:r w:rsidRPr="00C921DE">
        <w:rPr>
          <w:rFonts w:ascii="GHEA Grapalat" w:hAnsi="GHEA Grapalat" w:cs="Sylfaen"/>
          <w:sz w:val="22"/>
          <w:szCs w:val="22"/>
          <w:lang w:val="it-IT"/>
        </w:rPr>
        <w:t xml:space="preserve"> 3.8 մլրդ դրամն օգտագործվել է</w:t>
      </w:r>
      <w:r w:rsidRPr="00C921DE">
        <w:rPr>
          <w:rFonts w:ascii="GHEA Grapalat" w:hAnsi="GHEA Grapalat"/>
          <w:i/>
          <w:sz w:val="22"/>
          <w:szCs w:val="22"/>
        </w:rPr>
        <w:t xml:space="preserve"> Մշակութային</w:t>
      </w:r>
      <w:r w:rsidRPr="00C921DE">
        <w:rPr>
          <w:rFonts w:ascii="GHEA Grapalat" w:hAnsi="GHEA Grapalat"/>
          <w:i/>
          <w:sz w:val="22"/>
          <w:szCs w:val="22"/>
          <w:lang w:val="it-IT"/>
        </w:rPr>
        <w:t xml:space="preserve"> </w:t>
      </w:r>
      <w:r w:rsidRPr="00C921DE">
        <w:rPr>
          <w:rFonts w:ascii="GHEA Grapalat" w:hAnsi="GHEA Grapalat"/>
          <w:i/>
          <w:sz w:val="22"/>
          <w:szCs w:val="22"/>
        </w:rPr>
        <w:t xml:space="preserve">ժառանգության </w:t>
      </w:r>
      <w:r w:rsidRPr="00C921DE">
        <w:rPr>
          <w:rFonts w:ascii="GHEA Grapalat" w:hAnsi="GHEA Grapalat"/>
          <w:sz w:val="22"/>
          <w:szCs w:val="22"/>
        </w:rPr>
        <w:t>ծրագրի շրջանակներում</w:t>
      </w:r>
      <w:r w:rsidRPr="00C921DE">
        <w:rPr>
          <w:rFonts w:ascii="GHEA Grapalat" w:hAnsi="GHEA Grapalat" w:cs="Arial"/>
          <w:sz w:val="22"/>
          <w:szCs w:val="22"/>
        </w:rPr>
        <w:t>՝</w:t>
      </w:r>
      <w:r w:rsidRPr="00C921DE">
        <w:rPr>
          <w:rFonts w:ascii="GHEA Grapalat" w:hAnsi="GHEA Grapalat" w:cs="Times Armenian"/>
          <w:sz w:val="22"/>
          <w:szCs w:val="22"/>
          <w:lang w:val="it-IT"/>
        </w:rPr>
        <w:t xml:space="preserve"> </w:t>
      </w:r>
      <w:r w:rsidRPr="00C921DE">
        <w:rPr>
          <w:rFonts w:ascii="GHEA Grapalat" w:hAnsi="GHEA Grapalat" w:cs="Sylfaen"/>
          <w:sz w:val="22"/>
          <w:szCs w:val="22"/>
        </w:rPr>
        <w:t xml:space="preserve">կազմելով ծրագրված ցուցանիշի 94.5%-ը: Ծրագրի նկատմամբ շեղումը հիմնականում պայմանավորված </w:t>
      </w:r>
      <w:r w:rsidR="00FA4E46" w:rsidRPr="00C921DE">
        <w:rPr>
          <w:rFonts w:ascii="GHEA Grapalat" w:hAnsi="GHEA Grapalat" w:cs="Sylfaen"/>
          <w:sz w:val="22"/>
          <w:szCs w:val="22"/>
        </w:rPr>
        <w:t>է</w:t>
      </w:r>
      <w:r w:rsidRPr="00C921DE">
        <w:rPr>
          <w:rFonts w:ascii="GHEA Grapalat" w:hAnsi="GHEA Grapalat" w:cs="Sylfaen"/>
          <w:sz w:val="22"/>
          <w:szCs w:val="22"/>
        </w:rPr>
        <w:t xml:space="preserve"> ծրագրի ծախսերում մեծ տեսակարար կշիռ ունեցող՝</w:t>
      </w:r>
      <w:r w:rsidRPr="00C921DE">
        <w:rPr>
          <w:rFonts w:ascii="GHEA Grapalat" w:hAnsi="GHEA Grapalat" w:cs="Arial"/>
          <w:sz w:val="22"/>
          <w:szCs w:val="22"/>
        </w:rPr>
        <w:t xml:space="preserve"> թ</w:t>
      </w:r>
      <w:r w:rsidRPr="00C921DE">
        <w:rPr>
          <w:rFonts w:ascii="GHEA Grapalat" w:hAnsi="GHEA Grapalat" w:cs="Times Armenian"/>
          <w:sz w:val="22"/>
          <w:szCs w:val="22"/>
          <w:lang w:val="it-IT"/>
        </w:rPr>
        <w:t xml:space="preserve">անգարանային ծառայությունների և </w:t>
      </w:r>
      <w:r w:rsidRPr="00C921DE">
        <w:rPr>
          <w:rFonts w:ascii="GHEA Grapalat" w:hAnsi="GHEA Grapalat" w:cs="Arial"/>
          <w:sz w:val="22"/>
          <w:szCs w:val="22"/>
        </w:rPr>
        <w:t>ցուցահանդեսների ծախսեր</w:t>
      </w:r>
      <w:r w:rsidR="00FA4E46" w:rsidRPr="00C921DE">
        <w:rPr>
          <w:rFonts w:ascii="GHEA Grapalat" w:hAnsi="GHEA Grapalat" w:cs="Arial"/>
          <w:sz w:val="22"/>
          <w:szCs w:val="22"/>
          <w:lang w:val="en-US"/>
        </w:rPr>
        <w:t>ի կատարողական</w:t>
      </w:r>
      <w:r w:rsidRPr="00C921DE">
        <w:rPr>
          <w:rFonts w:ascii="GHEA Grapalat" w:hAnsi="GHEA Grapalat" w:cs="Arial"/>
          <w:sz w:val="22"/>
          <w:szCs w:val="22"/>
        </w:rPr>
        <w:t>ով:</w:t>
      </w:r>
      <w:r w:rsidRPr="00C921DE">
        <w:rPr>
          <w:rFonts w:ascii="GHEA Grapalat" w:hAnsi="GHEA Grapalat" w:cs="Sylfaen"/>
          <w:sz w:val="22"/>
          <w:szCs w:val="22"/>
        </w:rPr>
        <w:t xml:space="preserve"> Նախորդ տարվա համեմատ Մշակութային ժառանգության ծրագրի ծախսերն աճել են</w:t>
      </w:r>
      <w:r w:rsidRPr="00C921DE">
        <w:rPr>
          <w:rFonts w:ascii="GHEA Grapalat" w:hAnsi="GHEA Grapalat" w:cs="Arial"/>
          <w:sz w:val="22"/>
          <w:szCs w:val="22"/>
        </w:rPr>
        <w:t xml:space="preserve"> </w:t>
      </w:r>
      <w:r w:rsidRPr="00C921DE">
        <w:rPr>
          <w:rFonts w:ascii="GHEA Grapalat" w:hAnsi="GHEA Grapalat" w:cs="Sylfaen"/>
          <w:sz w:val="22"/>
          <w:szCs w:val="22"/>
        </w:rPr>
        <w:t>14%</w:t>
      </w:r>
      <w:r w:rsidRPr="00C921DE">
        <w:rPr>
          <w:rFonts w:ascii="GHEA Grapalat" w:hAnsi="GHEA Grapalat" w:cs="Sylfaen"/>
          <w:sz w:val="22"/>
          <w:szCs w:val="22"/>
        </w:rPr>
        <w:noBreakHyphen/>
        <w:t xml:space="preserve">ով կամ 473.5 մլն դրամով` հիմնականում պայմանավորված ՀՀ-ում տեղակայված և տեղակայվող արձանների և քանդակների հարակից հողատարածքների ձեռքբերման, հուշարձանների ամրակայման, նորոգման և վերականգնման գծով ծախսերի աճով, ինչպես նաև տեղեկատվական մոդուլային կենտրոնների ստեղծման </w:t>
      </w:r>
      <w:r w:rsidRPr="00C921DE">
        <w:rPr>
          <w:rFonts w:ascii="GHEA Grapalat" w:hAnsi="GHEA Grapalat" w:cs="Sylfaen"/>
          <w:iCs/>
          <w:sz w:val="22"/>
          <w:szCs w:val="22"/>
        </w:rPr>
        <w:t>համար միջոցների հատկացմամբ, որը 2022 թվականին նախատեսված չէր։</w:t>
      </w:r>
    </w:p>
    <w:p w14:paraId="6756720E" w14:textId="6D431B97" w:rsidR="001556D3" w:rsidRPr="00C921DE" w:rsidRDefault="001556D3" w:rsidP="001556D3">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Arial"/>
          <w:sz w:val="22"/>
          <w:szCs w:val="22"/>
        </w:rPr>
        <w:t>Մշակութային ժառանգության ծրագրի շրջանակներում թանգարանների գործունեության առաջնային ուղղություններն են համարվել թանգարանային և գրադարանային առարկաների պահպանությունը, թանգարանային առարկաների համալրումը և վերականգնումը, ցուցահանդեսների և համերգների կազմակերպումը: Միջոցառման շրջանակներում</w:t>
      </w:r>
      <w:r w:rsidRPr="00C921DE">
        <w:rPr>
          <w:rFonts w:ascii="GHEA Grapalat" w:hAnsi="GHEA Grapalat" w:cs="Arial"/>
          <w:sz w:val="22"/>
          <w:szCs w:val="22"/>
          <w:lang w:val="it-IT"/>
        </w:rPr>
        <w:t xml:space="preserve"> </w:t>
      </w:r>
      <w:r w:rsidRPr="00C921DE">
        <w:rPr>
          <w:rFonts w:ascii="GHEA Grapalat" w:hAnsi="GHEA Grapalat" w:cs="Arial"/>
          <w:sz w:val="22"/>
          <w:szCs w:val="22"/>
        </w:rPr>
        <w:t>կազմակերպվել</w:t>
      </w:r>
      <w:r w:rsidRPr="00C921DE">
        <w:rPr>
          <w:rFonts w:ascii="GHEA Grapalat" w:hAnsi="GHEA Grapalat" w:cs="Arial"/>
          <w:sz w:val="22"/>
          <w:szCs w:val="22"/>
          <w:lang w:val="it-IT"/>
        </w:rPr>
        <w:t xml:space="preserve"> </w:t>
      </w:r>
      <w:r w:rsidRPr="00C921DE">
        <w:rPr>
          <w:rFonts w:ascii="GHEA Grapalat" w:hAnsi="GHEA Grapalat" w:cs="Arial"/>
          <w:sz w:val="22"/>
          <w:szCs w:val="22"/>
        </w:rPr>
        <w:t>է</w:t>
      </w:r>
      <w:r w:rsidRPr="00C921DE">
        <w:rPr>
          <w:rFonts w:ascii="GHEA Grapalat" w:hAnsi="GHEA Grapalat" w:cs="Arial"/>
          <w:sz w:val="22"/>
          <w:szCs w:val="22"/>
          <w:lang w:val="it-IT"/>
        </w:rPr>
        <w:t xml:space="preserve"> 366 </w:t>
      </w:r>
      <w:r w:rsidRPr="00C921DE">
        <w:rPr>
          <w:rFonts w:ascii="GHEA Grapalat" w:hAnsi="GHEA Grapalat" w:cs="Arial"/>
          <w:sz w:val="22"/>
          <w:szCs w:val="22"/>
        </w:rPr>
        <w:t>ցուցահանդես՝</w:t>
      </w:r>
      <w:r w:rsidRPr="00C921DE">
        <w:rPr>
          <w:rFonts w:ascii="GHEA Grapalat" w:hAnsi="GHEA Grapalat" w:cs="Arial"/>
          <w:sz w:val="22"/>
          <w:szCs w:val="22"/>
          <w:lang w:val="it-IT"/>
        </w:rPr>
        <w:t xml:space="preserve"> </w:t>
      </w:r>
      <w:r w:rsidRPr="00C921DE">
        <w:rPr>
          <w:rFonts w:ascii="GHEA Grapalat" w:hAnsi="GHEA Grapalat" w:cs="Arial"/>
          <w:sz w:val="22"/>
          <w:szCs w:val="22"/>
        </w:rPr>
        <w:t xml:space="preserve">նախատեսված 301-ի և </w:t>
      </w:r>
      <w:r w:rsidRPr="00C921DE">
        <w:rPr>
          <w:rFonts w:ascii="GHEA Grapalat" w:hAnsi="GHEA Grapalat" w:cs="Sylfaen"/>
          <w:sz w:val="22"/>
          <w:szCs w:val="22"/>
        </w:rPr>
        <w:t xml:space="preserve">2022 թվականի 309-ի </w:t>
      </w:r>
      <w:r w:rsidRPr="00C921DE">
        <w:rPr>
          <w:rFonts w:ascii="GHEA Grapalat" w:hAnsi="GHEA Grapalat" w:cs="Arial"/>
          <w:sz w:val="22"/>
          <w:szCs w:val="22"/>
        </w:rPr>
        <w:t xml:space="preserve">դիմաց, թանգարանների այցելուների թիվը կազմել է 1734047՝ կանխատեսված 1335854-ի և </w:t>
      </w:r>
      <w:r w:rsidRPr="00C921DE">
        <w:rPr>
          <w:rFonts w:ascii="GHEA Grapalat" w:hAnsi="GHEA Grapalat" w:cs="Sylfaen"/>
          <w:sz w:val="22"/>
          <w:szCs w:val="22"/>
        </w:rPr>
        <w:t xml:space="preserve">2022 թվականի </w:t>
      </w:r>
      <w:r w:rsidRPr="00C921DE">
        <w:rPr>
          <w:rFonts w:ascii="GHEA Grapalat" w:hAnsi="GHEA Grapalat" w:cs="Arial"/>
          <w:sz w:val="22"/>
          <w:szCs w:val="22"/>
        </w:rPr>
        <w:t>1473840</w:t>
      </w:r>
      <w:r w:rsidRPr="00C921DE">
        <w:rPr>
          <w:rFonts w:ascii="GHEA Grapalat" w:hAnsi="GHEA Grapalat" w:cs="Sylfaen"/>
          <w:sz w:val="22"/>
          <w:szCs w:val="22"/>
        </w:rPr>
        <w:t xml:space="preserve">-ի </w:t>
      </w:r>
      <w:r w:rsidRPr="00C921DE">
        <w:rPr>
          <w:rFonts w:ascii="GHEA Grapalat" w:hAnsi="GHEA Grapalat" w:cs="Arial"/>
          <w:sz w:val="22"/>
          <w:szCs w:val="22"/>
        </w:rPr>
        <w:t>դիմաց, իսկ սպասարկվող ընթերցողների թիվը կազմել է 1138՝ կանխատեսված 410-ի և 2022 թվականի 1222</w:t>
      </w:r>
      <w:r w:rsidR="001B2045" w:rsidRPr="00C921DE">
        <w:rPr>
          <w:rFonts w:ascii="GHEA Grapalat" w:hAnsi="GHEA Grapalat" w:cs="Arial"/>
          <w:sz w:val="22"/>
          <w:szCs w:val="22"/>
        </w:rPr>
        <w:noBreakHyphen/>
      </w:r>
      <w:r w:rsidRPr="00C921DE">
        <w:rPr>
          <w:rFonts w:ascii="GHEA Grapalat" w:hAnsi="GHEA Grapalat" w:cs="Arial"/>
          <w:sz w:val="22"/>
          <w:szCs w:val="22"/>
        </w:rPr>
        <w:t xml:space="preserve">ի դիմաց։ </w:t>
      </w:r>
      <w:r w:rsidRPr="00C921DE">
        <w:rPr>
          <w:rFonts w:ascii="GHEA Grapalat" w:hAnsi="GHEA Grapalat" w:cs="Sylfaen"/>
          <w:sz w:val="22"/>
          <w:szCs w:val="22"/>
        </w:rPr>
        <w:t>Փաստացի բարձր արդյունքային ցուցանիշները հիմնականում պայմանավորված են զբոսաշրջիկների, ինչպես նաև առցանց այցելուների թվի էական աճով:</w:t>
      </w:r>
      <w:r w:rsidRPr="00C921DE">
        <w:rPr>
          <w:rFonts w:ascii="GHEA Grapalat" w:hAnsi="GHEA Grapalat" w:cs="Arial"/>
          <w:sz w:val="22"/>
          <w:szCs w:val="22"/>
        </w:rPr>
        <w:t xml:space="preserve"> Թանգարանային հավաքածուներում ընդգրկված առարկաների թիվը կազմել է 2306004` նախատեսված 2278923-ի և 2022 թվականի 2281962-ի դիմաց: Աճը պայմանավորված է </w:t>
      </w:r>
      <w:r w:rsidRPr="00C921DE">
        <w:rPr>
          <w:rFonts w:ascii="GHEA Grapalat" w:hAnsi="GHEA Grapalat" w:cs="Sylfaen"/>
          <w:sz w:val="22"/>
          <w:szCs w:val="22"/>
        </w:rPr>
        <w:t>նվիրատվություններ</w:t>
      </w:r>
      <w:r w:rsidR="001B2045" w:rsidRPr="00C921DE">
        <w:rPr>
          <w:rFonts w:ascii="GHEA Grapalat" w:hAnsi="GHEA Grapalat" w:cs="Sylfaen"/>
          <w:sz w:val="22"/>
          <w:szCs w:val="22"/>
          <w:lang w:val="en-US"/>
        </w:rPr>
        <w:t>ի</w:t>
      </w:r>
      <w:r w:rsidRPr="00C921DE">
        <w:rPr>
          <w:rFonts w:ascii="GHEA Grapalat" w:hAnsi="GHEA Grapalat" w:cs="Sylfaen"/>
          <w:sz w:val="22"/>
          <w:szCs w:val="22"/>
        </w:rPr>
        <w:t xml:space="preserve">, հնագիտական </w:t>
      </w:r>
      <w:r w:rsidRPr="00C921DE">
        <w:rPr>
          <w:rFonts w:ascii="GHEA Grapalat" w:hAnsi="GHEA Grapalat" w:cs="Sylfaen"/>
          <w:sz w:val="22"/>
          <w:szCs w:val="22"/>
        </w:rPr>
        <w:lastRenderedPageBreak/>
        <w:t>պեղումներ</w:t>
      </w:r>
      <w:r w:rsidR="001B2045" w:rsidRPr="00C921DE">
        <w:rPr>
          <w:rFonts w:ascii="GHEA Grapalat" w:hAnsi="GHEA Grapalat" w:cs="Sylfaen"/>
          <w:sz w:val="22"/>
          <w:szCs w:val="22"/>
          <w:lang w:val="en-US"/>
        </w:rPr>
        <w:t>ի</w:t>
      </w:r>
      <w:r w:rsidR="001B2045" w:rsidRPr="00C921DE">
        <w:rPr>
          <w:rFonts w:ascii="GHEA Grapalat" w:hAnsi="GHEA Grapalat" w:cs="Sylfaen"/>
          <w:sz w:val="22"/>
          <w:szCs w:val="22"/>
        </w:rPr>
        <w:t xml:space="preserve"> և այլ աղբյու</w:t>
      </w:r>
      <w:r w:rsidR="00AD2598" w:rsidRPr="00C921DE">
        <w:rPr>
          <w:rFonts w:ascii="GHEA Grapalat" w:hAnsi="GHEA Grapalat" w:cs="Sylfaen"/>
          <w:sz w:val="22"/>
          <w:szCs w:val="22"/>
          <w:lang w:val="en-US"/>
        </w:rPr>
        <w:t>ր</w:t>
      </w:r>
      <w:r w:rsidR="001B2045" w:rsidRPr="00C921DE">
        <w:rPr>
          <w:rFonts w:ascii="GHEA Grapalat" w:hAnsi="GHEA Grapalat" w:cs="Sylfaen"/>
          <w:sz w:val="22"/>
          <w:szCs w:val="22"/>
        </w:rPr>
        <w:t>ների միջոց</w:t>
      </w:r>
      <w:r w:rsidRPr="00C921DE">
        <w:rPr>
          <w:rFonts w:ascii="GHEA Grapalat" w:hAnsi="GHEA Grapalat" w:cs="Sylfaen"/>
          <w:sz w:val="22"/>
          <w:szCs w:val="22"/>
        </w:rPr>
        <w:t>ով ֆոնդ</w:t>
      </w:r>
      <w:r w:rsidR="001B2045" w:rsidRPr="00C921DE">
        <w:rPr>
          <w:rFonts w:ascii="GHEA Grapalat" w:hAnsi="GHEA Grapalat" w:cs="Sylfaen"/>
          <w:sz w:val="22"/>
          <w:szCs w:val="22"/>
          <w:lang w:val="en-US"/>
        </w:rPr>
        <w:t>եր</w:t>
      </w:r>
      <w:r w:rsidRPr="00C921DE">
        <w:rPr>
          <w:rFonts w:ascii="GHEA Grapalat" w:hAnsi="GHEA Grapalat" w:cs="Sylfaen"/>
          <w:sz w:val="22"/>
          <w:szCs w:val="22"/>
        </w:rPr>
        <w:t xml:space="preserve">ի համալրմամբ: </w:t>
      </w:r>
      <w:r w:rsidRPr="00C921DE">
        <w:rPr>
          <w:rFonts w:ascii="GHEA Grapalat" w:hAnsi="GHEA Grapalat" w:cs="Arial"/>
          <w:sz w:val="22"/>
          <w:szCs w:val="22"/>
        </w:rPr>
        <w:t xml:space="preserve">Թանգարանային ծառայությունների և </w:t>
      </w:r>
      <w:r w:rsidRPr="00C921DE">
        <w:rPr>
          <w:rFonts w:ascii="GHEA Grapalat" w:hAnsi="GHEA Grapalat" w:cs="GHEA Grapalat"/>
          <w:sz w:val="22"/>
          <w:szCs w:val="22"/>
        </w:rPr>
        <w:t>ցուցահանդեսների</w:t>
      </w:r>
      <w:r w:rsidRPr="00C921DE">
        <w:rPr>
          <w:rFonts w:ascii="GHEA Grapalat" w:hAnsi="GHEA Grapalat" w:cs="Arial"/>
          <w:sz w:val="22"/>
          <w:szCs w:val="22"/>
        </w:rPr>
        <w:t xml:space="preserve"> միջոցառման շրջանակներում օգտագործվել է շուրջ 2.6 մլրդ դրամ՝ ապահովելով 95.6% կատարողական: Շեղումը պայմանավորված է ԱԱՀ-ի վճարման համար նախատեսված միջոցները ոչ ամբողջությամբ </w:t>
      </w:r>
      <w:r w:rsidRPr="00C921DE">
        <w:rPr>
          <w:rFonts w:ascii="GHEA Grapalat" w:hAnsi="GHEA Grapalat" w:cs="Sylfaen"/>
          <w:sz w:val="22"/>
          <w:szCs w:val="22"/>
        </w:rPr>
        <w:t>օգտագործելու հանգամանքով: Նախորդ տարվա համեմատ միջոցառման ծախսերը նվազել են 2.6%-ով կամ 68.8 մլն դրամով:</w:t>
      </w:r>
    </w:p>
    <w:p w14:paraId="2F50CB32" w14:textId="5EAE29D3" w:rsidR="001556D3" w:rsidRPr="00C921DE" w:rsidRDefault="001556D3" w:rsidP="00327038">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Arial"/>
          <w:sz w:val="22"/>
          <w:szCs w:val="22"/>
        </w:rPr>
        <w:t xml:space="preserve">Հուշարձանների ամրակայման, նորոգման և վերականգնման միջոցառման շրջանակներում իրականացվել են </w:t>
      </w:r>
      <w:r w:rsidR="00DF1210" w:rsidRPr="00C921DE">
        <w:rPr>
          <w:rFonts w:ascii="GHEA Grapalat" w:hAnsi="GHEA Grapalat"/>
          <w:sz w:val="22"/>
          <w:szCs w:val="22"/>
        </w:rPr>
        <w:t xml:space="preserve">6 հուշարձանի նախագծերի փորձաքննության և 1 հուշարձանի տարածքի պեղումների </w:t>
      </w:r>
      <w:r w:rsidRPr="00C921DE">
        <w:rPr>
          <w:rFonts w:ascii="GHEA Grapalat" w:hAnsi="GHEA Grapalat" w:cs="Arial"/>
          <w:sz w:val="22"/>
          <w:szCs w:val="22"/>
        </w:rPr>
        <w:t>աշխատանքներ, ինչպես նաև 8 հուշարձանի ամրակայման, նորոգման և վերականգնման աշխատանքներ: Հաշվետու տարում հուշարձանների ամրակայման, նորոգման և վերականգնման աշխատանքների իրականացմանը տրամադրվել է շուրջ 358</w:t>
      </w:r>
      <w:r w:rsidRPr="00C921DE">
        <w:rPr>
          <w:rFonts w:ascii="Calibri" w:hAnsi="Calibri" w:cs="Calibri"/>
          <w:sz w:val="22"/>
          <w:szCs w:val="22"/>
        </w:rPr>
        <w:t> </w:t>
      </w:r>
      <w:r w:rsidRPr="00C921DE">
        <w:rPr>
          <w:rFonts w:ascii="GHEA Grapalat" w:hAnsi="GHEA Grapalat" w:cs="Arial"/>
          <w:sz w:val="22"/>
          <w:szCs w:val="22"/>
        </w:rPr>
        <w:t>մլն դրամ` կազմելով ծրագրային ցուցանիշի 97.7%-ը: 2022 թվականի համեմատ հուշարձանների վերականգնման ծախսերն աճել են 82.9%-ով կամ 162.2 մլն դրամով՝ պայմանավորված կատարված շինարարական աշխատանքների ծավալներով:</w:t>
      </w:r>
    </w:p>
    <w:p w14:paraId="62A61319" w14:textId="1EAF9A1A" w:rsidR="009A2A08" w:rsidRPr="00C921DE" w:rsidRDefault="009A2A08" w:rsidP="00327038">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Arial"/>
          <w:i/>
          <w:sz w:val="22"/>
          <w:szCs w:val="22"/>
        </w:rPr>
        <w:t>«Մասսայական սպորտ»</w:t>
      </w:r>
      <w:r w:rsidRPr="00C921DE">
        <w:rPr>
          <w:rFonts w:ascii="GHEA Grapalat" w:hAnsi="GHEA Grapalat" w:cs="Arial"/>
          <w:sz w:val="22"/>
          <w:szCs w:val="22"/>
        </w:rPr>
        <w:t xml:space="preserve"> ծրագ</w:t>
      </w:r>
      <w:r w:rsidR="00BE4EF6" w:rsidRPr="00C921DE">
        <w:rPr>
          <w:rFonts w:ascii="GHEA Grapalat" w:hAnsi="GHEA Grapalat" w:cs="Arial"/>
          <w:sz w:val="22"/>
          <w:szCs w:val="22"/>
          <w:lang w:val="en-US"/>
        </w:rPr>
        <w:t>րի շրջանակներում</w:t>
      </w:r>
      <w:r w:rsidRPr="00C921DE">
        <w:rPr>
          <w:rFonts w:ascii="GHEA Grapalat" w:hAnsi="GHEA Grapalat" w:cs="Arial"/>
          <w:sz w:val="22"/>
          <w:szCs w:val="22"/>
        </w:rPr>
        <w:t xml:space="preserve"> 2023 թվականին </w:t>
      </w:r>
      <w:r w:rsidR="00BE4EF6" w:rsidRPr="00C921DE">
        <w:rPr>
          <w:rFonts w:ascii="GHEA Grapalat" w:hAnsi="GHEA Grapalat" w:cs="Arial"/>
          <w:sz w:val="22"/>
          <w:szCs w:val="22"/>
          <w:lang w:val="en-US"/>
        </w:rPr>
        <w:t>օգտագործվ</w:t>
      </w:r>
      <w:r w:rsidRPr="00C921DE">
        <w:rPr>
          <w:rFonts w:ascii="GHEA Grapalat" w:hAnsi="GHEA Grapalat" w:cs="Arial"/>
          <w:sz w:val="22"/>
          <w:szCs w:val="22"/>
        </w:rPr>
        <w:t>ել է 2.5 մլրդ դրամ, որից 2.2 մլրդ</w:t>
      </w:r>
      <w:r w:rsidR="00BE4EF6" w:rsidRPr="00C921DE">
        <w:rPr>
          <w:rFonts w:ascii="GHEA Grapalat" w:hAnsi="GHEA Grapalat" w:cs="Arial"/>
          <w:sz w:val="22"/>
          <w:szCs w:val="22"/>
          <w:lang w:val="en-US"/>
        </w:rPr>
        <w:t xml:space="preserve"> դրամն</w:t>
      </w:r>
      <w:r w:rsidRPr="00C921DE">
        <w:rPr>
          <w:rFonts w:ascii="GHEA Grapalat" w:hAnsi="GHEA Grapalat" w:cs="Arial"/>
          <w:sz w:val="22"/>
          <w:szCs w:val="22"/>
        </w:rPr>
        <w:t xml:space="preserve"> ուղղվել է </w:t>
      </w:r>
      <w:r w:rsidR="00D279F6" w:rsidRPr="00C921DE">
        <w:rPr>
          <w:rFonts w:ascii="GHEA Grapalat" w:hAnsi="GHEA Grapalat" w:cs="Arial"/>
          <w:sz w:val="22"/>
          <w:szCs w:val="22"/>
          <w:lang w:val="en-US"/>
        </w:rPr>
        <w:t xml:space="preserve">կապիտալ ծախսերին: Մասնավորապես՝ </w:t>
      </w:r>
      <w:r w:rsidR="00834BEC" w:rsidRPr="00C921DE">
        <w:rPr>
          <w:rFonts w:ascii="GHEA Grapalat" w:hAnsi="GHEA Grapalat" w:cs="Arial"/>
          <w:sz w:val="22"/>
          <w:szCs w:val="22"/>
          <w:lang w:val="en-US"/>
        </w:rPr>
        <w:t>շուրջ 1.8 մլրդ դրամ աջա</w:t>
      </w:r>
      <w:r w:rsidR="00AD2598" w:rsidRPr="00C921DE">
        <w:rPr>
          <w:rFonts w:ascii="GHEA Grapalat" w:hAnsi="GHEA Grapalat" w:cs="Arial"/>
          <w:sz w:val="22"/>
          <w:szCs w:val="22"/>
          <w:lang w:val="en-US"/>
        </w:rPr>
        <w:t>կ</w:t>
      </w:r>
      <w:r w:rsidR="00834BEC" w:rsidRPr="00C921DE">
        <w:rPr>
          <w:rFonts w:ascii="GHEA Grapalat" w:hAnsi="GHEA Grapalat" w:cs="Arial"/>
          <w:sz w:val="22"/>
          <w:szCs w:val="22"/>
          <w:lang w:val="en-US"/>
        </w:rPr>
        <w:t xml:space="preserve">ցություն է </w:t>
      </w:r>
      <w:r w:rsidR="00834BEC" w:rsidRPr="00C921DE">
        <w:rPr>
          <w:rFonts w:ascii="GHEA Grapalat" w:hAnsi="GHEA Grapalat" w:cs="Arial"/>
          <w:sz w:val="22"/>
          <w:szCs w:val="22"/>
        </w:rPr>
        <w:t xml:space="preserve">տրամադրվել համայնքներին՝ մարզական հաստատությունների շենքային </w:t>
      </w:r>
      <w:r w:rsidR="00834BEC" w:rsidRPr="00C921DE">
        <w:rPr>
          <w:rFonts w:ascii="GHEA Grapalat" w:hAnsi="GHEA Grapalat" w:cs="Arial"/>
          <w:sz w:val="22"/>
          <w:szCs w:val="22"/>
          <w:lang w:val="en-US"/>
        </w:rPr>
        <w:t>պայմանների բարելավման նպատակով: Միջոցառման շրջանակներում 2023 թվականին շարունակվել են ՀՀ Շիրակի մարզի Գյումրի քաղաքի «Արթուր Ալեքսանյանի անվան հունահռոմեական ըմբշամարտի մանկապատանեկան դպրոց» նոր սպորտային համալիրի կառուցման աշխատանքները, ինչպես նաև ավարտվել են «Երևանի թենիսի և բադմին</w:t>
      </w:r>
      <w:r w:rsidR="00AD2598" w:rsidRPr="00C921DE">
        <w:rPr>
          <w:rFonts w:ascii="GHEA Grapalat" w:hAnsi="GHEA Grapalat" w:cs="Arial"/>
          <w:sz w:val="22"/>
          <w:szCs w:val="22"/>
          <w:lang w:val="en-US"/>
        </w:rPr>
        <w:t>տ</w:t>
      </w:r>
      <w:r w:rsidR="00834BEC" w:rsidRPr="00C921DE">
        <w:rPr>
          <w:rFonts w:ascii="GHEA Grapalat" w:hAnsi="GHEA Grapalat" w:cs="Arial"/>
          <w:sz w:val="22"/>
          <w:szCs w:val="22"/>
          <w:lang w:val="en-US"/>
        </w:rPr>
        <w:t>ոնի մանկապատանեկան մարզադպրոց» ՀՈԱԿ-ի «Կիլիկիա» մարզադահլիճի վերակառուցման աշխատանքները:</w:t>
      </w:r>
    </w:p>
    <w:p w14:paraId="35D569CC" w14:textId="77777777" w:rsidR="00C56BD7" w:rsidRPr="00C921DE" w:rsidRDefault="00C56BD7" w:rsidP="00C56BD7">
      <w:pPr>
        <w:tabs>
          <w:tab w:val="num" w:pos="0"/>
        </w:tabs>
        <w:spacing w:line="360" w:lineRule="auto"/>
        <w:ind w:firstLine="567"/>
        <w:jc w:val="both"/>
        <w:rPr>
          <w:rFonts w:ascii="GHEA Grapalat" w:hAnsi="GHEA Grapalat" w:cs="Arial"/>
          <w:sz w:val="22"/>
          <w:szCs w:val="22"/>
        </w:rPr>
      </w:pPr>
    </w:p>
    <w:p w14:paraId="02C0991C" w14:textId="77777777" w:rsidR="007B1B8B" w:rsidRPr="00C921DE" w:rsidRDefault="00C56BD7" w:rsidP="007B1B8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պաշտպանության նախարարության</w:t>
      </w:r>
      <w:r w:rsidRPr="00C921DE">
        <w:rPr>
          <w:rFonts w:ascii="GHEA Grapalat" w:hAnsi="GHEA Grapalat" w:cs="GHEA Grapalat"/>
          <w:sz w:val="22"/>
          <w:szCs w:val="22"/>
        </w:rPr>
        <w:t xml:space="preserve"> </w:t>
      </w:r>
      <w:r w:rsidR="007B1B8B" w:rsidRPr="00C921DE">
        <w:rPr>
          <w:rFonts w:ascii="GHEA Grapalat" w:hAnsi="GHEA Grapalat" w:cs="Times Armenian"/>
          <w:sz w:val="22"/>
          <w:szCs w:val="22"/>
        </w:rPr>
        <w:t>պատասխանատվությամբ 202</w:t>
      </w:r>
      <w:r w:rsidR="007B1B8B" w:rsidRPr="00C921DE">
        <w:rPr>
          <w:rFonts w:ascii="GHEA Grapalat" w:hAnsi="GHEA Grapalat" w:cs="Times Armenian"/>
          <w:sz w:val="22"/>
          <w:szCs w:val="22"/>
          <w:lang w:val="en-US"/>
        </w:rPr>
        <w:t>3</w:t>
      </w:r>
      <w:r w:rsidR="007B1B8B" w:rsidRPr="00C921DE">
        <w:rPr>
          <w:rFonts w:ascii="GHEA Grapalat" w:hAnsi="GHEA Grapalat" w:cs="GHEA Grapalat"/>
          <w:sz w:val="22"/>
          <w:szCs w:val="22"/>
        </w:rPr>
        <w:t xml:space="preserve"> թվականի </w:t>
      </w:r>
      <w:r w:rsidR="007B1B8B" w:rsidRPr="00C921DE">
        <w:rPr>
          <w:rFonts w:ascii="GHEA Grapalat" w:hAnsi="GHEA Grapalat" w:cs="Sylfaen"/>
          <w:sz w:val="22"/>
          <w:szCs w:val="22"/>
        </w:rPr>
        <w:t>ընթացք</w:t>
      </w:r>
      <w:r w:rsidR="007B1B8B" w:rsidRPr="00C921DE">
        <w:rPr>
          <w:rFonts w:ascii="GHEA Grapalat" w:hAnsi="GHEA Grapalat" w:cs="GHEA Grapalat"/>
          <w:sz w:val="22"/>
          <w:szCs w:val="22"/>
        </w:rPr>
        <w:t>ում կատարվել է պետական բյուջեի 5 ծրագիր: Ծախսերը կազմել են</w:t>
      </w:r>
      <w:r w:rsidR="007B1B8B" w:rsidRPr="00C921DE">
        <w:rPr>
          <w:rFonts w:ascii="GHEA Grapalat" w:hAnsi="GHEA Grapalat" w:cs="GHEA Grapalat"/>
          <w:sz w:val="22"/>
          <w:szCs w:val="22"/>
          <w:lang w:val="en-US"/>
        </w:rPr>
        <w:t xml:space="preserve"> </w:t>
      </w:r>
      <w:r w:rsidR="007B1B8B" w:rsidRPr="00C921DE">
        <w:rPr>
          <w:rFonts w:ascii="GHEA Grapalat" w:hAnsi="GHEA Grapalat" w:cs="GHEA Grapalat"/>
          <w:sz w:val="22"/>
          <w:szCs w:val="22"/>
        </w:rPr>
        <w:t xml:space="preserve">շուրջ </w:t>
      </w:r>
      <w:r w:rsidR="007B1B8B" w:rsidRPr="00C921DE">
        <w:rPr>
          <w:rFonts w:ascii="GHEA Grapalat" w:hAnsi="GHEA Grapalat" w:cs="GHEA Grapalat"/>
          <w:sz w:val="22"/>
          <w:szCs w:val="22"/>
          <w:lang w:val="en-US"/>
        </w:rPr>
        <w:t>527.3</w:t>
      </w:r>
      <w:r w:rsidR="007B1B8B" w:rsidRPr="00C921DE">
        <w:rPr>
          <w:rFonts w:ascii="GHEA Grapalat" w:hAnsi="GHEA Grapalat" w:cs="GHEA Grapalat"/>
          <w:sz w:val="22"/>
          <w:szCs w:val="22"/>
        </w:rPr>
        <w:t xml:space="preserve"> մլրդ դրամ կամ ծրագրված ցուցանիշի 99.9%</w:t>
      </w:r>
      <w:r w:rsidR="007B1B8B" w:rsidRPr="00C921DE">
        <w:rPr>
          <w:rFonts w:ascii="GHEA Grapalat" w:hAnsi="GHEA Grapalat" w:cs="GHEA Grapalat"/>
          <w:sz w:val="22"/>
          <w:szCs w:val="22"/>
        </w:rPr>
        <w:noBreakHyphen/>
        <w:t>ը: Նախորդ տարվա համեմատ ՀՀ պաշտպանության նախարարության պատասխանատվությամբ իրականացվող ծրագրերի գծով ծախսերն աճել են 9.9%</w:t>
      </w:r>
      <w:r w:rsidR="007B1B8B" w:rsidRPr="00C921DE">
        <w:rPr>
          <w:rFonts w:ascii="GHEA Grapalat" w:hAnsi="GHEA Grapalat" w:cs="GHEA Grapalat"/>
          <w:sz w:val="22"/>
          <w:szCs w:val="22"/>
        </w:rPr>
        <w:noBreakHyphen/>
        <w:t>ով կամ 47.6 մլրդ դրամով, որը հիմնականում պայմանավորված է ՀՀ պաշտպանության ապահովման ծրագրի շրջանակներում կատարված ծախսերի աճով:</w:t>
      </w:r>
    </w:p>
    <w:p w14:paraId="31BE83F1" w14:textId="77777777" w:rsidR="007B1B8B" w:rsidRPr="00C921DE" w:rsidRDefault="007B1B8B" w:rsidP="007B1B8B">
      <w:pPr>
        <w:autoSpaceDE w:val="0"/>
        <w:autoSpaceDN w:val="0"/>
        <w:adjustRightInd w:val="0"/>
        <w:spacing w:line="360" w:lineRule="auto"/>
        <w:ind w:firstLine="567"/>
        <w:jc w:val="both"/>
        <w:rPr>
          <w:rFonts w:ascii="GHEA Grapalat" w:hAnsi="GHEA Grapalat" w:cs="GHEA Grapalat"/>
          <w:sz w:val="22"/>
          <w:szCs w:val="22"/>
        </w:rPr>
      </w:pPr>
    </w:p>
    <w:p w14:paraId="74D873F1" w14:textId="77777777" w:rsidR="007B1B8B" w:rsidRPr="00C921DE" w:rsidRDefault="007B1B8B" w:rsidP="007B1B8B">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lastRenderedPageBreak/>
        <w:t>2023թ. ՀՀ պաշտպանության նախարարության կողմից իրականացված ծրագրերը (մլն դրամ)</w:t>
      </w:r>
    </w:p>
    <w:tbl>
      <w:tblP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8"/>
        <w:gridCol w:w="1101"/>
        <w:gridCol w:w="1085"/>
        <w:gridCol w:w="1079"/>
        <w:gridCol w:w="1203"/>
        <w:gridCol w:w="1203"/>
        <w:gridCol w:w="1120"/>
      </w:tblGrid>
      <w:tr w:rsidR="00D61F4C" w:rsidRPr="00C921DE" w14:paraId="2AD83213" w14:textId="77777777" w:rsidTr="00CD04D2">
        <w:trPr>
          <w:trHeight w:val="300"/>
          <w:jc w:val="center"/>
        </w:trPr>
        <w:tc>
          <w:tcPr>
            <w:tcW w:w="3388" w:type="dxa"/>
            <w:noWrap/>
            <w:vAlign w:val="bottom"/>
          </w:tcPr>
          <w:p w14:paraId="2EE4C8A8" w14:textId="77777777" w:rsidR="00D61F4C" w:rsidRPr="00C921DE" w:rsidRDefault="00D61F4C" w:rsidP="00D61F4C">
            <w:pPr>
              <w:rPr>
                <w:noProof w:val="0"/>
                <w:sz w:val="20"/>
                <w:szCs w:val="20"/>
              </w:rPr>
            </w:pPr>
          </w:p>
        </w:tc>
        <w:tc>
          <w:tcPr>
            <w:tcW w:w="1101" w:type="dxa"/>
          </w:tcPr>
          <w:p w14:paraId="19F2A249"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2</w:t>
            </w:r>
            <w:r w:rsidRPr="00C921DE">
              <w:rPr>
                <w:rFonts w:ascii="GHEA Grapalat" w:hAnsi="GHEA Grapalat" w:cs="Calibri"/>
                <w:b/>
                <w:sz w:val="18"/>
                <w:szCs w:val="18"/>
              </w:rPr>
              <w:t>թ. փաստ</w:t>
            </w:r>
          </w:p>
        </w:tc>
        <w:tc>
          <w:tcPr>
            <w:tcW w:w="1085" w:type="dxa"/>
          </w:tcPr>
          <w:p w14:paraId="0C48886A" w14:textId="45113508"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079" w:type="dxa"/>
            <w:noWrap/>
          </w:tcPr>
          <w:p w14:paraId="55A5FF55" w14:textId="00FF8F6C"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03" w:type="dxa"/>
          </w:tcPr>
          <w:p w14:paraId="5C413BE4" w14:textId="639D821A"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03" w:type="dxa"/>
          </w:tcPr>
          <w:p w14:paraId="4DA375C4" w14:textId="6A4BD5C4" w:rsidR="00D61F4C" w:rsidRPr="00C921DE" w:rsidRDefault="00D61F4C" w:rsidP="00D61F4C">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120" w:type="dxa"/>
          </w:tcPr>
          <w:p w14:paraId="12E9B52D" w14:textId="77777777" w:rsidR="00D61F4C" w:rsidRPr="00C921DE" w:rsidRDefault="00D61F4C" w:rsidP="00D61F4C">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և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տարբե-րությունը</w:t>
            </w:r>
          </w:p>
        </w:tc>
      </w:tr>
      <w:tr w:rsidR="007B1B8B" w:rsidRPr="00C921DE" w14:paraId="0F9EC926" w14:textId="77777777" w:rsidTr="00CD04D2">
        <w:trPr>
          <w:trHeight w:val="331"/>
          <w:jc w:val="center"/>
        </w:trPr>
        <w:tc>
          <w:tcPr>
            <w:tcW w:w="3388" w:type="dxa"/>
            <w:vAlign w:val="bottom"/>
          </w:tcPr>
          <w:p w14:paraId="4305DB9E" w14:textId="77777777" w:rsidR="007B1B8B" w:rsidRPr="00C921DE" w:rsidRDefault="007B1B8B" w:rsidP="00CD04D2">
            <w:pPr>
              <w:rPr>
                <w:rFonts w:ascii="GHEA Grapalat" w:hAnsi="GHEA Grapalat"/>
                <w:b/>
                <w:sz w:val="18"/>
                <w:szCs w:val="18"/>
              </w:rPr>
            </w:pPr>
            <w:r w:rsidRPr="00C921DE">
              <w:rPr>
                <w:rFonts w:ascii="GHEA Grapalat" w:hAnsi="GHEA Grapalat"/>
                <w:b/>
                <w:sz w:val="18"/>
                <w:szCs w:val="18"/>
              </w:rPr>
              <w:t>ԸՆԴԱՄԵՆԸ</w:t>
            </w:r>
          </w:p>
        </w:tc>
        <w:tc>
          <w:tcPr>
            <w:tcW w:w="1101" w:type="dxa"/>
            <w:vAlign w:val="bottom"/>
          </w:tcPr>
          <w:p w14:paraId="52C718A2" w14:textId="77777777" w:rsidR="007B1B8B" w:rsidRPr="00C921DE" w:rsidRDefault="007B1B8B" w:rsidP="00CD04D2">
            <w:pPr>
              <w:jc w:val="right"/>
              <w:rPr>
                <w:rFonts w:ascii="GHEA Grapalat" w:hAnsi="GHEA Grapalat"/>
                <w:b/>
                <w:bCs/>
                <w:sz w:val="18"/>
                <w:szCs w:val="18"/>
                <w:lang w:val="en-US"/>
              </w:rPr>
            </w:pPr>
            <w:r w:rsidRPr="00C921DE">
              <w:rPr>
                <w:rFonts w:ascii="GHEA Grapalat" w:hAnsi="GHEA Grapalat"/>
                <w:b/>
                <w:bCs/>
                <w:sz w:val="18"/>
                <w:szCs w:val="18"/>
                <w:lang w:val="en-US"/>
              </w:rPr>
              <w:t>479</w:t>
            </w:r>
            <w:r w:rsidRPr="00C921DE">
              <w:rPr>
                <w:rFonts w:ascii="GHEA Grapalat" w:hAnsi="GHEA Grapalat"/>
                <w:b/>
                <w:bCs/>
                <w:sz w:val="18"/>
                <w:szCs w:val="18"/>
              </w:rPr>
              <w:t>,</w:t>
            </w:r>
            <w:r w:rsidRPr="00C921DE">
              <w:rPr>
                <w:rFonts w:ascii="GHEA Grapalat" w:hAnsi="GHEA Grapalat"/>
                <w:b/>
                <w:bCs/>
                <w:sz w:val="18"/>
                <w:szCs w:val="18"/>
                <w:lang w:val="en-US"/>
              </w:rPr>
              <w:t>64</w:t>
            </w:r>
            <w:r w:rsidRPr="00C921DE">
              <w:rPr>
                <w:rFonts w:ascii="GHEA Grapalat" w:hAnsi="GHEA Grapalat"/>
                <w:b/>
                <w:bCs/>
                <w:sz w:val="18"/>
                <w:szCs w:val="18"/>
              </w:rPr>
              <w:t>9.</w:t>
            </w:r>
            <w:r w:rsidRPr="00C921DE">
              <w:rPr>
                <w:rFonts w:ascii="GHEA Grapalat" w:hAnsi="GHEA Grapalat"/>
                <w:b/>
                <w:bCs/>
                <w:sz w:val="18"/>
                <w:szCs w:val="18"/>
                <w:lang w:val="en-US"/>
              </w:rPr>
              <w:t>2</w:t>
            </w:r>
          </w:p>
        </w:tc>
        <w:tc>
          <w:tcPr>
            <w:tcW w:w="1085" w:type="dxa"/>
            <w:vAlign w:val="bottom"/>
          </w:tcPr>
          <w:p w14:paraId="3B08EFB2" w14:textId="77777777" w:rsidR="007B1B8B" w:rsidRPr="00C921DE" w:rsidRDefault="007B1B8B" w:rsidP="00CD04D2">
            <w:pPr>
              <w:jc w:val="right"/>
              <w:rPr>
                <w:rFonts w:ascii="GHEA Grapalat" w:hAnsi="GHEA Grapalat"/>
                <w:b/>
                <w:bCs/>
                <w:sz w:val="18"/>
                <w:szCs w:val="18"/>
              </w:rPr>
            </w:pPr>
            <w:r w:rsidRPr="00C921DE">
              <w:rPr>
                <w:rFonts w:ascii="GHEA Grapalat" w:hAnsi="GHEA Grapalat"/>
                <w:b/>
                <w:bCs/>
                <w:sz w:val="18"/>
                <w:szCs w:val="18"/>
                <w:lang w:val="en-US"/>
              </w:rPr>
              <w:t>52</w:t>
            </w:r>
            <w:r w:rsidRPr="00C921DE">
              <w:rPr>
                <w:rFonts w:ascii="GHEA Grapalat" w:hAnsi="GHEA Grapalat"/>
                <w:b/>
                <w:bCs/>
                <w:sz w:val="18"/>
                <w:szCs w:val="18"/>
              </w:rPr>
              <w:t>8,</w:t>
            </w:r>
            <w:r w:rsidRPr="00C921DE">
              <w:rPr>
                <w:rFonts w:ascii="GHEA Grapalat" w:hAnsi="GHEA Grapalat"/>
                <w:b/>
                <w:bCs/>
                <w:sz w:val="18"/>
                <w:szCs w:val="18"/>
                <w:lang w:val="en-US"/>
              </w:rPr>
              <w:t>031</w:t>
            </w:r>
            <w:r w:rsidRPr="00C921DE">
              <w:rPr>
                <w:rFonts w:ascii="GHEA Grapalat" w:hAnsi="GHEA Grapalat"/>
                <w:b/>
                <w:bCs/>
                <w:sz w:val="18"/>
                <w:szCs w:val="18"/>
              </w:rPr>
              <w:t>.</w:t>
            </w:r>
            <w:r w:rsidRPr="00C921DE">
              <w:rPr>
                <w:rFonts w:ascii="GHEA Grapalat" w:hAnsi="GHEA Grapalat"/>
                <w:b/>
                <w:bCs/>
                <w:sz w:val="18"/>
                <w:szCs w:val="18"/>
                <w:lang w:val="en-US"/>
              </w:rPr>
              <w:t>8</w:t>
            </w:r>
          </w:p>
        </w:tc>
        <w:tc>
          <w:tcPr>
            <w:tcW w:w="1079" w:type="dxa"/>
            <w:vAlign w:val="bottom"/>
          </w:tcPr>
          <w:p w14:paraId="60E04845" w14:textId="77777777" w:rsidR="007B1B8B" w:rsidRPr="00C921DE" w:rsidRDefault="007B1B8B" w:rsidP="00CD04D2">
            <w:pPr>
              <w:jc w:val="right"/>
              <w:rPr>
                <w:rFonts w:ascii="GHEA Grapalat" w:hAnsi="GHEA Grapalat"/>
                <w:b/>
                <w:bCs/>
                <w:sz w:val="18"/>
                <w:szCs w:val="18"/>
                <w:lang w:val="en-US"/>
              </w:rPr>
            </w:pPr>
            <w:r w:rsidRPr="00C921DE">
              <w:rPr>
                <w:rFonts w:ascii="GHEA Grapalat" w:hAnsi="GHEA Grapalat"/>
                <w:b/>
                <w:bCs/>
                <w:sz w:val="18"/>
                <w:szCs w:val="18"/>
                <w:lang w:val="en-US"/>
              </w:rPr>
              <w:t>52</w:t>
            </w:r>
            <w:r w:rsidRPr="00C921DE">
              <w:rPr>
                <w:rFonts w:ascii="GHEA Grapalat" w:hAnsi="GHEA Grapalat"/>
                <w:b/>
                <w:bCs/>
                <w:sz w:val="18"/>
                <w:szCs w:val="18"/>
              </w:rPr>
              <w:t>7,</w:t>
            </w:r>
            <w:r w:rsidRPr="00C921DE">
              <w:rPr>
                <w:rFonts w:ascii="GHEA Grapalat" w:hAnsi="GHEA Grapalat"/>
                <w:b/>
                <w:bCs/>
                <w:sz w:val="18"/>
                <w:szCs w:val="18"/>
                <w:lang w:val="en-US"/>
              </w:rPr>
              <w:t>280</w:t>
            </w:r>
            <w:r w:rsidRPr="00C921DE">
              <w:rPr>
                <w:rFonts w:ascii="GHEA Grapalat" w:hAnsi="GHEA Grapalat"/>
                <w:b/>
                <w:bCs/>
                <w:sz w:val="18"/>
                <w:szCs w:val="18"/>
              </w:rPr>
              <w:t>.</w:t>
            </w:r>
            <w:r w:rsidRPr="00C921DE">
              <w:rPr>
                <w:rFonts w:ascii="GHEA Grapalat" w:hAnsi="GHEA Grapalat"/>
                <w:b/>
                <w:bCs/>
                <w:sz w:val="18"/>
                <w:szCs w:val="18"/>
                <w:lang w:val="en-US"/>
              </w:rPr>
              <w:t>2</w:t>
            </w:r>
          </w:p>
        </w:tc>
        <w:tc>
          <w:tcPr>
            <w:tcW w:w="1203" w:type="dxa"/>
            <w:vAlign w:val="bottom"/>
          </w:tcPr>
          <w:p w14:paraId="17415948" w14:textId="77777777" w:rsidR="007B1B8B" w:rsidRPr="00C921DE" w:rsidRDefault="007B1B8B" w:rsidP="00CD04D2">
            <w:pPr>
              <w:jc w:val="right"/>
              <w:rPr>
                <w:rFonts w:ascii="GHEA Grapalat" w:hAnsi="GHEA Grapalat"/>
                <w:b/>
                <w:bCs/>
                <w:sz w:val="18"/>
                <w:szCs w:val="18"/>
              </w:rPr>
            </w:pPr>
            <w:r w:rsidRPr="00C921DE">
              <w:rPr>
                <w:rFonts w:ascii="GHEA Grapalat" w:hAnsi="GHEA Grapalat"/>
                <w:b/>
                <w:bCs/>
                <w:sz w:val="18"/>
                <w:szCs w:val="18"/>
              </w:rPr>
              <w:t>99.9</w:t>
            </w:r>
          </w:p>
        </w:tc>
        <w:tc>
          <w:tcPr>
            <w:tcW w:w="1203" w:type="dxa"/>
            <w:vAlign w:val="bottom"/>
          </w:tcPr>
          <w:p w14:paraId="410AED4F" w14:textId="77777777" w:rsidR="007B1B8B" w:rsidRPr="00C921DE" w:rsidRDefault="007B1B8B" w:rsidP="00CD04D2">
            <w:pPr>
              <w:jc w:val="right"/>
              <w:rPr>
                <w:rFonts w:ascii="GHEA Grapalat" w:hAnsi="GHEA Grapalat"/>
                <w:b/>
                <w:bCs/>
                <w:sz w:val="18"/>
                <w:szCs w:val="18"/>
                <w:lang w:val="en-US"/>
              </w:rPr>
            </w:pPr>
            <w:r w:rsidRPr="00C921DE">
              <w:rPr>
                <w:rFonts w:ascii="GHEA Grapalat" w:hAnsi="GHEA Grapalat"/>
                <w:b/>
                <w:bCs/>
                <w:sz w:val="18"/>
                <w:szCs w:val="18"/>
              </w:rPr>
              <w:t>1</w:t>
            </w:r>
            <w:r w:rsidRPr="00C921DE">
              <w:rPr>
                <w:rFonts w:ascii="GHEA Grapalat" w:hAnsi="GHEA Grapalat"/>
                <w:b/>
                <w:bCs/>
                <w:sz w:val="18"/>
                <w:szCs w:val="18"/>
                <w:lang w:val="en-US"/>
              </w:rPr>
              <w:t>09</w:t>
            </w:r>
            <w:r w:rsidRPr="00C921DE">
              <w:rPr>
                <w:rFonts w:ascii="GHEA Grapalat" w:hAnsi="GHEA Grapalat"/>
                <w:b/>
                <w:bCs/>
                <w:sz w:val="18"/>
                <w:szCs w:val="18"/>
              </w:rPr>
              <w:t>.</w:t>
            </w:r>
            <w:r w:rsidRPr="00C921DE">
              <w:rPr>
                <w:rFonts w:ascii="GHEA Grapalat" w:hAnsi="GHEA Grapalat"/>
                <w:b/>
                <w:bCs/>
                <w:sz w:val="18"/>
                <w:szCs w:val="18"/>
                <w:lang w:val="en-US"/>
              </w:rPr>
              <w:t>9</w:t>
            </w:r>
          </w:p>
        </w:tc>
        <w:tc>
          <w:tcPr>
            <w:tcW w:w="1120" w:type="dxa"/>
            <w:vAlign w:val="bottom"/>
          </w:tcPr>
          <w:p w14:paraId="5B3EB47B" w14:textId="77777777" w:rsidR="007B1B8B" w:rsidRPr="00C921DE" w:rsidRDefault="007B1B8B" w:rsidP="00CD04D2">
            <w:pPr>
              <w:jc w:val="right"/>
              <w:rPr>
                <w:rFonts w:ascii="GHEA Grapalat" w:hAnsi="GHEA Grapalat"/>
                <w:b/>
                <w:bCs/>
                <w:sz w:val="18"/>
                <w:szCs w:val="18"/>
              </w:rPr>
            </w:pPr>
            <w:r w:rsidRPr="00C921DE">
              <w:rPr>
                <w:rFonts w:ascii="GHEA Grapalat" w:hAnsi="GHEA Grapalat"/>
                <w:b/>
                <w:bCs/>
                <w:sz w:val="18"/>
                <w:szCs w:val="18"/>
              </w:rPr>
              <w:t>4</w:t>
            </w:r>
            <w:r w:rsidRPr="00C921DE">
              <w:rPr>
                <w:rFonts w:ascii="GHEA Grapalat" w:hAnsi="GHEA Grapalat"/>
                <w:b/>
                <w:bCs/>
                <w:sz w:val="18"/>
                <w:szCs w:val="18"/>
                <w:lang w:val="en-US"/>
              </w:rPr>
              <w:t>7</w:t>
            </w:r>
            <w:r w:rsidRPr="00C921DE">
              <w:rPr>
                <w:rFonts w:ascii="GHEA Grapalat" w:hAnsi="GHEA Grapalat"/>
                <w:b/>
                <w:bCs/>
                <w:sz w:val="18"/>
                <w:szCs w:val="18"/>
              </w:rPr>
              <w:t>,</w:t>
            </w:r>
            <w:r w:rsidRPr="00C921DE">
              <w:rPr>
                <w:rFonts w:ascii="GHEA Grapalat" w:hAnsi="GHEA Grapalat"/>
                <w:b/>
                <w:bCs/>
                <w:sz w:val="18"/>
                <w:szCs w:val="18"/>
                <w:lang w:val="en-US"/>
              </w:rPr>
              <w:t>631</w:t>
            </w:r>
            <w:r w:rsidRPr="00C921DE">
              <w:rPr>
                <w:rFonts w:ascii="GHEA Grapalat" w:hAnsi="GHEA Grapalat"/>
                <w:b/>
                <w:bCs/>
                <w:sz w:val="18"/>
                <w:szCs w:val="18"/>
              </w:rPr>
              <w:t>.</w:t>
            </w:r>
            <w:r w:rsidRPr="00C921DE">
              <w:rPr>
                <w:rFonts w:ascii="GHEA Grapalat" w:hAnsi="GHEA Grapalat"/>
                <w:b/>
                <w:bCs/>
                <w:sz w:val="18"/>
                <w:szCs w:val="18"/>
                <w:lang w:val="en-US"/>
              </w:rPr>
              <w:t>0</w:t>
            </w:r>
          </w:p>
        </w:tc>
      </w:tr>
      <w:tr w:rsidR="007B1B8B" w:rsidRPr="00C921DE" w14:paraId="4DB49DA3" w14:textId="77777777" w:rsidTr="00CD04D2">
        <w:trPr>
          <w:trHeight w:val="331"/>
          <w:jc w:val="center"/>
        </w:trPr>
        <w:tc>
          <w:tcPr>
            <w:tcW w:w="3388" w:type="dxa"/>
            <w:vAlign w:val="bottom"/>
          </w:tcPr>
          <w:p w14:paraId="599770F3" w14:textId="77777777" w:rsidR="007B1B8B" w:rsidRPr="00C921DE" w:rsidRDefault="007B1B8B" w:rsidP="00CD04D2">
            <w:pPr>
              <w:rPr>
                <w:rFonts w:ascii="GHEA Grapalat" w:hAnsi="GHEA Grapalat"/>
                <w:sz w:val="18"/>
                <w:szCs w:val="18"/>
              </w:rPr>
            </w:pPr>
            <w:r w:rsidRPr="00C921DE">
              <w:rPr>
                <w:rFonts w:ascii="GHEA Grapalat" w:hAnsi="GHEA Grapalat"/>
                <w:sz w:val="18"/>
                <w:szCs w:val="18"/>
              </w:rPr>
              <w:t>ՀՀ պաշտպանության ապահովում</w:t>
            </w:r>
          </w:p>
        </w:tc>
        <w:tc>
          <w:tcPr>
            <w:tcW w:w="1101" w:type="dxa"/>
            <w:vAlign w:val="bottom"/>
          </w:tcPr>
          <w:p w14:paraId="21D4F252" w14:textId="77777777" w:rsidR="007B1B8B" w:rsidRPr="00C921DE" w:rsidRDefault="007B1B8B" w:rsidP="00CD04D2">
            <w:pPr>
              <w:jc w:val="right"/>
              <w:rPr>
                <w:rFonts w:ascii="GHEA Grapalat" w:hAnsi="GHEA Grapalat"/>
                <w:sz w:val="18"/>
                <w:szCs w:val="18"/>
              </w:rPr>
            </w:pPr>
            <w:r w:rsidRPr="00C921DE">
              <w:rPr>
                <w:rFonts w:ascii="GHEA Grapalat" w:hAnsi="GHEA Grapalat"/>
                <w:sz w:val="18"/>
                <w:szCs w:val="18"/>
                <w:lang w:val="en-US"/>
              </w:rPr>
              <w:t>476</w:t>
            </w:r>
            <w:r w:rsidRPr="00C921DE">
              <w:rPr>
                <w:rFonts w:ascii="GHEA Grapalat" w:hAnsi="GHEA Grapalat"/>
                <w:sz w:val="18"/>
                <w:szCs w:val="18"/>
              </w:rPr>
              <w:t>,</w:t>
            </w:r>
            <w:r w:rsidRPr="00C921DE">
              <w:rPr>
                <w:rFonts w:ascii="GHEA Grapalat" w:hAnsi="GHEA Grapalat"/>
                <w:sz w:val="18"/>
                <w:szCs w:val="18"/>
                <w:lang w:val="en-US"/>
              </w:rPr>
              <w:t>125</w:t>
            </w:r>
            <w:r w:rsidRPr="00C921DE">
              <w:rPr>
                <w:rFonts w:ascii="GHEA Grapalat" w:hAnsi="GHEA Grapalat"/>
                <w:sz w:val="18"/>
                <w:szCs w:val="18"/>
              </w:rPr>
              <w:t>.8</w:t>
            </w:r>
          </w:p>
        </w:tc>
        <w:tc>
          <w:tcPr>
            <w:tcW w:w="1085" w:type="dxa"/>
            <w:vAlign w:val="bottom"/>
          </w:tcPr>
          <w:p w14:paraId="0160F7AE"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lang w:val="en-US"/>
              </w:rPr>
              <w:t>524</w:t>
            </w:r>
            <w:r w:rsidRPr="00C921DE">
              <w:rPr>
                <w:rFonts w:ascii="GHEA Grapalat" w:hAnsi="GHEA Grapalat"/>
                <w:sz w:val="18"/>
                <w:szCs w:val="18"/>
              </w:rPr>
              <w:t>,5</w:t>
            </w:r>
            <w:r w:rsidRPr="00C921DE">
              <w:rPr>
                <w:rFonts w:ascii="GHEA Grapalat" w:hAnsi="GHEA Grapalat"/>
                <w:sz w:val="18"/>
                <w:szCs w:val="18"/>
                <w:lang w:val="en-US"/>
              </w:rPr>
              <w:t>07</w:t>
            </w:r>
            <w:r w:rsidRPr="00C921DE">
              <w:rPr>
                <w:rFonts w:ascii="GHEA Grapalat" w:hAnsi="GHEA Grapalat"/>
                <w:sz w:val="18"/>
                <w:szCs w:val="18"/>
              </w:rPr>
              <w:t>.</w:t>
            </w:r>
            <w:r w:rsidRPr="00C921DE">
              <w:rPr>
                <w:rFonts w:ascii="GHEA Grapalat" w:hAnsi="GHEA Grapalat"/>
                <w:sz w:val="18"/>
                <w:szCs w:val="18"/>
                <w:lang w:val="en-US"/>
              </w:rPr>
              <w:t>9</w:t>
            </w:r>
          </w:p>
        </w:tc>
        <w:tc>
          <w:tcPr>
            <w:tcW w:w="1079" w:type="dxa"/>
            <w:vAlign w:val="bottom"/>
          </w:tcPr>
          <w:p w14:paraId="000A710F"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lang w:val="en-US"/>
              </w:rPr>
              <w:t>523</w:t>
            </w:r>
            <w:r w:rsidRPr="00C921DE">
              <w:rPr>
                <w:rFonts w:ascii="GHEA Grapalat" w:hAnsi="GHEA Grapalat"/>
                <w:sz w:val="18"/>
                <w:szCs w:val="18"/>
              </w:rPr>
              <w:t>,</w:t>
            </w:r>
            <w:r w:rsidRPr="00C921DE">
              <w:rPr>
                <w:rFonts w:ascii="GHEA Grapalat" w:hAnsi="GHEA Grapalat"/>
                <w:sz w:val="18"/>
                <w:szCs w:val="18"/>
                <w:lang w:val="en-US"/>
              </w:rPr>
              <w:t>828</w:t>
            </w:r>
            <w:r w:rsidRPr="00C921DE">
              <w:rPr>
                <w:rFonts w:ascii="GHEA Grapalat" w:hAnsi="GHEA Grapalat"/>
                <w:sz w:val="18"/>
                <w:szCs w:val="18"/>
              </w:rPr>
              <w:t>.</w:t>
            </w:r>
            <w:r w:rsidRPr="00C921DE">
              <w:rPr>
                <w:rFonts w:ascii="GHEA Grapalat" w:hAnsi="GHEA Grapalat"/>
                <w:sz w:val="18"/>
                <w:szCs w:val="18"/>
                <w:lang w:val="en-US"/>
              </w:rPr>
              <w:t>0</w:t>
            </w:r>
          </w:p>
        </w:tc>
        <w:tc>
          <w:tcPr>
            <w:tcW w:w="1203" w:type="dxa"/>
            <w:vAlign w:val="bottom"/>
          </w:tcPr>
          <w:p w14:paraId="2B9FEB53" w14:textId="77777777" w:rsidR="007B1B8B" w:rsidRPr="00C921DE" w:rsidRDefault="007B1B8B" w:rsidP="00CD04D2">
            <w:pPr>
              <w:jc w:val="right"/>
              <w:rPr>
                <w:rFonts w:ascii="GHEA Grapalat" w:hAnsi="GHEA Grapalat"/>
                <w:sz w:val="18"/>
                <w:szCs w:val="18"/>
              </w:rPr>
            </w:pPr>
            <w:r w:rsidRPr="00C921DE">
              <w:rPr>
                <w:rFonts w:ascii="GHEA Grapalat" w:hAnsi="GHEA Grapalat"/>
                <w:sz w:val="18"/>
                <w:szCs w:val="18"/>
              </w:rPr>
              <w:t>99.9</w:t>
            </w:r>
          </w:p>
        </w:tc>
        <w:tc>
          <w:tcPr>
            <w:tcW w:w="1203" w:type="dxa"/>
            <w:vAlign w:val="bottom"/>
          </w:tcPr>
          <w:p w14:paraId="311387D6"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10</w:t>
            </w:r>
            <w:r w:rsidRPr="00C921DE">
              <w:rPr>
                <w:rFonts w:ascii="GHEA Grapalat" w:hAnsi="GHEA Grapalat"/>
                <w:sz w:val="18"/>
                <w:szCs w:val="18"/>
              </w:rPr>
              <w:t>.</w:t>
            </w:r>
            <w:r w:rsidRPr="00C921DE">
              <w:rPr>
                <w:rFonts w:ascii="GHEA Grapalat" w:hAnsi="GHEA Grapalat"/>
                <w:sz w:val="18"/>
                <w:szCs w:val="18"/>
                <w:lang w:val="en-US"/>
              </w:rPr>
              <w:t>0</w:t>
            </w:r>
          </w:p>
        </w:tc>
        <w:tc>
          <w:tcPr>
            <w:tcW w:w="1120" w:type="dxa"/>
            <w:vAlign w:val="bottom"/>
          </w:tcPr>
          <w:p w14:paraId="554EDE57"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4</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702</w:t>
            </w:r>
            <w:r w:rsidRPr="00C921DE">
              <w:rPr>
                <w:rFonts w:ascii="GHEA Grapalat" w:hAnsi="GHEA Grapalat"/>
                <w:sz w:val="18"/>
                <w:szCs w:val="18"/>
              </w:rPr>
              <w:t>.</w:t>
            </w:r>
            <w:r w:rsidRPr="00C921DE">
              <w:rPr>
                <w:rFonts w:ascii="GHEA Grapalat" w:hAnsi="GHEA Grapalat"/>
                <w:sz w:val="18"/>
                <w:szCs w:val="18"/>
                <w:lang w:val="en-US"/>
              </w:rPr>
              <w:t>2</w:t>
            </w:r>
          </w:p>
        </w:tc>
      </w:tr>
      <w:tr w:rsidR="007B1B8B" w:rsidRPr="00C921DE" w14:paraId="45D5360A" w14:textId="77777777" w:rsidTr="00CD04D2">
        <w:trPr>
          <w:trHeight w:val="300"/>
          <w:jc w:val="center"/>
        </w:trPr>
        <w:tc>
          <w:tcPr>
            <w:tcW w:w="3388" w:type="dxa"/>
            <w:vAlign w:val="bottom"/>
          </w:tcPr>
          <w:p w14:paraId="25105946" w14:textId="77777777" w:rsidR="007B1B8B" w:rsidRPr="00C921DE" w:rsidRDefault="007B1B8B" w:rsidP="00CD04D2">
            <w:pPr>
              <w:rPr>
                <w:rFonts w:ascii="GHEA Grapalat" w:hAnsi="GHEA Grapalat"/>
                <w:sz w:val="18"/>
                <w:szCs w:val="18"/>
              </w:rPr>
            </w:pPr>
            <w:r w:rsidRPr="00C921DE">
              <w:rPr>
                <w:rFonts w:ascii="GHEA Grapalat" w:hAnsi="GHEA Grapalat"/>
                <w:sz w:val="18"/>
                <w:szCs w:val="18"/>
              </w:rPr>
              <w:t>Ռազմաբժշկական սպասարկում և առողջապահական ծառայություններ</w:t>
            </w:r>
          </w:p>
        </w:tc>
        <w:tc>
          <w:tcPr>
            <w:tcW w:w="1101" w:type="dxa"/>
            <w:vAlign w:val="bottom"/>
          </w:tcPr>
          <w:p w14:paraId="7F3D8AD9"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3</w:t>
            </w:r>
            <w:r w:rsidRPr="00C921DE">
              <w:rPr>
                <w:rFonts w:ascii="GHEA Grapalat" w:hAnsi="GHEA Grapalat"/>
                <w:sz w:val="18"/>
                <w:szCs w:val="18"/>
              </w:rPr>
              <w:t>8</w:t>
            </w:r>
            <w:r w:rsidRPr="00C921DE">
              <w:rPr>
                <w:rFonts w:ascii="GHEA Grapalat" w:hAnsi="GHEA Grapalat"/>
                <w:sz w:val="18"/>
                <w:szCs w:val="18"/>
                <w:lang w:val="en-US"/>
              </w:rPr>
              <w:t>1</w:t>
            </w:r>
            <w:r w:rsidRPr="00C921DE">
              <w:rPr>
                <w:rFonts w:ascii="GHEA Grapalat" w:hAnsi="GHEA Grapalat"/>
                <w:sz w:val="18"/>
                <w:szCs w:val="18"/>
              </w:rPr>
              <w:t>.</w:t>
            </w:r>
            <w:r w:rsidRPr="00C921DE">
              <w:rPr>
                <w:rFonts w:ascii="GHEA Grapalat" w:hAnsi="GHEA Grapalat"/>
                <w:sz w:val="18"/>
                <w:szCs w:val="18"/>
                <w:lang w:val="en-US"/>
              </w:rPr>
              <w:t>4</w:t>
            </w:r>
          </w:p>
        </w:tc>
        <w:tc>
          <w:tcPr>
            <w:tcW w:w="1085" w:type="dxa"/>
            <w:vAlign w:val="bottom"/>
          </w:tcPr>
          <w:p w14:paraId="77049E6A"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44</w:t>
            </w:r>
            <w:r w:rsidRPr="00C921DE">
              <w:rPr>
                <w:rFonts w:ascii="GHEA Grapalat" w:hAnsi="GHEA Grapalat"/>
                <w:sz w:val="18"/>
                <w:szCs w:val="18"/>
              </w:rPr>
              <w:t>3.</w:t>
            </w:r>
            <w:r w:rsidRPr="00C921DE">
              <w:rPr>
                <w:rFonts w:ascii="GHEA Grapalat" w:hAnsi="GHEA Grapalat"/>
                <w:sz w:val="18"/>
                <w:szCs w:val="18"/>
                <w:lang w:val="en-US"/>
              </w:rPr>
              <w:t>7</w:t>
            </w:r>
          </w:p>
        </w:tc>
        <w:tc>
          <w:tcPr>
            <w:tcW w:w="1079" w:type="dxa"/>
            <w:vAlign w:val="bottom"/>
          </w:tcPr>
          <w:p w14:paraId="073E44D1"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426</w:t>
            </w:r>
            <w:r w:rsidRPr="00C921DE">
              <w:rPr>
                <w:rFonts w:ascii="GHEA Grapalat" w:hAnsi="GHEA Grapalat"/>
                <w:sz w:val="18"/>
                <w:szCs w:val="18"/>
              </w:rPr>
              <w:t>.</w:t>
            </w:r>
            <w:r w:rsidRPr="00C921DE">
              <w:rPr>
                <w:rFonts w:ascii="GHEA Grapalat" w:hAnsi="GHEA Grapalat"/>
                <w:sz w:val="18"/>
                <w:szCs w:val="18"/>
                <w:lang w:val="en-US"/>
              </w:rPr>
              <w:t>7</w:t>
            </w:r>
          </w:p>
        </w:tc>
        <w:tc>
          <w:tcPr>
            <w:tcW w:w="1203" w:type="dxa"/>
            <w:vAlign w:val="bottom"/>
          </w:tcPr>
          <w:p w14:paraId="7AE2C696"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9</w:t>
            </w:r>
            <w:r w:rsidRPr="00C921DE">
              <w:rPr>
                <w:rFonts w:ascii="GHEA Grapalat" w:hAnsi="GHEA Grapalat"/>
                <w:sz w:val="18"/>
                <w:szCs w:val="18"/>
                <w:lang w:val="en-US"/>
              </w:rPr>
              <w:t>8</w:t>
            </w:r>
            <w:r w:rsidRPr="00C921DE">
              <w:rPr>
                <w:rFonts w:ascii="GHEA Grapalat" w:hAnsi="GHEA Grapalat"/>
                <w:sz w:val="18"/>
                <w:szCs w:val="18"/>
              </w:rPr>
              <w:t>.</w:t>
            </w:r>
            <w:r w:rsidRPr="00C921DE">
              <w:rPr>
                <w:rFonts w:ascii="GHEA Grapalat" w:hAnsi="GHEA Grapalat"/>
                <w:sz w:val="18"/>
                <w:szCs w:val="18"/>
                <w:lang w:val="en-US"/>
              </w:rPr>
              <w:t>8</w:t>
            </w:r>
          </w:p>
        </w:tc>
        <w:tc>
          <w:tcPr>
            <w:tcW w:w="1203" w:type="dxa"/>
            <w:vAlign w:val="bottom"/>
          </w:tcPr>
          <w:p w14:paraId="68E95F54"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10</w:t>
            </w:r>
            <w:r w:rsidRPr="00C921DE">
              <w:rPr>
                <w:rFonts w:ascii="GHEA Grapalat" w:hAnsi="GHEA Grapalat"/>
                <w:sz w:val="18"/>
                <w:szCs w:val="18"/>
                <w:lang w:val="en-US"/>
              </w:rPr>
              <w:t>3</w:t>
            </w:r>
            <w:r w:rsidRPr="00C921DE">
              <w:rPr>
                <w:rFonts w:ascii="GHEA Grapalat" w:hAnsi="GHEA Grapalat"/>
                <w:sz w:val="18"/>
                <w:szCs w:val="18"/>
              </w:rPr>
              <w:t>.</w:t>
            </w:r>
            <w:r w:rsidRPr="00C921DE">
              <w:rPr>
                <w:rFonts w:ascii="GHEA Grapalat" w:hAnsi="GHEA Grapalat"/>
                <w:sz w:val="18"/>
                <w:szCs w:val="18"/>
                <w:lang w:val="en-US"/>
              </w:rPr>
              <w:t>3</w:t>
            </w:r>
          </w:p>
        </w:tc>
        <w:tc>
          <w:tcPr>
            <w:tcW w:w="1120" w:type="dxa"/>
            <w:vAlign w:val="bottom"/>
          </w:tcPr>
          <w:p w14:paraId="5BFAF6A6"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lang w:val="en-US"/>
              </w:rPr>
              <w:t>45</w:t>
            </w:r>
            <w:r w:rsidRPr="00C921DE">
              <w:rPr>
                <w:rFonts w:ascii="GHEA Grapalat" w:hAnsi="GHEA Grapalat"/>
                <w:sz w:val="18"/>
                <w:szCs w:val="18"/>
              </w:rPr>
              <w:t>.</w:t>
            </w:r>
            <w:r w:rsidRPr="00C921DE">
              <w:rPr>
                <w:rFonts w:ascii="GHEA Grapalat" w:hAnsi="GHEA Grapalat"/>
                <w:sz w:val="18"/>
                <w:szCs w:val="18"/>
                <w:lang w:val="en-US"/>
              </w:rPr>
              <w:t>3</w:t>
            </w:r>
          </w:p>
        </w:tc>
      </w:tr>
      <w:tr w:rsidR="007B1B8B" w:rsidRPr="00C921DE" w14:paraId="04ADF583" w14:textId="77777777" w:rsidTr="00CD04D2">
        <w:trPr>
          <w:trHeight w:val="300"/>
          <w:jc w:val="center"/>
        </w:trPr>
        <w:tc>
          <w:tcPr>
            <w:tcW w:w="3388" w:type="dxa"/>
            <w:vAlign w:val="bottom"/>
          </w:tcPr>
          <w:p w14:paraId="1F870184" w14:textId="77777777" w:rsidR="007B1B8B" w:rsidRPr="00C921DE" w:rsidRDefault="007B1B8B" w:rsidP="00CD04D2">
            <w:pPr>
              <w:rPr>
                <w:rFonts w:ascii="GHEA Grapalat" w:hAnsi="GHEA Grapalat"/>
                <w:sz w:val="18"/>
                <w:szCs w:val="18"/>
              </w:rPr>
            </w:pPr>
            <w:r w:rsidRPr="00C921DE">
              <w:rPr>
                <w:rFonts w:ascii="GHEA Grapalat" w:hAnsi="GHEA Grapalat"/>
                <w:sz w:val="18"/>
                <w:szCs w:val="18"/>
              </w:rPr>
              <w:t>Այլ ծրագրեր</w:t>
            </w:r>
          </w:p>
        </w:tc>
        <w:tc>
          <w:tcPr>
            <w:tcW w:w="1101" w:type="dxa"/>
            <w:vAlign w:val="bottom"/>
          </w:tcPr>
          <w:p w14:paraId="1951DD4D"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lang w:val="en-US"/>
              </w:rPr>
              <w:t>2</w:t>
            </w:r>
            <w:r w:rsidRPr="00C921DE">
              <w:rPr>
                <w:rFonts w:ascii="GHEA Grapalat" w:hAnsi="GHEA Grapalat"/>
                <w:sz w:val="18"/>
                <w:szCs w:val="18"/>
              </w:rPr>
              <w:t>,1</w:t>
            </w:r>
            <w:r w:rsidRPr="00C921DE">
              <w:rPr>
                <w:rFonts w:ascii="GHEA Grapalat" w:hAnsi="GHEA Grapalat"/>
                <w:sz w:val="18"/>
                <w:szCs w:val="18"/>
                <w:lang w:val="en-US"/>
              </w:rPr>
              <w:t>42</w:t>
            </w:r>
            <w:r w:rsidRPr="00C921DE">
              <w:rPr>
                <w:rFonts w:ascii="GHEA Grapalat" w:hAnsi="GHEA Grapalat"/>
                <w:sz w:val="18"/>
                <w:szCs w:val="18"/>
              </w:rPr>
              <w:t>.</w:t>
            </w:r>
            <w:r w:rsidRPr="00C921DE">
              <w:rPr>
                <w:rFonts w:ascii="GHEA Grapalat" w:hAnsi="GHEA Grapalat"/>
                <w:sz w:val="18"/>
                <w:szCs w:val="18"/>
                <w:lang w:val="en-US"/>
              </w:rPr>
              <w:t>1</w:t>
            </w:r>
          </w:p>
        </w:tc>
        <w:tc>
          <w:tcPr>
            <w:tcW w:w="1085" w:type="dxa"/>
            <w:vAlign w:val="bottom"/>
          </w:tcPr>
          <w:p w14:paraId="74A39D39"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2,0</w:t>
            </w:r>
            <w:r w:rsidRPr="00C921DE">
              <w:rPr>
                <w:rFonts w:ascii="GHEA Grapalat" w:hAnsi="GHEA Grapalat"/>
                <w:sz w:val="18"/>
                <w:szCs w:val="18"/>
                <w:lang w:val="en-US"/>
              </w:rPr>
              <w:t>80</w:t>
            </w:r>
            <w:r w:rsidRPr="00C921DE">
              <w:rPr>
                <w:rFonts w:ascii="GHEA Grapalat" w:hAnsi="GHEA Grapalat"/>
                <w:sz w:val="18"/>
                <w:szCs w:val="18"/>
              </w:rPr>
              <w:t>.</w:t>
            </w:r>
            <w:r w:rsidRPr="00C921DE">
              <w:rPr>
                <w:rFonts w:ascii="GHEA Grapalat" w:hAnsi="GHEA Grapalat"/>
                <w:sz w:val="18"/>
                <w:szCs w:val="18"/>
                <w:lang w:val="en-US"/>
              </w:rPr>
              <w:t>3</w:t>
            </w:r>
          </w:p>
        </w:tc>
        <w:tc>
          <w:tcPr>
            <w:tcW w:w="1079" w:type="dxa"/>
            <w:vAlign w:val="bottom"/>
          </w:tcPr>
          <w:p w14:paraId="43D39422"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2,0</w:t>
            </w:r>
            <w:r w:rsidRPr="00C921DE">
              <w:rPr>
                <w:rFonts w:ascii="GHEA Grapalat" w:hAnsi="GHEA Grapalat"/>
                <w:sz w:val="18"/>
                <w:szCs w:val="18"/>
                <w:lang w:val="en-US"/>
              </w:rPr>
              <w:t>25</w:t>
            </w:r>
            <w:r w:rsidRPr="00C921DE">
              <w:rPr>
                <w:rFonts w:ascii="GHEA Grapalat" w:hAnsi="GHEA Grapalat"/>
                <w:sz w:val="18"/>
                <w:szCs w:val="18"/>
              </w:rPr>
              <w:t>.</w:t>
            </w:r>
            <w:r w:rsidRPr="00C921DE">
              <w:rPr>
                <w:rFonts w:ascii="GHEA Grapalat" w:hAnsi="GHEA Grapalat"/>
                <w:sz w:val="18"/>
                <w:szCs w:val="18"/>
                <w:lang w:val="en-US"/>
              </w:rPr>
              <w:t>5</w:t>
            </w:r>
          </w:p>
        </w:tc>
        <w:tc>
          <w:tcPr>
            <w:tcW w:w="1203" w:type="dxa"/>
            <w:vAlign w:val="bottom"/>
          </w:tcPr>
          <w:p w14:paraId="26E6C315"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rPr>
              <w:t>9</w:t>
            </w:r>
            <w:r w:rsidRPr="00C921DE">
              <w:rPr>
                <w:rFonts w:ascii="GHEA Grapalat" w:hAnsi="GHEA Grapalat"/>
                <w:sz w:val="18"/>
                <w:szCs w:val="18"/>
                <w:lang w:val="en-US"/>
              </w:rPr>
              <w:t>7</w:t>
            </w:r>
            <w:r w:rsidRPr="00C921DE">
              <w:rPr>
                <w:rFonts w:ascii="GHEA Grapalat" w:hAnsi="GHEA Grapalat"/>
                <w:sz w:val="18"/>
                <w:szCs w:val="18"/>
              </w:rPr>
              <w:t>.</w:t>
            </w:r>
            <w:r w:rsidRPr="00C921DE">
              <w:rPr>
                <w:rFonts w:ascii="GHEA Grapalat" w:hAnsi="GHEA Grapalat"/>
                <w:sz w:val="18"/>
                <w:szCs w:val="18"/>
                <w:lang w:val="en-US"/>
              </w:rPr>
              <w:t>4</w:t>
            </w:r>
          </w:p>
        </w:tc>
        <w:tc>
          <w:tcPr>
            <w:tcW w:w="1203" w:type="dxa"/>
            <w:vAlign w:val="bottom"/>
          </w:tcPr>
          <w:p w14:paraId="7DD6B13A"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lang w:val="en-US"/>
              </w:rPr>
              <w:t>94</w:t>
            </w:r>
            <w:r w:rsidRPr="00C921DE">
              <w:rPr>
                <w:rFonts w:ascii="GHEA Grapalat" w:hAnsi="GHEA Grapalat"/>
                <w:sz w:val="18"/>
                <w:szCs w:val="18"/>
              </w:rPr>
              <w:t>.</w:t>
            </w:r>
            <w:r w:rsidRPr="00C921DE">
              <w:rPr>
                <w:rFonts w:ascii="GHEA Grapalat" w:hAnsi="GHEA Grapalat"/>
                <w:sz w:val="18"/>
                <w:szCs w:val="18"/>
                <w:lang w:val="en-US"/>
              </w:rPr>
              <w:t>6</w:t>
            </w:r>
          </w:p>
        </w:tc>
        <w:tc>
          <w:tcPr>
            <w:tcW w:w="1120" w:type="dxa"/>
            <w:vAlign w:val="bottom"/>
          </w:tcPr>
          <w:p w14:paraId="3059EB8B" w14:textId="77777777" w:rsidR="007B1B8B" w:rsidRPr="00C921DE" w:rsidRDefault="007B1B8B" w:rsidP="00CD04D2">
            <w:pPr>
              <w:jc w:val="right"/>
              <w:rPr>
                <w:rFonts w:ascii="GHEA Grapalat" w:hAnsi="GHEA Grapalat"/>
                <w:sz w:val="18"/>
                <w:szCs w:val="18"/>
                <w:lang w:val="en-US"/>
              </w:rPr>
            </w:pPr>
            <w:r w:rsidRPr="00C921DE">
              <w:rPr>
                <w:rFonts w:ascii="GHEA Grapalat" w:hAnsi="GHEA Grapalat"/>
                <w:sz w:val="18"/>
                <w:szCs w:val="18"/>
                <w:lang w:val="en-US"/>
              </w:rPr>
              <w:t>(116</w:t>
            </w:r>
            <w:r w:rsidRPr="00C921DE">
              <w:rPr>
                <w:rFonts w:ascii="GHEA Grapalat" w:hAnsi="GHEA Grapalat"/>
                <w:sz w:val="18"/>
                <w:szCs w:val="18"/>
              </w:rPr>
              <w:t>.</w:t>
            </w:r>
            <w:r w:rsidRPr="00C921DE">
              <w:rPr>
                <w:rFonts w:ascii="GHEA Grapalat" w:hAnsi="GHEA Grapalat"/>
                <w:sz w:val="18"/>
                <w:szCs w:val="18"/>
                <w:lang w:val="en-US"/>
              </w:rPr>
              <w:t>5)</w:t>
            </w:r>
          </w:p>
        </w:tc>
      </w:tr>
    </w:tbl>
    <w:p w14:paraId="20B0570B" w14:textId="77777777" w:rsidR="007B1B8B" w:rsidRPr="00C921DE" w:rsidRDefault="007B1B8B" w:rsidP="00B134DD">
      <w:pPr>
        <w:autoSpaceDE w:val="0"/>
        <w:autoSpaceDN w:val="0"/>
        <w:adjustRightInd w:val="0"/>
        <w:ind w:firstLine="567"/>
        <w:jc w:val="both"/>
        <w:rPr>
          <w:rFonts w:ascii="GHEA Grapalat" w:hAnsi="GHEA Grapalat"/>
          <w:sz w:val="20"/>
          <w:szCs w:val="20"/>
        </w:rPr>
      </w:pPr>
    </w:p>
    <w:p w14:paraId="2807FA2B" w14:textId="6CD5ECC5" w:rsidR="007B1B8B" w:rsidRPr="00C921DE" w:rsidRDefault="007B1B8B" w:rsidP="007B1B8B">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Sylfaen"/>
          <w:sz w:val="22"/>
          <w:szCs w:val="22"/>
        </w:rPr>
        <w:t>Հաշվետու տարում</w:t>
      </w:r>
      <w:r w:rsidRPr="00C921DE">
        <w:rPr>
          <w:rFonts w:ascii="GHEA Grapalat" w:hAnsi="GHEA Grapalat"/>
          <w:sz w:val="22"/>
          <w:szCs w:val="22"/>
        </w:rPr>
        <w:t xml:space="preserve"> </w:t>
      </w:r>
      <w:r w:rsidRPr="00C921DE">
        <w:rPr>
          <w:rFonts w:ascii="GHEA Grapalat" w:hAnsi="GHEA Grapalat" w:cs="GHEA Grapalat"/>
          <w:i/>
          <w:sz w:val="22"/>
          <w:szCs w:val="22"/>
        </w:rPr>
        <w:t>ՀՀ պաշտպանության ապահովման</w:t>
      </w:r>
      <w:r w:rsidRPr="00C921DE">
        <w:rPr>
          <w:rFonts w:ascii="GHEA Grapalat" w:hAnsi="GHEA Grapalat"/>
          <w:sz w:val="22"/>
          <w:szCs w:val="22"/>
        </w:rPr>
        <w:t xml:space="preserve"> ծրագրի շրջանակներում օգտագործվել է </w:t>
      </w:r>
      <w:r w:rsidRPr="00C921DE">
        <w:rPr>
          <w:rFonts w:ascii="GHEA Grapalat" w:hAnsi="GHEA Grapalat" w:cs="GHEA Grapalat"/>
          <w:sz w:val="22"/>
          <w:szCs w:val="22"/>
        </w:rPr>
        <w:t>523.8</w:t>
      </w:r>
      <w:r w:rsidRPr="00C921DE">
        <w:rPr>
          <w:rFonts w:ascii="GHEA Grapalat" w:hAnsi="GHEA Grapalat"/>
          <w:sz w:val="22"/>
          <w:szCs w:val="22"/>
        </w:rPr>
        <w:t xml:space="preserve"> մլրդ դրամ կամ նախատեսված միջոցների 99.9%-ը: Նախորդ տարվա համեմատ ՀՀ պաշտպանության ապահովման ծրագրի ծախսերն աճել</w:t>
      </w:r>
      <w:r w:rsidRPr="00C921DE">
        <w:rPr>
          <w:rFonts w:ascii="Courier New" w:hAnsi="Courier New" w:cs="Courier New"/>
          <w:sz w:val="22"/>
          <w:szCs w:val="22"/>
        </w:rPr>
        <w:t> </w:t>
      </w:r>
      <w:r w:rsidRPr="00C921DE">
        <w:rPr>
          <w:rFonts w:ascii="GHEA Grapalat" w:hAnsi="GHEA Grapalat" w:cs="GHEA Grapalat"/>
          <w:sz w:val="22"/>
          <w:szCs w:val="22"/>
        </w:rPr>
        <w:t>են</w:t>
      </w:r>
      <w:r w:rsidRPr="00C921DE">
        <w:rPr>
          <w:rFonts w:ascii="GHEA Grapalat" w:hAnsi="GHEA Grapalat"/>
          <w:sz w:val="22"/>
          <w:szCs w:val="22"/>
        </w:rPr>
        <w:t xml:space="preserve"> 10</w:t>
      </w:r>
      <w:r w:rsidRPr="00C921DE">
        <w:rPr>
          <w:rFonts w:ascii="GHEA Grapalat" w:hAnsi="GHEA Grapalat" w:cs="GHEA Grapalat"/>
          <w:sz w:val="22"/>
          <w:szCs w:val="22"/>
        </w:rPr>
        <w:t>%</w:t>
      </w:r>
      <w:r w:rsidRPr="00C921DE">
        <w:rPr>
          <w:rFonts w:ascii="GHEA Grapalat" w:hAnsi="GHEA Grapalat" w:cs="GHEA Grapalat"/>
          <w:sz w:val="22"/>
          <w:szCs w:val="22"/>
        </w:rPr>
        <w:noBreakHyphen/>
        <w:t xml:space="preserve">ով </w:t>
      </w:r>
      <w:r w:rsidRPr="00C921DE">
        <w:rPr>
          <w:rFonts w:ascii="GHEA Grapalat" w:hAnsi="GHEA Grapalat"/>
          <w:sz w:val="22"/>
          <w:szCs w:val="22"/>
        </w:rPr>
        <w:t xml:space="preserve">կամ 47.7 մլրդ դրամով, որը հիմնականում պայմանավորված է ՀՀ պաշտպանության նախարարության շենքային պայմանների բարելավման և </w:t>
      </w:r>
      <w:r w:rsidR="00C20F0D" w:rsidRPr="00C921DE">
        <w:rPr>
          <w:rFonts w:ascii="GHEA Grapalat" w:hAnsi="GHEA Grapalat"/>
          <w:sz w:val="22"/>
          <w:szCs w:val="22"/>
          <w:lang w:val="en-US"/>
        </w:rPr>
        <w:t>ռ</w:t>
      </w:r>
      <w:r w:rsidR="00C20F0D" w:rsidRPr="00C921DE">
        <w:rPr>
          <w:rFonts w:ascii="GHEA Grapalat" w:hAnsi="GHEA Grapalat"/>
          <w:sz w:val="22"/>
          <w:szCs w:val="22"/>
        </w:rPr>
        <w:t>ազմական դրության ժամանակ ներգրավված տրանսպորտային միջոցների օգտագործման արդյունքում հասցված նյութական վնասի դիմաց փոխհատուց</w:t>
      </w:r>
      <w:r w:rsidR="00C20F0D" w:rsidRPr="00C921DE">
        <w:rPr>
          <w:rFonts w:ascii="GHEA Grapalat" w:hAnsi="GHEA Grapalat"/>
          <w:sz w:val="22"/>
          <w:szCs w:val="22"/>
          <w:lang w:val="en-US"/>
        </w:rPr>
        <w:t>ման</w:t>
      </w:r>
      <w:r w:rsidRPr="00C921DE">
        <w:rPr>
          <w:rFonts w:ascii="GHEA Grapalat" w:hAnsi="GHEA Grapalat"/>
          <w:sz w:val="22"/>
          <w:szCs w:val="22"/>
        </w:rPr>
        <w:t xml:space="preserve"> ծախսերի աճով: </w:t>
      </w:r>
    </w:p>
    <w:p w14:paraId="55150DCD" w14:textId="0557FBB3" w:rsidR="007B1B8B" w:rsidRPr="00C921DE" w:rsidRDefault="007B1B8B" w:rsidP="007B1B8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sz w:val="22"/>
          <w:szCs w:val="22"/>
        </w:rPr>
        <w:t>2023 թվականին ռազմական կարիքների բավարարման ծախսերը կազմել են 236.4 մլրդ դրամ կամ ծրագրված ցուցանիշի 99.8%-ը, իսկ ՀՀ պաշտպանության նախարարության շենքային պայմանների բարելավման ծախսերը</w:t>
      </w:r>
      <w:r w:rsidRPr="00C921DE">
        <w:rPr>
          <w:rFonts w:ascii="GHEA Grapalat" w:hAnsi="GHEA Grapalat" w:cs="GHEA Grapalat"/>
          <w:sz w:val="22"/>
          <w:szCs w:val="22"/>
        </w:rPr>
        <w:t>՝ 285.1</w:t>
      </w:r>
      <w:r w:rsidRPr="00C921DE">
        <w:rPr>
          <w:rFonts w:ascii="Courier New" w:hAnsi="Courier New" w:cs="Courier New"/>
          <w:sz w:val="22"/>
          <w:szCs w:val="22"/>
        </w:rPr>
        <w:t> </w:t>
      </w:r>
      <w:r w:rsidRPr="00C921DE">
        <w:rPr>
          <w:rFonts w:ascii="GHEA Grapalat" w:hAnsi="GHEA Grapalat" w:cs="GHEA Grapalat"/>
          <w:sz w:val="22"/>
          <w:szCs w:val="22"/>
        </w:rPr>
        <w:t>մլրդ դրամ՝ ապահովելով 99.9% կատարողական: Նախորդ տարվա համեմատ Ռազմական կարիքների բավարարման ծախսերը նվազել են 0.4%-ով (890.1</w:t>
      </w:r>
      <w:r w:rsidRPr="00C921DE">
        <w:rPr>
          <w:rFonts w:ascii="Courier New" w:hAnsi="Courier New" w:cs="Courier New"/>
          <w:sz w:val="22"/>
          <w:szCs w:val="22"/>
        </w:rPr>
        <w:t> </w:t>
      </w:r>
      <w:r w:rsidRPr="00C921DE">
        <w:rPr>
          <w:rFonts w:ascii="GHEA Grapalat" w:hAnsi="GHEA Grapalat" w:cs="GHEA Grapalat"/>
          <w:sz w:val="22"/>
          <w:szCs w:val="22"/>
        </w:rPr>
        <w:t>մլն դրամով), իսկ ՀՀ պաշտպանության նախարարության շենքային պայմանների բարելավման ծախսերն աճել են 20.2%-ով (47.8 մլրդ դրամով):</w:t>
      </w:r>
    </w:p>
    <w:p w14:paraId="1B5FA88B" w14:textId="76572923" w:rsidR="003E1CC2" w:rsidRPr="00C921DE" w:rsidRDefault="003E1CC2" w:rsidP="003E1CC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sz w:val="22"/>
          <w:szCs w:val="22"/>
          <w:lang w:val="en-US"/>
        </w:rPr>
        <w:t>Ռ</w:t>
      </w:r>
      <w:r w:rsidRPr="00C921DE">
        <w:rPr>
          <w:rFonts w:ascii="GHEA Grapalat" w:hAnsi="GHEA Grapalat"/>
          <w:sz w:val="22"/>
          <w:szCs w:val="22"/>
        </w:rPr>
        <w:t>ազմական դրության ժամանակ ներգրավված տրանսպորտային միջոցների օգտագործման արդյունքում հասցված նյութական վնասի դիմաց փոխհատուց</w:t>
      </w:r>
      <w:r w:rsidRPr="00C921DE">
        <w:rPr>
          <w:rFonts w:ascii="GHEA Grapalat" w:hAnsi="GHEA Grapalat"/>
          <w:sz w:val="22"/>
          <w:szCs w:val="22"/>
          <w:lang w:val="en-US"/>
        </w:rPr>
        <w:t>ման</w:t>
      </w:r>
      <w:r w:rsidRPr="00C921DE">
        <w:rPr>
          <w:rFonts w:ascii="GHEA Grapalat" w:hAnsi="GHEA Grapalat"/>
          <w:sz w:val="22"/>
          <w:szCs w:val="22"/>
        </w:rPr>
        <w:t xml:space="preserve"> ծախսերը</w:t>
      </w:r>
      <w:r w:rsidRPr="00C921DE">
        <w:rPr>
          <w:rFonts w:ascii="GHEA Grapalat" w:hAnsi="GHEA Grapalat"/>
          <w:sz w:val="22"/>
          <w:szCs w:val="22"/>
          <w:lang w:val="en-US"/>
        </w:rPr>
        <w:t xml:space="preserve"> կատարվել են 99.2%-ով՝</w:t>
      </w:r>
      <w:r w:rsidRPr="00C921DE">
        <w:rPr>
          <w:rFonts w:ascii="GHEA Grapalat" w:hAnsi="GHEA Grapalat"/>
          <w:sz w:val="22"/>
          <w:szCs w:val="22"/>
        </w:rPr>
        <w:t xml:space="preserve"> կազմելով 1.3 մլրդ դրամ և </w:t>
      </w:r>
      <w:r w:rsidRPr="00C921DE">
        <w:rPr>
          <w:rFonts w:ascii="GHEA Grapalat" w:hAnsi="GHEA Grapalat"/>
          <w:sz w:val="22"/>
          <w:szCs w:val="22"/>
          <w:lang w:val="en-US"/>
        </w:rPr>
        <w:t>8.1 անգամ (1.1 մլրդ դրամով) գերազանցել</w:t>
      </w:r>
      <w:r w:rsidR="00476830" w:rsidRPr="00C921DE">
        <w:rPr>
          <w:rFonts w:ascii="GHEA Grapalat" w:hAnsi="GHEA Grapalat"/>
          <w:sz w:val="22"/>
          <w:szCs w:val="22"/>
          <w:lang w:val="en-US"/>
        </w:rPr>
        <w:t>ով նախորդ տարվա ցուցանիշը:</w:t>
      </w:r>
      <w:r w:rsidRPr="00C921DE">
        <w:rPr>
          <w:rFonts w:ascii="GHEA Grapalat" w:hAnsi="GHEA Grapalat"/>
          <w:sz w:val="22"/>
          <w:szCs w:val="22"/>
        </w:rPr>
        <w:t xml:space="preserve"> </w:t>
      </w:r>
    </w:p>
    <w:p w14:paraId="23BF4492" w14:textId="6D3024A5" w:rsidR="007B1B8B" w:rsidRPr="00C921DE" w:rsidRDefault="007B1B8B" w:rsidP="007B1B8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Ռազմաբժշկական սպասարկման և առողջապահական ծառայությունների</w:t>
      </w:r>
      <w:r w:rsidRPr="00C921DE">
        <w:rPr>
          <w:rFonts w:ascii="GHEA Grapalat" w:hAnsi="GHEA Grapalat" w:cs="GHEA Grapalat"/>
          <w:sz w:val="22"/>
          <w:szCs w:val="22"/>
        </w:rPr>
        <w:t xml:space="preserve"> ծրագրի գծով </w:t>
      </w:r>
      <w:r w:rsidRPr="00C921DE">
        <w:rPr>
          <w:rFonts w:ascii="GHEA Grapalat" w:hAnsi="GHEA Grapalat" w:cs="Sylfaen"/>
          <w:sz w:val="22"/>
          <w:szCs w:val="22"/>
        </w:rPr>
        <w:t xml:space="preserve">ծախսերը 2023 թվականին կազմել են </w:t>
      </w:r>
      <w:r w:rsidRPr="00C921DE">
        <w:rPr>
          <w:rFonts w:ascii="GHEA Grapalat" w:hAnsi="GHEA Grapalat" w:cs="GHEA Grapalat"/>
          <w:sz w:val="22"/>
          <w:szCs w:val="22"/>
        </w:rPr>
        <w:t>1.4 մլրդ դրամ</w:t>
      </w:r>
      <w:r w:rsidRPr="00C921DE">
        <w:rPr>
          <w:rFonts w:ascii="GHEA Grapalat" w:hAnsi="GHEA Grapalat" w:cs="Sylfaen"/>
          <w:sz w:val="22"/>
          <w:szCs w:val="22"/>
        </w:rPr>
        <w:t xml:space="preserve"> կամ ծրագրված ցուցանիշի </w:t>
      </w:r>
      <w:r w:rsidRPr="00C921DE">
        <w:rPr>
          <w:rFonts w:ascii="GHEA Grapalat" w:hAnsi="GHEA Grapalat" w:cs="GHEA Grapalat"/>
          <w:sz w:val="22"/>
          <w:szCs w:val="22"/>
        </w:rPr>
        <w:t xml:space="preserve">98.8%-ը՝ հիմնականում պայմանավորված զորամասային և հոսպիտալային օղակներում բուժօգնություն ստացողներին դեղորայքի տրամադրման միջոցառման կատարողականով: Նախորդ տարվա համեմատ նշված ծախսերն </w:t>
      </w:r>
      <w:r w:rsidRPr="00C921DE">
        <w:rPr>
          <w:rFonts w:ascii="GHEA Grapalat" w:hAnsi="GHEA Grapalat"/>
          <w:sz w:val="22"/>
          <w:szCs w:val="22"/>
        </w:rPr>
        <w:t>աճել</w:t>
      </w:r>
      <w:r w:rsidRPr="00C921DE">
        <w:rPr>
          <w:rFonts w:ascii="Courier New" w:hAnsi="Courier New" w:cs="Courier New"/>
          <w:sz w:val="22"/>
          <w:szCs w:val="22"/>
        </w:rPr>
        <w:t> </w:t>
      </w:r>
      <w:r w:rsidRPr="00C921DE">
        <w:rPr>
          <w:rFonts w:ascii="GHEA Grapalat" w:hAnsi="GHEA Grapalat" w:cs="GHEA Grapalat"/>
          <w:sz w:val="22"/>
          <w:szCs w:val="22"/>
        </w:rPr>
        <w:t>են</w:t>
      </w:r>
      <w:r w:rsidRPr="00C921DE">
        <w:rPr>
          <w:rFonts w:ascii="GHEA Grapalat" w:hAnsi="GHEA Grapalat"/>
          <w:sz w:val="22"/>
          <w:szCs w:val="22"/>
        </w:rPr>
        <w:t xml:space="preserve"> 3.3</w:t>
      </w:r>
      <w:r w:rsidRPr="00C921DE">
        <w:rPr>
          <w:rFonts w:ascii="GHEA Grapalat" w:hAnsi="GHEA Grapalat" w:cs="GHEA Grapalat"/>
          <w:sz w:val="22"/>
          <w:szCs w:val="22"/>
        </w:rPr>
        <w:t>%</w:t>
      </w:r>
      <w:r w:rsidRPr="00C921DE">
        <w:rPr>
          <w:rFonts w:ascii="GHEA Grapalat" w:hAnsi="GHEA Grapalat" w:cs="GHEA Grapalat"/>
          <w:sz w:val="22"/>
          <w:szCs w:val="22"/>
        </w:rPr>
        <w:noBreakHyphen/>
        <w:t xml:space="preserve">ով կամ 45.3 մլն դրամով, որը հիմնականում պայմանավորված է հոսպիտալների և բուժկետերի բժշկական սարքավորումներով համալրման ու զինծառայողներին, ինչպես նաև նրանց ընտանիքի անդամներին բժշկական օգնության ծառայությունների </w:t>
      </w:r>
      <w:r w:rsidR="00476830" w:rsidRPr="00C921DE">
        <w:rPr>
          <w:rFonts w:ascii="GHEA Grapalat" w:hAnsi="GHEA Grapalat" w:cs="GHEA Grapalat"/>
          <w:sz w:val="22"/>
          <w:szCs w:val="22"/>
          <w:lang w:val="en-US"/>
        </w:rPr>
        <w:t xml:space="preserve">տրամադրման </w:t>
      </w:r>
      <w:r w:rsidR="00D36FA3" w:rsidRPr="00C921DE">
        <w:rPr>
          <w:rFonts w:ascii="GHEA Grapalat" w:hAnsi="GHEA Grapalat" w:cs="GHEA Grapalat"/>
          <w:sz w:val="22"/>
          <w:szCs w:val="22"/>
        </w:rPr>
        <w:t>ծախսերի աճով:</w:t>
      </w:r>
    </w:p>
    <w:p w14:paraId="7BB6595F" w14:textId="528CCC8C" w:rsidR="007B1B8B" w:rsidRPr="00C921DE" w:rsidRDefault="007B1B8B" w:rsidP="007B1B8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Հաշվետու տարում զորամասային և հոսպիտալային օղակներում բուժօգնություն ստացողներին դեղորայքի տրամադրման միջոցառման շրջանակներում սահմանված բոլոր արդյունքային չափորոշիչների գծով արձանագրվել են թերակատարումներ՝ պայմանավորված երկարատև բուժում պահանջող հիվանդների առկայությամբ, ինչպես նաև սուր ռեսպիրատոր հիվանդությունների</w:t>
      </w:r>
      <w:r w:rsidR="004B2D47" w:rsidRPr="00C921DE">
        <w:rPr>
          <w:rFonts w:ascii="GHEA Grapalat" w:hAnsi="GHEA Grapalat" w:cs="GHEA Grapalat"/>
          <w:sz w:val="22"/>
          <w:szCs w:val="22"/>
        </w:rPr>
        <w:t xml:space="preserve"> </w:t>
      </w:r>
      <w:r w:rsidRPr="00C921DE">
        <w:rPr>
          <w:rFonts w:ascii="GHEA Grapalat" w:hAnsi="GHEA Grapalat" w:cs="GHEA Grapalat"/>
          <w:sz w:val="22"/>
          <w:szCs w:val="22"/>
        </w:rPr>
        <w:t>բռնկումների և դիսպանսեր հիվանդների ընդունելության հետևանքով պլանային ընդունելությունների ժամանակավոր դադարեցման հանգամանքով: Միջոցառման ծախսերը կազմել են 861.2 մլն դրամ՝ ապահովելով 98.6% կատարողական և 8.7%-ով կամ 68.7 մլն դրամով գերազանցելով նախորդ տարվա ցուցանիշը:</w:t>
      </w:r>
    </w:p>
    <w:p w14:paraId="1D8F8487" w14:textId="48E2522D" w:rsidR="007B1B8B" w:rsidRPr="00C921DE" w:rsidRDefault="007B1B8B" w:rsidP="007B1B8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Հոսպիտալների և բուժկետերի բժշկական սարքավորումներով համալրման շրջանակներում ձեռք է բերվել 71 </w:t>
      </w:r>
      <w:r w:rsidRPr="00C921DE">
        <w:rPr>
          <w:rFonts w:ascii="GHEA Grapalat" w:hAnsi="GHEA Grapalat"/>
          <w:sz w:val="22"/>
          <w:szCs w:val="22"/>
        </w:rPr>
        <w:t>հատ բժշկական սարքավորում՝ նախատեսված 83-ի և նախորդ տարվա 28-ի դիմաց:</w:t>
      </w:r>
      <w:r w:rsidRPr="00C921DE">
        <w:rPr>
          <w:rFonts w:ascii="GHEA Grapalat" w:hAnsi="GHEA Grapalat" w:cs="GHEA Grapalat"/>
          <w:sz w:val="22"/>
          <w:szCs w:val="22"/>
        </w:rPr>
        <w:t xml:space="preserve"> Միջոցառման ծախսերը կազմել են 406.4 մլն դրամ՝ ապահովելով 99.9% կատարողական և 3.2 անգամ կամ 277.6 մլն դրամով գերազանցելով նախորդ տարվա ցուցանիշը: </w:t>
      </w:r>
    </w:p>
    <w:p w14:paraId="25DC01FE" w14:textId="44E83885" w:rsidR="007B1B8B" w:rsidRPr="00C921DE" w:rsidRDefault="007B1B8B" w:rsidP="007B1B8B">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Այլ ծրագրերում ընդգրկված՝ </w:t>
      </w:r>
      <w:r w:rsidRPr="00C921DE">
        <w:rPr>
          <w:rFonts w:ascii="GHEA Grapalat" w:hAnsi="GHEA Grapalat" w:cs="GHEA Grapalat"/>
          <w:i/>
          <w:sz w:val="22"/>
          <w:szCs w:val="22"/>
        </w:rPr>
        <w:t>Միջազգային ռազմական համագործակցության</w:t>
      </w:r>
      <w:r w:rsidRPr="00C921DE">
        <w:rPr>
          <w:rFonts w:ascii="GHEA Grapalat" w:hAnsi="GHEA Grapalat" w:cs="GHEA Grapalat"/>
          <w:sz w:val="22"/>
          <w:szCs w:val="22"/>
        </w:rPr>
        <w:t xml:space="preserve"> ծրագրի ծախսերը կազմել են 699.3 մլն դրամ՝ ապահովելով 95.1% կատարողական: Շեղումը պայմանավորված է սահմանված հիմքերով և ընթացակարգերով հաշվառման մեջ պարտավորությունների ձևակերպումների բացակայությամբ: Միջոցներն օգտագործվել են 14 երկրներում</w:t>
      </w:r>
      <w:r w:rsidR="009941BA" w:rsidRPr="00C921DE">
        <w:rPr>
          <w:rFonts w:ascii="GHEA Grapalat" w:hAnsi="GHEA Grapalat" w:cs="GHEA Grapalat"/>
          <w:sz w:val="22"/>
          <w:szCs w:val="22"/>
          <w:lang w:val="en-US"/>
        </w:rPr>
        <w:t xml:space="preserve"> 11 </w:t>
      </w:r>
      <w:r w:rsidR="009941BA" w:rsidRPr="00C921DE">
        <w:rPr>
          <w:rFonts w:ascii="GHEA Grapalat" w:hAnsi="GHEA Grapalat" w:cs="GHEA Grapalat"/>
          <w:sz w:val="22"/>
          <w:szCs w:val="22"/>
        </w:rPr>
        <w:t>ՀՀ ռազմական կցորդների</w:t>
      </w:r>
      <w:r w:rsidRPr="00C921DE">
        <w:rPr>
          <w:rFonts w:ascii="GHEA Grapalat" w:hAnsi="GHEA Grapalat" w:cs="GHEA Grapalat"/>
          <w:sz w:val="22"/>
          <w:szCs w:val="22"/>
        </w:rPr>
        <w:t xml:space="preserve"> և միջազգային կազմակերպություններում 6 ներկայացուցիչների պահպանման նպատակով: Նախորդ տարվա համեմատ նշված ծախսերը նվազել են 5.2%-ով կամ 38.1 մլն դրամով:</w:t>
      </w:r>
    </w:p>
    <w:p w14:paraId="155252F0" w14:textId="77777777" w:rsidR="00C56BD7" w:rsidRPr="00C921DE" w:rsidRDefault="00C56BD7" w:rsidP="00C56BD7">
      <w:pPr>
        <w:autoSpaceDE w:val="0"/>
        <w:autoSpaceDN w:val="0"/>
        <w:adjustRightInd w:val="0"/>
        <w:spacing w:line="360" w:lineRule="auto"/>
        <w:ind w:firstLine="567"/>
        <w:jc w:val="both"/>
        <w:rPr>
          <w:rFonts w:ascii="GHEA Grapalat" w:hAnsi="GHEA Grapalat" w:cs="GHEA Grapalat"/>
          <w:sz w:val="22"/>
          <w:szCs w:val="22"/>
        </w:rPr>
      </w:pPr>
    </w:p>
    <w:p w14:paraId="098ED24F" w14:textId="44DFC397" w:rsidR="003E43B0" w:rsidRPr="00C921DE" w:rsidRDefault="00C56BD7" w:rsidP="003E43B0">
      <w:pPr>
        <w:autoSpaceDE w:val="0"/>
        <w:autoSpaceDN w:val="0"/>
        <w:adjustRightInd w:val="0"/>
        <w:spacing w:line="360" w:lineRule="auto"/>
        <w:ind w:firstLine="567"/>
        <w:jc w:val="both"/>
        <w:rPr>
          <w:rFonts w:ascii="GHEA Grapalat" w:hAnsi="GHEA Grapalat" w:cs="Arial"/>
          <w:sz w:val="22"/>
          <w:szCs w:val="22"/>
          <w:lang w:val="en-US"/>
        </w:rPr>
      </w:pPr>
      <w:r w:rsidRPr="00C921DE">
        <w:rPr>
          <w:rFonts w:ascii="GHEA Grapalat" w:hAnsi="GHEA Grapalat" w:cs="Arial"/>
          <w:i/>
          <w:sz w:val="22"/>
          <w:szCs w:val="22"/>
          <w:u w:val="single"/>
        </w:rPr>
        <w:t>ՀՀ</w:t>
      </w:r>
      <w:r w:rsidRPr="00C921DE">
        <w:rPr>
          <w:rFonts w:ascii="GHEA Grapalat" w:hAnsi="GHEA Grapalat"/>
          <w:i/>
          <w:sz w:val="22"/>
          <w:szCs w:val="22"/>
          <w:u w:val="single"/>
        </w:rPr>
        <w:t xml:space="preserve"> </w:t>
      </w:r>
      <w:r w:rsidRPr="00C921DE">
        <w:rPr>
          <w:rFonts w:ascii="GHEA Grapalat" w:hAnsi="GHEA Grapalat" w:cs="Arial"/>
          <w:i/>
          <w:sz w:val="22"/>
          <w:szCs w:val="22"/>
          <w:u w:val="single"/>
        </w:rPr>
        <w:t>աշխատանքի</w:t>
      </w:r>
      <w:r w:rsidRPr="00C921DE">
        <w:rPr>
          <w:rFonts w:ascii="GHEA Grapalat" w:hAnsi="GHEA Grapalat"/>
          <w:i/>
          <w:sz w:val="22"/>
          <w:szCs w:val="22"/>
          <w:u w:val="single"/>
        </w:rPr>
        <w:t xml:space="preserve"> </w:t>
      </w:r>
      <w:r w:rsidRPr="00C921DE">
        <w:rPr>
          <w:rFonts w:ascii="GHEA Grapalat" w:hAnsi="GHEA Grapalat" w:cs="Arial"/>
          <w:i/>
          <w:sz w:val="22"/>
          <w:szCs w:val="22"/>
          <w:u w:val="single"/>
        </w:rPr>
        <w:t>և</w:t>
      </w:r>
      <w:r w:rsidRPr="00C921DE">
        <w:rPr>
          <w:rFonts w:ascii="GHEA Grapalat" w:hAnsi="GHEA Grapalat"/>
          <w:i/>
          <w:sz w:val="22"/>
          <w:szCs w:val="22"/>
          <w:u w:val="single"/>
        </w:rPr>
        <w:t xml:space="preserve"> </w:t>
      </w:r>
      <w:r w:rsidRPr="00C921DE">
        <w:rPr>
          <w:rFonts w:ascii="GHEA Grapalat" w:hAnsi="GHEA Grapalat" w:cs="Arial"/>
          <w:i/>
          <w:sz w:val="22"/>
          <w:szCs w:val="22"/>
          <w:u w:val="single"/>
        </w:rPr>
        <w:t>սոցիալական</w:t>
      </w:r>
      <w:r w:rsidRPr="00C921DE">
        <w:rPr>
          <w:rFonts w:ascii="GHEA Grapalat" w:hAnsi="GHEA Grapalat"/>
          <w:i/>
          <w:sz w:val="22"/>
          <w:szCs w:val="22"/>
          <w:u w:val="single"/>
        </w:rPr>
        <w:t xml:space="preserve"> </w:t>
      </w:r>
      <w:r w:rsidRPr="00C921DE">
        <w:rPr>
          <w:rFonts w:ascii="GHEA Grapalat" w:hAnsi="GHEA Grapalat" w:cs="Arial"/>
          <w:i/>
          <w:sz w:val="22"/>
          <w:szCs w:val="22"/>
          <w:u w:val="single"/>
        </w:rPr>
        <w:t>հարցերի</w:t>
      </w:r>
      <w:r w:rsidRPr="00C921DE">
        <w:rPr>
          <w:rFonts w:ascii="GHEA Grapalat" w:hAnsi="GHEA Grapalat"/>
          <w:i/>
          <w:sz w:val="22"/>
          <w:szCs w:val="22"/>
          <w:u w:val="single"/>
        </w:rPr>
        <w:t xml:space="preserve"> </w:t>
      </w:r>
      <w:r w:rsidRPr="00C921DE">
        <w:rPr>
          <w:rFonts w:ascii="GHEA Grapalat" w:hAnsi="GHEA Grapalat" w:cs="Arial"/>
          <w:i/>
          <w:sz w:val="22"/>
          <w:szCs w:val="22"/>
          <w:u w:val="single"/>
        </w:rPr>
        <w:t>նախարարության</w:t>
      </w:r>
      <w:r w:rsidRPr="00C921DE">
        <w:rPr>
          <w:rFonts w:ascii="GHEA Grapalat" w:hAnsi="GHEA Grapalat"/>
          <w:sz w:val="22"/>
          <w:szCs w:val="22"/>
        </w:rPr>
        <w:t xml:space="preserve"> </w:t>
      </w:r>
      <w:r w:rsidR="003E43B0" w:rsidRPr="00C921DE">
        <w:rPr>
          <w:rFonts w:ascii="GHEA Grapalat" w:hAnsi="GHEA Grapalat"/>
          <w:sz w:val="22"/>
          <w:szCs w:val="22"/>
        </w:rPr>
        <w:t>պատասխանատվությամբ 2023 թվականի ընթացքում իրականացվել է պետական բյուջեի 1</w:t>
      </w:r>
      <w:r w:rsidR="003E43B0" w:rsidRPr="00C921DE">
        <w:rPr>
          <w:rFonts w:ascii="GHEA Grapalat" w:hAnsi="GHEA Grapalat"/>
          <w:sz w:val="22"/>
          <w:szCs w:val="22"/>
          <w:lang w:val="en-US"/>
        </w:rPr>
        <w:t>7</w:t>
      </w:r>
      <w:r w:rsidR="003E43B0" w:rsidRPr="00C921DE">
        <w:rPr>
          <w:rFonts w:ascii="GHEA Grapalat" w:hAnsi="GHEA Grapalat"/>
          <w:sz w:val="22"/>
          <w:szCs w:val="22"/>
        </w:rPr>
        <w:t xml:space="preserve"> ծրագիր, որոնց շրջանակներում օգտագործվել</w:t>
      </w:r>
      <w:r w:rsidR="003E43B0" w:rsidRPr="00C921DE">
        <w:rPr>
          <w:rFonts w:ascii="GHEA Grapalat" w:hAnsi="GHEA Grapalat" w:cs="Sylfaen"/>
          <w:sz w:val="22"/>
          <w:szCs w:val="22"/>
        </w:rPr>
        <w:t xml:space="preserve"> է</w:t>
      </w:r>
      <w:r w:rsidR="004B2D47" w:rsidRPr="00C921DE">
        <w:rPr>
          <w:rFonts w:ascii="GHEA Grapalat" w:hAnsi="GHEA Grapalat" w:cs="Sylfaen"/>
          <w:sz w:val="22"/>
          <w:szCs w:val="22"/>
        </w:rPr>
        <w:t xml:space="preserve"> </w:t>
      </w:r>
      <w:r w:rsidR="003E43B0" w:rsidRPr="00C921DE">
        <w:rPr>
          <w:rFonts w:ascii="GHEA Grapalat" w:hAnsi="GHEA Grapalat" w:cs="Sylfaen"/>
          <w:sz w:val="22"/>
          <w:szCs w:val="22"/>
        </w:rPr>
        <w:t>7</w:t>
      </w:r>
      <w:r w:rsidR="003E43B0" w:rsidRPr="00C921DE">
        <w:rPr>
          <w:rFonts w:ascii="GHEA Grapalat" w:hAnsi="GHEA Grapalat" w:cs="Sylfaen"/>
          <w:sz w:val="22"/>
          <w:szCs w:val="22"/>
          <w:lang w:val="en-US"/>
        </w:rPr>
        <w:t>05.6</w:t>
      </w:r>
      <w:r w:rsidR="003E43B0" w:rsidRPr="00C921DE">
        <w:rPr>
          <w:rFonts w:ascii="GHEA Grapalat" w:hAnsi="GHEA Grapalat" w:cs="Sylfaen"/>
          <w:sz w:val="22"/>
          <w:szCs w:val="22"/>
        </w:rPr>
        <w:t xml:space="preserve"> մլրդ դրամ՝</w:t>
      </w:r>
      <w:r w:rsidR="003E43B0" w:rsidRPr="00C921DE">
        <w:rPr>
          <w:rFonts w:ascii="GHEA Grapalat" w:hAnsi="GHEA Grapalat" w:cs="Times Armenian"/>
          <w:sz w:val="22"/>
          <w:szCs w:val="22"/>
        </w:rPr>
        <w:t xml:space="preserve"> </w:t>
      </w:r>
      <w:r w:rsidR="003E43B0" w:rsidRPr="00C921DE">
        <w:rPr>
          <w:rFonts w:ascii="GHEA Grapalat" w:hAnsi="GHEA Grapalat" w:cs="Sylfaen"/>
          <w:sz w:val="22"/>
          <w:szCs w:val="22"/>
        </w:rPr>
        <w:t>ապահովելով</w:t>
      </w:r>
      <w:r w:rsidR="003E43B0" w:rsidRPr="00C921DE">
        <w:rPr>
          <w:rFonts w:ascii="GHEA Grapalat" w:hAnsi="GHEA Grapalat" w:cs="Times Armenian"/>
          <w:sz w:val="22"/>
          <w:szCs w:val="22"/>
        </w:rPr>
        <w:t xml:space="preserve"> տարեկան </w:t>
      </w:r>
      <w:r w:rsidR="003E43B0" w:rsidRPr="00C921DE">
        <w:rPr>
          <w:rFonts w:ascii="GHEA Grapalat" w:hAnsi="GHEA Grapalat" w:cs="Sylfaen"/>
          <w:sz w:val="22"/>
          <w:szCs w:val="22"/>
        </w:rPr>
        <w:t>ծրագրի 9</w:t>
      </w:r>
      <w:r w:rsidR="003E43B0" w:rsidRPr="00C921DE">
        <w:rPr>
          <w:rFonts w:ascii="GHEA Grapalat" w:hAnsi="GHEA Grapalat" w:cs="Sylfaen"/>
          <w:sz w:val="22"/>
          <w:szCs w:val="22"/>
          <w:lang w:val="en-US"/>
        </w:rPr>
        <w:t>7.5</w:t>
      </w:r>
      <w:r w:rsidR="003E43B0" w:rsidRPr="00C921DE">
        <w:rPr>
          <w:rFonts w:ascii="GHEA Grapalat" w:hAnsi="GHEA Grapalat" w:cs="Times Armenian"/>
          <w:sz w:val="22"/>
          <w:szCs w:val="22"/>
        </w:rPr>
        <w:t>% կատարողական, ընդ որում</w:t>
      </w:r>
      <w:r w:rsidR="003D5A98" w:rsidRPr="00C921DE">
        <w:rPr>
          <w:rFonts w:ascii="GHEA Grapalat" w:hAnsi="GHEA Grapalat" w:cs="Times Armenian"/>
          <w:sz w:val="22"/>
          <w:szCs w:val="22"/>
          <w:lang w:val="en-US"/>
        </w:rPr>
        <w:t>,</w:t>
      </w:r>
      <w:r w:rsidR="003E43B0" w:rsidRPr="00C921DE">
        <w:rPr>
          <w:rFonts w:ascii="GHEA Grapalat" w:hAnsi="GHEA Grapalat" w:cs="Times Armenian"/>
          <w:sz w:val="22"/>
          <w:szCs w:val="22"/>
        </w:rPr>
        <w:t xml:space="preserve"> բոլոր ծրագրերում արձանագրվել են շեղումներ:</w:t>
      </w:r>
      <w:r w:rsidR="003E43B0" w:rsidRPr="00C921DE">
        <w:rPr>
          <w:rFonts w:ascii="GHEA Grapalat" w:hAnsi="GHEA Grapalat" w:cs="Times Armenian"/>
          <w:sz w:val="22"/>
          <w:szCs w:val="22"/>
          <w:lang w:val="en-US"/>
        </w:rPr>
        <w:t xml:space="preserve"> </w:t>
      </w:r>
      <w:r w:rsidR="003E43B0" w:rsidRPr="00C921DE">
        <w:rPr>
          <w:rFonts w:ascii="GHEA Grapalat" w:hAnsi="GHEA Grapalat" w:cs="Times Armenian"/>
          <w:sz w:val="22"/>
          <w:szCs w:val="22"/>
        </w:rPr>
        <w:t>Առավել</w:t>
      </w:r>
      <w:r w:rsidR="004A5415" w:rsidRPr="00C921DE">
        <w:rPr>
          <w:rFonts w:ascii="GHEA Grapalat" w:hAnsi="GHEA Grapalat" w:cs="Times Armenian"/>
          <w:sz w:val="22"/>
          <w:szCs w:val="22"/>
          <w:lang w:val="en-US"/>
        </w:rPr>
        <w:t>ագույն</w:t>
      </w:r>
      <w:r w:rsidR="003E43B0" w:rsidRPr="00C921DE">
        <w:rPr>
          <w:rFonts w:ascii="GHEA Grapalat" w:hAnsi="GHEA Grapalat" w:cs="Times Armenian"/>
          <w:sz w:val="22"/>
          <w:szCs w:val="22"/>
        </w:rPr>
        <w:t xml:space="preserve"> շեղումն</w:t>
      </w:r>
      <w:r w:rsidR="004A5415" w:rsidRPr="00C921DE">
        <w:rPr>
          <w:rFonts w:ascii="GHEA Grapalat" w:hAnsi="GHEA Grapalat" w:cs="Times Armenian"/>
          <w:sz w:val="22"/>
          <w:szCs w:val="22"/>
          <w:lang w:val="en-US"/>
        </w:rPr>
        <w:t xml:space="preserve"> </w:t>
      </w:r>
      <w:r w:rsidR="004A5415" w:rsidRPr="00C921DE">
        <w:rPr>
          <w:rFonts w:ascii="GHEA Grapalat" w:hAnsi="GHEA Grapalat" w:cs="Times Armenian"/>
          <w:sz w:val="22"/>
          <w:szCs w:val="22"/>
        </w:rPr>
        <w:t>արձանագրվել է</w:t>
      </w:r>
      <w:r w:rsidR="003E43B0" w:rsidRPr="00C921DE">
        <w:rPr>
          <w:rFonts w:ascii="GHEA Grapalat" w:hAnsi="GHEA Grapalat" w:cs="Times Armenian"/>
          <w:sz w:val="22"/>
          <w:szCs w:val="22"/>
        </w:rPr>
        <w:t xml:space="preserve"> Կենսաթոշակային ապահովության ծրագրում:</w:t>
      </w:r>
      <w:r w:rsidR="003E43B0" w:rsidRPr="00C921DE">
        <w:rPr>
          <w:rFonts w:ascii="GHEA Grapalat" w:hAnsi="GHEA Grapalat" w:cs="Arial"/>
          <w:sz w:val="22"/>
          <w:szCs w:val="22"/>
        </w:rPr>
        <w:t xml:space="preserve"> 202</w:t>
      </w:r>
      <w:r w:rsidR="003E43B0" w:rsidRPr="00C921DE">
        <w:rPr>
          <w:rFonts w:ascii="GHEA Grapalat" w:hAnsi="GHEA Grapalat" w:cs="Arial"/>
          <w:sz w:val="22"/>
          <w:szCs w:val="22"/>
          <w:lang w:val="en-US"/>
        </w:rPr>
        <w:t>2</w:t>
      </w:r>
      <w:r w:rsidR="003E43B0" w:rsidRPr="00C921DE">
        <w:rPr>
          <w:rFonts w:ascii="GHEA Grapalat" w:hAnsi="GHEA Grapalat" w:cs="Arial"/>
          <w:sz w:val="22"/>
          <w:szCs w:val="22"/>
        </w:rPr>
        <w:t xml:space="preserve"> թվականի նույն </w:t>
      </w:r>
      <w:r w:rsidR="003E43B0" w:rsidRPr="00C921DE">
        <w:rPr>
          <w:rFonts w:ascii="GHEA Grapalat" w:hAnsi="GHEA Grapalat" w:cs="Sylfaen"/>
          <w:sz w:val="22"/>
          <w:szCs w:val="22"/>
        </w:rPr>
        <w:t>ժամանակահատվածի</w:t>
      </w:r>
      <w:r w:rsidR="003E43B0" w:rsidRPr="00C921DE">
        <w:rPr>
          <w:rFonts w:ascii="GHEA Grapalat" w:hAnsi="GHEA Grapalat" w:cs="Arial"/>
          <w:sz w:val="22"/>
          <w:szCs w:val="22"/>
        </w:rPr>
        <w:t xml:space="preserve"> համեմատ աշխատանքի</w:t>
      </w:r>
      <w:r w:rsidR="003E43B0" w:rsidRPr="00C921DE">
        <w:rPr>
          <w:rFonts w:ascii="GHEA Grapalat" w:hAnsi="GHEA Grapalat"/>
          <w:sz w:val="22"/>
          <w:szCs w:val="22"/>
        </w:rPr>
        <w:t xml:space="preserve"> </w:t>
      </w:r>
      <w:r w:rsidR="003E43B0" w:rsidRPr="00C921DE">
        <w:rPr>
          <w:rFonts w:ascii="GHEA Grapalat" w:hAnsi="GHEA Grapalat" w:cs="Arial"/>
          <w:sz w:val="22"/>
          <w:szCs w:val="22"/>
        </w:rPr>
        <w:t>և</w:t>
      </w:r>
      <w:r w:rsidR="003E43B0" w:rsidRPr="00C921DE">
        <w:rPr>
          <w:rFonts w:ascii="GHEA Grapalat" w:hAnsi="GHEA Grapalat"/>
          <w:sz w:val="22"/>
          <w:szCs w:val="22"/>
        </w:rPr>
        <w:t xml:space="preserve"> </w:t>
      </w:r>
      <w:r w:rsidR="003E43B0" w:rsidRPr="00C921DE">
        <w:rPr>
          <w:rFonts w:ascii="GHEA Grapalat" w:hAnsi="GHEA Grapalat" w:cs="Arial"/>
          <w:sz w:val="22"/>
          <w:szCs w:val="22"/>
        </w:rPr>
        <w:t>սոցիալական</w:t>
      </w:r>
      <w:r w:rsidR="003E43B0" w:rsidRPr="00C921DE">
        <w:rPr>
          <w:rFonts w:ascii="GHEA Grapalat" w:hAnsi="GHEA Grapalat"/>
          <w:sz w:val="22"/>
          <w:szCs w:val="22"/>
        </w:rPr>
        <w:t xml:space="preserve"> </w:t>
      </w:r>
      <w:r w:rsidR="003E43B0" w:rsidRPr="00C921DE">
        <w:rPr>
          <w:rFonts w:ascii="GHEA Grapalat" w:hAnsi="GHEA Grapalat" w:cs="Arial"/>
          <w:sz w:val="22"/>
          <w:szCs w:val="22"/>
        </w:rPr>
        <w:t>հարցերի</w:t>
      </w:r>
      <w:r w:rsidR="003E43B0" w:rsidRPr="00C921DE">
        <w:rPr>
          <w:rFonts w:ascii="GHEA Grapalat" w:hAnsi="GHEA Grapalat"/>
          <w:sz w:val="22"/>
          <w:szCs w:val="22"/>
        </w:rPr>
        <w:t xml:space="preserve"> </w:t>
      </w:r>
      <w:r w:rsidR="003E43B0" w:rsidRPr="00C921DE">
        <w:rPr>
          <w:rFonts w:ascii="GHEA Grapalat" w:hAnsi="GHEA Grapalat" w:cs="Arial"/>
          <w:sz w:val="22"/>
          <w:szCs w:val="22"/>
        </w:rPr>
        <w:t>նախարարության ծախսերն աճել են 1</w:t>
      </w:r>
      <w:r w:rsidR="003E43B0" w:rsidRPr="00C921DE">
        <w:rPr>
          <w:rFonts w:ascii="GHEA Grapalat" w:hAnsi="GHEA Grapalat" w:cs="Arial"/>
          <w:sz w:val="22"/>
          <w:szCs w:val="22"/>
          <w:lang w:val="en-US"/>
        </w:rPr>
        <w:t>5</w:t>
      </w:r>
      <w:r w:rsidR="003E43B0" w:rsidRPr="00C921DE">
        <w:rPr>
          <w:rFonts w:ascii="GHEA Grapalat" w:hAnsi="GHEA Grapalat" w:cs="Arial"/>
          <w:sz w:val="22"/>
          <w:szCs w:val="22"/>
        </w:rPr>
        <w:t>%</w:t>
      </w:r>
      <w:r w:rsidR="003E43B0" w:rsidRPr="00C921DE">
        <w:rPr>
          <w:rFonts w:ascii="GHEA Grapalat" w:hAnsi="GHEA Grapalat" w:cs="Arial"/>
          <w:sz w:val="22"/>
          <w:szCs w:val="22"/>
        </w:rPr>
        <w:noBreakHyphen/>
        <w:t xml:space="preserve">ով կամ </w:t>
      </w:r>
      <w:r w:rsidR="003E43B0" w:rsidRPr="00C921DE">
        <w:rPr>
          <w:rFonts w:ascii="GHEA Grapalat" w:hAnsi="GHEA Grapalat" w:cs="Arial"/>
          <w:sz w:val="22"/>
          <w:szCs w:val="22"/>
          <w:lang w:val="en-US"/>
        </w:rPr>
        <w:t>92</w:t>
      </w:r>
      <w:r w:rsidR="003E43B0" w:rsidRPr="00C921DE">
        <w:rPr>
          <w:rFonts w:ascii="GHEA Grapalat" w:hAnsi="GHEA Grapalat" w:cs="Arial"/>
          <w:sz w:val="22"/>
          <w:szCs w:val="22"/>
        </w:rPr>
        <w:t xml:space="preserve"> մլրդ դրամով՝ հիմնականում պայմանավորված </w:t>
      </w:r>
      <w:r w:rsidR="003E43B0" w:rsidRPr="00C921DE">
        <w:rPr>
          <w:rFonts w:ascii="GHEA Grapalat" w:hAnsi="GHEA Grapalat" w:cs="Times Armenian"/>
          <w:sz w:val="22"/>
          <w:szCs w:val="22"/>
        </w:rPr>
        <w:t>Կենսաթոշակային ապահովության</w:t>
      </w:r>
      <w:r w:rsidR="003E43B0" w:rsidRPr="00C921DE">
        <w:rPr>
          <w:rFonts w:ascii="GHEA Grapalat" w:hAnsi="GHEA Grapalat" w:cs="Arial"/>
          <w:sz w:val="22"/>
          <w:szCs w:val="22"/>
        </w:rPr>
        <w:t xml:space="preserve">, </w:t>
      </w:r>
      <w:r w:rsidR="003E43B0" w:rsidRPr="00C921DE">
        <w:rPr>
          <w:rFonts w:ascii="GHEA Grapalat" w:hAnsi="GHEA Grapalat" w:cs="Times Armenian"/>
          <w:sz w:val="22"/>
          <w:szCs w:val="22"/>
        </w:rPr>
        <w:t>Սոցիալական ապահովության և Ժողովրդագրական վիճակի բարելավման</w:t>
      </w:r>
      <w:r w:rsidR="003E43B0" w:rsidRPr="00C921DE">
        <w:rPr>
          <w:rFonts w:ascii="GHEA Grapalat" w:hAnsi="GHEA Grapalat" w:cs="Arial"/>
          <w:sz w:val="22"/>
          <w:szCs w:val="22"/>
        </w:rPr>
        <w:t xml:space="preserve"> ծրագրերի շրջանակներում կատարված ծախսերի աճով</w:t>
      </w:r>
      <w:r w:rsidR="004A5415" w:rsidRPr="00C921DE">
        <w:rPr>
          <w:rFonts w:ascii="GHEA Grapalat" w:hAnsi="GHEA Grapalat" w:cs="Arial"/>
          <w:sz w:val="22"/>
          <w:szCs w:val="22"/>
          <w:lang w:val="en-US"/>
        </w:rPr>
        <w:t>, ինչպես նաև</w:t>
      </w:r>
      <w:r w:rsidR="003E43B0" w:rsidRPr="00C921DE">
        <w:rPr>
          <w:rFonts w:ascii="GHEA Grapalat" w:hAnsi="GHEA Grapalat" w:cs="Arial"/>
          <w:sz w:val="22"/>
          <w:szCs w:val="22"/>
          <w:lang w:val="en-US"/>
        </w:rPr>
        <w:t xml:space="preserve"> «Ճգնաժամերի հակազդման և արտակարգ իրավիճակների հետևանքների նվազեցման և վերացման նպատակով՝ առանձին սոցիալական խմբերին տրվող սոցիալական աջակցություն» միջոցառման </w:t>
      </w:r>
      <w:r w:rsidR="00F74084" w:rsidRPr="00C921DE">
        <w:rPr>
          <w:rFonts w:ascii="GHEA Grapalat" w:hAnsi="GHEA Grapalat" w:cs="Sylfaen"/>
          <w:iCs/>
          <w:sz w:val="22"/>
          <w:szCs w:val="22"/>
          <w:lang w:val="en-US"/>
        </w:rPr>
        <w:t>ֆինանսավոր</w:t>
      </w:r>
      <w:r w:rsidR="003E43B0" w:rsidRPr="00C921DE">
        <w:rPr>
          <w:rFonts w:ascii="GHEA Grapalat" w:hAnsi="GHEA Grapalat" w:cs="Sylfaen"/>
          <w:iCs/>
          <w:sz w:val="22"/>
          <w:szCs w:val="22"/>
        </w:rPr>
        <w:t>մամբ, որը 202</w:t>
      </w:r>
      <w:r w:rsidR="003E43B0" w:rsidRPr="00C921DE">
        <w:rPr>
          <w:rFonts w:ascii="GHEA Grapalat" w:hAnsi="GHEA Grapalat" w:cs="Sylfaen"/>
          <w:iCs/>
          <w:sz w:val="22"/>
          <w:szCs w:val="22"/>
          <w:lang w:val="en-US"/>
        </w:rPr>
        <w:t>2</w:t>
      </w:r>
      <w:r w:rsidR="003E43B0" w:rsidRPr="00C921DE">
        <w:rPr>
          <w:rFonts w:ascii="GHEA Grapalat" w:hAnsi="GHEA Grapalat" w:cs="Sylfaen"/>
          <w:iCs/>
          <w:sz w:val="22"/>
          <w:szCs w:val="22"/>
        </w:rPr>
        <w:t xml:space="preserve"> թվականին նախատեսված չէր։</w:t>
      </w:r>
    </w:p>
    <w:p w14:paraId="4726D90C" w14:textId="77777777" w:rsidR="003E43B0" w:rsidRPr="00C921DE" w:rsidRDefault="003E43B0" w:rsidP="003E43B0">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lastRenderedPageBreak/>
        <w:t>202</w:t>
      </w:r>
      <w:r w:rsidRPr="00C921DE">
        <w:rPr>
          <w:rFonts w:ascii="GHEA Grapalat" w:hAnsi="GHEA Grapalat"/>
          <w:i/>
          <w:sz w:val="18"/>
          <w:szCs w:val="18"/>
          <w:lang w:val="en-US"/>
        </w:rPr>
        <w:t>3</w:t>
      </w:r>
      <w:r w:rsidRPr="00C921DE">
        <w:rPr>
          <w:rFonts w:ascii="GHEA Grapalat" w:hAnsi="GHEA Grapalat"/>
          <w:i/>
          <w:sz w:val="18"/>
          <w:szCs w:val="18"/>
          <w:lang w:val="hy-AM"/>
        </w:rPr>
        <w:t>թ. ՀՀ աշխատանքի և սոցիալական հարցերի նախարարության կողմից իրականացված ծրագրերը (մլն դրամ)</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2"/>
        <w:gridCol w:w="1134"/>
        <w:gridCol w:w="1134"/>
        <w:gridCol w:w="1134"/>
        <w:gridCol w:w="1275"/>
        <w:gridCol w:w="1276"/>
        <w:gridCol w:w="1074"/>
      </w:tblGrid>
      <w:tr w:rsidR="00D61F4C" w:rsidRPr="00C921DE" w14:paraId="76C705B8" w14:textId="77777777" w:rsidTr="00713389">
        <w:trPr>
          <w:trHeight w:val="1378"/>
          <w:jc w:val="center"/>
        </w:trPr>
        <w:tc>
          <w:tcPr>
            <w:tcW w:w="3342" w:type="dxa"/>
            <w:noWrap/>
            <w:vAlign w:val="bottom"/>
          </w:tcPr>
          <w:p w14:paraId="38616B9D" w14:textId="77777777" w:rsidR="00D61F4C" w:rsidRPr="00C921DE" w:rsidRDefault="00D61F4C" w:rsidP="00D61F4C">
            <w:pPr>
              <w:rPr>
                <w:rFonts w:ascii="GHEA Grapalat" w:hAnsi="GHEA Grapalat"/>
                <w:sz w:val="18"/>
                <w:szCs w:val="18"/>
              </w:rPr>
            </w:pPr>
          </w:p>
        </w:tc>
        <w:tc>
          <w:tcPr>
            <w:tcW w:w="1134" w:type="dxa"/>
          </w:tcPr>
          <w:p w14:paraId="0C6A401A"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2022թ. փաստ </w:t>
            </w:r>
          </w:p>
          <w:p w14:paraId="6329E5A8"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(2023թ. հետ համադրելի)</w:t>
            </w:r>
          </w:p>
        </w:tc>
        <w:tc>
          <w:tcPr>
            <w:tcW w:w="1134" w:type="dxa"/>
          </w:tcPr>
          <w:p w14:paraId="595C516B" w14:textId="724C9071"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134" w:type="dxa"/>
            <w:noWrap/>
          </w:tcPr>
          <w:p w14:paraId="45AC6B95" w14:textId="169C034D"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75" w:type="dxa"/>
          </w:tcPr>
          <w:p w14:paraId="0614601A" w14:textId="3BBA62E4"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76" w:type="dxa"/>
          </w:tcPr>
          <w:p w14:paraId="598CA88B" w14:textId="155B4296" w:rsidR="00D61F4C" w:rsidRPr="00C921DE" w:rsidRDefault="00D61F4C" w:rsidP="00D61F4C">
            <w:pPr>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74" w:type="dxa"/>
          </w:tcPr>
          <w:p w14:paraId="042ABDFB"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bCs/>
                <w:sz w:val="18"/>
                <w:szCs w:val="18"/>
              </w:rPr>
              <w:t>2023թ. և 2022թ. տարբե-րությունը</w:t>
            </w:r>
          </w:p>
        </w:tc>
      </w:tr>
      <w:tr w:rsidR="003E43B0" w:rsidRPr="00C921DE" w14:paraId="1416A551" w14:textId="77777777" w:rsidTr="00713389">
        <w:trPr>
          <w:trHeight w:val="284"/>
          <w:jc w:val="center"/>
        </w:trPr>
        <w:tc>
          <w:tcPr>
            <w:tcW w:w="3342" w:type="dxa"/>
            <w:vAlign w:val="bottom"/>
          </w:tcPr>
          <w:p w14:paraId="4C33653F" w14:textId="77777777" w:rsidR="003E43B0" w:rsidRPr="00C921DE" w:rsidRDefault="003E43B0" w:rsidP="00713389">
            <w:pPr>
              <w:rPr>
                <w:rFonts w:ascii="GHEA Grapalat" w:hAnsi="GHEA Grapalat" w:cs="Calibri"/>
                <w:b/>
                <w:sz w:val="18"/>
                <w:szCs w:val="18"/>
              </w:rPr>
            </w:pPr>
            <w:r w:rsidRPr="00C921DE">
              <w:rPr>
                <w:rFonts w:ascii="GHEA Grapalat" w:hAnsi="GHEA Grapalat" w:cs="Calibri"/>
                <w:b/>
                <w:sz w:val="18"/>
                <w:szCs w:val="18"/>
              </w:rPr>
              <w:t>ԸՆԴԱՄԵՆԸ</w:t>
            </w:r>
          </w:p>
        </w:tc>
        <w:tc>
          <w:tcPr>
            <w:tcW w:w="1134" w:type="dxa"/>
            <w:vAlign w:val="bottom"/>
          </w:tcPr>
          <w:p w14:paraId="6ABFF009" w14:textId="77777777" w:rsidR="003E43B0" w:rsidRPr="00C921DE" w:rsidRDefault="003E43B0" w:rsidP="00713389">
            <w:pPr>
              <w:jc w:val="right"/>
              <w:rPr>
                <w:rFonts w:ascii="GHEA Grapalat" w:hAnsi="GHEA Grapalat"/>
                <w:b/>
                <w:bCs/>
                <w:noProof w:val="0"/>
                <w:sz w:val="18"/>
                <w:szCs w:val="18"/>
                <w:lang w:val="en-US"/>
              </w:rPr>
            </w:pPr>
            <w:r w:rsidRPr="00C921DE">
              <w:rPr>
                <w:rFonts w:ascii="GHEA Grapalat" w:hAnsi="GHEA Grapalat"/>
                <w:b/>
                <w:bCs/>
                <w:sz w:val="18"/>
                <w:szCs w:val="18"/>
              </w:rPr>
              <w:t xml:space="preserve">613,585.5 </w:t>
            </w:r>
          </w:p>
        </w:tc>
        <w:tc>
          <w:tcPr>
            <w:tcW w:w="1134" w:type="dxa"/>
            <w:vAlign w:val="bottom"/>
          </w:tcPr>
          <w:p w14:paraId="6068746A" w14:textId="77777777" w:rsidR="003E43B0" w:rsidRPr="00C921DE" w:rsidRDefault="003E43B0" w:rsidP="00713389">
            <w:pPr>
              <w:rPr>
                <w:rFonts w:ascii="GHEA Grapalat" w:hAnsi="GHEA Grapalat"/>
                <w:b/>
                <w:bCs/>
                <w:sz w:val="18"/>
                <w:szCs w:val="18"/>
              </w:rPr>
            </w:pPr>
            <w:r w:rsidRPr="00C921DE">
              <w:rPr>
                <w:rFonts w:ascii="GHEA Grapalat" w:hAnsi="GHEA Grapalat"/>
                <w:b/>
                <w:bCs/>
                <w:sz w:val="18"/>
                <w:szCs w:val="18"/>
              </w:rPr>
              <w:t xml:space="preserve">723,885.9 </w:t>
            </w:r>
          </w:p>
        </w:tc>
        <w:tc>
          <w:tcPr>
            <w:tcW w:w="1134" w:type="dxa"/>
            <w:vAlign w:val="bottom"/>
          </w:tcPr>
          <w:p w14:paraId="2246FCF9" w14:textId="77777777" w:rsidR="003E43B0" w:rsidRPr="00C921DE" w:rsidRDefault="003E43B0" w:rsidP="00713389">
            <w:pPr>
              <w:rPr>
                <w:rFonts w:ascii="GHEA Grapalat" w:hAnsi="GHEA Grapalat"/>
                <w:b/>
                <w:bCs/>
                <w:sz w:val="18"/>
                <w:szCs w:val="18"/>
              </w:rPr>
            </w:pPr>
            <w:r w:rsidRPr="00C921DE">
              <w:rPr>
                <w:rFonts w:ascii="GHEA Grapalat" w:hAnsi="GHEA Grapalat"/>
                <w:b/>
                <w:bCs/>
                <w:sz w:val="18"/>
                <w:szCs w:val="18"/>
              </w:rPr>
              <w:t xml:space="preserve">705,605.4 </w:t>
            </w:r>
          </w:p>
        </w:tc>
        <w:tc>
          <w:tcPr>
            <w:tcW w:w="1275" w:type="dxa"/>
            <w:vAlign w:val="bottom"/>
          </w:tcPr>
          <w:p w14:paraId="1863969B" w14:textId="77777777" w:rsidR="003E43B0" w:rsidRPr="00C921DE" w:rsidRDefault="003E43B0" w:rsidP="00713389">
            <w:pPr>
              <w:jc w:val="right"/>
              <w:rPr>
                <w:rFonts w:ascii="GHEA Grapalat" w:hAnsi="GHEA Grapalat"/>
                <w:b/>
                <w:bCs/>
                <w:sz w:val="18"/>
                <w:szCs w:val="18"/>
              </w:rPr>
            </w:pPr>
            <w:r w:rsidRPr="00C921DE">
              <w:rPr>
                <w:rFonts w:ascii="GHEA Grapalat" w:hAnsi="GHEA Grapalat"/>
                <w:b/>
                <w:bCs/>
                <w:sz w:val="18"/>
                <w:szCs w:val="18"/>
              </w:rPr>
              <w:t>97.5</w:t>
            </w:r>
          </w:p>
        </w:tc>
        <w:tc>
          <w:tcPr>
            <w:tcW w:w="1276" w:type="dxa"/>
            <w:vAlign w:val="bottom"/>
          </w:tcPr>
          <w:p w14:paraId="3F9569FD" w14:textId="77777777" w:rsidR="003E43B0" w:rsidRPr="00C921DE" w:rsidRDefault="003E43B0" w:rsidP="00713389">
            <w:pPr>
              <w:jc w:val="right"/>
              <w:rPr>
                <w:rFonts w:ascii="GHEA Grapalat" w:hAnsi="GHEA Grapalat"/>
                <w:b/>
                <w:bCs/>
                <w:sz w:val="18"/>
                <w:szCs w:val="18"/>
              </w:rPr>
            </w:pPr>
            <w:r w:rsidRPr="00C921DE">
              <w:rPr>
                <w:rFonts w:ascii="GHEA Grapalat" w:hAnsi="GHEA Grapalat"/>
                <w:b/>
                <w:bCs/>
                <w:sz w:val="18"/>
                <w:szCs w:val="18"/>
              </w:rPr>
              <w:t>115.0</w:t>
            </w:r>
          </w:p>
        </w:tc>
        <w:tc>
          <w:tcPr>
            <w:tcW w:w="1074" w:type="dxa"/>
            <w:vAlign w:val="bottom"/>
          </w:tcPr>
          <w:p w14:paraId="620FD2CB" w14:textId="77777777" w:rsidR="003E43B0" w:rsidRPr="00C921DE" w:rsidRDefault="003E43B0" w:rsidP="00713389">
            <w:pPr>
              <w:jc w:val="right"/>
              <w:rPr>
                <w:rFonts w:ascii="GHEA Grapalat" w:hAnsi="GHEA Grapalat"/>
                <w:b/>
                <w:bCs/>
                <w:sz w:val="18"/>
                <w:szCs w:val="18"/>
              </w:rPr>
            </w:pPr>
            <w:r w:rsidRPr="00C921DE">
              <w:rPr>
                <w:rFonts w:ascii="GHEA Grapalat" w:hAnsi="GHEA Grapalat"/>
                <w:b/>
                <w:bCs/>
                <w:sz w:val="18"/>
                <w:szCs w:val="18"/>
              </w:rPr>
              <w:t xml:space="preserve">92,019.8 </w:t>
            </w:r>
          </w:p>
        </w:tc>
      </w:tr>
      <w:tr w:rsidR="003E43B0" w:rsidRPr="00C921DE" w14:paraId="4B104355" w14:textId="77777777" w:rsidTr="00713389">
        <w:trPr>
          <w:trHeight w:val="339"/>
          <w:jc w:val="center"/>
        </w:trPr>
        <w:tc>
          <w:tcPr>
            <w:tcW w:w="3342" w:type="dxa"/>
            <w:vAlign w:val="bottom"/>
          </w:tcPr>
          <w:p w14:paraId="43D0D9A9" w14:textId="77777777"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Անապահով սոցիալական խմբերին աջակցություն</w:t>
            </w:r>
          </w:p>
        </w:tc>
        <w:tc>
          <w:tcPr>
            <w:tcW w:w="1134" w:type="dxa"/>
            <w:vAlign w:val="bottom"/>
          </w:tcPr>
          <w:p w14:paraId="3E3AFBF1" w14:textId="77777777" w:rsidR="003E43B0" w:rsidRPr="00C921DE" w:rsidRDefault="003E43B0" w:rsidP="00713389">
            <w:pPr>
              <w:jc w:val="right"/>
              <w:rPr>
                <w:rFonts w:ascii="GHEA Grapalat" w:hAnsi="GHEA Grapalat"/>
                <w:noProof w:val="0"/>
                <w:sz w:val="18"/>
                <w:szCs w:val="18"/>
                <w:lang w:val="en-US"/>
              </w:rPr>
            </w:pPr>
            <w:r w:rsidRPr="00C921DE">
              <w:rPr>
                <w:rFonts w:ascii="GHEA Grapalat" w:hAnsi="GHEA Grapalat"/>
                <w:sz w:val="18"/>
                <w:szCs w:val="18"/>
              </w:rPr>
              <w:t xml:space="preserve">27,593.2 </w:t>
            </w:r>
          </w:p>
        </w:tc>
        <w:tc>
          <w:tcPr>
            <w:tcW w:w="1134" w:type="dxa"/>
            <w:vAlign w:val="bottom"/>
          </w:tcPr>
          <w:p w14:paraId="77E01454"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27,188.9 </w:t>
            </w:r>
          </w:p>
        </w:tc>
        <w:tc>
          <w:tcPr>
            <w:tcW w:w="1134" w:type="dxa"/>
            <w:vAlign w:val="bottom"/>
          </w:tcPr>
          <w:p w14:paraId="6A78DB2A"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26,767.9 </w:t>
            </w:r>
          </w:p>
        </w:tc>
        <w:tc>
          <w:tcPr>
            <w:tcW w:w="1275" w:type="dxa"/>
            <w:vAlign w:val="bottom"/>
          </w:tcPr>
          <w:p w14:paraId="397CD5D1"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98.5</w:t>
            </w:r>
          </w:p>
        </w:tc>
        <w:tc>
          <w:tcPr>
            <w:tcW w:w="1276" w:type="dxa"/>
            <w:vAlign w:val="bottom"/>
          </w:tcPr>
          <w:p w14:paraId="05237A90" w14:textId="77777777" w:rsidR="003E43B0" w:rsidRPr="00C921DE" w:rsidRDefault="003E43B0" w:rsidP="00713389">
            <w:pPr>
              <w:jc w:val="right"/>
              <w:rPr>
                <w:rFonts w:ascii="GHEA Grapalat" w:hAnsi="GHEA Grapalat"/>
                <w:sz w:val="18"/>
                <w:szCs w:val="18"/>
                <w:lang w:val="en-US"/>
              </w:rPr>
            </w:pPr>
            <w:r w:rsidRPr="00C921DE">
              <w:rPr>
                <w:rFonts w:ascii="GHEA Grapalat" w:hAnsi="GHEA Grapalat"/>
                <w:sz w:val="18"/>
                <w:szCs w:val="18"/>
              </w:rPr>
              <w:t>97.</w:t>
            </w:r>
            <w:r w:rsidRPr="00C921DE">
              <w:rPr>
                <w:rFonts w:ascii="GHEA Grapalat" w:hAnsi="GHEA Grapalat"/>
                <w:sz w:val="18"/>
                <w:szCs w:val="18"/>
                <w:lang w:val="en-US"/>
              </w:rPr>
              <w:t>0</w:t>
            </w:r>
          </w:p>
        </w:tc>
        <w:tc>
          <w:tcPr>
            <w:tcW w:w="1074" w:type="dxa"/>
            <w:vAlign w:val="bottom"/>
          </w:tcPr>
          <w:p w14:paraId="3D218C4D"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(8</w:t>
            </w:r>
            <w:r w:rsidRPr="00C921DE">
              <w:rPr>
                <w:rFonts w:ascii="GHEA Grapalat" w:hAnsi="GHEA Grapalat"/>
                <w:sz w:val="18"/>
                <w:szCs w:val="18"/>
                <w:lang w:val="en-US"/>
              </w:rPr>
              <w:t>25.4</w:t>
            </w:r>
            <w:r w:rsidRPr="00C921DE">
              <w:rPr>
                <w:rFonts w:ascii="GHEA Grapalat" w:hAnsi="GHEA Grapalat"/>
                <w:sz w:val="18"/>
                <w:szCs w:val="18"/>
              </w:rPr>
              <w:t>)</w:t>
            </w:r>
          </w:p>
        </w:tc>
      </w:tr>
      <w:tr w:rsidR="003E43B0" w:rsidRPr="00C921DE" w14:paraId="38113724" w14:textId="77777777" w:rsidTr="00713389">
        <w:trPr>
          <w:trHeight w:val="339"/>
          <w:jc w:val="center"/>
        </w:trPr>
        <w:tc>
          <w:tcPr>
            <w:tcW w:w="3342" w:type="dxa"/>
            <w:vAlign w:val="bottom"/>
          </w:tcPr>
          <w:p w14:paraId="49F3FA28" w14:textId="77777777"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Ժողովրդագրական վիճակի բարելավում</w:t>
            </w:r>
          </w:p>
        </w:tc>
        <w:tc>
          <w:tcPr>
            <w:tcW w:w="1134" w:type="dxa"/>
            <w:vAlign w:val="bottom"/>
          </w:tcPr>
          <w:p w14:paraId="2FD0A80C" w14:textId="77777777" w:rsidR="003E43B0" w:rsidRPr="00C921DE" w:rsidRDefault="003E43B0" w:rsidP="00713389">
            <w:pPr>
              <w:jc w:val="right"/>
              <w:rPr>
                <w:rFonts w:ascii="GHEA Grapalat" w:hAnsi="GHEA Grapalat"/>
                <w:noProof w:val="0"/>
                <w:sz w:val="18"/>
                <w:szCs w:val="18"/>
                <w:lang w:val="en-US"/>
              </w:rPr>
            </w:pPr>
            <w:r w:rsidRPr="00C921DE">
              <w:rPr>
                <w:rFonts w:ascii="GHEA Grapalat" w:hAnsi="GHEA Grapalat"/>
                <w:sz w:val="18"/>
                <w:szCs w:val="18"/>
              </w:rPr>
              <w:t xml:space="preserve">39,968.0 </w:t>
            </w:r>
          </w:p>
        </w:tc>
        <w:tc>
          <w:tcPr>
            <w:tcW w:w="1134" w:type="dxa"/>
            <w:vAlign w:val="bottom"/>
          </w:tcPr>
          <w:p w14:paraId="72CBB431"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53,649.2 </w:t>
            </w:r>
          </w:p>
        </w:tc>
        <w:tc>
          <w:tcPr>
            <w:tcW w:w="1134" w:type="dxa"/>
            <w:vAlign w:val="bottom"/>
          </w:tcPr>
          <w:p w14:paraId="0BCCA1DB"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53,593.8 </w:t>
            </w:r>
          </w:p>
        </w:tc>
        <w:tc>
          <w:tcPr>
            <w:tcW w:w="1275" w:type="dxa"/>
            <w:vAlign w:val="bottom"/>
          </w:tcPr>
          <w:p w14:paraId="446A1152"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99.9</w:t>
            </w:r>
          </w:p>
        </w:tc>
        <w:tc>
          <w:tcPr>
            <w:tcW w:w="1276" w:type="dxa"/>
            <w:vAlign w:val="bottom"/>
          </w:tcPr>
          <w:p w14:paraId="34274A8F"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134.1</w:t>
            </w:r>
          </w:p>
        </w:tc>
        <w:tc>
          <w:tcPr>
            <w:tcW w:w="1074" w:type="dxa"/>
            <w:vAlign w:val="bottom"/>
          </w:tcPr>
          <w:p w14:paraId="62642CA2"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13,625.7 </w:t>
            </w:r>
          </w:p>
        </w:tc>
      </w:tr>
      <w:tr w:rsidR="003E43B0" w:rsidRPr="00C921DE" w14:paraId="0FEB7045" w14:textId="77777777" w:rsidTr="00713389">
        <w:trPr>
          <w:trHeight w:val="339"/>
          <w:jc w:val="center"/>
        </w:trPr>
        <w:tc>
          <w:tcPr>
            <w:tcW w:w="3342" w:type="dxa"/>
            <w:vAlign w:val="bottom"/>
          </w:tcPr>
          <w:p w14:paraId="077D3653" w14:textId="77777777"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Սոցիալական աջակցություն անաշխատունակության դեպքում</w:t>
            </w:r>
          </w:p>
        </w:tc>
        <w:tc>
          <w:tcPr>
            <w:tcW w:w="1134" w:type="dxa"/>
            <w:vAlign w:val="bottom"/>
          </w:tcPr>
          <w:p w14:paraId="6999C440" w14:textId="77777777" w:rsidR="003E43B0" w:rsidRPr="00C921DE" w:rsidRDefault="003E43B0" w:rsidP="00713389">
            <w:pPr>
              <w:jc w:val="right"/>
              <w:rPr>
                <w:rFonts w:ascii="GHEA Grapalat" w:hAnsi="GHEA Grapalat"/>
                <w:noProof w:val="0"/>
                <w:sz w:val="18"/>
                <w:szCs w:val="18"/>
                <w:lang w:val="en-US"/>
              </w:rPr>
            </w:pPr>
            <w:r w:rsidRPr="00C921DE">
              <w:rPr>
                <w:rFonts w:ascii="GHEA Grapalat" w:hAnsi="GHEA Grapalat"/>
                <w:sz w:val="18"/>
                <w:szCs w:val="18"/>
              </w:rPr>
              <w:t xml:space="preserve">20,069.1 </w:t>
            </w:r>
          </w:p>
        </w:tc>
        <w:tc>
          <w:tcPr>
            <w:tcW w:w="1134" w:type="dxa"/>
            <w:vAlign w:val="bottom"/>
          </w:tcPr>
          <w:p w14:paraId="4B0AAAA2"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21,763.5 </w:t>
            </w:r>
          </w:p>
        </w:tc>
        <w:tc>
          <w:tcPr>
            <w:tcW w:w="1134" w:type="dxa"/>
            <w:vAlign w:val="bottom"/>
          </w:tcPr>
          <w:p w14:paraId="7340EB74"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21,706.6 </w:t>
            </w:r>
          </w:p>
        </w:tc>
        <w:tc>
          <w:tcPr>
            <w:tcW w:w="1275" w:type="dxa"/>
            <w:vAlign w:val="bottom"/>
          </w:tcPr>
          <w:p w14:paraId="1C95C2D8"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99.7</w:t>
            </w:r>
          </w:p>
        </w:tc>
        <w:tc>
          <w:tcPr>
            <w:tcW w:w="1276" w:type="dxa"/>
            <w:vAlign w:val="bottom"/>
          </w:tcPr>
          <w:p w14:paraId="38609C21"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108.2</w:t>
            </w:r>
          </w:p>
        </w:tc>
        <w:tc>
          <w:tcPr>
            <w:tcW w:w="1074" w:type="dxa"/>
            <w:vAlign w:val="bottom"/>
          </w:tcPr>
          <w:p w14:paraId="6D5278A6"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1,637.5 </w:t>
            </w:r>
          </w:p>
        </w:tc>
      </w:tr>
      <w:tr w:rsidR="003E43B0" w:rsidRPr="00C921DE" w14:paraId="15262D59" w14:textId="77777777" w:rsidTr="00713389">
        <w:trPr>
          <w:trHeight w:val="339"/>
          <w:jc w:val="center"/>
        </w:trPr>
        <w:tc>
          <w:tcPr>
            <w:tcW w:w="3342" w:type="dxa"/>
            <w:vAlign w:val="bottom"/>
          </w:tcPr>
          <w:p w14:paraId="563EB333" w14:textId="77777777"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Կենսաթոշակային ապահովություն</w:t>
            </w:r>
          </w:p>
        </w:tc>
        <w:tc>
          <w:tcPr>
            <w:tcW w:w="1134" w:type="dxa"/>
            <w:vAlign w:val="bottom"/>
          </w:tcPr>
          <w:p w14:paraId="3E6D84D8" w14:textId="77777777" w:rsidR="003E43B0" w:rsidRPr="00C921DE" w:rsidRDefault="003E43B0" w:rsidP="00713389">
            <w:pPr>
              <w:jc w:val="right"/>
              <w:rPr>
                <w:rFonts w:ascii="GHEA Grapalat" w:hAnsi="GHEA Grapalat"/>
                <w:noProof w:val="0"/>
                <w:sz w:val="18"/>
                <w:szCs w:val="18"/>
                <w:lang w:val="en-US"/>
              </w:rPr>
            </w:pPr>
            <w:r w:rsidRPr="00C921DE">
              <w:rPr>
                <w:rFonts w:ascii="GHEA Grapalat" w:hAnsi="GHEA Grapalat"/>
                <w:sz w:val="18"/>
                <w:szCs w:val="18"/>
              </w:rPr>
              <w:t xml:space="preserve">411,947.2 </w:t>
            </w:r>
          </w:p>
        </w:tc>
        <w:tc>
          <w:tcPr>
            <w:tcW w:w="1134" w:type="dxa"/>
            <w:vAlign w:val="bottom"/>
          </w:tcPr>
          <w:p w14:paraId="0A8E19BB"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451,192.6 </w:t>
            </w:r>
          </w:p>
        </w:tc>
        <w:tc>
          <w:tcPr>
            <w:tcW w:w="1134" w:type="dxa"/>
            <w:vAlign w:val="bottom"/>
          </w:tcPr>
          <w:p w14:paraId="087DC473"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440,752.4 </w:t>
            </w:r>
          </w:p>
        </w:tc>
        <w:tc>
          <w:tcPr>
            <w:tcW w:w="1275" w:type="dxa"/>
            <w:vAlign w:val="bottom"/>
          </w:tcPr>
          <w:p w14:paraId="5BE61504"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97.7</w:t>
            </w:r>
          </w:p>
        </w:tc>
        <w:tc>
          <w:tcPr>
            <w:tcW w:w="1276" w:type="dxa"/>
            <w:vAlign w:val="bottom"/>
          </w:tcPr>
          <w:p w14:paraId="24C11EDC"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107.0</w:t>
            </w:r>
          </w:p>
        </w:tc>
        <w:tc>
          <w:tcPr>
            <w:tcW w:w="1074" w:type="dxa"/>
            <w:vAlign w:val="bottom"/>
          </w:tcPr>
          <w:p w14:paraId="1FC9A0AF"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28,805.2 </w:t>
            </w:r>
          </w:p>
        </w:tc>
      </w:tr>
      <w:tr w:rsidR="003E43B0" w:rsidRPr="00C921DE" w14:paraId="76E7D477" w14:textId="77777777" w:rsidTr="00713389">
        <w:trPr>
          <w:trHeight w:val="339"/>
          <w:jc w:val="center"/>
        </w:trPr>
        <w:tc>
          <w:tcPr>
            <w:tcW w:w="3342" w:type="dxa"/>
            <w:vAlign w:val="bottom"/>
          </w:tcPr>
          <w:p w14:paraId="74A665A7" w14:textId="77777777"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Սոցիալական ապահովություն</w:t>
            </w:r>
          </w:p>
        </w:tc>
        <w:tc>
          <w:tcPr>
            <w:tcW w:w="1134" w:type="dxa"/>
            <w:vAlign w:val="bottom"/>
          </w:tcPr>
          <w:p w14:paraId="2E96ABF5" w14:textId="77777777" w:rsidR="003E43B0" w:rsidRPr="00C921DE" w:rsidRDefault="003E43B0" w:rsidP="00713389">
            <w:pPr>
              <w:jc w:val="right"/>
              <w:rPr>
                <w:rFonts w:ascii="GHEA Grapalat" w:hAnsi="GHEA Grapalat"/>
                <w:noProof w:val="0"/>
                <w:sz w:val="18"/>
                <w:szCs w:val="18"/>
                <w:lang w:val="en-US"/>
              </w:rPr>
            </w:pPr>
            <w:r w:rsidRPr="00C921DE">
              <w:rPr>
                <w:rFonts w:ascii="GHEA Grapalat" w:hAnsi="GHEA Grapalat"/>
                <w:sz w:val="18"/>
                <w:szCs w:val="18"/>
              </w:rPr>
              <w:t xml:space="preserve">73,898.9 </w:t>
            </w:r>
          </w:p>
        </w:tc>
        <w:tc>
          <w:tcPr>
            <w:tcW w:w="1134" w:type="dxa"/>
            <w:vAlign w:val="bottom"/>
          </w:tcPr>
          <w:p w14:paraId="654FAC3F"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93,513.0 </w:t>
            </w:r>
          </w:p>
        </w:tc>
        <w:tc>
          <w:tcPr>
            <w:tcW w:w="1134" w:type="dxa"/>
            <w:vAlign w:val="bottom"/>
          </w:tcPr>
          <w:p w14:paraId="3C8FC959"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91,136.3 </w:t>
            </w:r>
          </w:p>
        </w:tc>
        <w:tc>
          <w:tcPr>
            <w:tcW w:w="1275" w:type="dxa"/>
            <w:vAlign w:val="bottom"/>
          </w:tcPr>
          <w:p w14:paraId="732C3AB7"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97.5</w:t>
            </w:r>
          </w:p>
        </w:tc>
        <w:tc>
          <w:tcPr>
            <w:tcW w:w="1276" w:type="dxa"/>
            <w:vAlign w:val="bottom"/>
          </w:tcPr>
          <w:p w14:paraId="02D56117"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123.3</w:t>
            </w:r>
          </w:p>
        </w:tc>
        <w:tc>
          <w:tcPr>
            <w:tcW w:w="1074" w:type="dxa"/>
            <w:vAlign w:val="bottom"/>
          </w:tcPr>
          <w:p w14:paraId="4EFA6454"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17,237.4 </w:t>
            </w:r>
          </w:p>
        </w:tc>
      </w:tr>
      <w:tr w:rsidR="003E43B0" w:rsidRPr="00C921DE" w14:paraId="05F14775" w14:textId="77777777" w:rsidTr="00713389">
        <w:trPr>
          <w:trHeight w:val="1088"/>
          <w:jc w:val="center"/>
        </w:trPr>
        <w:tc>
          <w:tcPr>
            <w:tcW w:w="3342" w:type="dxa"/>
            <w:vAlign w:val="bottom"/>
          </w:tcPr>
          <w:p w14:paraId="36CEC3EE" w14:textId="5A4E8EEF"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Ճգնաժամերի հակազդման և արտակարգ իրավիճակների հետևանքների նվազեցման և վերացման նպատակո</w:t>
            </w:r>
            <w:r w:rsidR="00F72086" w:rsidRPr="00C921DE">
              <w:rPr>
                <w:rFonts w:ascii="GHEA Grapalat" w:hAnsi="GHEA Grapalat" w:cs="Calibri"/>
                <w:sz w:val="18"/>
                <w:szCs w:val="18"/>
                <w:lang w:val="en-US"/>
              </w:rPr>
              <w:t>վ</w:t>
            </w:r>
            <w:r w:rsidRPr="00C921DE">
              <w:rPr>
                <w:rFonts w:ascii="GHEA Grapalat" w:hAnsi="GHEA Grapalat" w:cs="Calibri"/>
                <w:sz w:val="18"/>
                <w:szCs w:val="18"/>
              </w:rPr>
              <w:t>՝ առանձին սոցիալական խմբերին տրվող սոցիալական աջակցություն</w:t>
            </w:r>
          </w:p>
        </w:tc>
        <w:tc>
          <w:tcPr>
            <w:tcW w:w="1134" w:type="dxa"/>
            <w:vAlign w:val="bottom"/>
          </w:tcPr>
          <w:p w14:paraId="353F4E1D" w14:textId="77777777" w:rsidR="003E43B0" w:rsidRPr="00C921DE" w:rsidRDefault="003E43B0" w:rsidP="00713389">
            <w:pPr>
              <w:jc w:val="right"/>
              <w:rPr>
                <w:rFonts w:ascii="GHEA Grapalat" w:hAnsi="GHEA Grapalat"/>
                <w:noProof w:val="0"/>
                <w:sz w:val="18"/>
                <w:szCs w:val="18"/>
                <w:lang w:val="en-US"/>
              </w:rPr>
            </w:pPr>
            <w:r w:rsidRPr="00C921DE">
              <w:rPr>
                <w:rFonts w:ascii="GHEA Grapalat" w:hAnsi="GHEA Grapalat"/>
                <w:sz w:val="18"/>
                <w:szCs w:val="18"/>
              </w:rPr>
              <w:t xml:space="preserve">0.0 </w:t>
            </w:r>
          </w:p>
        </w:tc>
        <w:tc>
          <w:tcPr>
            <w:tcW w:w="1134" w:type="dxa"/>
            <w:vAlign w:val="bottom"/>
          </w:tcPr>
          <w:p w14:paraId="58A48168"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30,250.9 </w:t>
            </w:r>
          </w:p>
        </w:tc>
        <w:tc>
          <w:tcPr>
            <w:tcW w:w="1134" w:type="dxa"/>
            <w:vAlign w:val="bottom"/>
          </w:tcPr>
          <w:p w14:paraId="3A054893"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28,746.0 </w:t>
            </w:r>
          </w:p>
        </w:tc>
        <w:tc>
          <w:tcPr>
            <w:tcW w:w="1275" w:type="dxa"/>
            <w:vAlign w:val="bottom"/>
          </w:tcPr>
          <w:p w14:paraId="77BE086A"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95.0</w:t>
            </w:r>
          </w:p>
        </w:tc>
        <w:tc>
          <w:tcPr>
            <w:tcW w:w="1276" w:type="dxa"/>
            <w:vAlign w:val="bottom"/>
          </w:tcPr>
          <w:p w14:paraId="5055C29E" w14:textId="77777777" w:rsidR="003E43B0" w:rsidRPr="00C921DE" w:rsidRDefault="003E43B0" w:rsidP="00713389">
            <w:pPr>
              <w:jc w:val="right"/>
              <w:rPr>
                <w:rFonts w:ascii="GHEA Grapalat" w:hAnsi="GHEA Grapalat"/>
                <w:sz w:val="18"/>
                <w:szCs w:val="18"/>
              </w:rPr>
            </w:pPr>
            <w:r w:rsidRPr="00C921DE">
              <w:rPr>
                <w:rFonts w:ascii="Calibri" w:hAnsi="Calibri" w:cs="Calibri"/>
                <w:sz w:val="18"/>
                <w:szCs w:val="18"/>
              </w:rPr>
              <w:t> </w:t>
            </w:r>
          </w:p>
        </w:tc>
        <w:tc>
          <w:tcPr>
            <w:tcW w:w="1074" w:type="dxa"/>
            <w:vAlign w:val="bottom"/>
          </w:tcPr>
          <w:p w14:paraId="051807D6"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28,746.0 </w:t>
            </w:r>
          </w:p>
        </w:tc>
      </w:tr>
      <w:tr w:rsidR="003E43B0" w:rsidRPr="00C921DE" w14:paraId="3DC6DB30" w14:textId="77777777" w:rsidTr="00713389">
        <w:trPr>
          <w:trHeight w:val="364"/>
          <w:jc w:val="center"/>
        </w:trPr>
        <w:tc>
          <w:tcPr>
            <w:tcW w:w="3342" w:type="dxa"/>
            <w:vAlign w:val="bottom"/>
          </w:tcPr>
          <w:p w14:paraId="144EF526" w14:textId="77777777" w:rsidR="003E43B0" w:rsidRPr="00C921DE" w:rsidRDefault="003E43B0" w:rsidP="00713389">
            <w:pPr>
              <w:rPr>
                <w:rFonts w:ascii="GHEA Grapalat" w:hAnsi="GHEA Grapalat" w:cs="Calibri"/>
                <w:sz w:val="18"/>
                <w:szCs w:val="18"/>
              </w:rPr>
            </w:pPr>
            <w:r w:rsidRPr="00C921DE">
              <w:rPr>
                <w:rFonts w:ascii="GHEA Grapalat" w:hAnsi="GHEA Grapalat" w:cs="Calibri"/>
                <w:sz w:val="18"/>
                <w:szCs w:val="18"/>
              </w:rPr>
              <w:t>Այլ ծրագրեր</w:t>
            </w:r>
          </w:p>
        </w:tc>
        <w:tc>
          <w:tcPr>
            <w:tcW w:w="1134" w:type="dxa"/>
            <w:vAlign w:val="bottom"/>
          </w:tcPr>
          <w:p w14:paraId="341F7BA3" w14:textId="77777777" w:rsidR="003E43B0" w:rsidRPr="00C921DE" w:rsidRDefault="003E43B0" w:rsidP="00713389">
            <w:pPr>
              <w:jc w:val="right"/>
              <w:rPr>
                <w:rFonts w:ascii="GHEA Grapalat" w:hAnsi="GHEA Grapalat"/>
                <w:noProof w:val="0"/>
                <w:sz w:val="18"/>
                <w:szCs w:val="18"/>
              </w:rPr>
            </w:pPr>
            <w:r w:rsidRPr="00C921DE">
              <w:rPr>
                <w:rFonts w:ascii="GHEA Grapalat" w:hAnsi="GHEA Grapalat"/>
                <w:sz w:val="18"/>
                <w:szCs w:val="18"/>
              </w:rPr>
              <w:t>40,109.</w:t>
            </w:r>
            <w:r w:rsidRPr="00C921DE">
              <w:rPr>
                <w:rFonts w:ascii="GHEA Grapalat" w:hAnsi="GHEA Grapalat"/>
                <w:sz w:val="18"/>
                <w:szCs w:val="18"/>
                <w:lang w:val="en-US"/>
              </w:rPr>
              <w:t>1</w:t>
            </w:r>
            <w:r w:rsidRPr="00C921DE">
              <w:rPr>
                <w:rFonts w:ascii="GHEA Grapalat" w:hAnsi="GHEA Grapalat"/>
                <w:sz w:val="18"/>
                <w:szCs w:val="18"/>
              </w:rPr>
              <w:t xml:space="preserve"> </w:t>
            </w:r>
          </w:p>
        </w:tc>
        <w:tc>
          <w:tcPr>
            <w:tcW w:w="1134" w:type="dxa"/>
            <w:vAlign w:val="bottom"/>
          </w:tcPr>
          <w:p w14:paraId="36D6E4F9"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46,327.8 </w:t>
            </w:r>
          </w:p>
        </w:tc>
        <w:tc>
          <w:tcPr>
            <w:tcW w:w="1134" w:type="dxa"/>
            <w:vAlign w:val="bottom"/>
          </w:tcPr>
          <w:p w14:paraId="6D1AE63E"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 xml:space="preserve">42,902.5 </w:t>
            </w:r>
          </w:p>
        </w:tc>
        <w:tc>
          <w:tcPr>
            <w:tcW w:w="1275" w:type="dxa"/>
            <w:vAlign w:val="bottom"/>
          </w:tcPr>
          <w:p w14:paraId="3BFFC4CC"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92.6</w:t>
            </w:r>
          </w:p>
        </w:tc>
        <w:tc>
          <w:tcPr>
            <w:tcW w:w="1276" w:type="dxa"/>
            <w:vAlign w:val="bottom"/>
          </w:tcPr>
          <w:p w14:paraId="5E2D8BB7"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107.0</w:t>
            </w:r>
          </w:p>
        </w:tc>
        <w:tc>
          <w:tcPr>
            <w:tcW w:w="1074" w:type="dxa"/>
            <w:vAlign w:val="bottom"/>
          </w:tcPr>
          <w:p w14:paraId="1455E1DF" w14:textId="77777777" w:rsidR="003E43B0" w:rsidRPr="00C921DE" w:rsidRDefault="003E43B0" w:rsidP="00713389">
            <w:pPr>
              <w:jc w:val="right"/>
              <w:rPr>
                <w:rFonts w:ascii="GHEA Grapalat" w:hAnsi="GHEA Grapalat"/>
                <w:sz w:val="18"/>
                <w:szCs w:val="18"/>
              </w:rPr>
            </w:pPr>
            <w:r w:rsidRPr="00C921DE">
              <w:rPr>
                <w:rFonts w:ascii="GHEA Grapalat" w:hAnsi="GHEA Grapalat"/>
                <w:sz w:val="18"/>
                <w:szCs w:val="18"/>
              </w:rPr>
              <w:t>2,7</w:t>
            </w:r>
            <w:r w:rsidRPr="00C921DE">
              <w:rPr>
                <w:rFonts w:ascii="GHEA Grapalat" w:hAnsi="GHEA Grapalat"/>
                <w:sz w:val="18"/>
                <w:szCs w:val="18"/>
                <w:lang w:val="en-US"/>
              </w:rPr>
              <w:t>93</w:t>
            </w:r>
            <w:r w:rsidRPr="00C921DE">
              <w:rPr>
                <w:rFonts w:ascii="GHEA Grapalat" w:hAnsi="GHEA Grapalat"/>
                <w:sz w:val="18"/>
                <w:szCs w:val="18"/>
              </w:rPr>
              <w:t>.</w:t>
            </w:r>
            <w:r w:rsidRPr="00C921DE">
              <w:rPr>
                <w:rFonts w:ascii="GHEA Grapalat" w:hAnsi="GHEA Grapalat"/>
                <w:sz w:val="18"/>
                <w:szCs w:val="18"/>
                <w:lang w:val="en-US"/>
              </w:rPr>
              <w:t>4</w:t>
            </w:r>
            <w:r w:rsidRPr="00C921DE">
              <w:rPr>
                <w:rFonts w:ascii="GHEA Grapalat" w:hAnsi="GHEA Grapalat"/>
                <w:sz w:val="18"/>
                <w:szCs w:val="18"/>
              </w:rPr>
              <w:t xml:space="preserve"> </w:t>
            </w:r>
          </w:p>
        </w:tc>
      </w:tr>
    </w:tbl>
    <w:p w14:paraId="10D39C9A" w14:textId="77777777" w:rsidR="003E43B0" w:rsidRPr="00C921DE" w:rsidRDefault="003E43B0" w:rsidP="00B134DD">
      <w:pPr>
        <w:autoSpaceDE w:val="0"/>
        <w:autoSpaceDN w:val="0"/>
        <w:adjustRightInd w:val="0"/>
        <w:ind w:firstLine="567"/>
        <w:jc w:val="both"/>
        <w:rPr>
          <w:rFonts w:ascii="GHEA Grapalat" w:hAnsi="GHEA Grapalat"/>
          <w:sz w:val="22"/>
          <w:szCs w:val="22"/>
        </w:rPr>
      </w:pPr>
    </w:p>
    <w:p w14:paraId="212B8375" w14:textId="5779611C" w:rsidR="003E43B0" w:rsidRPr="00C921DE" w:rsidRDefault="003E43B0" w:rsidP="003E43B0">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sz w:val="22"/>
          <w:szCs w:val="22"/>
        </w:rPr>
        <w:t>2023 թվականին</w:t>
      </w:r>
      <w:r w:rsidRPr="00C921DE">
        <w:rPr>
          <w:rFonts w:ascii="GHEA Grapalat" w:hAnsi="GHEA Grapalat" w:cs="Arial"/>
          <w:sz w:val="22"/>
          <w:szCs w:val="22"/>
        </w:rPr>
        <w:t xml:space="preserve"> ավելի քան 26.7 մլրդ դրամ է տրամադրվել </w:t>
      </w:r>
      <w:r w:rsidRPr="00C921DE">
        <w:rPr>
          <w:rFonts w:ascii="GHEA Grapalat" w:hAnsi="GHEA Grapalat" w:cs="Arial"/>
          <w:i/>
          <w:sz w:val="22"/>
          <w:szCs w:val="22"/>
        </w:rPr>
        <w:t>Անապահով սոցիալական խմբերին աջակցության</w:t>
      </w:r>
      <w:r w:rsidRPr="00C921DE">
        <w:rPr>
          <w:rFonts w:ascii="GHEA Grapalat" w:hAnsi="GHEA Grapalat" w:cs="Arial"/>
          <w:sz w:val="22"/>
          <w:szCs w:val="22"/>
        </w:rPr>
        <w:t xml:space="preserve"> ծրագրին՝ ապահովելով 98.5% կատարողական </w:t>
      </w:r>
      <w:r w:rsidRPr="00C921DE">
        <w:rPr>
          <w:rFonts w:ascii="GHEA Grapalat" w:hAnsi="GHEA Grapalat" w:cs="Times Armenian"/>
          <w:sz w:val="22"/>
          <w:szCs w:val="22"/>
        </w:rPr>
        <w:t>և 3</w:t>
      </w:r>
      <w:r w:rsidRPr="00C921DE">
        <w:rPr>
          <w:rFonts w:ascii="GHEA Grapalat" w:hAnsi="GHEA Grapalat" w:cs="Sylfaen"/>
          <w:sz w:val="22"/>
          <w:szCs w:val="22"/>
        </w:rPr>
        <w:t>%</w:t>
      </w:r>
      <w:r w:rsidRPr="00C921DE">
        <w:rPr>
          <w:rFonts w:ascii="GHEA Grapalat" w:hAnsi="GHEA Grapalat" w:cs="Sylfaen"/>
          <w:sz w:val="22"/>
          <w:szCs w:val="22"/>
        </w:rPr>
        <w:noBreakHyphen/>
        <w:t>ով կամ 825.4 մլն դրամով զիջելով նախորդ տարվա ցուցանիշը</w:t>
      </w:r>
      <w:r w:rsidRPr="00C921DE">
        <w:rPr>
          <w:rFonts w:ascii="GHEA Grapalat" w:hAnsi="GHEA Grapalat" w:cs="Times Armenian"/>
          <w:sz w:val="22"/>
          <w:szCs w:val="22"/>
        </w:rPr>
        <w:t xml:space="preserve">: Ծրագրի նկատմամբ շեղումը և նախորդ տարվա համեմատ նվազումը </w:t>
      </w:r>
      <w:r w:rsidRPr="00C921DE">
        <w:rPr>
          <w:rFonts w:ascii="GHEA Grapalat" w:hAnsi="GHEA Grapalat" w:cs="Arial"/>
          <w:sz w:val="22"/>
          <w:szCs w:val="22"/>
        </w:rPr>
        <w:t>հիմնականում պայմանավորված</w:t>
      </w:r>
      <w:r w:rsidRPr="00C921DE">
        <w:rPr>
          <w:rFonts w:ascii="GHEA Grapalat" w:hAnsi="GHEA Grapalat" w:cs="GHEA Grapalat"/>
          <w:sz w:val="22"/>
          <w:szCs w:val="22"/>
        </w:rPr>
        <w:t xml:space="preserve"> </w:t>
      </w:r>
      <w:r w:rsidR="00DC486E" w:rsidRPr="00C921DE">
        <w:rPr>
          <w:rFonts w:ascii="GHEA Grapalat" w:hAnsi="GHEA Grapalat" w:cs="Arial"/>
          <w:sz w:val="22"/>
          <w:szCs w:val="22"/>
          <w:lang w:val="en-US"/>
        </w:rPr>
        <w:t>են</w:t>
      </w:r>
      <w:r w:rsidRPr="00C921DE">
        <w:rPr>
          <w:rFonts w:ascii="GHEA Grapalat" w:hAnsi="GHEA Grapalat" w:cs="Arial"/>
          <w:sz w:val="22"/>
          <w:szCs w:val="22"/>
        </w:rPr>
        <w:t xml:space="preserve"> ը</w:t>
      </w:r>
      <w:r w:rsidRPr="00C921DE">
        <w:rPr>
          <w:rFonts w:ascii="GHEA Grapalat" w:hAnsi="GHEA Grapalat" w:cs="Times Armenian"/>
          <w:sz w:val="22"/>
          <w:szCs w:val="22"/>
        </w:rPr>
        <w:t>նտանիքի կենսամակարդակի բարձրացմանն ուղղված նպաստների գծով ծախսերով, որոնք կազմել են ավելի քան 26.5 մլրդ դրամ կամ նախատեսվածի</w:t>
      </w:r>
      <w:r w:rsidRPr="00C921DE">
        <w:rPr>
          <w:rFonts w:ascii="GHEA Grapalat" w:hAnsi="GHEA Grapalat" w:cs="Arial"/>
          <w:sz w:val="22"/>
          <w:szCs w:val="22"/>
        </w:rPr>
        <w:t xml:space="preserve"> 98.5%-ը և 2.5%-ով (687.4 մլն դրամով) զիջել նախորդ տարվա ցուցանիշը: </w:t>
      </w:r>
      <w:r w:rsidRPr="00C921DE">
        <w:rPr>
          <w:rFonts w:ascii="GHEA Grapalat" w:hAnsi="GHEA Grapalat" w:cs="Times Armenian"/>
          <w:sz w:val="22"/>
          <w:szCs w:val="22"/>
        </w:rPr>
        <w:t>Ընտանիքի կենսամակարդակի բարձրացմանն ուղղված նպաստների միջոցառման շրջանակներում</w:t>
      </w:r>
      <w:r w:rsidRPr="00C921DE">
        <w:rPr>
          <w:rFonts w:ascii="GHEA Grapalat" w:hAnsi="GHEA Grapalat" w:cs="Arial"/>
          <w:sz w:val="22"/>
          <w:szCs w:val="22"/>
        </w:rPr>
        <w:t xml:space="preserve"> 2023 թվականին </w:t>
      </w:r>
      <w:r w:rsidRPr="00C921DE">
        <w:rPr>
          <w:rFonts w:ascii="GHEA Grapalat" w:hAnsi="GHEA Grapalat" w:cs="Times Armenian"/>
          <w:sz w:val="22"/>
          <w:szCs w:val="22"/>
        </w:rPr>
        <w:t xml:space="preserve">նպաստ է ստացել </w:t>
      </w:r>
      <w:r w:rsidRPr="00C921DE">
        <w:rPr>
          <w:rFonts w:ascii="GHEA Grapalat" w:hAnsi="GHEA Grapalat" w:cs="Arial"/>
          <w:sz w:val="22"/>
          <w:szCs w:val="22"/>
        </w:rPr>
        <w:t xml:space="preserve">74233 ընտանիք՝ ծրագրված 74230-ի և 2022 թվականի 76631-ի դիմաց: Ծախսերի՝ ծրագրից շեղումը և նախորդ տարվա համեմատ անկումը պայմանավորված են </w:t>
      </w:r>
      <w:r w:rsidRPr="00C921DE">
        <w:rPr>
          <w:rFonts w:ascii="GHEA Grapalat" w:hAnsi="GHEA Grapalat" w:cs="Sylfaen"/>
          <w:sz w:val="22"/>
          <w:szCs w:val="22"/>
        </w:rPr>
        <w:t>ընտանիքների անապահովության գնահատման համակարգում կանխատեսվող թվի համեմատ դիմող (փաստագրվող) ընտանիքների թվով և վճարվող միջին ամսական գումարի տարբերությամբ, ինչպես նաև</w:t>
      </w:r>
      <w:r w:rsidRPr="00C921DE">
        <w:rPr>
          <w:rFonts w:ascii="GHEA Grapalat" w:hAnsi="GHEA Grapalat" w:cs="Arial"/>
          <w:sz w:val="22"/>
          <w:szCs w:val="22"/>
        </w:rPr>
        <w:t xml:space="preserve"> վարչարարության արդյունքում նպաստառու ընտանիքների թվի կրճատմամբ:</w:t>
      </w:r>
    </w:p>
    <w:p w14:paraId="1D5EEC3C" w14:textId="078BE32E"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i/>
          <w:sz w:val="22"/>
          <w:szCs w:val="22"/>
        </w:rPr>
        <w:t>Ժողովրդագրական վիճակի բարելավման</w:t>
      </w:r>
      <w:r w:rsidRPr="00C921DE">
        <w:rPr>
          <w:rFonts w:ascii="GHEA Grapalat" w:hAnsi="GHEA Grapalat"/>
          <w:sz w:val="22"/>
          <w:szCs w:val="22"/>
        </w:rPr>
        <w:t xml:space="preserve"> ծրագրին 2023 </w:t>
      </w:r>
      <w:r w:rsidRPr="00C921DE">
        <w:rPr>
          <w:rFonts w:ascii="GHEA Grapalat" w:hAnsi="GHEA Grapalat" w:cs="Arial"/>
          <w:sz w:val="22"/>
          <w:szCs w:val="22"/>
        </w:rPr>
        <w:t>թվականի</w:t>
      </w:r>
      <w:r w:rsidRPr="00C921DE">
        <w:rPr>
          <w:rFonts w:ascii="GHEA Grapalat" w:hAnsi="GHEA Grapalat" w:cs="Sylfaen"/>
          <w:sz w:val="22"/>
          <w:szCs w:val="22"/>
        </w:rPr>
        <w:t>ն ՀՀ պետական բյուջեից տրամադրվել է շուրջ 53.6 մլրդ դրամ՝</w:t>
      </w:r>
      <w:r w:rsidRPr="00C921DE">
        <w:rPr>
          <w:rFonts w:ascii="GHEA Grapalat" w:hAnsi="GHEA Grapalat" w:cs="Times Armenian"/>
          <w:sz w:val="22"/>
          <w:szCs w:val="22"/>
        </w:rPr>
        <w:t xml:space="preserve"> </w:t>
      </w:r>
      <w:r w:rsidRPr="00C921DE">
        <w:rPr>
          <w:rFonts w:ascii="GHEA Grapalat" w:hAnsi="GHEA Grapalat" w:cs="Sylfaen"/>
          <w:sz w:val="22"/>
          <w:szCs w:val="22"/>
        </w:rPr>
        <w:t>ապահովելով</w:t>
      </w:r>
      <w:r w:rsidRPr="00C921DE">
        <w:rPr>
          <w:rFonts w:ascii="GHEA Grapalat" w:hAnsi="GHEA Grapalat" w:cs="Times Armenian"/>
          <w:sz w:val="22"/>
          <w:szCs w:val="22"/>
        </w:rPr>
        <w:t xml:space="preserve"> </w:t>
      </w:r>
      <w:r w:rsidRPr="00C921DE">
        <w:rPr>
          <w:rFonts w:ascii="GHEA Grapalat" w:hAnsi="GHEA Grapalat" w:cs="Sylfaen"/>
          <w:sz w:val="22"/>
          <w:szCs w:val="22"/>
        </w:rPr>
        <w:t>ծրագրային ցուցանիշի 99.9</w:t>
      </w:r>
      <w:r w:rsidRPr="00C921DE">
        <w:rPr>
          <w:rFonts w:ascii="GHEA Grapalat" w:hAnsi="GHEA Grapalat" w:cs="Times Armenian"/>
          <w:sz w:val="22"/>
          <w:szCs w:val="22"/>
        </w:rPr>
        <w:t>%-ը</w:t>
      </w:r>
      <w:r w:rsidRPr="00C921DE">
        <w:rPr>
          <w:rFonts w:ascii="GHEA Grapalat" w:hAnsi="GHEA Grapalat" w:cs="Sylfaen"/>
          <w:sz w:val="22"/>
          <w:szCs w:val="22"/>
        </w:rPr>
        <w:t xml:space="preserve">: Ծրագիրն ուղղված է եղել ժողովրդագրական վիճակի բարելավմանը և բազմազավակության աճին: </w:t>
      </w:r>
      <w:r w:rsidRPr="00C921DE">
        <w:rPr>
          <w:rFonts w:ascii="GHEA Grapalat" w:hAnsi="GHEA Grapalat" w:cs="Times Armenian"/>
          <w:sz w:val="22"/>
          <w:szCs w:val="22"/>
        </w:rPr>
        <w:t xml:space="preserve">Նախորդ տարվա համեմատ Ժողովրդագրական վիճակի բարելավման ծրագրի ծախսերն աճել են 34.1%-ով կամ 13.6 մլրդ դրամով, որը հիմնականում պայմանավորված է ընտանիքում 3 և ավելի երեխա ունեցող </w:t>
      </w:r>
      <w:r w:rsidRPr="00C921DE">
        <w:rPr>
          <w:rFonts w:ascii="GHEA Grapalat" w:hAnsi="GHEA Grapalat" w:cs="Times Armenian"/>
          <w:sz w:val="22"/>
          <w:szCs w:val="22"/>
        </w:rPr>
        <w:lastRenderedPageBreak/>
        <w:t>ընտանիքներին դրամական աջակցության</w:t>
      </w:r>
      <w:r w:rsidR="0005403A" w:rsidRPr="00C921DE">
        <w:rPr>
          <w:rFonts w:ascii="GHEA Grapalat" w:hAnsi="GHEA Grapalat" w:cs="Times Armenian"/>
          <w:sz w:val="22"/>
          <w:szCs w:val="22"/>
        </w:rPr>
        <w:t xml:space="preserve"> ու</w:t>
      </w:r>
      <w:r w:rsidRPr="00C921DE">
        <w:rPr>
          <w:rFonts w:ascii="GHEA Grapalat" w:hAnsi="GHEA Grapalat" w:cs="Times Armenian"/>
          <w:sz w:val="22"/>
          <w:szCs w:val="22"/>
        </w:rPr>
        <w:t xml:space="preserve"> մինչև 2 տարեկան երեխայի խնամքի նպաստի տրամադրման և երեխայի ծննդյան միանվագ նպաստի գծով ծախսերի աճով:</w:t>
      </w:r>
    </w:p>
    <w:p w14:paraId="5D996D45" w14:textId="42A0BF39"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2023 թվականին մինչև 2 տարեկան երեխայի խնամքի նպաստ է ստացել 42930 քաղաքացի՝ կանխատեսված 40796-ի և 2022 թվականի 42129–ի փոխարեն: Ծախսերը կազմել են 20.4</w:t>
      </w:r>
      <w:r w:rsidRPr="00C921DE">
        <w:rPr>
          <w:rFonts w:ascii="Calibri" w:hAnsi="Calibri" w:cs="Calibri"/>
          <w:sz w:val="22"/>
          <w:szCs w:val="22"/>
        </w:rPr>
        <w:t> </w:t>
      </w:r>
      <w:r w:rsidRPr="00C921DE">
        <w:rPr>
          <w:rFonts w:ascii="GHEA Grapalat" w:hAnsi="GHEA Grapalat" w:cs="Times Armenian"/>
          <w:sz w:val="22"/>
          <w:szCs w:val="22"/>
        </w:rPr>
        <w:t>մլրդ դրամ՝ ապահովելով 99.8% կատարողական</w:t>
      </w:r>
      <w:r w:rsidRPr="00C921DE">
        <w:rPr>
          <w:rFonts w:ascii="GHEA Grapalat" w:hAnsi="GHEA Grapalat" w:cs="Sylfaen"/>
          <w:sz w:val="22"/>
          <w:szCs w:val="22"/>
        </w:rPr>
        <w:t xml:space="preserve">: </w:t>
      </w:r>
      <w:r w:rsidRPr="00C921DE">
        <w:rPr>
          <w:rFonts w:ascii="GHEA Grapalat" w:hAnsi="GHEA Grapalat" w:cs="Times Armenian"/>
          <w:sz w:val="22"/>
          <w:szCs w:val="22"/>
        </w:rPr>
        <w:t xml:space="preserve">Նախորդ տարվա համեմատ </w:t>
      </w:r>
      <w:r w:rsidRPr="00C921DE">
        <w:rPr>
          <w:rFonts w:ascii="GHEA Grapalat" w:hAnsi="GHEA Grapalat" w:cs="Sylfaen"/>
          <w:sz w:val="22"/>
          <w:szCs w:val="22"/>
        </w:rPr>
        <w:t>մինչև 2 տարեկան երեխայի խնամքի նպաստ</w:t>
      </w:r>
      <w:r w:rsidRPr="00C921DE">
        <w:rPr>
          <w:rFonts w:ascii="GHEA Grapalat" w:hAnsi="GHEA Grapalat" w:cs="Times Armenian"/>
          <w:sz w:val="22"/>
          <w:szCs w:val="22"/>
        </w:rPr>
        <w:t>ի ծախսերն աճել են 32.8%-ով կամ 5 մլրդ դրամով</w:t>
      </w:r>
      <w:r w:rsidRPr="00C921DE">
        <w:rPr>
          <w:rFonts w:ascii="GHEA Grapalat" w:hAnsi="GHEA Grapalat" w:cs="Times Armenian"/>
          <w:sz w:val="22"/>
          <w:szCs w:val="22"/>
          <w:lang w:val="af-ZA"/>
        </w:rPr>
        <w:t>:</w:t>
      </w:r>
      <w:r w:rsidRPr="00C921DE">
        <w:rPr>
          <w:rFonts w:ascii="GHEA Grapalat" w:hAnsi="GHEA Grapalat" w:cs="Times Armenian"/>
          <w:sz w:val="22"/>
          <w:szCs w:val="22"/>
        </w:rPr>
        <w:t xml:space="preserve"> Նշված աճը պայմանավորված է 2023 թվականի հունվարի 1-ից մինչև 2 տարեկան երեխայի խնամքի նպաստի չափի բարձրացմամբ 28600 դրամից մինչև 31600 դրամ,</w:t>
      </w:r>
      <w:r w:rsidR="004B2D47" w:rsidRPr="00C921DE">
        <w:rPr>
          <w:rFonts w:ascii="GHEA Grapalat" w:hAnsi="GHEA Grapalat" w:cs="Times Armenian"/>
          <w:sz w:val="22"/>
          <w:szCs w:val="22"/>
        </w:rPr>
        <w:t xml:space="preserve"> </w:t>
      </w:r>
      <w:r w:rsidR="00BE6EB4" w:rsidRPr="00C921DE">
        <w:rPr>
          <w:rFonts w:ascii="GHEA Grapalat" w:hAnsi="GHEA Grapalat" w:cs="Times Armenian"/>
          <w:sz w:val="22"/>
          <w:szCs w:val="22"/>
          <w:lang w:val="en-US"/>
        </w:rPr>
        <w:t xml:space="preserve">բացի այդ, </w:t>
      </w:r>
      <w:r w:rsidRPr="00C921DE">
        <w:rPr>
          <w:rFonts w:ascii="GHEA Grapalat" w:hAnsi="GHEA Grapalat" w:cs="Times Armenian"/>
          <w:sz w:val="22"/>
          <w:szCs w:val="22"/>
        </w:rPr>
        <w:t>2023 թվականի</w:t>
      </w:r>
      <w:r w:rsidR="00BE6EB4" w:rsidRPr="00C921DE">
        <w:rPr>
          <w:rFonts w:ascii="GHEA Grapalat" w:hAnsi="GHEA Grapalat" w:cs="Times Armenian"/>
          <w:sz w:val="22"/>
          <w:szCs w:val="22"/>
        </w:rPr>
        <w:t xml:space="preserve"> հունվարի </w:t>
      </w:r>
      <w:r w:rsidRPr="00C921DE">
        <w:rPr>
          <w:rFonts w:ascii="GHEA Grapalat" w:hAnsi="GHEA Grapalat" w:cs="Times Armenian"/>
          <w:sz w:val="22"/>
          <w:szCs w:val="22"/>
        </w:rPr>
        <w:t xml:space="preserve">1-ից հետո ծնված երեխաների խնամքի համար մինչև 2 տարեկան երեխայի խնամքի նպաստ նշանակվել է բոլոր մայրերին՝ անկախ նրանց հաշվառման (բնակության) վայրից, ինչպես նաև օրենսդրական </w:t>
      </w:r>
      <w:r w:rsidR="00BE6EB4" w:rsidRPr="00C921DE">
        <w:rPr>
          <w:rFonts w:ascii="GHEA Grapalat" w:hAnsi="GHEA Grapalat" w:cs="Times Armenian"/>
          <w:sz w:val="22"/>
          <w:szCs w:val="22"/>
        </w:rPr>
        <w:t xml:space="preserve">փոփոխությամբ, համաձայն որի </w:t>
      </w:r>
      <w:r w:rsidRPr="00C921DE">
        <w:rPr>
          <w:rFonts w:ascii="GHEA Grapalat" w:hAnsi="GHEA Grapalat" w:cs="Times Armenian"/>
          <w:sz w:val="22"/>
          <w:szCs w:val="22"/>
        </w:rPr>
        <w:t>2020</w:t>
      </w:r>
      <w:r w:rsidR="00BE6EB4" w:rsidRPr="00C921DE">
        <w:rPr>
          <w:rFonts w:ascii="GHEA Grapalat" w:hAnsi="GHEA Grapalat" w:cs="Times Armenian"/>
          <w:sz w:val="22"/>
          <w:szCs w:val="22"/>
        </w:rPr>
        <w:t xml:space="preserve"> </w:t>
      </w:r>
      <w:r w:rsidRPr="00C921DE">
        <w:rPr>
          <w:rFonts w:ascii="GHEA Grapalat" w:hAnsi="GHEA Grapalat" w:cs="Times Armenian"/>
          <w:sz w:val="22"/>
          <w:szCs w:val="22"/>
        </w:rPr>
        <w:t>թ</w:t>
      </w:r>
      <w:r w:rsidR="00BE6EB4" w:rsidRPr="00C921DE">
        <w:rPr>
          <w:rFonts w:ascii="GHEA Grapalat" w:hAnsi="GHEA Grapalat" w:cs="Times Armenian"/>
          <w:sz w:val="22"/>
          <w:szCs w:val="22"/>
        </w:rPr>
        <w:t>վականի հուլիսի 1-ից</w:t>
      </w:r>
      <w:r w:rsidRPr="00C921DE">
        <w:rPr>
          <w:rFonts w:ascii="GHEA Grapalat" w:hAnsi="GHEA Grapalat" w:cs="Times Armenian"/>
          <w:sz w:val="22"/>
          <w:szCs w:val="22"/>
        </w:rPr>
        <w:t xml:space="preserve"> հետո ծնված և գյուղական բնակավայրում հաշվառված երեխաների խնամքի կապակցությամբ խնամքի նպաստ նշանակվել է անկախ ծնողի աշխատելու հանգամանքից, իսկ գյուղաբնակ</w:t>
      </w:r>
      <w:r w:rsidR="0005403A" w:rsidRPr="00C921DE">
        <w:rPr>
          <w:rFonts w:ascii="GHEA Grapalat" w:hAnsi="GHEA Grapalat" w:cs="Times Armenian"/>
          <w:sz w:val="22"/>
          <w:szCs w:val="22"/>
          <w:lang w:val="en-US"/>
        </w:rPr>
        <w:t xml:space="preserve"> աշխատող</w:t>
      </w:r>
      <w:r w:rsidRPr="00C921DE">
        <w:rPr>
          <w:rFonts w:ascii="GHEA Grapalat" w:hAnsi="GHEA Grapalat" w:cs="Times Armenian"/>
          <w:sz w:val="22"/>
          <w:szCs w:val="22"/>
        </w:rPr>
        <w:t xml:space="preserve"> ծնողին վճարվել է կրկնակի՝ որպես վարձու աշխատող և գյուղաբնակ։</w:t>
      </w:r>
    </w:p>
    <w:p w14:paraId="6201E81A" w14:textId="10B517E6"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sz w:val="22"/>
          <w:szCs w:val="22"/>
        </w:rPr>
        <w:t>Ժողովրդագրական վիճակի բարելավման ծ</w:t>
      </w:r>
      <w:r w:rsidRPr="00C921DE">
        <w:rPr>
          <w:rFonts w:ascii="GHEA Grapalat" w:hAnsi="GHEA Grapalat" w:cs="Arial"/>
          <w:sz w:val="22"/>
          <w:szCs w:val="22"/>
        </w:rPr>
        <w:t>րագրի</w:t>
      </w:r>
      <w:r w:rsidR="004B2D47" w:rsidRPr="00C921DE">
        <w:rPr>
          <w:rFonts w:ascii="GHEA Grapalat" w:hAnsi="GHEA Grapalat" w:cs="Sylfaen"/>
          <w:sz w:val="22"/>
          <w:szCs w:val="22"/>
        </w:rPr>
        <w:t xml:space="preserve"> </w:t>
      </w:r>
      <w:r w:rsidRPr="00C921DE">
        <w:rPr>
          <w:rFonts w:ascii="GHEA Grapalat" w:hAnsi="GHEA Grapalat" w:cs="Times Armenian"/>
          <w:sz w:val="22"/>
          <w:szCs w:val="22"/>
        </w:rPr>
        <w:t>«Ե</w:t>
      </w:r>
      <w:r w:rsidRPr="00C921DE">
        <w:rPr>
          <w:rFonts w:ascii="GHEA Grapalat" w:hAnsi="GHEA Grapalat"/>
          <w:sz w:val="22"/>
          <w:szCs w:val="22"/>
        </w:rPr>
        <w:t>րեխայի</w:t>
      </w:r>
      <w:r w:rsidRPr="00C921DE">
        <w:rPr>
          <w:rFonts w:ascii="GHEA Grapalat" w:hAnsi="GHEA Grapalat" w:cs="Sylfaen"/>
          <w:sz w:val="22"/>
          <w:szCs w:val="22"/>
        </w:rPr>
        <w:t xml:space="preserve"> ծննդյան միանվագ նպաստ» </w:t>
      </w:r>
      <w:r w:rsidRPr="00C921DE">
        <w:rPr>
          <w:rFonts w:ascii="GHEA Grapalat" w:hAnsi="GHEA Grapalat" w:cs="Times Armenian"/>
          <w:sz w:val="22"/>
          <w:szCs w:val="22"/>
        </w:rPr>
        <w:t>միջոցառման շրջանակներում հաշվետու ժամանակահատվածում շահառու նորածինների թիվը կազմել է 36261՝ կանխատեսված 36190-ի և 2022 թվականի 35742-ի դիմաց</w:t>
      </w:r>
      <w:r w:rsidRPr="00C921DE">
        <w:rPr>
          <w:rFonts w:ascii="GHEA Grapalat" w:hAnsi="GHEA Grapalat" w:cs="Sylfaen"/>
          <w:sz w:val="22"/>
          <w:szCs w:val="22"/>
        </w:rPr>
        <w:t xml:space="preserve">, այդ </w:t>
      </w:r>
      <w:r w:rsidRPr="00C921DE">
        <w:rPr>
          <w:rFonts w:ascii="GHEA Grapalat" w:hAnsi="GHEA Grapalat" w:cs="Times Armenian"/>
          <w:sz w:val="22"/>
          <w:szCs w:val="22"/>
        </w:rPr>
        <w:t>թվում՝ 3 և ավելի կարգաթվերով ծնված երեխաների թիվը</w:t>
      </w:r>
      <w:r w:rsidR="004B2D47" w:rsidRPr="00C921DE">
        <w:rPr>
          <w:rFonts w:ascii="GHEA Grapalat" w:hAnsi="GHEA Grapalat" w:cs="Times Armenian"/>
          <w:sz w:val="22"/>
          <w:szCs w:val="22"/>
        </w:rPr>
        <w:t xml:space="preserve"> </w:t>
      </w:r>
      <w:r w:rsidRPr="00C921DE">
        <w:rPr>
          <w:rFonts w:ascii="GHEA Grapalat" w:hAnsi="GHEA Grapalat" w:cs="Times Armenian"/>
          <w:sz w:val="22"/>
          <w:szCs w:val="22"/>
        </w:rPr>
        <w:t>2023 թվականին կազմել է 12777՝ 2022 թվականի 12176-ի դիմաց:</w:t>
      </w:r>
      <w:r w:rsidRPr="00C921DE">
        <w:rPr>
          <w:rFonts w:ascii="GHEA Grapalat" w:hAnsi="GHEA Grapalat" w:cs="Sylfaen"/>
          <w:sz w:val="22"/>
          <w:szCs w:val="22"/>
        </w:rPr>
        <w:t xml:space="preserve"> </w:t>
      </w:r>
      <w:r w:rsidRPr="00C921DE">
        <w:rPr>
          <w:rFonts w:ascii="GHEA Grapalat" w:hAnsi="GHEA Grapalat" w:cs="Times Armenian"/>
          <w:sz w:val="22"/>
          <w:szCs w:val="22"/>
        </w:rPr>
        <w:t>Նշված միջոցառման</w:t>
      </w:r>
      <w:r w:rsidRPr="00C921DE">
        <w:rPr>
          <w:rFonts w:ascii="GHEA Grapalat" w:hAnsi="GHEA Grapalat" w:cs="Sylfaen"/>
          <w:sz w:val="22"/>
          <w:szCs w:val="22"/>
        </w:rPr>
        <w:t xml:space="preserve"> համար</w:t>
      </w:r>
      <w:r w:rsidR="003C39C7" w:rsidRPr="00C921DE">
        <w:rPr>
          <w:rFonts w:ascii="GHEA Grapalat" w:hAnsi="GHEA Grapalat" w:cs="Times Armenian"/>
          <w:sz w:val="22"/>
          <w:szCs w:val="22"/>
        </w:rPr>
        <w:t xml:space="preserve"> հատկացված միջոցներ</w:t>
      </w:r>
      <w:r w:rsidR="00C2524D" w:rsidRPr="00C921DE">
        <w:rPr>
          <w:rFonts w:ascii="GHEA Grapalat" w:hAnsi="GHEA Grapalat" w:cs="Times Armenian"/>
          <w:sz w:val="22"/>
          <w:szCs w:val="22"/>
          <w:lang w:val="en-US"/>
        </w:rPr>
        <w:t xml:space="preserve">ն </w:t>
      </w:r>
      <w:r w:rsidRPr="00C921DE">
        <w:rPr>
          <w:rFonts w:ascii="GHEA Grapalat" w:hAnsi="GHEA Grapalat" w:cs="Times Armenian"/>
          <w:sz w:val="22"/>
          <w:szCs w:val="22"/>
        </w:rPr>
        <w:t>ամբողջությամբ օգտագործվել են՝ կազմելով</w:t>
      </w:r>
      <w:r w:rsidR="004B2D47" w:rsidRPr="00C921DE">
        <w:rPr>
          <w:rFonts w:ascii="GHEA Grapalat" w:hAnsi="GHEA Grapalat" w:cs="Times Armenian"/>
          <w:sz w:val="22"/>
          <w:szCs w:val="22"/>
        </w:rPr>
        <w:t xml:space="preserve"> </w:t>
      </w:r>
      <w:r w:rsidRPr="00C921DE">
        <w:rPr>
          <w:rFonts w:ascii="GHEA Grapalat" w:hAnsi="GHEA Grapalat" w:cs="Times Armenian"/>
          <w:sz w:val="22"/>
          <w:szCs w:val="22"/>
        </w:rPr>
        <w:t xml:space="preserve">ավելի քան 20 մլրդ դրամ: Նախորդ տարվա համեմատ </w:t>
      </w:r>
      <w:r w:rsidR="00F11344" w:rsidRPr="00C921DE">
        <w:rPr>
          <w:rFonts w:ascii="GHEA Grapalat" w:hAnsi="GHEA Grapalat" w:cs="Times Armenian"/>
          <w:sz w:val="22"/>
          <w:szCs w:val="22"/>
        </w:rPr>
        <w:t>ե</w:t>
      </w:r>
      <w:r w:rsidR="00F11344" w:rsidRPr="00C921DE">
        <w:rPr>
          <w:rFonts w:ascii="GHEA Grapalat" w:hAnsi="GHEA Grapalat"/>
          <w:sz w:val="22"/>
          <w:szCs w:val="22"/>
        </w:rPr>
        <w:t>րեխայի</w:t>
      </w:r>
      <w:r w:rsidR="00F11344" w:rsidRPr="00C921DE">
        <w:rPr>
          <w:rFonts w:ascii="GHEA Grapalat" w:hAnsi="GHEA Grapalat" w:cs="Sylfaen"/>
          <w:sz w:val="22"/>
          <w:szCs w:val="22"/>
        </w:rPr>
        <w:t xml:space="preserve"> ծննդյան միանվագ </w:t>
      </w:r>
      <w:r w:rsidRPr="00C921DE">
        <w:rPr>
          <w:rFonts w:ascii="GHEA Grapalat" w:hAnsi="GHEA Grapalat" w:cs="Times Armenian"/>
          <w:sz w:val="22"/>
          <w:szCs w:val="22"/>
        </w:rPr>
        <w:t>նպաստի ծախսերն աճել են 3%-ով կամ 588.1 մլն դրամով, որը հիմնականում պայմանավորված է 3 և ավելի կարգաթվերով ծնված երեխաների թվի աճով:</w:t>
      </w:r>
    </w:p>
    <w:p w14:paraId="7E3206D5" w14:textId="641323A2"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Sylfaen"/>
          <w:sz w:val="22"/>
          <w:szCs w:val="22"/>
        </w:rPr>
        <w:t xml:space="preserve">2023 թվականի ընթացքում «Դրամական աջակցություն ընտանիքում 3 և ավելի երեխա ունեցող ընտանիքներին» միջոցառման շրջանակներում դրամական աջակցություն է ստացել 16074 ընտանիք (յուրաքանչյուր երեխայի համար դիմած)՝ կանխատեսված 17468–ի և </w:t>
      </w:r>
      <w:r w:rsidRPr="00C921DE">
        <w:rPr>
          <w:rFonts w:ascii="GHEA Grapalat" w:hAnsi="GHEA Grapalat" w:cs="Times Armenian"/>
          <w:sz w:val="22"/>
          <w:szCs w:val="22"/>
        </w:rPr>
        <w:t xml:space="preserve">2022 թվականի </w:t>
      </w:r>
      <w:r w:rsidRPr="00C921DE">
        <w:rPr>
          <w:rFonts w:ascii="GHEA Grapalat" w:hAnsi="GHEA Grapalat" w:cs="Sylfaen"/>
          <w:sz w:val="22"/>
          <w:szCs w:val="22"/>
        </w:rPr>
        <w:t>5078</w:t>
      </w:r>
      <w:r w:rsidRPr="00C921DE">
        <w:rPr>
          <w:rFonts w:ascii="GHEA Grapalat" w:hAnsi="GHEA Grapalat" w:cs="Times Armenian"/>
          <w:sz w:val="22"/>
          <w:szCs w:val="22"/>
        </w:rPr>
        <w:t xml:space="preserve">-ի </w:t>
      </w:r>
      <w:r w:rsidRPr="00C921DE">
        <w:rPr>
          <w:rFonts w:ascii="GHEA Grapalat" w:hAnsi="GHEA Grapalat" w:cs="Sylfaen"/>
          <w:sz w:val="22"/>
          <w:szCs w:val="22"/>
        </w:rPr>
        <w:t>փոխարեն:</w:t>
      </w:r>
      <w:r w:rsidRPr="00C921DE">
        <w:rPr>
          <w:rFonts w:ascii="GHEA Grapalat" w:hAnsi="GHEA Grapalat" w:cs="Times Armenian"/>
          <w:sz w:val="22"/>
          <w:szCs w:val="22"/>
        </w:rPr>
        <w:t xml:space="preserve"> </w:t>
      </w:r>
      <w:r w:rsidRPr="00C921DE">
        <w:rPr>
          <w:rFonts w:ascii="GHEA Grapalat" w:hAnsi="GHEA Grapalat" w:cs="Sylfaen"/>
          <w:sz w:val="22"/>
          <w:szCs w:val="22"/>
        </w:rPr>
        <w:t>Ընտանիքում 3-րդ և յուրաքանչյուր հաջորդ երեխայի ծնվելու կապակցությամբ միջոցառման շրջանակներում գումար</w:t>
      </w:r>
      <w:r w:rsidR="00EF002E" w:rsidRPr="00C921DE">
        <w:rPr>
          <w:rFonts w:ascii="GHEA Grapalat" w:hAnsi="GHEA Grapalat" w:cs="Sylfaen"/>
          <w:sz w:val="22"/>
          <w:szCs w:val="22"/>
          <w:lang w:val="en-US"/>
        </w:rPr>
        <w:t>ներ</w:t>
      </w:r>
      <w:r w:rsidRPr="00C921DE">
        <w:rPr>
          <w:rFonts w:ascii="GHEA Grapalat" w:hAnsi="GHEA Grapalat" w:cs="Sylfaen"/>
          <w:sz w:val="22"/>
          <w:szCs w:val="22"/>
        </w:rPr>
        <w:t xml:space="preserve">ը հատկացվել </w:t>
      </w:r>
      <w:r w:rsidR="00EF002E" w:rsidRPr="00C921DE">
        <w:rPr>
          <w:rFonts w:ascii="GHEA Grapalat" w:hAnsi="GHEA Grapalat" w:cs="Sylfaen"/>
          <w:sz w:val="22"/>
          <w:szCs w:val="22"/>
          <w:lang w:val="en-US"/>
        </w:rPr>
        <w:t>են</w:t>
      </w:r>
      <w:r w:rsidRPr="00C921DE">
        <w:rPr>
          <w:rFonts w:ascii="GHEA Grapalat" w:hAnsi="GHEA Grapalat" w:cs="Sylfaen"/>
          <w:sz w:val="22"/>
          <w:szCs w:val="22"/>
        </w:rPr>
        <w:t xml:space="preserve"> 2022 թվականի հունվարի 1-ից հետո ծնված երեխայի ծնողին՝ մինչև երեխայի 6 տարեկանը լրանալը՝ 50.0 հազար դրամ</w:t>
      </w:r>
      <w:r w:rsidR="00EF002E" w:rsidRPr="00C921DE">
        <w:rPr>
          <w:rFonts w:ascii="GHEA Grapalat" w:hAnsi="GHEA Grapalat" w:cs="Sylfaen"/>
          <w:sz w:val="22"/>
          <w:szCs w:val="22"/>
          <w:lang w:val="en-US"/>
        </w:rPr>
        <w:t>ի չափով</w:t>
      </w:r>
      <w:r w:rsidRPr="00C921DE">
        <w:rPr>
          <w:rFonts w:ascii="GHEA Grapalat" w:hAnsi="GHEA Grapalat" w:cs="Sylfaen"/>
          <w:sz w:val="22"/>
          <w:szCs w:val="22"/>
        </w:rPr>
        <w:t xml:space="preserve">: </w:t>
      </w:r>
      <w:r w:rsidRPr="00C921DE">
        <w:rPr>
          <w:rFonts w:ascii="GHEA Grapalat" w:hAnsi="GHEA Grapalat" w:cs="Times Armenian"/>
          <w:sz w:val="22"/>
          <w:szCs w:val="22"/>
        </w:rPr>
        <w:t>Նշված միջոցառման</w:t>
      </w:r>
      <w:r w:rsidRPr="00C921DE">
        <w:rPr>
          <w:rFonts w:ascii="GHEA Grapalat" w:hAnsi="GHEA Grapalat" w:cs="Sylfaen"/>
          <w:sz w:val="22"/>
          <w:szCs w:val="22"/>
        </w:rPr>
        <w:t xml:space="preserve"> գծով ծախսերը կազմել են ավելի քան 10.4 մլրդ դրամ՝</w:t>
      </w:r>
      <w:r w:rsidRPr="00C921DE">
        <w:rPr>
          <w:rFonts w:ascii="GHEA Grapalat" w:hAnsi="GHEA Grapalat" w:cs="Times Armenian"/>
          <w:sz w:val="22"/>
          <w:szCs w:val="22"/>
        </w:rPr>
        <w:t xml:space="preserve"> </w:t>
      </w:r>
      <w:r w:rsidRPr="00C921DE">
        <w:rPr>
          <w:rFonts w:ascii="GHEA Grapalat" w:hAnsi="GHEA Grapalat" w:cs="Sylfaen"/>
          <w:sz w:val="22"/>
          <w:szCs w:val="22"/>
        </w:rPr>
        <w:t xml:space="preserve">ապահովելով </w:t>
      </w:r>
      <w:r w:rsidRPr="00C921DE">
        <w:rPr>
          <w:rFonts w:ascii="GHEA Grapalat" w:hAnsi="GHEA Grapalat" w:cs="Times Armenian"/>
          <w:sz w:val="22"/>
          <w:szCs w:val="22"/>
        </w:rPr>
        <w:t>տարեկան</w:t>
      </w:r>
      <w:r w:rsidRPr="00C921DE">
        <w:rPr>
          <w:rFonts w:ascii="GHEA Grapalat" w:hAnsi="GHEA Grapalat"/>
          <w:sz w:val="22"/>
          <w:szCs w:val="22"/>
        </w:rPr>
        <w:t xml:space="preserve"> </w:t>
      </w:r>
      <w:r w:rsidRPr="00C921DE">
        <w:rPr>
          <w:rFonts w:ascii="GHEA Grapalat" w:hAnsi="GHEA Grapalat" w:cs="Sylfaen"/>
          <w:sz w:val="22"/>
          <w:szCs w:val="22"/>
        </w:rPr>
        <w:t>ծրագրի 99.9</w:t>
      </w:r>
      <w:r w:rsidRPr="00C921DE">
        <w:rPr>
          <w:rFonts w:ascii="GHEA Grapalat" w:hAnsi="GHEA Grapalat" w:cs="Times Armenian"/>
          <w:sz w:val="22"/>
          <w:szCs w:val="22"/>
        </w:rPr>
        <w:t xml:space="preserve">% կատարողական: Նախորդ տարվա համեմատ </w:t>
      </w:r>
      <w:r w:rsidRPr="00C921DE">
        <w:rPr>
          <w:rFonts w:ascii="GHEA Grapalat" w:hAnsi="GHEA Grapalat" w:cs="Sylfaen"/>
          <w:sz w:val="22"/>
          <w:szCs w:val="22"/>
        </w:rPr>
        <w:t>ընտանիքում 3 և ավելի երեխա ունեցող ընտանիքներին դրամական աջակցության</w:t>
      </w:r>
      <w:r w:rsidRPr="00C921DE">
        <w:rPr>
          <w:rFonts w:ascii="GHEA Grapalat" w:hAnsi="GHEA Grapalat" w:cs="Times Armenian"/>
          <w:sz w:val="22"/>
          <w:szCs w:val="22"/>
        </w:rPr>
        <w:t xml:space="preserve"> ծախսերն </w:t>
      </w:r>
      <w:r w:rsidR="00EF002E" w:rsidRPr="00C921DE">
        <w:rPr>
          <w:rFonts w:ascii="GHEA Grapalat" w:hAnsi="GHEA Grapalat" w:cs="Times Armenian"/>
          <w:sz w:val="22"/>
          <w:szCs w:val="22"/>
          <w:lang w:val="en-US"/>
        </w:rPr>
        <w:t>աճ</w:t>
      </w:r>
      <w:r w:rsidRPr="00C921DE">
        <w:rPr>
          <w:rFonts w:ascii="GHEA Grapalat" w:hAnsi="GHEA Grapalat" w:cs="Times Armenian"/>
          <w:sz w:val="22"/>
          <w:szCs w:val="22"/>
        </w:rPr>
        <w:t>ել են 3.5</w:t>
      </w:r>
      <w:r w:rsidR="00EF002E" w:rsidRPr="00C921DE">
        <w:rPr>
          <w:rFonts w:ascii="GHEA Grapalat" w:hAnsi="GHEA Grapalat" w:cs="Times Armenian"/>
          <w:sz w:val="22"/>
          <w:szCs w:val="22"/>
          <w:lang w:val="en-US"/>
        </w:rPr>
        <w:t xml:space="preserve"> անգամ</w:t>
      </w:r>
      <w:r w:rsidRPr="00C921DE">
        <w:rPr>
          <w:rFonts w:ascii="GHEA Grapalat" w:hAnsi="GHEA Grapalat" w:cs="Times Armenian"/>
          <w:sz w:val="22"/>
          <w:szCs w:val="22"/>
        </w:rPr>
        <w:t xml:space="preserve"> կամ 7.5 մլրդ դրամով, որը հիմնականում</w:t>
      </w:r>
      <w:r w:rsidRPr="00C921DE">
        <w:rPr>
          <w:rFonts w:ascii="GHEA Grapalat" w:hAnsi="GHEA Grapalat" w:cs="Times Armenian"/>
          <w:sz w:val="22"/>
          <w:szCs w:val="22"/>
          <w:lang w:val="af-ZA"/>
        </w:rPr>
        <w:t xml:space="preserve"> </w:t>
      </w:r>
      <w:r w:rsidRPr="00C921DE">
        <w:rPr>
          <w:rFonts w:ascii="GHEA Grapalat" w:hAnsi="GHEA Grapalat" w:cs="Sylfaen"/>
          <w:sz w:val="22"/>
          <w:szCs w:val="22"/>
        </w:rPr>
        <w:t xml:space="preserve">պայմանավորված է </w:t>
      </w:r>
      <w:r w:rsidRPr="00C921DE">
        <w:rPr>
          <w:rFonts w:ascii="GHEA Grapalat" w:hAnsi="GHEA Grapalat" w:cs="Times Armenian"/>
          <w:sz w:val="22"/>
          <w:szCs w:val="22"/>
        </w:rPr>
        <w:t>3 և ավելի կարգաթվերով ծնված երեխաների թվի աճով:</w:t>
      </w:r>
    </w:p>
    <w:p w14:paraId="603D0DF7" w14:textId="252239A2" w:rsidR="003E43B0" w:rsidRPr="00C921DE" w:rsidRDefault="00AB1AAF"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i/>
          <w:sz w:val="22"/>
          <w:szCs w:val="22"/>
          <w:lang w:val="en-US"/>
        </w:rPr>
        <w:lastRenderedPageBreak/>
        <w:t>«Ս</w:t>
      </w:r>
      <w:r w:rsidRPr="00C921DE">
        <w:rPr>
          <w:rFonts w:ascii="GHEA Grapalat" w:hAnsi="GHEA Grapalat"/>
          <w:i/>
          <w:sz w:val="22"/>
          <w:szCs w:val="22"/>
        </w:rPr>
        <w:t>ոցիալական աջակցությ</w:t>
      </w:r>
      <w:r w:rsidRPr="00C921DE">
        <w:rPr>
          <w:rFonts w:ascii="GHEA Grapalat" w:hAnsi="GHEA Grapalat"/>
          <w:i/>
          <w:sz w:val="22"/>
          <w:szCs w:val="22"/>
          <w:lang w:val="en-US"/>
        </w:rPr>
        <w:t>ու</w:t>
      </w:r>
      <w:r w:rsidRPr="00C921DE">
        <w:rPr>
          <w:rFonts w:ascii="GHEA Grapalat" w:hAnsi="GHEA Grapalat"/>
          <w:i/>
          <w:sz w:val="22"/>
          <w:szCs w:val="22"/>
        </w:rPr>
        <w:t xml:space="preserve">ն </w:t>
      </w:r>
      <w:r w:rsidRPr="00C921DE">
        <w:rPr>
          <w:rFonts w:ascii="GHEA Grapalat" w:hAnsi="GHEA Grapalat"/>
          <w:i/>
          <w:sz w:val="22"/>
          <w:szCs w:val="22"/>
          <w:lang w:val="en-US"/>
        </w:rPr>
        <w:t>ա</w:t>
      </w:r>
      <w:r w:rsidR="003E43B0" w:rsidRPr="00C921DE">
        <w:rPr>
          <w:rFonts w:ascii="GHEA Grapalat" w:hAnsi="GHEA Grapalat"/>
          <w:i/>
          <w:sz w:val="22"/>
          <w:szCs w:val="22"/>
        </w:rPr>
        <w:t>նաշխատունակության դեպքում</w:t>
      </w:r>
      <w:r w:rsidRPr="00C921DE">
        <w:rPr>
          <w:rFonts w:ascii="GHEA Grapalat" w:hAnsi="GHEA Grapalat"/>
          <w:i/>
          <w:sz w:val="22"/>
          <w:szCs w:val="22"/>
          <w:lang w:val="en-US"/>
        </w:rPr>
        <w:t>»</w:t>
      </w:r>
      <w:r w:rsidR="003E43B0" w:rsidRPr="00C921DE">
        <w:rPr>
          <w:rFonts w:ascii="GHEA Grapalat" w:hAnsi="GHEA Grapalat"/>
          <w:i/>
          <w:sz w:val="22"/>
          <w:szCs w:val="22"/>
        </w:rPr>
        <w:t xml:space="preserve"> </w:t>
      </w:r>
      <w:r w:rsidR="003E43B0" w:rsidRPr="00C921DE">
        <w:rPr>
          <w:rFonts w:ascii="GHEA Grapalat" w:hAnsi="GHEA Grapalat"/>
          <w:sz w:val="22"/>
          <w:szCs w:val="22"/>
        </w:rPr>
        <w:t xml:space="preserve">ծրագրին հաշվետու տարում </w:t>
      </w:r>
      <w:r w:rsidR="003E43B0" w:rsidRPr="00C921DE">
        <w:rPr>
          <w:rFonts w:ascii="GHEA Grapalat" w:hAnsi="GHEA Grapalat" w:cs="Sylfaen"/>
          <w:sz w:val="22"/>
          <w:szCs w:val="22"/>
        </w:rPr>
        <w:t>տրամադրվել է</w:t>
      </w:r>
      <w:r w:rsidR="004B2D47" w:rsidRPr="00C921DE">
        <w:rPr>
          <w:rFonts w:ascii="GHEA Grapalat" w:hAnsi="GHEA Grapalat" w:cs="Sylfaen"/>
          <w:sz w:val="22"/>
          <w:szCs w:val="22"/>
        </w:rPr>
        <w:t xml:space="preserve"> </w:t>
      </w:r>
      <w:r w:rsidR="003E43B0" w:rsidRPr="00C921DE">
        <w:rPr>
          <w:rFonts w:ascii="GHEA Grapalat" w:hAnsi="GHEA Grapalat" w:cs="Sylfaen"/>
          <w:sz w:val="22"/>
          <w:szCs w:val="22"/>
        </w:rPr>
        <w:t>21.7 մլրդ դրամ՝</w:t>
      </w:r>
      <w:r w:rsidR="003E43B0" w:rsidRPr="00C921DE">
        <w:rPr>
          <w:rFonts w:ascii="GHEA Grapalat" w:hAnsi="GHEA Grapalat" w:cs="Times Armenian"/>
          <w:sz w:val="22"/>
          <w:szCs w:val="22"/>
        </w:rPr>
        <w:t xml:space="preserve"> </w:t>
      </w:r>
      <w:r w:rsidR="003E43B0" w:rsidRPr="00C921DE">
        <w:rPr>
          <w:rFonts w:ascii="GHEA Grapalat" w:hAnsi="GHEA Grapalat" w:cs="Sylfaen"/>
          <w:sz w:val="22"/>
          <w:szCs w:val="22"/>
        </w:rPr>
        <w:t>ապահովելով</w:t>
      </w:r>
      <w:r w:rsidR="003E43B0" w:rsidRPr="00C921DE">
        <w:rPr>
          <w:rFonts w:ascii="GHEA Grapalat" w:hAnsi="GHEA Grapalat" w:cs="Times Armenian"/>
          <w:sz w:val="22"/>
          <w:szCs w:val="22"/>
        </w:rPr>
        <w:t xml:space="preserve"> </w:t>
      </w:r>
      <w:r w:rsidR="003E43B0" w:rsidRPr="00C921DE">
        <w:rPr>
          <w:rFonts w:ascii="GHEA Grapalat" w:hAnsi="GHEA Grapalat" w:cs="Sylfaen"/>
          <w:sz w:val="22"/>
          <w:szCs w:val="22"/>
        </w:rPr>
        <w:t>ծրագրված ցուցանիշի 99</w:t>
      </w:r>
      <w:r w:rsidR="003E43B0" w:rsidRPr="00C921DE">
        <w:rPr>
          <w:rFonts w:ascii="GHEA Grapalat" w:hAnsi="GHEA Grapalat" w:cs="Times Armenian"/>
          <w:sz w:val="22"/>
          <w:szCs w:val="22"/>
        </w:rPr>
        <w:t>.7%</w:t>
      </w:r>
      <w:r w:rsidR="00F84CC8" w:rsidRPr="00C921DE">
        <w:rPr>
          <w:rFonts w:ascii="GHEA Grapalat" w:hAnsi="GHEA Grapalat" w:cs="Times Armenian"/>
          <w:sz w:val="22"/>
          <w:szCs w:val="22"/>
          <w:lang w:val="en-US"/>
        </w:rPr>
        <w:t xml:space="preserve"> կատարողական</w:t>
      </w:r>
      <w:r w:rsidR="003E43B0" w:rsidRPr="00C921DE">
        <w:rPr>
          <w:rFonts w:ascii="GHEA Grapalat" w:hAnsi="GHEA Grapalat" w:cs="Times Armenian"/>
          <w:sz w:val="22"/>
          <w:szCs w:val="22"/>
        </w:rPr>
        <w:t>: Ծրագիրն ուղղված է անաշխատունակության հետևանքով եկամտի կորստի մասնակի փոխհատուցման ապահովմանը: 2022 թվականի համեմատ ծրագրի ծախսերն աճել են 8.2%-ով կամ 1.6 մլրդ դրամով՝ հիմնականում պայմանավորված մայրության նպաստի գծով ծախսերի աճով:</w:t>
      </w:r>
    </w:p>
    <w:p w14:paraId="214DAED9" w14:textId="47A50000" w:rsidR="003E43B0" w:rsidRPr="00C921DE" w:rsidRDefault="00F84CC8" w:rsidP="003E43B0">
      <w:pPr>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lang w:val="en-US"/>
        </w:rPr>
        <w:t>2023 թվականին</w:t>
      </w:r>
      <w:r w:rsidR="003E43B0" w:rsidRPr="00C921DE">
        <w:rPr>
          <w:rFonts w:ascii="GHEA Grapalat" w:hAnsi="GHEA Grapalat" w:cs="Times Armenian"/>
          <w:sz w:val="22"/>
          <w:szCs w:val="22"/>
        </w:rPr>
        <w:t xml:space="preserve"> մ</w:t>
      </w:r>
      <w:r w:rsidR="003E43B0" w:rsidRPr="00C921DE">
        <w:rPr>
          <w:rFonts w:ascii="GHEA Grapalat" w:hAnsi="GHEA Grapalat"/>
          <w:sz w:val="22"/>
          <w:szCs w:val="22"/>
        </w:rPr>
        <w:t>այրության</w:t>
      </w:r>
      <w:r w:rsidR="003E43B0" w:rsidRPr="00C921DE">
        <w:rPr>
          <w:rFonts w:ascii="GHEA Grapalat" w:hAnsi="GHEA Grapalat"/>
          <w:sz w:val="22"/>
          <w:szCs w:val="22"/>
          <w:lang w:val="af-ZA"/>
        </w:rPr>
        <w:t xml:space="preserve"> </w:t>
      </w:r>
      <w:r w:rsidR="003E43B0" w:rsidRPr="00C921DE">
        <w:rPr>
          <w:rFonts w:ascii="GHEA Grapalat" w:hAnsi="GHEA Grapalat"/>
          <w:sz w:val="22"/>
          <w:szCs w:val="22"/>
        </w:rPr>
        <w:t>նպաստ</w:t>
      </w:r>
      <w:r w:rsidR="003E43B0" w:rsidRPr="00C921DE">
        <w:rPr>
          <w:rFonts w:ascii="GHEA Grapalat" w:hAnsi="GHEA Grapalat"/>
          <w:sz w:val="22"/>
          <w:szCs w:val="22"/>
          <w:lang w:val="af-ZA"/>
        </w:rPr>
        <w:t xml:space="preserve"> </w:t>
      </w:r>
      <w:r w:rsidR="003E43B0" w:rsidRPr="00C921DE">
        <w:rPr>
          <w:rFonts w:ascii="GHEA Grapalat" w:hAnsi="GHEA Grapalat"/>
          <w:sz w:val="22"/>
          <w:szCs w:val="22"/>
        </w:rPr>
        <w:t>ստացող</w:t>
      </w:r>
      <w:r w:rsidR="003E43B0" w:rsidRPr="00C921DE">
        <w:rPr>
          <w:rFonts w:ascii="GHEA Grapalat" w:hAnsi="GHEA Grapalat"/>
          <w:sz w:val="22"/>
          <w:szCs w:val="22"/>
          <w:lang w:val="af-ZA"/>
        </w:rPr>
        <w:t xml:space="preserve"> </w:t>
      </w:r>
      <w:r w:rsidR="003E43B0" w:rsidRPr="00C921DE">
        <w:rPr>
          <w:rFonts w:ascii="GHEA Grapalat" w:hAnsi="GHEA Grapalat"/>
          <w:sz w:val="22"/>
          <w:szCs w:val="22"/>
        </w:rPr>
        <w:t>աշխատող</w:t>
      </w:r>
      <w:r w:rsidR="003E43B0" w:rsidRPr="00C921DE">
        <w:rPr>
          <w:rFonts w:ascii="GHEA Grapalat" w:hAnsi="GHEA Grapalat"/>
          <w:sz w:val="22"/>
          <w:szCs w:val="22"/>
          <w:lang w:val="af-ZA"/>
        </w:rPr>
        <w:t xml:space="preserve"> </w:t>
      </w:r>
      <w:r w:rsidR="003E43B0" w:rsidRPr="00C921DE">
        <w:rPr>
          <w:rFonts w:ascii="GHEA Grapalat" w:hAnsi="GHEA Grapalat"/>
          <w:sz w:val="22"/>
          <w:szCs w:val="22"/>
        </w:rPr>
        <w:t>անձանց</w:t>
      </w:r>
      <w:r w:rsidR="003E43B0" w:rsidRPr="00C921DE">
        <w:rPr>
          <w:rFonts w:ascii="GHEA Grapalat" w:hAnsi="GHEA Grapalat"/>
          <w:sz w:val="22"/>
          <w:szCs w:val="22"/>
          <w:lang w:val="af-ZA"/>
        </w:rPr>
        <w:t xml:space="preserve"> </w:t>
      </w:r>
      <w:r w:rsidR="003E43B0" w:rsidRPr="00C921DE">
        <w:rPr>
          <w:rFonts w:ascii="GHEA Grapalat" w:hAnsi="GHEA Grapalat"/>
          <w:sz w:val="22"/>
          <w:szCs w:val="22"/>
        </w:rPr>
        <w:t>թիվը</w:t>
      </w:r>
      <w:r w:rsidR="003E43B0" w:rsidRPr="00C921DE">
        <w:rPr>
          <w:rFonts w:ascii="GHEA Grapalat" w:hAnsi="GHEA Grapalat"/>
          <w:sz w:val="22"/>
          <w:szCs w:val="22"/>
          <w:lang w:val="af-ZA"/>
        </w:rPr>
        <w:t xml:space="preserve"> </w:t>
      </w:r>
      <w:r w:rsidR="003E43B0" w:rsidRPr="00C921DE">
        <w:rPr>
          <w:rFonts w:ascii="GHEA Grapalat" w:hAnsi="GHEA Grapalat" w:cs="Times Armenian"/>
          <w:sz w:val="22"/>
          <w:szCs w:val="22"/>
        </w:rPr>
        <w:t xml:space="preserve">կազմել է </w:t>
      </w:r>
      <w:r w:rsidR="003E43B0" w:rsidRPr="00C921DE">
        <w:rPr>
          <w:rFonts w:ascii="GHEA Grapalat" w:hAnsi="GHEA Grapalat" w:cs="Sylfaen"/>
          <w:sz w:val="22"/>
          <w:szCs w:val="22"/>
        </w:rPr>
        <w:t>16770՝ կանխատեսված 18168-ի և նախորդ տարվա 17757-ի դիմաց, իսկ չաշխատող անձանց թիվը՝ 19044՝ կանխատեսված</w:t>
      </w:r>
      <w:r w:rsidR="003E43B0" w:rsidRPr="00C921DE">
        <w:rPr>
          <w:rFonts w:ascii="GHEA Grapalat" w:hAnsi="GHEA Grapalat"/>
          <w:sz w:val="22"/>
          <w:szCs w:val="22"/>
          <w:lang w:val="af-ZA"/>
        </w:rPr>
        <w:t xml:space="preserve"> 20394</w:t>
      </w:r>
      <w:r w:rsidR="003E43B0" w:rsidRPr="00C921DE">
        <w:rPr>
          <w:rFonts w:ascii="GHEA Grapalat" w:hAnsi="GHEA Grapalat"/>
          <w:sz w:val="22"/>
          <w:szCs w:val="22"/>
        </w:rPr>
        <w:t xml:space="preserve">-ի և նախորդ տարվա </w:t>
      </w:r>
      <w:r w:rsidR="003E43B0" w:rsidRPr="00C921DE">
        <w:rPr>
          <w:rFonts w:ascii="GHEA Grapalat" w:hAnsi="GHEA Grapalat"/>
          <w:sz w:val="22"/>
          <w:szCs w:val="22"/>
          <w:lang w:val="af-ZA"/>
        </w:rPr>
        <w:t>20047</w:t>
      </w:r>
      <w:r w:rsidR="003E43B0" w:rsidRPr="00C921DE">
        <w:rPr>
          <w:rFonts w:ascii="GHEA Grapalat" w:hAnsi="GHEA Grapalat"/>
          <w:sz w:val="22"/>
          <w:szCs w:val="22"/>
        </w:rPr>
        <w:t>-ի դիմաց</w:t>
      </w:r>
      <w:r w:rsidR="003E43B0" w:rsidRPr="00C921DE">
        <w:rPr>
          <w:rFonts w:ascii="GHEA Grapalat" w:hAnsi="GHEA Grapalat"/>
          <w:sz w:val="22"/>
          <w:szCs w:val="22"/>
          <w:lang w:val="af-ZA"/>
        </w:rPr>
        <w:t>: Մ</w:t>
      </w:r>
      <w:r w:rsidR="003E43B0" w:rsidRPr="00C921DE">
        <w:rPr>
          <w:rFonts w:ascii="GHEA Grapalat" w:hAnsi="GHEA Grapalat" w:cs="Times Armenian"/>
          <w:sz w:val="22"/>
          <w:szCs w:val="22"/>
        </w:rPr>
        <w:t>այրության նպաստին տրամադրվել է</w:t>
      </w:r>
      <w:r w:rsidR="003E43B0" w:rsidRPr="00C921DE">
        <w:rPr>
          <w:rFonts w:ascii="GHEA Grapalat" w:hAnsi="GHEA Grapalat"/>
          <w:sz w:val="22"/>
          <w:szCs w:val="22"/>
          <w:lang w:val="af-ZA"/>
        </w:rPr>
        <w:t xml:space="preserve"> </w:t>
      </w:r>
      <w:r w:rsidR="003E43B0" w:rsidRPr="00C921DE">
        <w:rPr>
          <w:rFonts w:ascii="GHEA Grapalat" w:hAnsi="GHEA Grapalat" w:cs="Times Armenian"/>
          <w:sz w:val="22"/>
          <w:szCs w:val="22"/>
        </w:rPr>
        <w:t xml:space="preserve">16.4 մլրդ դրամ՝ կազմելով </w:t>
      </w:r>
      <w:r w:rsidR="003E43B0" w:rsidRPr="00C921DE">
        <w:rPr>
          <w:rFonts w:ascii="GHEA Grapalat" w:hAnsi="GHEA Grapalat" w:cs="Sylfaen"/>
          <w:sz w:val="22"/>
          <w:szCs w:val="22"/>
        </w:rPr>
        <w:t>նախատեսվածի 99.7</w:t>
      </w:r>
      <w:r w:rsidR="003E43B0" w:rsidRPr="00C921DE">
        <w:rPr>
          <w:rFonts w:ascii="GHEA Grapalat" w:hAnsi="GHEA Grapalat" w:cs="Times Armenian"/>
          <w:sz w:val="22"/>
          <w:szCs w:val="22"/>
        </w:rPr>
        <w:t xml:space="preserve">%-ը: </w:t>
      </w:r>
      <w:r w:rsidR="003E43B0" w:rsidRPr="00C921DE">
        <w:rPr>
          <w:rFonts w:ascii="GHEA Grapalat" w:hAnsi="GHEA Grapalat" w:cs="Sylfaen"/>
          <w:sz w:val="22"/>
          <w:szCs w:val="22"/>
        </w:rPr>
        <w:t xml:space="preserve">Նախորդ </w:t>
      </w:r>
      <w:r w:rsidR="003E43B0" w:rsidRPr="00C921DE">
        <w:rPr>
          <w:rFonts w:ascii="GHEA Grapalat" w:hAnsi="GHEA Grapalat" w:cs="Times Armenian"/>
          <w:sz w:val="22"/>
          <w:szCs w:val="22"/>
        </w:rPr>
        <w:t>տարվա համեմատ նշված ծախսերն աճել են 13.6%-ով կամ</w:t>
      </w:r>
      <w:r w:rsidR="004B2D47" w:rsidRPr="00C921DE">
        <w:rPr>
          <w:rFonts w:ascii="GHEA Grapalat" w:hAnsi="GHEA Grapalat" w:cs="Times Armenian"/>
          <w:sz w:val="22"/>
          <w:szCs w:val="22"/>
        </w:rPr>
        <w:t xml:space="preserve"> </w:t>
      </w:r>
      <w:r w:rsidR="003E43B0" w:rsidRPr="00C921DE">
        <w:rPr>
          <w:rFonts w:ascii="GHEA Grapalat" w:hAnsi="GHEA Grapalat" w:cs="Times Armenian"/>
          <w:sz w:val="22"/>
          <w:szCs w:val="22"/>
        </w:rPr>
        <w:t>շուրջ 2 մլրդ դրամով, որը պայմանավորված է միջին ամսական աշխատավարձի աճով:</w:t>
      </w:r>
    </w:p>
    <w:p w14:paraId="3C3986CF" w14:textId="1F71AD12"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Ամբողջությամբ օգտագործվել է նաև Ժամանակավոր անաշխատունակության դեպքում նպաստ</w:t>
      </w:r>
      <w:r w:rsidR="005E5B4E" w:rsidRPr="00C921DE">
        <w:rPr>
          <w:rFonts w:ascii="GHEA Grapalat" w:hAnsi="GHEA Grapalat" w:cs="Times Armenian"/>
          <w:sz w:val="22"/>
          <w:szCs w:val="22"/>
          <w:lang w:val="en-US"/>
        </w:rPr>
        <w:t>ներ</w:t>
      </w:r>
      <w:r w:rsidRPr="00C921DE">
        <w:rPr>
          <w:rFonts w:ascii="GHEA Grapalat" w:hAnsi="GHEA Grapalat" w:cs="Times Armenian"/>
          <w:sz w:val="22"/>
          <w:szCs w:val="22"/>
        </w:rPr>
        <w:t>ին հատկացված շուրջ 5.</w:t>
      </w:r>
      <w:r w:rsidRPr="00C921DE">
        <w:rPr>
          <w:rFonts w:ascii="GHEA Grapalat" w:hAnsi="GHEA Grapalat" w:cs="Times Armenian"/>
          <w:sz w:val="22"/>
          <w:szCs w:val="22"/>
          <w:lang w:val="af-ZA"/>
        </w:rPr>
        <w:t>1</w:t>
      </w:r>
      <w:r w:rsidRPr="00C921DE">
        <w:rPr>
          <w:rFonts w:ascii="GHEA Grapalat" w:hAnsi="GHEA Grapalat" w:cs="Times Armenian"/>
          <w:sz w:val="22"/>
          <w:szCs w:val="22"/>
        </w:rPr>
        <w:t xml:space="preserve"> մլրդ դրամը: </w:t>
      </w:r>
      <w:r w:rsidRPr="00C921DE">
        <w:rPr>
          <w:rFonts w:ascii="GHEA Grapalat" w:hAnsi="GHEA Grapalat" w:cs="GHEA Grapalat"/>
          <w:sz w:val="22"/>
          <w:szCs w:val="22"/>
        </w:rPr>
        <w:t>Նախորդ</w:t>
      </w:r>
      <w:r w:rsidRPr="00C921DE">
        <w:rPr>
          <w:rFonts w:ascii="GHEA Grapalat" w:hAnsi="GHEA Grapalat" w:cs="Sylfaen"/>
          <w:sz w:val="22"/>
          <w:szCs w:val="22"/>
        </w:rPr>
        <w:t xml:space="preserve"> </w:t>
      </w:r>
      <w:r w:rsidRPr="00C921DE">
        <w:rPr>
          <w:rFonts w:ascii="GHEA Grapalat" w:hAnsi="GHEA Grapalat" w:cs="GHEA Grapalat"/>
          <w:sz w:val="22"/>
          <w:szCs w:val="22"/>
        </w:rPr>
        <w:t>տարվա</w:t>
      </w:r>
      <w:r w:rsidRPr="00C921DE">
        <w:rPr>
          <w:rFonts w:ascii="GHEA Grapalat" w:hAnsi="GHEA Grapalat" w:cs="Sylfaen"/>
          <w:sz w:val="22"/>
          <w:szCs w:val="22"/>
        </w:rPr>
        <w:t xml:space="preserve"> </w:t>
      </w:r>
      <w:r w:rsidRPr="00C921DE">
        <w:rPr>
          <w:rFonts w:ascii="GHEA Grapalat" w:hAnsi="GHEA Grapalat" w:cs="GHEA Grapalat"/>
          <w:sz w:val="22"/>
          <w:szCs w:val="22"/>
        </w:rPr>
        <w:t>համեմատ</w:t>
      </w:r>
      <w:r w:rsidRPr="00C921DE">
        <w:rPr>
          <w:rFonts w:ascii="GHEA Grapalat" w:hAnsi="GHEA Grapalat" w:cs="Sylfaen"/>
          <w:sz w:val="22"/>
          <w:szCs w:val="22"/>
        </w:rPr>
        <w:t xml:space="preserve"> </w:t>
      </w:r>
      <w:r w:rsidRPr="00C921DE">
        <w:rPr>
          <w:rFonts w:ascii="GHEA Grapalat" w:hAnsi="GHEA Grapalat" w:cs="GHEA Grapalat"/>
          <w:sz w:val="22"/>
          <w:szCs w:val="22"/>
        </w:rPr>
        <w:t>նշված</w:t>
      </w:r>
      <w:r w:rsidRPr="00C921DE">
        <w:rPr>
          <w:rFonts w:ascii="GHEA Grapalat" w:hAnsi="GHEA Grapalat" w:cs="Sylfaen"/>
          <w:sz w:val="22"/>
          <w:szCs w:val="22"/>
        </w:rPr>
        <w:t xml:space="preserve"> </w:t>
      </w:r>
      <w:r w:rsidRPr="00C921DE">
        <w:rPr>
          <w:rFonts w:ascii="GHEA Grapalat" w:hAnsi="GHEA Grapalat" w:cs="GHEA Grapalat"/>
          <w:sz w:val="22"/>
          <w:szCs w:val="22"/>
        </w:rPr>
        <w:t>ծախսերը</w:t>
      </w:r>
      <w:r w:rsidRPr="00C921DE">
        <w:rPr>
          <w:rFonts w:ascii="GHEA Grapalat" w:hAnsi="GHEA Grapalat" w:cs="Sylfaen"/>
          <w:sz w:val="22"/>
          <w:szCs w:val="22"/>
        </w:rPr>
        <w:t xml:space="preserve"> նվազել են 8</w:t>
      </w:r>
      <w:r w:rsidRPr="00C921DE">
        <w:rPr>
          <w:rFonts w:ascii="GHEA Grapalat" w:hAnsi="GHEA Grapalat" w:cs="Sylfaen"/>
          <w:sz w:val="22"/>
          <w:szCs w:val="22"/>
          <w:lang w:val="af-ZA"/>
        </w:rPr>
        <w:t>.6</w:t>
      </w:r>
      <w:r w:rsidRPr="00C921DE">
        <w:rPr>
          <w:rFonts w:ascii="GHEA Grapalat" w:hAnsi="GHEA Grapalat" w:cs="Sylfaen"/>
          <w:sz w:val="22"/>
          <w:szCs w:val="22"/>
        </w:rPr>
        <w:t>%-ով</w:t>
      </w:r>
      <w:r w:rsidRPr="00C921DE">
        <w:rPr>
          <w:rFonts w:ascii="GHEA Grapalat" w:hAnsi="GHEA Grapalat" w:cs="Times Armenian"/>
          <w:sz w:val="22"/>
          <w:szCs w:val="22"/>
        </w:rPr>
        <w:t>՝ հիմնականում պայմանավորված ժամանակավոր անաշխատունակության օրերի թվի և գումարի նվազմամբ:</w:t>
      </w:r>
    </w:p>
    <w:p w14:paraId="05F59416" w14:textId="3B951E64"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 xml:space="preserve">2023 թվականի ընթացքում ՀՀ ԱՍՀՆ-ին հատկացված միջոցների գերակշիռ մասը՝ 440.8 մլրդ դրամ, տրամադրվել է </w:t>
      </w:r>
      <w:r w:rsidRPr="00C921DE">
        <w:rPr>
          <w:rFonts w:ascii="GHEA Grapalat" w:hAnsi="GHEA Grapalat" w:cs="Times Armenian"/>
          <w:i/>
          <w:sz w:val="22"/>
          <w:szCs w:val="22"/>
        </w:rPr>
        <w:t>Կենսաթոշակային ապահովության</w:t>
      </w:r>
      <w:r w:rsidRPr="00C921DE">
        <w:rPr>
          <w:rFonts w:ascii="GHEA Grapalat" w:hAnsi="GHEA Grapalat" w:cs="Times Armenian"/>
          <w:sz w:val="22"/>
          <w:szCs w:val="22"/>
        </w:rPr>
        <w:t xml:space="preserve"> ծրագրի ֆինանսավորմանը՝ կազմելով ծրագրված ցուցանիշի 97.7%-ը: </w:t>
      </w:r>
      <w:r w:rsidR="00264493" w:rsidRPr="00C921DE">
        <w:rPr>
          <w:rFonts w:ascii="GHEA Grapalat" w:hAnsi="GHEA Grapalat" w:cs="Times Armenian"/>
          <w:sz w:val="22"/>
          <w:szCs w:val="22"/>
          <w:lang w:val="en-US"/>
        </w:rPr>
        <w:t>Ծրագրի</w:t>
      </w:r>
      <w:r w:rsidRPr="00C921DE">
        <w:rPr>
          <w:rFonts w:ascii="GHEA Grapalat" w:hAnsi="GHEA Grapalat" w:cs="Times Armenian"/>
          <w:sz w:val="22"/>
          <w:szCs w:val="22"/>
        </w:rPr>
        <w:t xml:space="preserve"> շեղումներն արձանագրվել են </w:t>
      </w:r>
      <w:r w:rsidR="00264493" w:rsidRPr="00C921DE">
        <w:rPr>
          <w:rFonts w:ascii="GHEA Grapalat" w:hAnsi="GHEA Grapalat" w:cs="Times Armenian"/>
          <w:sz w:val="22"/>
          <w:szCs w:val="22"/>
          <w:lang w:val="en-US"/>
        </w:rPr>
        <w:t xml:space="preserve">հիմնականում </w:t>
      </w:r>
      <w:r w:rsidRPr="00C921DE">
        <w:rPr>
          <w:rFonts w:ascii="GHEA Grapalat" w:hAnsi="GHEA Grapalat" w:cs="Times Armenian"/>
          <w:sz w:val="22"/>
          <w:szCs w:val="22"/>
        </w:rPr>
        <w:t>«Աշխատանքային կենսաթոշակներ»</w:t>
      </w:r>
      <w:r w:rsidR="004B2D47" w:rsidRPr="00C921DE">
        <w:rPr>
          <w:rFonts w:ascii="GHEA Grapalat" w:hAnsi="GHEA Grapalat" w:cs="Times Armenian"/>
          <w:sz w:val="22"/>
          <w:szCs w:val="22"/>
        </w:rPr>
        <w:t xml:space="preserve"> </w:t>
      </w:r>
      <w:r w:rsidRPr="00C921DE">
        <w:rPr>
          <w:rFonts w:ascii="GHEA Grapalat" w:hAnsi="GHEA Grapalat" w:cs="Times Armenian"/>
          <w:sz w:val="22"/>
          <w:szCs w:val="22"/>
        </w:rPr>
        <w:t>և «Սպայական անձնակազմի և նրանց ընտանիքների անդամների կենսաթոշակներ» միջոցառումների ծախսերում: Ծրագիրն ուղղվել է օրենքով սահմանված դեպքերում և կարգով պետական կենսաթոշակների տրամադրմանը, ինչպես նաև պետական բյուջեի միջոցների հաշվին օրենքով սահմանված դեպքերում պարտադիր կուտակային համակարգի մասնակցի օգտին մինչև նրա կենսաթոշակային տարիքը լրանալը կուտակային հատկացումների կատարման ապահովմանը:</w:t>
      </w:r>
      <w:r w:rsidRPr="00C921DE">
        <w:rPr>
          <w:rFonts w:ascii="GHEA Grapalat" w:hAnsi="GHEA Grapalat" w:cs="Arial"/>
          <w:color w:val="FF0000"/>
          <w:sz w:val="22"/>
          <w:szCs w:val="22"/>
        </w:rPr>
        <w:t xml:space="preserve"> </w:t>
      </w:r>
      <w:r w:rsidRPr="00C921DE">
        <w:rPr>
          <w:rFonts w:ascii="GHEA Grapalat" w:hAnsi="GHEA Grapalat" w:cs="Sylfaen"/>
          <w:sz w:val="22"/>
          <w:szCs w:val="22"/>
        </w:rPr>
        <w:t xml:space="preserve">2022 թվականի </w:t>
      </w:r>
      <w:r w:rsidRPr="00C921DE">
        <w:rPr>
          <w:rFonts w:ascii="GHEA Grapalat" w:hAnsi="GHEA Grapalat" w:cs="Times Armenian"/>
          <w:sz w:val="22"/>
          <w:szCs w:val="22"/>
        </w:rPr>
        <w:t>համեմատ Կենսաթոշակային ապահովության ծրագրի ծախսերն աճել են 7%</w:t>
      </w:r>
      <w:r w:rsidRPr="00C921DE">
        <w:rPr>
          <w:rFonts w:ascii="GHEA Grapalat" w:hAnsi="GHEA Grapalat" w:cs="Times Armenian"/>
          <w:sz w:val="22"/>
          <w:szCs w:val="22"/>
        </w:rPr>
        <w:noBreakHyphen/>
        <w:t xml:space="preserve">ով կամ 28.8 մլրդ դրամով, որը հիմնականում պայմանավորված է կուտակային կենսաթոշակային </w:t>
      </w:r>
      <w:r w:rsidRPr="00C921DE">
        <w:rPr>
          <w:rFonts w:ascii="GHEA Grapalat" w:hAnsi="GHEA Grapalat"/>
          <w:sz w:val="22"/>
          <w:szCs w:val="22"/>
        </w:rPr>
        <w:t>համակարգի</w:t>
      </w:r>
      <w:r w:rsidRPr="00C921DE">
        <w:rPr>
          <w:rFonts w:ascii="GHEA Grapalat" w:hAnsi="GHEA Grapalat" w:cs="Times Armenian"/>
          <w:sz w:val="22"/>
          <w:szCs w:val="22"/>
        </w:rPr>
        <w:t xml:space="preserve"> մասնակիցների կենսաթոշակային հաշիվներին հատկացումների և աշխատանքային կենսաթոշակների գծով ծախսերի աճով: </w:t>
      </w:r>
    </w:p>
    <w:p w14:paraId="393EBE26" w14:textId="15DBA3A0" w:rsidR="003E43B0" w:rsidRPr="00C921DE" w:rsidRDefault="003E43B0" w:rsidP="003E43B0">
      <w:pPr>
        <w:autoSpaceDE w:val="0"/>
        <w:autoSpaceDN w:val="0"/>
        <w:adjustRightInd w:val="0"/>
        <w:spacing w:line="360" w:lineRule="auto"/>
        <w:ind w:firstLine="567"/>
        <w:jc w:val="both"/>
        <w:rPr>
          <w:rFonts w:ascii="GHEA Grapalat" w:hAnsi="GHEA Grapalat" w:cs="Cambria Math"/>
          <w:sz w:val="22"/>
          <w:szCs w:val="22"/>
        </w:rPr>
      </w:pPr>
      <w:r w:rsidRPr="00C921DE">
        <w:rPr>
          <w:rFonts w:ascii="GHEA Grapalat" w:hAnsi="GHEA Grapalat" w:cs="Times Armenian"/>
          <w:sz w:val="22"/>
          <w:szCs w:val="22"/>
        </w:rPr>
        <w:t xml:space="preserve">Կենսաթոշակային ապահովության ծրագրի միջոցների գերակշիռ մասը հատկացվել է աշխատանքային կենսաթոշակներին: Հաշվետու ժամանակահատվածում կենսաթոշակառուների թիվը </w:t>
      </w:r>
      <w:r w:rsidRPr="00C921DE">
        <w:rPr>
          <w:rFonts w:ascii="GHEA Grapalat" w:hAnsi="GHEA Grapalat"/>
          <w:sz w:val="22"/>
          <w:szCs w:val="22"/>
        </w:rPr>
        <w:t>կազմել է 448866՝ կանխատեսված</w:t>
      </w:r>
      <w:r w:rsidRPr="00C921DE">
        <w:rPr>
          <w:rFonts w:ascii="GHEA Grapalat" w:hAnsi="GHEA Grapalat" w:cs="Times Armenian"/>
          <w:sz w:val="22"/>
          <w:szCs w:val="22"/>
        </w:rPr>
        <w:t xml:space="preserve"> 468642-ի և նախորդ տարվա 443544-ի դիմաց: </w:t>
      </w:r>
      <w:r w:rsidRPr="00C921DE">
        <w:rPr>
          <w:rFonts w:ascii="GHEA Grapalat" w:hAnsi="GHEA Grapalat"/>
          <w:sz w:val="22"/>
          <w:szCs w:val="22"/>
        </w:rPr>
        <w:t>Փաստացի արդյունքային ցուցանիշի շեղումը կանխատեսվածի նկատմամբ պայմանավորված է</w:t>
      </w:r>
      <w:r w:rsidRPr="00C921DE">
        <w:rPr>
          <w:rFonts w:ascii="GHEA Grapalat" w:hAnsi="GHEA Grapalat" w:cs="Times Armenian"/>
          <w:sz w:val="22"/>
          <w:szCs w:val="22"/>
        </w:rPr>
        <w:t xml:space="preserve"> կենսաթոշակի իրավունք ձեռք բերած կենսաթոշակառուների թվի և վճարման ցուցակներում ներառված </w:t>
      </w:r>
      <w:r w:rsidRPr="00C921DE">
        <w:rPr>
          <w:rFonts w:ascii="GHEA Grapalat" w:hAnsi="GHEA Grapalat" w:cs="Times Armenian"/>
          <w:sz w:val="22"/>
          <w:szCs w:val="22"/>
        </w:rPr>
        <w:lastRenderedPageBreak/>
        <w:t xml:space="preserve">կենսաթոշակառուների թվի տարբերությամբ: </w:t>
      </w:r>
      <w:r w:rsidR="00F9735A" w:rsidRPr="00C921DE">
        <w:rPr>
          <w:rFonts w:ascii="GHEA Grapalat" w:hAnsi="GHEA Grapalat" w:cs="Times Armenian"/>
          <w:sz w:val="22"/>
          <w:szCs w:val="22"/>
          <w:lang w:val="en-US"/>
        </w:rPr>
        <w:t>Աշխատանքային կենսաթոշակների</w:t>
      </w:r>
      <w:r w:rsidRPr="00C921DE">
        <w:rPr>
          <w:rFonts w:ascii="GHEA Grapalat" w:hAnsi="GHEA Grapalat" w:cs="Times Armenian"/>
          <w:sz w:val="22"/>
          <w:szCs w:val="22"/>
        </w:rPr>
        <w:t xml:space="preserve"> ծախսերը կազմել են շուրջ 256.4 մլրդ դրամ կամ </w:t>
      </w:r>
      <w:r w:rsidR="00F9735A" w:rsidRPr="00C921DE">
        <w:rPr>
          <w:rFonts w:ascii="GHEA Grapalat" w:hAnsi="GHEA Grapalat" w:cs="Times Armenian"/>
          <w:sz w:val="22"/>
          <w:szCs w:val="22"/>
          <w:lang w:val="en-US"/>
        </w:rPr>
        <w:t>ծրագրված ցուցանիշի</w:t>
      </w:r>
      <w:r w:rsidRPr="00C921DE">
        <w:rPr>
          <w:rFonts w:ascii="GHEA Grapalat" w:hAnsi="GHEA Grapalat" w:cs="Times Armenian"/>
          <w:sz w:val="22"/>
          <w:szCs w:val="22"/>
        </w:rPr>
        <w:t xml:space="preserve"> 96.6%-ը: Շեղումը պայմանավորված է</w:t>
      </w:r>
      <w:r w:rsidR="00024C20" w:rsidRPr="00C921DE">
        <w:rPr>
          <w:rFonts w:ascii="GHEA Grapalat" w:hAnsi="GHEA Grapalat" w:cs="Times Armenian"/>
          <w:sz w:val="22"/>
          <w:szCs w:val="22"/>
          <w:lang w:val="en-US"/>
        </w:rPr>
        <w:t xml:space="preserve"> այն </w:t>
      </w:r>
      <w:r w:rsidR="00024C20" w:rsidRPr="00C921DE">
        <w:rPr>
          <w:rFonts w:ascii="GHEA Grapalat" w:hAnsi="GHEA Grapalat" w:cs="Cambria Math"/>
          <w:sz w:val="22"/>
          <w:szCs w:val="22"/>
          <w:lang w:val="en-US"/>
        </w:rPr>
        <w:t>հանգամանքով, որ ՀՀ կառավարության 28.12.2023թ. N 2337-Ն որոշմամբ ուժը կորցրած է ճանաչվել</w:t>
      </w:r>
      <w:r w:rsidR="00024C20" w:rsidRPr="00C921DE">
        <w:rPr>
          <w:rFonts w:ascii="GHEA Grapalat" w:hAnsi="GHEA Grapalat" w:cs="Cambria Math"/>
          <w:sz w:val="22"/>
          <w:szCs w:val="22"/>
        </w:rPr>
        <w:t xml:space="preserve"> </w:t>
      </w:r>
      <w:r w:rsidR="00024C20" w:rsidRPr="00C921DE">
        <w:rPr>
          <w:rFonts w:ascii="GHEA Grapalat" w:hAnsi="GHEA Grapalat" w:cs="Cambria Math"/>
          <w:sz w:val="22"/>
          <w:szCs w:val="22"/>
          <w:lang w:val="en-US"/>
        </w:rPr>
        <w:t xml:space="preserve">ՀՀ կառավարության </w:t>
      </w:r>
      <w:r w:rsidR="00024C20" w:rsidRPr="00C921DE">
        <w:rPr>
          <w:rFonts w:ascii="GHEA Grapalat" w:hAnsi="GHEA Grapalat" w:cs="Cambria Math"/>
          <w:sz w:val="22"/>
          <w:szCs w:val="22"/>
        </w:rPr>
        <w:t>05.05.201</w:t>
      </w:r>
      <w:r w:rsidR="00806599" w:rsidRPr="00C921DE">
        <w:rPr>
          <w:rFonts w:ascii="GHEA Grapalat" w:hAnsi="GHEA Grapalat" w:cs="Cambria Math"/>
          <w:sz w:val="22"/>
          <w:szCs w:val="22"/>
          <w:lang w:val="en-US"/>
        </w:rPr>
        <w:t>1</w:t>
      </w:r>
      <w:r w:rsidR="00024C20" w:rsidRPr="00C921DE">
        <w:rPr>
          <w:rFonts w:ascii="GHEA Grapalat" w:hAnsi="GHEA Grapalat" w:cs="Cambria Math"/>
          <w:sz w:val="22"/>
          <w:szCs w:val="22"/>
        </w:rPr>
        <w:t>թ.</w:t>
      </w:r>
      <w:r w:rsidR="00806599" w:rsidRPr="00C921DE">
        <w:rPr>
          <w:rFonts w:ascii="GHEA Grapalat" w:hAnsi="GHEA Grapalat" w:cs="Cambria Math"/>
          <w:sz w:val="22"/>
          <w:szCs w:val="22"/>
          <w:lang w:val="en-US"/>
        </w:rPr>
        <w:t xml:space="preserve"> </w:t>
      </w:r>
      <w:r w:rsidR="00024C20" w:rsidRPr="00C921DE">
        <w:rPr>
          <w:rFonts w:ascii="GHEA Grapalat" w:hAnsi="GHEA Grapalat" w:cs="Cambria Math"/>
          <w:sz w:val="22"/>
          <w:szCs w:val="22"/>
        </w:rPr>
        <w:t>N 670-Ն որոշման N 1 հավե</w:t>
      </w:r>
      <w:r w:rsidR="00806599" w:rsidRPr="00C921DE">
        <w:rPr>
          <w:rFonts w:ascii="GHEA Grapalat" w:hAnsi="GHEA Grapalat" w:cs="Cambria Math"/>
          <w:sz w:val="22"/>
          <w:szCs w:val="22"/>
        </w:rPr>
        <w:t>լվածի 10.1</w:t>
      </w:r>
      <w:r w:rsidR="00024C20" w:rsidRPr="00C921DE">
        <w:rPr>
          <w:rFonts w:ascii="GHEA Grapalat" w:hAnsi="GHEA Grapalat" w:cs="Cambria Math"/>
          <w:sz w:val="22"/>
          <w:szCs w:val="22"/>
        </w:rPr>
        <w:t xml:space="preserve"> կետ</w:t>
      </w:r>
      <w:r w:rsidR="00806599" w:rsidRPr="00C921DE">
        <w:rPr>
          <w:rFonts w:ascii="GHEA Grapalat" w:hAnsi="GHEA Grapalat" w:cs="Cambria Math"/>
          <w:sz w:val="22"/>
          <w:szCs w:val="22"/>
          <w:lang w:val="en-US"/>
        </w:rPr>
        <w:t>ը</w:t>
      </w:r>
      <w:r w:rsidR="00024C20" w:rsidRPr="00C921DE">
        <w:rPr>
          <w:rFonts w:ascii="GHEA Grapalat" w:hAnsi="GHEA Grapalat" w:cs="Cambria Math"/>
          <w:sz w:val="22"/>
          <w:szCs w:val="22"/>
        </w:rPr>
        <w:t>, որի համաձայն համապատասխան համաձայնագրեր կնքած բանկերին տվյալ ամսվա կենսաթոշակը վճարվելու համար անհրաժեշտ դրամական միջոցները փոխանցվում էին մինչև տվյալ ամսվան նախորդող ամսվա 7-ը՝ նախավճարի տեսքով</w:t>
      </w:r>
      <w:r w:rsidR="00806599" w:rsidRPr="00C921DE">
        <w:rPr>
          <w:rFonts w:ascii="GHEA Grapalat" w:hAnsi="GHEA Grapalat" w:cs="Cambria Math"/>
          <w:sz w:val="22"/>
          <w:szCs w:val="22"/>
        </w:rPr>
        <w:t>:</w:t>
      </w:r>
      <w:r w:rsidR="00B60129" w:rsidRPr="00C921DE">
        <w:rPr>
          <w:rFonts w:ascii="GHEA Grapalat" w:hAnsi="GHEA Grapalat" w:cs="Cambria Math"/>
          <w:sz w:val="22"/>
          <w:szCs w:val="22"/>
        </w:rPr>
        <w:t xml:space="preserve"> Ուստի </w:t>
      </w:r>
      <w:r w:rsidRPr="00C921DE">
        <w:rPr>
          <w:rFonts w:ascii="GHEA Grapalat" w:hAnsi="GHEA Grapalat" w:cs="Cambria Math"/>
          <w:sz w:val="22"/>
          <w:szCs w:val="22"/>
        </w:rPr>
        <w:t>2024 թվականի հունվար ամսվա բանկերի ֆինանսավորման համար նախատեսված նախավճարի գումար</w:t>
      </w:r>
      <w:r w:rsidR="0093425D" w:rsidRPr="00C921DE">
        <w:rPr>
          <w:rFonts w:ascii="GHEA Grapalat" w:hAnsi="GHEA Grapalat" w:cs="Cambria Math"/>
          <w:sz w:val="22"/>
          <w:szCs w:val="22"/>
        </w:rPr>
        <w:t>ը չի</w:t>
      </w:r>
      <w:r w:rsidRPr="00C921DE">
        <w:rPr>
          <w:rFonts w:ascii="GHEA Grapalat" w:hAnsi="GHEA Grapalat" w:cs="Cambria Math"/>
          <w:sz w:val="22"/>
          <w:szCs w:val="22"/>
        </w:rPr>
        <w:t xml:space="preserve"> </w:t>
      </w:r>
      <w:r w:rsidR="0093425D" w:rsidRPr="00C921DE">
        <w:rPr>
          <w:rFonts w:ascii="GHEA Grapalat" w:hAnsi="GHEA Grapalat" w:cs="Cambria Math"/>
          <w:sz w:val="22"/>
          <w:szCs w:val="22"/>
        </w:rPr>
        <w:t>ֆինանսավորվել</w:t>
      </w:r>
      <w:r w:rsidRPr="00C921DE">
        <w:rPr>
          <w:rFonts w:ascii="GHEA Grapalat" w:hAnsi="GHEA Grapalat" w:cs="Cambria Math"/>
          <w:sz w:val="22"/>
          <w:szCs w:val="22"/>
        </w:rPr>
        <w:t>: Նախորդ տարվա համեմատ աշխատանքային կենսաթոշակների գծով ծախսերն աճել են 2%-ով կամ 4.9 մլրդ</w:t>
      </w:r>
      <w:r w:rsidRPr="00C921DE">
        <w:rPr>
          <w:rFonts w:ascii="GHEA Grapalat" w:hAnsi="GHEA Grapalat" w:cs="Times Armenian"/>
          <w:sz w:val="22"/>
          <w:szCs w:val="22"/>
        </w:rPr>
        <w:t xml:space="preserve"> դրամով, որը հիմնականում պայմանավորված է 2023 թվականի հուլիսի 1-ից </w:t>
      </w:r>
      <w:r w:rsidRPr="00C921DE">
        <w:rPr>
          <w:rFonts w:ascii="GHEA Grapalat" w:hAnsi="GHEA Grapalat"/>
          <w:sz w:val="22"/>
          <w:szCs w:val="22"/>
        </w:rPr>
        <w:t>աշխատանքային կենսաթոշակի չափը հաշվարկելու համար հիմնական կենսաթոշակի չափի բարձրացմամբ 21000 դրամից 24000 դրամ</w:t>
      </w:r>
      <w:r w:rsidRPr="00C921DE">
        <w:rPr>
          <w:rFonts w:ascii="GHEA Grapalat" w:hAnsi="GHEA Grapalat" w:cs="Times Armenian"/>
          <w:sz w:val="22"/>
          <w:szCs w:val="22"/>
        </w:rPr>
        <w:t>:</w:t>
      </w:r>
    </w:p>
    <w:p w14:paraId="37118D73" w14:textId="77777777" w:rsidR="003E43B0" w:rsidRPr="00C921DE" w:rsidRDefault="003E43B0" w:rsidP="003E43B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2023 թվականին կուտակային կենսաթոշակային համակարգի մասնակիցների թիվը կազմել է 522082՝ կանխատեսված 412524-ի և նախորդ տարվա 456529-ի դիմաց: Կուտակային հատկացումները մասնակիցների կենսաթոշակային հաշիվներին կազմել են 143.6 մլրդ դրամ կամ ծրագրված ցուցանիշի 99.9%-ը:</w:t>
      </w:r>
      <w:r w:rsidRPr="00C921DE">
        <w:rPr>
          <w:rFonts w:ascii="GHEA Grapalat" w:hAnsi="GHEA Grapalat"/>
        </w:rPr>
        <w:t xml:space="preserve"> </w:t>
      </w:r>
      <w:r w:rsidRPr="00C921DE">
        <w:rPr>
          <w:rFonts w:ascii="GHEA Grapalat" w:hAnsi="GHEA Grapalat" w:cs="Times Armenian"/>
          <w:sz w:val="22"/>
          <w:szCs w:val="22"/>
        </w:rPr>
        <w:t xml:space="preserve">Նախորդ տարվա համեմատ նշված ծախսերն աճել են 20.9%-ով կամ 24.8 մլրդ դրամով՝ պայմանավորված մասնակիցների թվի աճով: </w:t>
      </w:r>
    </w:p>
    <w:p w14:paraId="376C3FDB" w14:textId="470C868B" w:rsidR="003E43B0" w:rsidRPr="00C921DE" w:rsidRDefault="003E43B0" w:rsidP="003E43B0">
      <w:pPr>
        <w:autoSpaceDE w:val="0"/>
        <w:autoSpaceDN w:val="0"/>
        <w:adjustRightInd w:val="0"/>
        <w:spacing w:line="360" w:lineRule="auto"/>
        <w:ind w:firstLine="567"/>
        <w:jc w:val="both"/>
        <w:rPr>
          <w:rFonts w:ascii="GHEA Grapalat" w:hAnsi="GHEA Grapalat"/>
        </w:rPr>
      </w:pPr>
      <w:r w:rsidRPr="00C921DE">
        <w:rPr>
          <w:rFonts w:ascii="GHEA Grapalat" w:hAnsi="GHEA Grapalat" w:cs="Times Armenian"/>
          <w:sz w:val="22"/>
          <w:szCs w:val="22"/>
        </w:rPr>
        <w:t>Հաշվետու ժամանակահատվածում սպայական անձնակազմի և նրանց ընտանիքների անդամների կենսաթոշակների միջոցառման շրջանակներում կենսաթոշակ է ստացել 34961 անձ՝ կանխատեսված 36243-ի և նախորդ տարվա 34809-ի դիմաց: Ցածր ցուցանիշը պայմանավորված է կենսաթոշակի իրավունք ձեռք բերած կենսաթոշակառուների թվի և փաստացի կենսաթոշակ ստացած կենսաթոշակառուների թվի տարբերությամբ:</w:t>
      </w:r>
      <w:r w:rsidR="004B2D47" w:rsidRPr="00C921DE">
        <w:rPr>
          <w:rFonts w:ascii="GHEA Grapalat" w:hAnsi="GHEA Grapalat"/>
        </w:rPr>
        <w:t xml:space="preserve"> </w:t>
      </w:r>
      <w:r w:rsidRPr="00C921DE">
        <w:rPr>
          <w:rFonts w:ascii="GHEA Grapalat" w:hAnsi="GHEA Grapalat" w:cs="Times Armenian"/>
          <w:sz w:val="22"/>
          <w:szCs w:val="22"/>
        </w:rPr>
        <w:t xml:space="preserve">Միջոցառման </w:t>
      </w:r>
      <w:r w:rsidRPr="00C921DE">
        <w:rPr>
          <w:rFonts w:ascii="GHEA Grapalat" w:hAnsi="GHEA Grapalat" w:cs="GHEA Grapalat"/>
          <w:sz w:val="22"/>
          <w:szCs w:val="22"/>
        </w:rPr>
        <w:t xml:space="preserve">ծախսերը </w:t>
      </w:r>
      <w:r w:rsidRPr="00C921DE">
        <w:rPr>
          <w:rFonts w:ascii="GHEA Grapalat" w:hAnsi="GHEA Grapalat" w:cs="Times Armenian"/>
          <w:sz w:val="22"/>
          <w:szCs w:val="22"/>
        </w:rPr>
        <w:t>կազմել են ավելի քան 36.1 մլրդ դրամ կամ ծրագրված ցուցանիշի 96.5%-ը և 1.9%</w:t>
      </w:r>
      <w:r w:rsidRPr="00C921DE">
        <w:rPr>
          <w:rFonts w:ascii="GHEA Grapalat" w:hAnsi="GHEA Grapalat" w:cs="Times Armenian"/>
          <w:sz w:val="22"/>
          <w:szCs w:val="22"/>
        </w:rPr>
        <w:noBreakHyphen/>
        <w:t>ով կամ 705.3</w:t>
      </w:r>
      <w:r w:rsidRPr="00C921DE">
        <w:rPr>
          <w:rFonts w:ascii="Courier New" w:hAnsi="Courier New" w:cs="Courier New"/>
          <w:sz w:val="22"/>
          <w:szCs w:val="22"/>
        </w:rPr>
        <w:t> </w:t>
      </w:r>
      <w:r w:rsidRPr="00C921DE">
        <w:rPr>
          <w:rFonts w:ascii="GHEA Grapalat" w:hAnsi="GHEA Grapalat" w:cs="Times Armenian"/>
          <w:sz w:val="22"/>
          <w:szCs w:val="22"/>
        </w:rPr>
        <w:t xml:space="preserve">մլն դրամով </w:t>
      </w:r>
      <w:r w:rsidR="00201BB9" w:rsidRPr="00C921DE">
        <w:rPr>
          <w:rFonts w:ascii="GHEA Grapalat" w:hAnsi="GHEA Grapalat" w:cs="Times Armenian"/>
          <w:sz w:val="22"/>
          <w:szCs w:val="22"/>
          <w:lang w:val="en-US"/>
        </w:rPr>
        <w:t>զիջել</w:t>
      </w:r>
      <w:r w:rsidRPr="00C921DE">
        <w:rPr>
          <w:rFonts w:ascii="GHEA Grapalat" w:hAnsi="GHEA Grapalat"/>
        </w:rPr>
        <w:t xml:space="preserve"> </w:t>
      </w:r>
      <w:r w:rsidRPr="00C921DE">
        <w:rPr>
          <w:rFonts w:ascii="GHEA Grapalat" w:hAnsi="GHEA Grapalat" w:cs="Sylfaen"/>
          <w:sz w:val="22"/>
          <w:szCs w:val="22"/>
        </w:rPr>
        <w:t xml:space="preserve">2022 թվականի </w:t>
      </w:r>
      <w:r w:rsidRPr="00C921DE">
        <w:rPr>
          <w:rFonts w:ascii="GHEA Grapalat" w:hAnsi="GHEA Grapalat" w:cs="Times Armenian"/>
          <w:sz w:val="22"/>
          <w:szCs w:val="22"/>
        </w:rPr>
        <w:t xml:space="preserve">ցուցանիշը, որը պայմանավորված է </w:t>
      </w:r>
      <w:r w:rsidR="00241C88" w:rsidRPr="00C921DE">
        <w:rPr>
          <w:rFonts w:ascii="GHEA Grapalat" w:hAnsi="GHEA Grapalat" w:cs="Cambria Math"/>
          <w:sz w:val="22"/>
          <w:szCs w:val="22"/>
        </w:rPr>
        <w:t xml:space="preserve">2024 թվականի հունվար ամսվա </w:t>
      </w:r>
      <w:r w:rsidR="00201BB9" w:rsidRPr="00C921DE">
        <w:rPr>
          <w:rFonts w:ascii="GHEA Grapalat" w:hAnsi="GHEA Grapalat" w:cs="Times Armenian"/>
          <w:sz w:val="22"/>
          <w:szCs w:val="22"/>
        </w:rPr>
        <w:t>ն</w:t>
      </w:r>
      <w:r w:rsidRPr="00C921DE">
        <w:rPr>
          <w:rFonts w:ascii="GHEA Grapalat" w:hAnsi="GHEA Grapalat" w:cs="Times Armenian"/>
          <w:sz w:val="22"/>
          <w:szCs w:val="22"/>
        </w:rPr>
        <w:t>ախավճար</w:t>
      </w:r>
      <w:r w:rsidR="00241C88" w:rsidRPr="00C921DE">
        <w:rPr>
          <w:rFonts w:ascii="GHEA Grapalat" w:hAnsi="GHEA Grapalat" w:cs="Times Armenian"/>
          <w:sz w:val="22"/>
          <w:szCs w:val="22"/>
          <w:lang w:val="en-US"/>
        </w:rPr>
        <w:t>ը</w:t>
      </w:r>
      <w:r w:rsidRPr="00C921DE">
        <w:rPr>
          <w:rFonts w:ascii="GHEA Grapalat" w:hAnsi="GHEA Grapalat" w:cs="Times Armenian"/>
          <w:sz w:val="22"/>
          <w:szCs w:val="22"/>
        </w:rPr>
        <w:t xml:space="preserve"> չ</w:t>
      </w:r>
      <w:r w:rsidR="00241C88" w:rsidRPr="00C921DE">
        <w:rPr>
          <w:rFonts w:ascii="GHEA Grapalat" w:hAnsi="GHEA Grapalat" w:cs="Times Armenian"/>
          <w:sz w:val="22"/>
          <w:szCs w:val="22"/>
          <w:lang w:val="en-US"/>
        </w:rPr>
        <w:t>ֆինանսա</w:t>
      </w:r>
      <w:r w:rsidR="00E70DF0" w:rsidRPr="00C921DE">
        <w:rPr>
          <w:rFonts w:ascii="GHEA Grapalat" w:hAnsi="GHEA Grapalat" w:cs="Times Armenian"/>
          <w:sz w:val="22"/>
          <w:szCs w:val="22"/>
          <w:lang w:val="en-US"/>
        </w:rPr>
        <w:t>վորելու հանգամանքով</w:t>
      </w:r>
      <w:r w:rsidRPr="00C921DE">
        <w:rPr>
          <w:rFonts w:ascii="GHEA Grapalat" w:hAnsi="GHEA Grapalat" w:cs="Times Armenian"/>
          <w:sz w:val="22"/>
          <w:szCs w:val="22"/>
        </w:rPr>
        <w:t>:</w:t>
      </w:r>
    </w:p>
    <w:p w14:paraId="4EDA8E8C" w14:textId="7E427A42" w:rsidR="003E43B0" w:rsidRPr="00C921DE" w:rsidRDefault="003E43B0" w:rsidP="003E43B0">
      <w:pPr>
        <w:autoSpaceDE w:val="0"/>
        <w:autoSpaceDN w:val="0"/>
        <w:adjustRightInd w:val="0"/>
        <w:spacing w:line="360" w:lineRule="auto"/>
        <w:ind w:firstLine="567"/>
        <w:jc w:val="both"/>
        <w:rPr>
          <w:rFonts w:ascii="GHEA Grapalat" w:hAnsi="GHEA Grapalat"/>
          <w:color w:val="FF0000"/>
          <w:sz w:val="22"/>
          <w:szCs w:val="22"/>
        </w:rPr>
      </w:pPr>
      <w:r w:rsidRPr="00C921DE">
        <w:rPr>
          <w:rFonts w:ascii="GHEA Grapalat" w:hAnsi="GHEA Grapalat" w:cs="Times Armenian"/>
          <w:i/>
          <w:sz w:val="22"/>
          <w:szCs w:val="22"/>
        </w:rPr>
        <w:t>Սոցիալական ապահովության</w:t>
      </w:r>
      <w:r w:rsidRPr="00C921DE">
        <w:rPr>
          <w:rFonts w:ascii="GHEA Grapalat" w:hAnsi="GHEA Grapalat" w:cs="Times Armenian"/>
          <w:sz w:val="22"/>
          <w:szCs w:val="22"/>
        </w:rPr>
        <w:t xml:space="preserve"> ծրագրի շրջանակներում 2023 թվականի ընթացքում օգտագործվել է նախատեսված միջոցների 97.5%-ը՝ ավելի քան 91.1 մլրդ դրամ: Շեղումը հիմնականում պայմանավորված</w:t>
      </w:r>
      <w:r w:rsidR="004B2D47" w:rsidRPr="00C921DE">
        <w:rPr>
          <w:rFonts w:ascii="GHEA Grapalat" w:hAnsi="GHEA Grapalat" w:cs="Times Armenian"/>
          <w:sz w:val="22"/>
          <w:szCs w:val="22"/>
        </w:rPr>
        <w:t xml:space="preserve"> </w:t>
      </w:r>
      <w:r w:rsidRPr="00C921DE">
        <w:rPr>
          <w:rFonts w:ascii="GHEA Grapalat" w:hAnsi="GHEA Grapalat" w:cs="Times Armenian"/>
          <w:sz w:val="22"/>
          <w:szCs w:val="22"/>
        </w:rPr>
        <w:t>է «</w:t>
      </w:r>
      <w:r w:rsidRPr="00C921DE">
        <w:rPr>
          <w:rFonts w:ascii="GHEA Grapalat" w:hAnsi="GHEA Grapalat"/>
          <w:sz w:val="22"/>
          <w:szCs w:val="22"/>
        </w:rPr>
        <w:t>Հայաստանի Հանրապետության պաշտպանության ժամանակ զինծառայողների կյանքին կամ առողջությանը պատճառված վնասների հատուցում</w:t>
      </w:r>
      <w:r w:rsidRPr="00C921DE">
        <w:rPr>
          <w:rFonts w:ascii="GHEA Grapalat" w:hAnsi="GHEA Grapalat" w:cs="Times Armenian"/>
          <w:sz w:val="22"/>
          <w:szCs w:val="22"/>
        </w:rPr>
        <w:t xml:space="preserve">» </w:t>
      </w:r>
      <w:r w:rsidRPr="00C921DE">
        <w:rPr>
          <w:rFonts w:ascii="GHEA Grapalat" w:hAnsi="GHEA Grapalat"/>
          <w:sz w:val="22"/>
          <w:szCs w:val="22"/>
        </w:rPr>
        <w:t xml:space="preserve">միջոցառման </w:t>
      </w:r>
      <w:r w:rsidR="00E70DF0" w:rsidRPr="00C921DE">
        <w:rPr>
          <w:rFonts w:ascii="GHEA Grapalat" w:hAnsi="GHEA Grapalat"/>
          <w:sz w:val="22"/>
          <w:szCs w:val="22"/>
          <w:lang w:val="en-US"/>
        </w:rPr>
        <w:t>կատարողականով</w:t>
      </w:r>
      <w:r w:rsidRPr="00C921DE">
        <w:rPr>
          <w:rFonts w:ascii="GHEA Grapalat" w:hAnsi="GHEA Grapalat"/>
          <w:sz w:val="22"/>
          <w:szCs w:val="22"/>
        </w:rPr>
        <w:t xml:space="preserve">: </w:t>
      </w:r>
      <w:r w:rsidRPr="00C921DE">
        <w:rPr>
          <w:rFonts w:ascii="GHEA Grapalat" w:hAnsi="GHEA Grapalat" w:cs="Sylfaen"/>
          <w:sz w:val="22"/>
          <w:szCs w:val="22"/>
        </w:rPr>
        <w:t>Նախորդ տարվա համեմատ Սոցիալական ապահովության ծրագրի ծախսերն աճել են 23.3</w:t>
      </w:r>
      <w:r w:rsidRPr="00C921DE">
        <w:rPr>
          <w:rFonts w:ascii="GHEA Grapalat" w:hAnsi="GHEA Grapalat"/>
          <w:sz w:val="22"/>
          <w:szCs w:val="22"/>
        </w:rPr>
        <w:t>%-ով</w:t>
      </w:r>
      <w:r w:rsidRPr="00C921DE">
        <w:rPr>
          <w:rFonts w:ascii="GHEA Grapalat" w:hAnsi="GHEA Grapalat" w:cs="Sylfaen"/>
          <w:sz w:val="22"/>
          <w:szCs w:val="22"/>
        </w:rPr>
        <w:t xml:space="preserve"> կամ 17.2 մլրդ դրամով՝ հիմնականում պայմանավորված </w:t>
      </w:r>
      <w:r w:rsidRPr="00C921DE">
        <w:rPr>
          <w:rFonts w:ascii="GHEA Grapalat" w:hAnsi="GHEA Grapalat"/>
          <w:sz w:val="22"/>
          <w:szCs w:val="22"/>
        </w:rPr>
        <w:t xml:space="preserve">«Հայաստանի Հանրապետության պաշտպանության ժամանակ զինծառայողների կյանքին կամ առողջությանը պատճառված վնասների </w:t>
      </w:r>
      <w:r w:rsidRPr="00C921DE">
        <w:rPr>
          <w:rFonts w:ascii="GHEA Grapalat" w:hAnsi="GHEA Grapalat"/>
          <w:sz w:val="22"/>
          <w:szCs w:val="22"/>
        </w:rPr>
        <w:lastRenderedPageBreak/>
        <w:t>հատուցում</w:t>
      </w:r>
      <w:r w:rsidRPr="00C921DE">
        <w:rPr>
          <w:rFonts w:ascii="GHEA Grapalat" w:hAnsi="GHEA Grapalat" w:cs="Times Armenian"/>
          <w:sz w:val="22"/>
          <w:szCs w:val="22"/>
        </w:rPr>
        <w:t>», «</w:t>
      </w:r>
      <w:r w:rsidRPr="00C921DE">
        <w:rPr>
          <w:rFonts w:ascii="GHEA Grapalat" w:hAnsi="GHEA Grapalat"/>
          <w:sz w:val="22"/>
          <w:szCs w:val="22"/>
        </w:rPr>
        <w:t xml:space="preserve">Ծերության, հաշմանդամության, կերակրողին կորցնելու դեպքում նպաստներ» և «Անկանխիկ եղանակով վճարումներից կենսաթոշակառուներին հետվճարի տրամադրում» </w:t>
      </w:r>
      <w:r w:rsidRPr="00C921DE">
        <w:rPr>
          <w:rFonts w:ascii="GHEA Grapalat" w:hAnsi="GHEA Grapalat" w:cs="Times Armenian"/>
          <w:sz w:val="22"/>
          <w:szCs w:val="22"/>
        </w:rPr>
        <w:t>միջոցառումների գծով ծախսերի աճով:</w:t>
      </w:r>
    </w:p>
    <w:p w14:paraId="319B7078" w14:textId="44B6FA90" w:rsidR="003E43B0" w:rsidRPr="00C921DE" w:rsidRDefault="003E43B0" w:rsidP="00071121">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ՀՀ պաշտպանության ժամանակ զինծառայողների կյանքին կամ առողջությանը պատճառված վնասների հատուցման ծախսերը կազմել են</w:t>
      </w:r>
      <w:r w:rsidR="004B2D47" w:rsidRPr="00C921DE">
        <w:rPr>
          <w:rFonts w:ascii="GHEA Grapalat" w:hAnsi="GHEA Grapalat"/>
          <w:sz w:val="22"/>
          <w:szCs w:val="22"/>
        </w:rPr>
        <w:t xml:space="preserve"> </w:t>
      </w:r>
      <w:r w:rsidRPr="00C921DE">
        <w:rPr>
          <w:rFonts w:ascii="GHEA Grapalat" w:hAnsi="GHEA Grapalat"/>
          <w:sz w:val="22"/>
          <w:szCs w:val="22"/>
        </w:rPr>
        <w:t>42.4 մլրդ դրամ կամ ծրագրված ցուցանիշի 95.1%-ը: Նախորդ տարվա համեմատ դրանք աճել են 24.9%-ով կամ 8.5</w:t>
      </w:r>
      <w:r w:rsidRPr="00C921DE">
        <w:rPr>
          <w:rFonts w:ascii="Calibri" w:hAnsi="Calibri" w:cs="Calibri"/>
          <w:sz w:val="22"/>
          <w:szCs w:val="22"/>
        </w:rPr>
        <w:t> </w:t>
      </w:r>
      <w:r w:rsidRPr="00C921DE">
        <w:rPr>
          <w:rFonts w:ascii="GHEA Grapalat" w:hAnsi="GHEA Grapalat"/>
          <w:sz w:val="22"/>
          <w:szCs w:val="22"/>
        </w:rPr>
        <w:t>մլրդ դրամով:</w:t>
      </w:r>
    </w:p>
    <w:p w14:paraId="33367CBE" w14:textId="5047DB29" w:rsidR="003E43B0" w:rsidRPr="00C921DE" w:rsidRDefault="003E43B0" w:rsidP="003E43B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Times Armenian"/>
          <w:sz w:val="22"/>
          <w:szCs w:val="22"/>
        </w:rPr>
        <w:t>Հաշվետու տարում ծերության, հաշմանդամության, կերակրողին կորցնելու դեպքում նպաստներ են տրամադ</w:t>
      </w:r>
      <w:r w:rsidRPr="00C921DE">
        <w:rPr>
          <w:rFonts w:ascii="GHEA Grapalat" w:hAnsi="GHEA Grapalat" w:cs="GHEA Grapalat"/>
          <w:sz w:val="22"/>
          <w:szCs w:val="22"/>
        </w:rPr>
        <w:t>րվել 89427 նպաստառուների՝ կանխատեսված 95925-ի և նախորդ տարվա 82780-ի դիմաց</w:t>
      </w:r>
      <w:r w:rsidRPr="00C921DE">
        <w:rPr>
          <w:rFonts w:ascii="GHEA Grapalat" w:hAnsi="GHEA Grapalat" w:cs="Times Armenian"/>
          <w:sz w:val="22"/>
          <w:szCs w:val="22"/>
        </w:rPr>
        <w:t xml:space="preserve">: </w:t>
      </w:r>
      <w:r w:rsidRPr="00C921DE">
        <w:rPr>
          <w:rFonts w:ascii="GHEA Grapalat" w:hAnsi="GHEA Grapalat"/>
          <w:sz w:val="22"/>
          <w:szCs w:val="22"/>
        </w:rPr>
        <w:t>Փաստացի արդյունքային ցուցանիշի շեղումը կանխատեսվածի նկատմամբ պայմանավորված է</w:t>
      </w:r>
      <w:r w:rsidRPr="00C921DE">
        <w:rPr>
          <w:rFonts w:ascii="GHEA Grapalat" w:hAnsi="GHEA Grapalat" w:cs="Times Armenian"/>
          <w:sz w:val="22"/>
          <w:szCs w:val="22"/>
        </w:rPr>
        <w:t xml:space="preserve"> նպաստի իրավունք ձեռք բերած </w:t>
      </w:r>
      <w:r w:rsidRPr="00C921DE">
        <w:rPr>
          <w:rFonts w:ascii="GHEA Grapalat" w:hAnsi="GHEA Grapalat" w:cs="GHEA Grapalat"/>
          <w:sz w:val="22"/>
          <w:szCs w:val="22"/>
        </w:rPr>
        <w:t>շահառուների թվի և վճարման ցուցակներում ներառված շահառուների թվի տարբերությամբ:</w:t>
      </w:r>
      <w:r w:rsidR="004B2D47"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Ծերության, հաշմանդամության, կերակրողին կորցնելու դեպքում նպաստների միջոցառման շրջանակներում օգտագործվել է 38.2 մլրդ դրամ կամ նախատեսված միջոցների 99.8%-ը: Նախորդ տարվա համեմատ նշված ծախսերն աճել </w:t>
      </w:r>
      <w:r w:rsidR="006557C6" w:rsidRPr="00C921DE">
        <w:rPr>
          <w:rFonts w:ascii="GHEA Grapalat" w:hAnsi="GHEA Grapalat" w:cs="GHEA Grapalat"/>
          <w:sz w:val="22"/>
          <w:szCs w:val="22"/>
        </w:rPr>
        <w:t>են 14.5%-ով կամ 4.8 մլրդ դրամով,</w:t>
      </w:r>
      <w:r w:rsidRPr="00C921DE">
        <w:rPr>
          <w:rFonts w:ascii="GHEA Grapalat" w:hAnsi="GHEA Grapalat" w:cs="GHEA Grapalat"/>
          <w:sz w:val="22"/>
          <w:szCs w:val="22"/>
        </w:rPr>
        <w:t xml:space="preserve"> որը պայմանավորված է նպաստների չափերի ավելացմամբ և շահառուների թվի աճով:</w:t>
      </w:r>
    </w:p>
    <w:p w14:paraId="4C5C53FF" w14:textId="39F616D2" w:rsidR="003E43B0" w:rsidRPr="00C921DE" w:rsidRDefault="003E43B0" w:rsidP="003E43B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Հաշվետու տարում կենսաթոշակ, ծերության նպաստ, կերակրողին կորցնելու դեպքում նպաստ կամ հաշմանդամության նպաստ ստանալու իրավունք ունեցող անձանց մահվան դեպքում տրվող թաղման նպաստ է տրամադրվել 20333 անձի՝ կանխատեսված 23334-ի և նախորդ տարվա 22730-ի դիմաց: Նշված </w:t>
      </w:r>
      <w:r w:rsidR="00925B26" w:rsidRPr="00C921DE">
        <w:rPr>
          <w:rFonts w:ascii="GHEA Grapalat" w:hAnsi="GHEA Grapalat" w:cs="GHEA Grapalat"/>
          <w:sz w:val="22"/>
          <w:szCs w:val="22"/>
          <w:lang w:val="en-US"/>
        </w:rPr>
        <w:t>ծախսերը կազմել են</w:t>
      </w:r>
      <w:r w:rsidRPr="00C921DE">
        <w:rPr>
          <w:rFonts w:ascii="GHEA Grapalat" w:hAnsi="GHEA Grapalat" w:cs="GHEA Grapalat"/>
          <w:sz w:val="22"/>
          <w:szCs w:val="22"/>
        </w:rPr>
        <w:t xml:space="preserve"> 4.1 մլրդ դրամ կամ </w:t>
      </w:r>
      <w:r w:rsidR="00800A51" w:rsidRPr="00C921DE">
        <w:rPr>
          <w:rFonts w:ascii="GHEA Grapalat" w:hAnsi="GHEA Grapalat" w:cs="GHEA Grapalat"/>
          <w:sz w:val="22"/>
          <w:szCs w:val="22"/>
          <w:lang w:val="en-US"/>
        </w:rPr>
        <w:t>ծրագրված ցուցանիշի</w:t>
      </w:r>
      <w:r w:rsidRPr="00C921DE">
        <w:rPr>
          <w:rFonts w:ascii="GHEA Grapalat" w:hAnsi="GHEA Grapalat" w:cs="GHEA Grapalat"/>
          <w:sz w:val="22"/>
          <w:szCs w:val="22"/>
        </w:rPr>
        <w:t xml:space="preserve"> 98.8%-ը և նախորդ տարվա համեմատ նվազել են 10.6%-ով կամ 479.7 մլրդ դրամով:</w:t>
      </w:r>
      <w:r w:rsidRPr="00C921DE">
        <w:rPr>
          <w:rFonts w:ascii="GHEA Grapalat" w:hAnsi="GHEA Grapalat" w:cs="Arial"/>
          <w:sz w:val="22"/>
          <w:szCs w:val="22"/>
        </w:rPr>
        <w:t xml:space="preserve"> Ծախսերի՝ ծրագրից շեղումը և նախորդ տարվա համեմատ անկումը պայմանավորված են </w:t>
      </w:r>
      <w:r w:rsidRPr="00C921DE">
        <w:rPr>
          <w:rFonts w:ascii="GHEA Grapalat" w:hAnsi="GHEA Grapalat" w:cs="GHEA Grapalat"/>
          <w:sz w:val="22"/>
          <w:szCs w:val="22"/>
        </w:rPr>
        <w:t>շահառուների փաստացի թվով:</w:t>
      </w:r>
    </w:p>
    <w:p w14:paraId="0D0F48B6" w14:textId="711668FE" w:rsidR="003E43B0" w:rsidRPr="00C921DE" w:rsidRDefault="003E43B0" w:rsidP="003E43B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Times Armenian"/>
          <w:sz w:val="22"/>
          <w:szCs w:val="22"/>
        </w:rPr>
        <w:t>«</w:t>
      </w:r>
      <w:r w:rsidRPr="00C921DE">
        <w:rPr>
          <w:rFonts w:ascii="GHEA Grapalat" w:hAnsi="GHEA Grapalat"/>
          <w:sz w:val="22"/>
          <w:szCs w:val="22"/>
        </w:rPr>
        <w:t>Անկանխիկ եղանակով վճարումներից կենսաթոշակառուներին հետվճարի տրամադրում» միջոցառման շրջանակներում անկանխիկ եղանակով վճարումներ իրականացրած շահառուների թիվը կազմել է 164879</w:t>
      </w:r>
      <w:r w:rsidR="00264493" w:rsidRPr="00C921DE">
        <w:rPr>
          <w:rFonts w:ascii="GHEA Grapalat" w:hAnsi="GHEA Grapalat"/>
          <w:sz w:val="22"/>
          <w:szCs w:val="22"/>
          <w:lang w:val="en-US"/>
        </w:rPr>
        <w:t>՝</w:t>
      </w:r>
      <w:r w:rsidRPr="00C921DE">
        <w:rPr>
          <w:rFonts w:ascii="GHEA Grapalat" w:hAnsi="GHEA Grapalat"/>
          <w:sz w:val="22"/>
          <w:szCs w:val="22"/>
        </w:rPr>
        <w:t xml:space="preserve"> 2022 թվականի 39482-ի </w:t>
      </w:r>
      <w:r w:rsidR="00264493" w:rsidRPr="00C921DE">
        <w:rPr>
          <w:rFonts w:ascii="GHEA Grapalat" w:hAnsi="GHEA Grapalat"/>
          <w:sz w:val="22"/>
          <w:szCs w:val="22"/>
          <w:lang w:val="en-US"/>
        </w:rPr>
        <w:t>դիմաց</w:t>
      </w:r>
      <w:r w:rsidRPr="00C921DE">
        <w:rPr>
          <w:rFonts w:ascii="GHEA Grapalat" w:hAnsi="GHEA Grapalat"/>
          <w:sz w:val="22"/>
          <w:szCs w:val="22"/>
        </w:rPr>
        <w:t xml:space="preserve">, որոնց գծով </w:t>
      </w:r>
      <w:r w:rsidRPr="00C921DE">
        <w:rPr>
          <w:rFonts w:ascii="GHEA Grapalat" w:hAnsi="GHEA Grapalat" w:cs="Arial"/>
          <w:sz w:val="22"/>
          <w:szCs w:val="22"/>
        </w:rPr>
        <w:t>նախատեսված</w:t>
      </w:r>
      <w:r w:rsidRPr="00C921DE">
        <w:rPr>
          <w:rFonts w:ascii="GHEA Grapalat" w:hAnsi="GHEA Grapalat" w:cs="Arial"/>
          <w:sz w:val="22"/>
          <w:szCs w:val="22"/>
          <w:lang w:val="af-ZA"/>
        </w:rPr>
        <w:t xml:space="preserve"> </w:t>
      </w:r>
      <w:r w:rsidRPr="00C921DE">
        <w:rPr>
          <w:rFonts w:ascii="GHEA Grapalat" w:hAnsi="GHEA Grapalat" w:cs="Arial"/>
          <w:sz w:val="22"/>
          <w:szCs w:val="22"/>
        </w:rPr>
        <w:t>ծախսերն</w:t>
      </w:r>
      <w:r w:rsidRPr="00C921DE">
        <w:rPr>
          <w:rFonts w:ascii="GHEA Grapalat" w:hAnsi="GHEA Grapalat" w:cs="Arial"/>
          <w:sz w:val="22"/>
          <w:szCs w:val="22"/>
          <w:lang w:val="af-ZA"/>
        </w:rPr>
        <w:t xml:space="preserve"> </w:t>
      </w:r>
      <w:r w:rsidRPr="00C921DE">
        <w:rPr>
          <w:rFonts w:ascii="GHEA Grapalat" w:hAnsi="GHEA Grapalat" w:cs="Arial"/>
          <w:sz w:val="22"/>
          <w:szCs w:val="22"/>
        </w:rPr>
        <w:t>ամբողջությամբ</w:t>
      </w:r>
      <w:r w:rsidRPr="00C921DE">
        <w:rPr>
          <w:rFonts w:ascii="GHEA Grapalat" w:hAnsi="GHEA Grapalat" w:cs="Arial"/>
          <w:sz w:val="22"/>
          <w:szCs w:val="22"/>
          <w:lang w:val="af-ZA"/>
        </w:rPr>
        <w:t xml:space="preserve"> </w:t>
      </w:r>
      <w:r w:rsidRPr="00C921DE">
        <w:rPr>
          <w:rFonts w:ascii="GHEA Grapalat" w:hAnsi="GHEA Grapalat" w:cs="Arial"/>
          <w:sz w:val="22"/>
          <w:szCs w:val="22"/>
        </w:rPr>
        <w:t>օգտագործվել</w:t>
      </w:r>
      <w:r w:rsidRPr="00C921DE">
        <w:rPr>
          <w:rFonts w:ascii="GHEA Grapalat" w:hAnsi="GHEA Grapalat" w:cs="Arial"/>
          <w:sz w:val="22"/>
          <w:szCs w:val="22"/>
          <w:lang w:val="af-ZA"/>
        </w:rPr>
        <w:t xml:space="preserve"> </w:t>
      </w:r>
      <w:r w:rsidRPr="00C921DE">
        <w:rPr>
          <w:rFonts w:ascii="GHEA Grapalat" w:hAnsi="GHEA Grapalat" w:cs="Arial"/>
          <w:sz w:val="22"/>
          <w:szCs w:val="22"/>
        </w:rPr>
        <w:t>են և կազմել են շուրջ</w:t>
      </w:r>
      <w:r w:rsidRPr="00C921DE">
        <w:rPr>
          <w:rFonts w:ascii="GHEA Grapalat" w:hAnsi="GHEA Grapalat"/>
          <w:sz w:val="22"/>
          <w:szCs w:val="22"/>
        </w:rPr>
        <w:t xml:space="preserve"> 5.1</w:t>
      </w:r>
      <w:r w:rsidRPr="00C921DE">
        <w:rPr>
          <w:rFonts w:ascii="Calibri" w:hAnsi="Calibri" w:cs="Calibri"/>
          <w:sz w:val="22"/>
          <w:szCs w:val="22"/>
        </w:rPr>
        <w:t> </w:t>
      </w:r>
      <w:r w:rsidRPr="00C921DE">
        <w:rPr>
          <w:rFonts w:ascii="GHEA Grapalat" w:hAnsi="GHEA Grapalat"/>
          <w:sz w:val="22"/>
          <w:szCs w:val="22"/>
        </w:rPr>
        <w:t xml:space="preserve">մլրդ դրամ: </w:t>
      </w:r>
      <w:r w:rsidRPr="00C921DE">
        <w:rPr>
          <w:rFonts w:ascii="GHEA Grapalat" w:hAnsi="GHEA Grapalat" w:cs="GHEA Grapalat"/>
          <w:sz w:val="22"/>
          <w:szCs w:val="22"/>
        </w:rPr>
        <w:t>Նախորդ տարվա համեմատ նշված ծախսեր</w:t>
      </w:r>
      <w:r w:rsidR="00800A51" w:rsidRPr="00C921DE">
        <w:rPr>
          <w:rFonts w:ascii="GHEA Grapalat" w:hAnsi="GHEA Grapalat" w:cs="GHEA Grapalat"/>
          <w:sz w:val="22"/>
          <w:szCs w:val="22"/>
          <w:lang w:val="en-US"/>
        </w:rPr>
        <w:t>ն աճել</w:t>
      </w:r>
      <w:r w:rsidRPr="00C921DE">
        <w:rPr>
          <w:rFonts w:ascii="GHEA Grapalat" w:hAnsi="GHEA Grapalat" w:cs="GHEA Grapalat"/>
          <w:sz w:val="22"/>
          <w:szCs w:val="22"/>
        </w:rPr>
        <w:t xml:space="preserve"> են 8 անգամ կամ 4.5</w:t>
      </w:r>
      <w:r w:rsidR="003B3AB4" w:rsidRPr="00C921DE">
        <w:rPr>
          <w:rFonts w:ascii="GHEA Grapalat" w:hAnsi="GHEA Grapalat" w:cs="GHEA Grapalat"/>
          <w:sz w:val="22"/>
          <w:szCs w:val="22"/>
        </w:rPr>
        <w:t xml:space="preserve"> մլրդ դրամով,</w:t>
      </w:r>
      <w:r w:rsidRPr="00C921DE">
        <w:rPr>
          <w:rFonts w:ascii="GHEA Grapalat" w:hAnsi="GHEA Grapalat" w:cs="GHEA Grapalat"/>
          <w:sz w:val="22"/>
          <w:szCs w:val="22"/>
        </w:rPr>
        <w:t xml:space="preserve"> որը պայմանավորված է </w:t>
      </w:r>
      <w:r w:rsidR="00571662" w:rsidRPr="00C921DE">
        <w:rPr>
          <w:rFonts w:ascii="GHEA Grapalat" w:hAnsi="GHEA Grapalat" w:cs="GHEA Grapalat"/>
          <w:sz w:val="22"/>
          <w:szCs w:val="22"/>
          <w:lang w:val="en-US"/>
        </w:rPr>
        <w:t xml:space="preserve">շահառուների թվի և </w:t>
      </w:r>
      <w:r w:rsidRPr="00C921DE">
        <w:rPr>
          <w:rFonts w:ascii="GHEA Grapalat" w:hAnsi="GHEA Grapalat" w:cs="GHEA Grapalat"/>
          <w:sz w:val="22"/>
          <w:szCs w:val="22"/>
        </w:rPr>
        <w:t xml:space="preserve">անկանխիկ գործառնությունների </w:t>
      </w:r>
      <w:r w:rsidR="00571662" w:rsidRPr="00C921DE">
        <w:rPr>
          <w:rFonts w:ascii="GHEA Grapalat" w:hAnsi="GHEA Grapalat" w:cs="GHEA Grapalat"/>
          <w:sz w:val="22"/>
          <w:szCs w:val="22"/>
          <w:lang w:val="en-US"/>
        </w:rPr>
        <w:t>ծավալների աճով</w:t>
      </w:r>
      <w:r w:rsidRPr="00C921DE">
        <w:rPr>
          <w:rFonts w:ascii="GHEA Grapalat" w:hAnsi="GHEA Grapalat" w:cs="GHEA Grapalat"/>
          <w:sz w:val="22"/>
          <w:szCs w:val="22"/>
        </w:rPr>
        <w:t>:</w:t>
      </w:r>
    </w:p>
    <w:p w14:paraId="1E653740" w14:textId="0ECCA5F8" w:rsidR="003E43B0" w:rsidRPr="00C921DE" w:rsidRDefault="00990A59" w:rsidP="003E43B0">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lang w:val="en-US"/>
        </w:rPr>
        <w:t>«</w:t>
      </w:r>
      <w:r w:rsidRPr="00C921DE">
        <w:rPr>
          <w:rFonts w:ascii="GHEA Grapalat" w:hAnsi="GHEA Grapalat"/>
          <w:sz w:val="22"/>
          <w:szCs w:val="22"/>
        </w:rPr>
        <w:t>Լեռնային Ղարաբաղի բնակչությանը տրամադրված օգնության ծախսերի փոխհատուցում</w:t>
      </w:r>
      <w:r w:rsidRPr="00C921DE">
        <w:rPr>
          <w:rFonts w:ascii="GHEA Grapalat" w:hAnsi="GHEA Grapalat"/>
          <w:sz w:val="22"/>
          <w:szCs w:val="22"/>
          <w:lang w:val="en-US"/>
        </w:rPr>
        <w:t>» միջոցառման շրջանակներում</w:t>
      </w:r>
      <w:r w:rsidRPr="00C921DE">
        <w:rPr>
          <w:rFonts w:ascii="GHEA Grapalat" w:hAnsi="GHEA Grapalat"/>
          <w:sz w:val="22"/>
          <w:szCs w:val="22"/>
        </w:rPr>
        <w:t xml:space="preserve"> </w:t>
      </w:r>
      <w:r w:rsidR="003E43B0" w:rsidRPr="00C921DE">
        <w:rPr>
          <w:rFonts w:ascii="GHEA Grapalat" w:hAnsi="GHEA Grapalat"/>
          <w:sz w:val="22"/>
          <w:szCs w:val="22"/>
        </w:rPr>
        <w:t>Ադրբեջանի կողմից Լեռնային Ղարաբաղը Հայաստանին</w:t>
      </w:r>
      <w:r w:rsidRPr="00C921DE">
        <w:rPr>
          <w:rFonts w:ascii="GHEA Grapalat" w:hAnsi="GHEA Grapalat"/>
          <w:sz w:val="22"/>
          <w:szCs w:val="22"/>
        </w:rPr>
        <w:t xml:space="preserve"> ու արտաքին աշխարհին կապող միակ</w:t>
      </w:r>
      <w:r w:rsidR="003E43B0" w:rsidRPr="00C921DE">
        <w:rPr>
          <w:rFonts w:ascii="GHEA Grapalat" w:hAnsi="GHEA Grapalat"/>
          <w:sz w:val="22"/>
          <w:szCs w:val="22"/>
        </w:rPr>
        <w:t xml:space="preserve"> կյանքի ճանապարհը</w:t>
      </w:r>
      <w:r w:rsidRPr="00C921DE">
        <w:rPr>
          <w:rFonts w:ascii="GHEA Grapalat" w:hAnsi="GHEA Grapalat"/>
          <w:sz w:val="22"/>
          <w:szCs w:val="22"/>
          <w:lang w:val="en-US"/>
        </w:rPr>
        <w:t>՝</w:t>
      </w:r>
      <w:r w:rsidR="003E43B0" w:rsidRPr="00C921DE">
        <w:rPr>
          <w:rFonts w:ascii="GHEA Grapalat" w:hAnsi="GHEA Grapalat"/>
          <w:sz w:val="22"/>
          <w:szCs w:val="22"/>
        </w:rPr>
        <w:t xml:space="preserve"> Լաչինի միջանցքը փակ պահելու հետևանքով առաջացած առաջին անհրաժեշտության կենցաղային և հանրային սննդի նյութերի, ինչպես նաև դեղորայքի ձեռքբերման նպատակով հատկացված 234.7</w:t>
      </w:r>
      <w:r w:rsidR="003E43B0" w:rsidRPr="00C921DE">
        <w:rPr>
          <w:rFonts w:ascii="Calibri" w:hAnsi="Calibri" w:cs="Calibri"/>
          <w:sz w:val="22"/>
          <w:szCs w:val="22"/>
        </w:rPr>
        <w:t> </w:t>
      </w:r>
      <w:r w:rsidR="003E43B0" w:rsidRPr="00C921DE">
        <w:rPr>
          <w:rFonts w:ascii="GHEA Grapalat" w:hAnsi="GHEA Grapalat"/>
          <w:sz w:val="22"/>
          <w:szCs w:val="22"/>
        </w:rPr>
        <w:t>մլն դրամն ամբողջությամբ օգտագործվել է:</w:t>
      </w:r>
    </w:p>
    <w:p w14:paraId="2C055084" w14:textId="0121271E" w:rsidR="003E43B0" w:rsidRPr="00C921DE" w:rsidRDefault="003E43B0" w:rsidP="003E43B0">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lastRenderedPageBreak/>
        <w:t>Լեռնային Ղարաբաղում ստեղծված հումանիտար ճգնաժամը հաղթահարելու համար ծառայությունների գծով ծախսերի փոխհատուցում միջոցառման շրջանակներում ՀՀ Սյունիքի մարզի Տեղ համայնքի Կոռնիձոր բնակավայրի դաշտային հատվածում Հումանիտար կայանի հիմնման նպատակով հատկացված 15.9</w:t>
      </w:r>
      <w:r w:rsidRPr="00C921DE">
        <w:rPr>
          <w:rFonts w:ascii="Calibri" w:hAnsi="Calibri" w:cs="Calibri"/>
          <w:sz w:val="22"/>
          <w:szCs w:val="22"/>
        </w:rPr>
        <w:t> </w:t>
      </w:r>
      <w:r w:rsidRPr="00C921DE">
        <w:rPr>
          <w:rFonts w:ascii="GHEA Grapalat" w:hAnsi="GHEA Grapalat"/>
          <w:sz w:val="22"/>
          <w:szCs w:val="22"/>
        </w:rPr>
        <w:t>մլն</w:t>
      </w:r>
      <w:r w:rsidR="00042812" w:rsidRPr="00C921DE">
        <w:rPr>
          <w:rFonts w:ascii="GHEA Grapalat" w:hAnsi="GHEA Grapalat"/>
          <w:sz w:val="22"/>
          <w:szCs w:val="22"/>
        </w:rPr>
        <w:t xml:space="preserve"> դրամը</w:t>
      </w:r>
      <w:r w:rsidRPr="00C921DE">
        <w:rPr>
          <w:rFonts w:ascii="GHEA Grapalat" w:hAnsi="GHEA Grapalat"/>
          <w:sz w:val="22"/>
          <w:szCs w:val="22"/>
        </w:rPr>
        <w:t xml:space="preserve"> նույնպես օգտագործվել է ամբողջությամբ:</w:t>
      </w:r>
    </w:p>
    <w:p w14:paraId="62EEAF9E" w14:textId="0E1A74A0" w:rsidR="003E43B0" w:rsidRPr="00C921DE" w:rsidRDefault="003E43B0" w:rsidP="003E43B0">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Հայաստանի Հանրապետությունում Լեռնային Ղարաբաղի բնակիչներին</w:t>
      </w:r>
      <w:r w:rsidR="004B2D47" w:rsidRPr="00C921DE">
        <w:rPr>
          <w:rFonts w:ascii="GHEA Grapalat" w:hAnsi="GHEA Grapalat"/>
          <w:sz w:val="22"/>
          <w:szCs w:val="22"/>
        </w:rPr>
        <w:t xml:space="preserve"> </w:t>
      </w:r>
      <w:r w:rsidRPr="00C921DE">
        <w:rPr>
          <w:rFonts w:ascii="GHEA Grapalat" w:hAnsi="GHEA Grapalat"/>
          <w:sz w:val="22"/>
          <w:szCs w:val="22"/>
        </w:rPr>
        <w:t>ժամանակավոր հյուրընկալող կացության կազմակերպման ծառայություններ</w:t>
      </w:r>
      <w:r w:rsidR="004B2D47" w:rsidRPr="00C921DE">
        <w:rPr>
          <w:rFonts w:ascii="GHEA Grapalat" w:hAnsi="GHEA Grapalat"/>
          <w:sz w:val="22"/>
          <w:szCs w:val="22"/>
        </w:rPr>
        <w:t xml:space="preserve"> </w:t>
      </w:r>
      <w:r w:rsidRPr="00C921DE">
        <w:rPr>
          <w:rFonts w:ascii="GHEA Grapalat" w:hAnsi="GHEA Grapalat"/>
          <w:sz w:val="22"/>
          <w:szCs w:val="22"/>
        </w:rPr>
        <w:t xml:space="preserve">իրականացնող 585 իրավաբանական անձանց և անհատ ձեռնարկատերերի </w:t>
      </w:r>
      <w:r w:rsidR="00B30250" w:rsidRPr="00C921DE">
        <w:rPr>
          <w:rFonts w:ascii="GHEA Grapalat" w:hAnsi="GHEA Grapalat"/>
          <w:sz w:val="22"/>
          <w:szCs w:val="22"/>
          <w:lang w:val="en-US"/>
        </w:rPr>
        <w:t>(</w:t>
      </w:r>
      <w:r w:rsidRPr="00C921DE">
        <w:rPr>
          <w:rFonts w:ascii="GHEA Grapalat" w:hAnsi="GHEA Grapalat"/>
          <w:sz w:val="22"/>
          <w:szCs w:val="22"/>
        </w:rPr>
        <w:t>կանխատեսված 533-ի դիմաց</w:t>
      </w:r>
      <w:r w:rsidR="00B30250" w:rsidRPr="00C921DE">
        <w:rPr>
          <w:rFonts w:ascii="GHEA Grapalat" w:hAnsi="GHEA Grapalat"/>
          <w:sz w:val="22"/>
          <w:szCs w:val="22"/>
          <w:lang w:val="en-US"/>
        </w:rPr>
        <w:t>)</w:t>
      </w:r>
      <w:r w:rsidRPr="00C921DE">
        <w:rPr>
          <w:rFonts w:ascii="GHEA Grapalat" w:hAnsi="GHEA Grapalat"/>
          <w:sz w:val="22"/>
          <w:szCs w:val="22"/>
        </w:rPr>
        <w:t xml:space="preserve"> տրամադրվել է</w:t>
      </w:r>
      <w:r w:rsidR="004B2D47" w:rsidRPr="00C921DE">
        <w:rPr>
          <w:rFonts w:ascii="GHEA Grapalat" w:hAnsi="GHEA Grapalat"/>
          <w:sz w:val="22"/>
          <w:szCs w:val="22"/>
        </w:rPr>
        <w:t xml:space="preserve"> </w:t>
      </w:r>
      <w:r w:rsidRPr="00C921DE">
        <w:rPr>
          <w:rFonts w:ascii="GHEA Grapalat" w:hAnsi="GHEA Grapalat"/>
          <w:sz w:val="22"/>
          <w:szCs w:val="22"/>
          <w:lang w:val="af-ZA"/>
        </w:rPr>
        <w:t xml:space="preserve">232.3 </w:t>
      </w:r>
      <w:r w:rsidRPr="00C921DE">
        <w:rPr>
          <w:rFonts w:ascii="GHEA Grapalat" w:hAnsi="GHEA Grapalat"/>
          <w:sz w:val="22"/>
          <w:szCs w:val="22"/>
        </w:rPr>
        <w:t>մլն</w:t>
      </w:r>
      <w:r w:rsidRPr="00C921DE">
        <w:rPr>
          <w:rFonts w:ascii="GHEA Grapalat" w:hAnsi="GHEA Grapalat"/>
          <w:sz w:val="22"/>
          <w:szCs w:val="22"/>
          <w:lang w:val="af-ZA"/>
        </w:rPr>
        <w:t xml:space="preserve"> </w:t>
      </w:r>
      <w:r w:rsidRPr="00C921DE">
        <w:rPr>
          <w:rFonts w:ascii="GHEA Grapalat" w:hAnsi="GHEA Grapalat"/>
          <w:sz w:val="22"/>
          <w:szCs w:val="22"/>
        </w:rPr>
        <w:t>դրամ</w:t>
      </w:r>
      <w:r w:rsidR="00B30250" w:rsidRPr="00C921DE">
        <w:rPr>
          <w:rFonts w:ascii="GHEA Grapalat" w:hAnsi="GHEA Grapalat"/>
          <w:sz w:val="22"/>
          <w:szCs w:val="22"/>
          <w:lang w:val="en-US"/>
        </w:rPr>
        <w:t xml:space="preserve"> </w:t>
      </w:r>
      <w:r w:rsidR="00B30250" w:rsidRPr="00C921DE">
        <w:rPr>
          <w:rFonts w:ascii="GHEA Grapalat" w:hAnsi="GHEA Grapalat"/>
          <w:sz w:val="22"/>
          <w:szCs w:val="22"/>
        </w:rPr>
        <w:t>ծախսերի փոխհատուցում</w:t>
      </w:r>
      <w:r w:rsidR="00B30250" w:rsidRPr="00C921DE">
        <w:rPr>
          <w:rFonts w:ascii="GHEA Grapalat" w:hAnsi="GHEA Grapalat"/>
          <w:sz w:val="22"/>
          <w:szCs w:val="22"/>
          <w:lang w:val="en-US"/>
        </w:rPr>
        <w:t>՝ կազմելով</w:t>
      </w:r>
      <w:r w:rsidRPr="00C921DE">
        <w:rPr>
          <w:rFonts w:ascii="GHEA Grapalat" w:hAnsi="GHEA Grapalat"/>
          <w:sz w:val="22"/>
          <w:szCs w:val="22"/>
        </w:rPr>
        <w:t xml:space="preserve"> ծրագրված </w:t>
      </w:r>
      <w:r w:rsidR="00B30250" w:rsidRPr="00C921DE">
        <w:rPr>
          <w:rFonts w:ascii="GHEA Grapalat" w:hAnsi="GHEA Grapalat"/>
          <w:sz w:val="22"/>
          <w:szCs w:val="22"/>
          <w:lang w:val="en-US"/>
        </w:rPr>
        <w:t>ցուցանիշի</w:t>
      </w:r>
      <w:r w:rsidRPr="00C921DE">
        <w:rPr>
          <w:rFonts w:ascii="GHEA Grapalat" w:hAnsi="GHEA Grapalat"/>
          <w:sz w:val="22"/>
          <w:szCs w:val="22"/>
        </w:rPr>
        <w:t xml:space="preserve"> 98.6%</w:t>
      </w:r>
      <w:r w:rsidR="00B30250" w:rsidRPr="00C921DE">
        <w:rPr>
          <w:rFonts w:ascii="GHEA Grapalat" w:hAnsi="GHEA Grapalat"/>
          <w:sz w:val="22"/>
          <w:szCs w:val="22"/>
          <w:lang w:val="en-US"/>
        </w:rPr>
        <w:t>-ը</w:t>
      </w:r>
      <w:r w:rsidRPr="00C921DE">
        <w:rPr>
          <w:rFonts w:ascii="GHEA Grapalat" w:hAnsi="GHEA Grapalat"/>
          <w:sz w:val="22"/>
          <w:szCs w:val="22"/>
        </w:rPr>
        <w:t>:</w:t>
      </w:r>
    </w:p>
    <w:p w14:paraId="79D42E2A" w14:textId="7A6C87F4" w:rsidR="003E43B0" w:rsidRPr="00C921DE" w:rsidRDefault="003E43B0" w:rsidP="003E43B0">
      <w:pPr>
        <w:spacing w:line="360" w:lineRule="auto"/>
        <w:ind w:firstLine="567"/>
        <w:jc w:val="both"/>
        <w:rPr>
          <w:rFonts w:ascii="GHEA Grapalat" w:hAnsi="GHEA Grapalat"/>
          <w:sz w:val="22"/>
          <w:szCs w:val="22"/>
          <w:lang w:val="en-US"/>
        </w:rPr>
      </w:pPr>
      <w:r w:rsidRPr="00C921DE">
        <w:rPr>
          <w:rFonts w:ascii="GHEA Grapalat" w:hAnsi="GHEA Grapalat"/>
          <w:i/>
          <w:sz w:val="22"/>
          <w:szCs w:val="22"/>
        </w:rPr>
        <w:t>Ճգնաժամերի</w:t>
      </w:r>
      <w:r w:rsidRPr="00C921DE">
        <w:rPr>
          <w:rFonts w:ascii="GHEA Grapalat" w:hAnsi="GHEA Grapalat"/>
          <w:i/>
          <w:sz w:val="22"/>
          <w:szCs w:val="22"/>
          <w:lang w:val="af-ZA"/>
        </w:rPr>
        <w:t xml:space="preserve"> </w:t>
      </w:r>
      <w:r w:rsidRPr="00C921DE">
        <w:rPr>
          <w:rFonts w:ascii="GHEA Grapalat" w:hAnsi="GHEA Grapalat"/>
          <w:i/>
          <w:sz w:val="22"/>
          <w:szCs w:val="22"/>
        </w:rPr>
        <w:t>հակազդման</w:t>
      </w:r>
      <w:r w:rsidRPr="00C921DE">
        <w:rPr>
          <w:rFonts w:ascii="GHEA Grapalat" w:hAnsi="GHEA Grapalat"/>
          <w:i/>
          <w:sz w:val="22"/>
          <w:szCs w:val="22"/>
          <w:lang w:val="af-ZA"/>
        </w:rPr>
        <w:t xml:space="preserve"> </w:t>
      </w:r>
      <w:r w:rsidRPr="00C921DE">
        <w:rPr>
          <w:rFonts w:ascii="GHEA Grapalat" w:hAnsi="GHEA Grapalat"/>
          <w:i/>
          <w:sz w:val="22"/>
          <w:szCs w:val="22"/>
        </w:rPr>
        <w:t>և</w:t>
      </w:r>
      <w:r w:rsidRPr="00C921DE">
        <w:rPr>
          <w:rFonts w:ascii="GHEA Grapalat" w:hAnsi="GHEA Grapalat"/>
          <w:i/>
          <w:sz w:val="22"/>
          <w:szCs w:val="22"/>
          <w:lang w:val="af-ZA"/>
        </w:rPr>
        <w:t xml:space="preserve"> </w:t>
      </w:r>
      <w:r w:rsidRPr="00C921DE">
        <w:rPr>
          <w:rFonts w:ascii="GHEA Grapalat" w:hAnsi="GHEA Grapalat"/>
          <w:i/>
          <w:sz w:val="22"/>
          <w:szCs w:val="22"/>
        </w:rPr>
        <w:t>արտակարգ</w:t>
      </w:r>
      <w:r w:rsidRPr="00C921DE">
        <w:rPr>
          <w:rFonts w:ascii="GHEA Grapalat" w:hAnsi="GHEA Grapalat"/>
          <w:i/>
          <w:sz w:val="22"/>
          <w:szCs w:val="22"/>
          <w:lang w:val="af-ZA"/>
        </w:rPr>
        <w:t xml:space="preserve"> </w:t>
      </w:r>
      <w:r w:rsidRPr="00C921DE">
        <w:rPr>
          <w:rFonts w:ascii="GHEA Grapalat" w:hAnsi="GHEA Grapalat"/>
          <w:i/>
          <w:sz w:val="22"/>
          <w:szCs w:val="22"/>
        </w:rPr>
        <w:t>իրավիճակների</w:t>
      </w:r>
      <w:r w:rsidRPr="00C921DE">
        <w:rPr>
          <w:rFonts w:ascii="GHEA Grapalat" w:hAnsi="GHEA Grapalat"/>
          <w:i/>
          <w:sz w:val="22"/>
          <w:szCs w:val="22"/>
          <w:lang w:val="af-ZA"/>
        </w:rPr>
        <w:t xml:space="preserve"> </w:t>
      </w:r>
      <w:r w:rsidRPr="00C921DE">
        <w:rPr>
          <w:rFonts w:ascii="GHEA Grapalat" w:hAnsi="GHEA Grapalat"/>
          <w:i/>
          <w:sz w:val="22"/>
          <w:szCs w:val="22"/>
        </w:rPr>
        <w:t>հետևանքների</w:t>
      </w:r>
      <w:r w:rsidRPr="00C921DE">
        <w:rPr>
          <w:rFonts w:ascii="GHEA Grapalat" w:hAnsi="GHEA Grapalat"/>
          <w:i/>
          <w:sz w:val="22"/>
          <w:szCs w:val="22"/>
          <w:lang w:val="af-ZA"/>
        </w:rPr>
        <w:t xml:space="preserve"> </w:t>
      </w:r>
      <w:r w:rsidRPr="00C921DE">
        <w:rPr>
          <w:rFonts w:ascii="GHEA Grapalat" w:hAnsi="GHEA Grapalat"/>
          <w:i/>
          <w:sz w:val="22"/>
          <w:szCs w:val="22"/>
        </w:rPr>
        <w:t>նվազեցման</w:t>
      </w:r>
      <w:r w:rsidRPr="00C921DE">
        <w:rPr>
          <w:rFonts w:ascii="GHEA Grapalat" w:hAnsi="GHEA Grapalat"/>
          <w:i/>
          <w:sz w:val="22"/>
          <w:szCs w:val="22"/>
          <w:lang w:val="af-ZA"/>
        </w:rPr>
        <w:t xml:space="preserve"> </w:t>
      </w:r>
      <w:r w:rsidRPr="00C921DE">
        <w:rPr>
          <w:rFonts w:ascii="GHEA Grapalat" w:hAnsi="GHEA Grapalat"/>
          <w:i/>
          <w:sz w:val="22"/>
          <w:szCs w:val="22"/>
        </w:rPr>
        <w:t>և</w:t>
      </w:r>
      <w:r w:rsidRPr="00C921DE">
        <w:rPr>
          <w:rFonts w:ascii="GHEA Grapalat" w:hAnsi="GHEA Grapalat"/>
          <w:i/>
          <w:sz w:val="22"/>
          <w:szCs w:val="22"/>
          <w:lang w:val="af-ZA"/>
        </w:rPr>
        <w:t xml:space="preserve"> </w:t>
      </w:r>
      <w:r w:rsidRPr="00C921DE">
        <w:rPr>
          <w:rFonts w:ascii="GHEA Grapalat" w:hAnsi="GHEA Grapalat"/>
          <w:i/>
          <w:sz w:val="22"/>
          <w:szCs w:val="22"/>
        </w:rPr>
        <w:t>վերացման</w:t>
      </w:r>
      <w:r w:rsidRPr="00C921DE">
        <w:rPr>
          <w:rFonts w:ascii="GHEA Grapalat" w:hAnsi="GHEA Grapalat"/>
          <w:i/>
          <w:sz w:val="22"/>
          <w:szCs w:val="22"/>
          <w:lang w:val="af-ZA"/>
        </w:rPr>
        <w:t xml:space="preserve"> </w:t>
      </w:r>
      <w:r w:rsidRPr="00C921DE">
        <w:rPr>
          <w:rFonts w:ascii="GHEA Grapalat" w:hAnsi="GHEA Grapalat"/>
          <w:i/>
          <w:sz w:val="22"/>
          <w:szCs w:val="22"/>
        </w:rPr>
        <w:t>նպատակով՝</w:t>
      </w:r>
      <w:r w:rsidRPr="00C921DE">
        <w:rPr>
          <w:rFonts w:ascii="GHEA Grapalat" w:hAnsi="GHEA Grapalat"/>
          <w:i/>
          <w:sz w:val="22"/>
          <w:szCs w:val="22"/>
          <w:lang w:val="af-ZA"/>
        </w:rPr>
        <w:t xml:space="preserve"> </w:t>
      </w:r>
      <w:r w:rsidRPr="00C921DE">
        <w:rPr>
          <w:rFonts w:ascii="GHEA Grapalat" w:hAnsi="GHEA Grapalat"/>
          <w:i/>
          <w:sz w:val="22"/>
          <w:szCs w:val="22"/>
        </w:rPr>
        <w:t>առանձին</w:t>
      </w:r>
      <w:r w:rsidRPr="00C921DE">
        <w:rPr>
          <w:rFonts w:ascii="GHEA Grapalat" w:hAnsi="GHEA Grapalat"/>
          <w:i/>
          <w:sz w:val="22"/>
          <w:szCs w:val="22"/>
          <w:lang w:val="af-ZA"/>
        </w:rPr>
        <w:t xml:space="preserve"> </w:t>
      </w:r>
      <w:r w:rsidRPr="00C921DE">
        <w:rPr>
          <w:rFonts w:ascii="GHEA Grapalat" w:hAnsi="GHEA Grapalat"/>
          <w:i/>
          <w:sz w:val="22"/>
          <w:szCs w:val="22"/>
        </w:rPr>
        <w:t>սոցիալական</w:t>
      </w:r>
      <w:r w:rsidRPr="00C921DE">
        <w:rPr>
          <w:rFonts w:ascii="GHEA Grapalat" w:hAnsi="GHEA Grapalat"/>
          <w:i/>
          <w:sz w:val="22"/>
          <w:szCs w:val="22"/>
          <w:lang w:val="af-ZA"/>
        </w:rPr>
        <w:t xml:space="preserve"> </w:t>
      </w:r>
      <w:r w:rsidRPr="00C921DE">
        <w:rPr>
          <w:rFonts w:ascii="GHEA Grapalat" w:hAnsi="GHEA Grapalat"/>
          <w:i/>
          <w:sz w:val="22"/>
          <w:szCs w:val="22"/>
        </w:rPr>
        <w:t>խմբերին</w:t>
      </w:r>
      <w:r w:rsidRPr="00C921DE">
        <w:rPr>
          <w:rFonts w:ascii="GHEA Grapalat" w:hAnsi="GHEA Grapalat"/>
          <w:i/>
          <w:sz w:val="22"/>
          <w:szCs w:val="22"/>
          <w:lang w:val="af-ZA"/>
        </w:rPr>
        <w:t xml:space="preserve"> </w:t>
      </w:r>
      <w:r w:rsidRPr="00C921DE">
        <w:rPr>
          <w:rFonts w:ascii="GHEA Grapalat" w:hAnsi="GHEA Grapalat"/>
          <w:i/>
          <w:sz w:val="22"/>
          <w:szCs w:val="22"/>
        </w:rPr>
        <w:t>տրվող</w:t>
      </w:r>
      <w:r w:rsidRPr="00C921DE">
        <w:rPr>
          <w:rFonts w:ascii="GHEA Grapalat" w:hAnsi="GHEA Grapalat"/>
          <w:i/>
          <w:sz w:val="22"/>
          <w:szCs w:val="22"/>
          <w:lang w:val="af-ZA"/>
        </w:rPr>
        <w:t xml:space="preserve"> </w:t>
      </w:r>
      <w:r w:rsidRPr="00C921DE">
        <w:rPr>
          <w:rFonts w:ascii="GHEA Grapalat" w:hAnsi="GHEA Grapalat"/>
          <w:i/>
          <w:sz w:val="22"/>
          <w:szCs w:val="22"/>
        </w:rPr>
        <w:t>սոցիալական</w:t>
      </w:r>
      <w:r w:rsidRPr="00C921DE">
        <w:rPr>
          <w:rFonts w:ascii="GHEA Grapalat" w:hAnsi="GHEA Grapalat"/>
          <w:i/>
          <w:sz w:val="22"/>
          <w:szCs w:val="22"/>
          <w:lang w:val="af-ZA"/>
        </w:rPr>
        <w:t xml:space="preserve"> </w:t>
      </w:r>
      <w:r w:rsidRPr="00C921DE">
        <w:rPr>
          <w:rFonts w:ascii="GHEA Grapalat" w:hAnsi="GHEA Grapalat"/>
          <w:i/>
          <w:sz w:val="22"/>
          <w:szCs w:val="22"/>
        </w:rPr>
        <w:t>աջակցության</w:t>
      </w:r>
      <w:r w:rsidRPr="00C921DE">
        <w:rPr>
          <w:rFonts w:ascii="GHEA Grapalat" w:hAnsi="GHEA Grapalat"/>
          <w:sz w:val="22"/>
          <w:szCs w:val="22"/>
          <w:lang w:val="af-ZA"/>
        </w:rPr>
        <w:t xml:space="preserve"> </w:t>
      </w:r>
      <w:r w:rsidRPr="00C921DE">
        <w:rPr>
          <w:rFonts w:ascii="GHEA Grapalat" w:hAnsi="GHEA Grapalat"/>
          <w:sz w:val="22"/>
          <w:szCs w:val="22"/>
        </w:rPr>
        <w:t>ծրագրին</w:t>
      </w:r>
      <w:r w:rsidRPr="00C921DE">
        <w:rPr>
          <w:rFonts w:ascii="GHEA Grapalat" w:hAnsi="GHEA Grapalat"/>
          <w:sz w:val="22"/>
          <w:szCs w:val="22"/>
          <w:lang w:val="af-ZA"/>
        </w:rPr>
        <w:t xml:space="preserve"> 2023 </w:t>
      </w:r>
      <w:r w:rsidRPr="00C921DE">
        <w:rPr>
          <w:rFonts w:ascii="GHEA Grapalat" w:hAnsi="GHEA Grapalat"/>
          <w:sz w:val="22"/>
          <w:szCs w:val="22"/>
        </w:rPr>
        <w:t>թվականին</w:t>
      </w:r>
      <w:r w:rsidRPr="00C921DE">
        <w:rPr>
          <w:rFonts w:ascii="GHEA Grapalat" w:hAnsi="GHEA Grapalat"/>
          <w:sz w:val="22"/>
          <w:szCs w:val="22"/>
          <w:lang w:val="af-ZA"/>
        </w:rPr>
        <w:t xml:space="preserve"> </w:t>
      </w:r>
      <w:r w:rsidRPr="00C921DE">
        <w:rPr>
          <w:rFonts w:ascii="GHEA Grapalat" w:hAnsi="GHEA Grapalat"/>
          <w:sz w:val="22"/>
          <w:szCs w:val="22"/>
        </w:rPr>
        <w:t>տրամադրվել</w:t>
      </w:r>
      <w:r w:rsidRPr="00C921DE">
        <w:rPr>
          <w:rFonts w:ascii="GHEA Grapalat" w:hAnsi="GHEA Grapalat"/>
          <w:sz w:val="22"/>
          <w:szCs w:val="22"/>
          <w:lang w:val="af-ZA"/>
        </w:rPr>
        <w:t xml:space="preserve"> </w:t>
      </w:r>
      <w:r w:rsidRPr="00C921DE">
        <w:rPr>
          <w:rFonts w:ascii="GHEA Grapalat" w:hAnsi="GHEA Grapalat"/>
          <w:sz w:val="22"/>
          <w:szCs w:val="22"/>
        </w:rPr>
        <w:t>է</w:t>
      </w:r>
      <w:r w:rsidRPr="00C921DE">
        <w:rPr>
          <w:rFonts w:ascii="GHEA Grapalat" w:hAnsi="GHEA Grapalat"/>
          <w:sz w:val="22"/>
          <w:szCs w:val="22"/>
          <w:lang w:val="af-ZA"/>
        </w:rPr>
        <w:t xml:space="preserve"> ավելի քան 28.7 </w:t>
      </w:r>
      <w:r w:rsidRPr="00C921DE">
        <w:rPr>
          <w:rFonts w:ascii="GHEA Grapalat" w:hAnsi="GHEA Grapalat"/>
          <w:sz w:val="22"/>
          <w:szCs w:val="22"/>
        </w:rPr>
        <w:t>մլրդ</w:t>
      </w:r>
      <w:r w:rsidRPr="00C921DE">
        <w:rPr>
          <w:rFonts w:ascii="GHEA Grapalat" w:hAnsi="GHEA Grapalat"/>
          <w:sz w:val="22"/>
          <w:szCs w:val="22"/>
          <w:lang w:val="af-ZA"/>
        </w:rPr>
        <w:t xml:space="preserve"> </w:t>
      </w:r>
      <w:r w:rsidRPr="00C921DE">
        <w:rPr>
          <w:rFonts w:ascii="GHEA Grapalat" w:hAnsi="GHEA Grapalat"/>
          <w:sz w:val="22"/>
          <w:szCs w:val="22"/>
        </w:rPr>
        <w:t>դրամ</w:t>
      </w:r>
      <w:r w:rsidRPr="00C921DE">
        <w:rPr>
          <w:rFonts w:ascii="GHEA Grapalat" w:hAnsi="GHEA Grapalat"/>
          <w:sz w:val="22"/>
          <w:szCs w:val="22"/>
          <w:lang w:val="af-ZA"/>
        </w:rPr>
        <w:t xml:space="preserve"> </w:t>
      </w:r>
      <w:r w:rsidRPr="00C921DE">
        <w:rPr>
          <w:rFonts w:ascii="GHEA Grapalat" w:hAnsi="GHEA Grapalat"/>
          <w:sz w:val="22"/>
          <w:szCs w:val="22"/>
        </w:rPr>
        <w:t>կամ</w:t>
      </w:r>
      <w:r w:rsidRPr="00C921DE">
        <w:rPr>
          <w:rFonts w:ascii="GHEA Grapalat" w:hAnsi="GHEA Grapalat"/>
          <w:sz w:val="22"/>
          <w:szCs w:val="22"/>
          <w:lang w:val="af-ZA"/>
        </w:rPr>
        <w:t xml:space="preserve"> </w:t>
      </w:r>
      <w:r w:rsidRPr="00C921DE">
        <w:rPr>
          <w:rFonts w:ascii="GHEA Grapalat" w:hAnsi="GHEA Grapalat"/>
          <w:sz w:val="22"/>
          <w:szCs w:val="22"/>
        </w:rPr>
        <w:t>ծրագրային</w:t>
      </w:r>
      <w:r w:rsidRPr="00C921DE">
        <w:rPr>
          <w:rFonts w:ascii="GHEA Grapalat" w:hAnsi="GHEA Grapalat"/>
          <w:sz w:val="22"/>
          <w:szCs w:val="22"/>
          <w:lang w:val="af-ZA"/>
        </w:rPr>
        <w:t xml:space="preserve"> </w:t>
      </w:r>
      <w:r w:rsidRPr="00C921DE">
        <w:rPr>
          <w:rFonts w:ascii="GHEA Grapalat" w:hAnsi="GHEA Grapalat"/>
          <w:sz w:val="22"/>
          <w:szCs w:val="22"/>
        </w:rPr>
        <w:t>ցուցանիշի</w:t>
      </w:r>
      <w:r w:rsidRPr="00C921DE">
        <w:rPr>
          <w:rFonts w:ascii="GHEA Grapalat" w:hAnsi="GHEA Grapalat"/>
          <w:sz w:val="22"/>
          <w:szCs w:val="22"/>
          <w:lang w:val="af-ZA"/>
        </w:rPr>
        <w:t xml:space="preserve"> 95</w:t>
      </w:r>
      <w:r w:rsidRPr="00C921DE">
        <w:rPr>
          <w:rFonts w:ascii="GHEA Grapalat" w:hAnsi="GHEA Grapalat"/>
          <w:sz w:val="22"/>
          <w:szCs w:val="22"/>
        </w:rPr>
        <w:t>%-ը</w:t>
      </w:r>
      <w:r w:rsidR="001506BE" w:rsidRPr="00C921DE">
        <w:rPr>
          <w:rFonts w:ascii="GHEA Grapalat" w:hAnsi="GHEA Grapalat"/>
          <w:sz w:val="22"/>
          <w:szCs w:val="22"/>
          <w:lang w:val="en-US"/>
        </w:rPr>
        <w:t>:</w:t>
      </w:r>
    </w:p>
    <w:p w14:paraId="5BFC056E" w14:textId="376C1BAB" w:rsidR="003E43B0" w:rsidRPr="00C921DE" w:rsidRDefault="003E43B0" w:rsidP="003E43B0">
      <w:pPr>
        <w:spacing w:line="360" w:lineRule="auto"/>
        <w:ind w:firstLine="567"/>
        <w:jc w:val="both"/>
        <w:rPr>
          <w:rFonts w:ascii="GHEA Grapalat" w:hAnsi="GHEA Grapalat"/>
          <w:sz w:val="22"/>
          <w:szCs w:val="22"/>
          <w:lang w:val="af-ZA"/>
        </w:rPr>
      </w:pPr>
      <w:r w:rsidRPr="00C921DE">
        <w:rPr>
          <w:rFonts w:ascii="GHEA Grapalat" w:hAnsi="GHEA Grapalat"/>
          <w:sz w:val="22"/>
          <w:szCs w:val="22"/>
          <w:lang w:val="af-ZA"/>
        </w:rPr>
        <w:t>2023 թվականի սեպտեմբերի 19-ից Ադրբեջանի կողմից Լեռնային Ղարաբաղի դեմ սանձազերծված ռազմական գործողությունների հետևանքով բռնի տեղահանվածներին միանվագ (100 հազար</w:t>
      </w:r>
      <w:r w:rsidR="004B2D47" w:rsidRPr="00C921DE">
        <w:rPr>
          <w:rFonts w:ascii="GHEA Grapalat" w:hAnsi="GHEA Grapalat"/>
          <w:sz w:val="22"/>
          <w:szCs w:val="22"/>
          <w:lang w:val="af-ZA"/>
        </w:rPr>
        <w:t xml:space="preserve"> </w:t>
      </w:r>
      <w:r w:rsidRPr="00C921DE">
        <w:rPr>
          <w:rFonts w:ascii="GHEA Grapalat" w:hAnsi="GHEA Grapalat"/>
          <w:sz w:val="22"/>
          <w:szCs w:val="22"/>
          <w:lang w:val="af-ZA"/>
        </w:rPr>
        <w:t xml:space="preserve">դրամ) դրամական սոցիալական աջակցության միջոցառման շահառուների </w:t>
      </w:r>
      <w:r w:rsidRPr="00C921DE">
        <w:rPr>
          <w:rFonts w:ascii="GHEA Grapalat" w:hAnsi="GHEA Grapalat" w:cs="Times Armenian"/>
          <w:sz w:val="22"/>
          <w:szCs w:val="22"/>
        </w:rPr>
        <w:t xml:space="preserve">թիվը կազմել է 114009՝ </w:t>
      </w:r>
      <w:r w:rsidR="000C50FA" w:rsidRPr="00C921DE">
        <w:rPr>
          <w:rFonts w:ascii="GHEA Grapalat" w:hAnsi="GHEA Grapalat" w:cs="Times Armenian"/>
          <w:sz w:val="22"/>
          <w:szCs w:val="22"/>
          <w:lang w:val="en-US"/>
        </w:rPr>
        <w:t>կան</w:t>
      </w:r>
      <w:r w:rsidRPr="00C921DE">
        <w:rPr>
          <w:rFonts w:ascii="GHEA Grapalat" w:hAnsi="GHEA Grapalat" w:cs="Times Armenian"/>
          <w:sz w:val="22"/>
          <w:szCs w:val="22"/>
        </w:rPr>
        <w:t xml:space="preserve">խատեսված 113200-ի դիմաց, </w:t>
      </w:r>
      <w:r w:rsidRPr="00C921DE">
        <w:rPr>
          <w:rFonts w:ascii="GHEA Grapalat" w:hAnsi="GHEA Grapalat"/>
          <w:sz w:val="22"/>
          <w:szCs w:val="22"/>
        </w:rPr>
        <w:t>ժամանակավոր</w:t>
      </w:r>
      <w:r w:rsidRPr="00C921DE">
        <w:rPr>
          <w:rFonts w:ascii="GHEA Grapalat" w:hAnsi="GHEA Grapalat"/>
          <w:sz w:val="22"/>
          <w:szCs w:val="22"/>
          <w:lang w:val="af-ZA"/>
        </w:rPr>
        <w:t xml:space="preserve"> </w:t>
      </w:r>
      <w:r w:rsidRPr="00C921DE">
        <w:rPr>
          <w:rFonts w:ascii="GHEA Grapalat" w:hAnsi="GHEA Grapalat"/>
          <w:sz w:val="22"/>
          <w:szCs w:val="22"/>
        </w:rPr>
        <w:t>կացարանում բնակվելու</w:t>
      </w:r>
      <w:r w:rsidRPr="00C921DE">
        <w:rPr>
          <w:rFonts w:ascii="GHEA Grapalat" w:hAnsi="GHEA Grapalat"/>
          <w:sz w:val="22"/>
          <w:szCs w:val="22"/>
          <w:lang w:val="af-ZA"/>
        </w:rPr>
        <w:t xml:space="preserve"> (</w:t>
      </w:r>
      <w:r w:rsidRPr="00C921DE">
        <w:rPr>
          <w:rFonts w:ascii="GHEA Grapalat" w:hAnsi="GHEA Grapalat"/>
          <w:color w:val="000000"/>
          <w:sz w:val="22"/>
          <w:szCs w:val="22"/>
        </w:rPr>
        <w:t>ամսական 40</w:t>
      </w:r>
      <w:r w:rsidRPr="00C921DE">
        <w:rPr>
          <w:rFonts w:ascii="GHEA Grapalat" w:hAnsi="GHEA Grapalat"/>
          <w:color w:val="000000"/>
          <w:sz w:val="22"/>
          <w:szCs w:val="22"/>
          <w:lang w:val="af-ZA"/>
        </w:rPr>
        <w:t xml:space="preserve"> հազար</w:t>
      </w:r>
      <w:r w:rsidRPr="00C921DE">
        <w:rPr>
          <w:rFonts w:ascii="GHEA Grapalat" w:hAnsi="GHEA Grapalat"/>
          <w:color w:val="000000"/>
          <w:sz w:val="22"/>
          <w:szCs w:val="22"/>
        </w:rPr>
        <w:t xml:space="preserve"> դրամ</w:t>
      </w:r>
      <w:r w:rsidRPr="00C921DE">
        <w:rPr>
          <w:rFonts w:ascii="GHEA Grapalat" w:hAnsi="GHEA Grapalat"/>
          <w:sz w:val="22"/>
          <w:szCs w:val="22"/>
          <w:lang w:val="af-ZA"/>
        </w:rPr>
        <w:t xml:space="preserve">) </w:t>
      </w:r>
      <w:r w:rsidRPr="00C921DE">
        <w:rPr>
          <w:rFonts w:ascii="GHEA Grapalat" w:hAnsi="GHEA Grapalat"/>
          <w:sz w:val="22"/>
          <w:szCs w:val="22"/>
        </w:rPr>
        <w:t xml:space="preserve">և կոմունալ ծառայությունների ծախսերի </w:t>
      </w:r>
      <w:r w:rsidRPr="00C921DE">
        <w:rPr>
          <w:rFonts w:ascii="GHEA Grapalat" w:hAnsi="GHEA Grapalat"/>
          <w:sz w:val="22"/>
          <w:szCs w:val="22"/>
          <w:lang w:val="af-ZA"/>
        </w:rPr>
        <w:t>(</w:t>
      </w:r>
      <w:r w:rsidRPr="00C921DE">
        <w:rPr>
          <w:rFonts w:ascii="GHEA Grapalat" w:hAnsi="GHEA Grapalat"/>
          <w:color w:val="000000"/>
          <w:sz w:val="22"/>
          <w:szCs w:val="22"/>
        </w:rPr>
        <w:t>ամսական 10</w:t>
      </w:r>
      <w:r w:rsidRPr="00C921DE">
        <w:rPr>
          <w:rFonts w:ascii="GHEA Grapalat" w:hAnsi="GHEA Grapalat"/>
          <w:color w:val="000000"/>
          <w:sz w:val="22"/>
          <w:szCs w:val="22"/>
          <w:lang w:val="af-ZA"/>
        </w:rPr>
        <w:t xml:space="preserve"> հազար</w:t>
      </w:r>
      <w:r w:rsidRPr="00C921DE">
        <w:rPr>
          <w:rFonts w:ascii="GHEA Grapalat" w:hAnsi="GHEA Grapalat"/>
          <w:color w:val="000000"/>
          <w:sz w:val="22"/>
          <w:szCs w:val="22"/>
        </w:rPr>
        <w:t xml:space="preserve"> դրամ</w:t>
      </w:r>
      <w:r w:rsidRPr="00C921DE">
        <w:rPr>
          <w:rFonts w:ascii="GHEA Grapalat" w:hAnsi="GHEA Grapalat"/>
          <w:sz w:val="22"/>
          <w:szCs w:val="22"/>
          <w:lang w:val="af-ZA"/>
        </w:rPr>
        <w:t xml:space="preserve">) </w:t>
      </w:r>
      <w:r w:rsidRPr="00C921DE">
        <w:rPr>
          <w:rFonts w:ascii="GHEA Grapalat" w:hAnsi="GHEA Grapalat"/>
          <w:sz w:val="22"/>
          <w:szCs w:val="22"/>
        </w:rPr>
        <w:t>կատարմանն օժանդակելու համար սոցիալական աջակցության</w:t>
      </w:r>
      <w:r w:rsidRPr="00C921DE">
        <w:rPr>
          <w:rFonts w:ascii="GHEA Grapalat" w:hAnsi="GHEA Grapalat"/>
          <w:sz w:val="22"/>
          <w:szCs w:val="22"/>
          <w:lang w:val="af-ZA"/>
        </w:rPr>
        <w:t xml:space="preserve"> շահառուներին </w:t>
      </w:r>
      <w:r w:rsidRPr="00C921DE">
        <w:rPr>
          <w:rFonts w:ascii="GHEA Grapalat" w:hAnsi="GHEA Grapalat" w:cs="Times Armenian"/>
          <w:sz w:val="22"/>
          <w:szCs w:val="22"/>
        </w:rPr>
        <w:t>փաստացի թիվը`</w:t>
      </w:r>
      <w:r w:rsidR="004B2D47" w:rsidRPr="00C921DE">
        <w:rPr>
          <w:rFonts w:ascii="GHEA Grapalat" w:hAnsi="GHEA Grapalat" w:cs="Times Armenian"/>
          <w:sz w:val="22"/>
          <w:szCs w:val="22"/>
        </w:rPr>
        <w:t xml:space="preserve"> </w:t>
      </w:r>
      <w:r w:rsidRPr="00C921DE">
        <w:rPr>
          <w:rFonts w:ascii="GHEA Grapalat" w:hAnsi="GHEA Grapalat" w:cs="Times Armenian"/>
          <w:sz w:val="22"/>
          <w:szCs w:val="22"/>
          <w:lang w:val="af-ZA"/>
        </w:rPr>
        <w:t>78162</w:t>
      </w:r>
      <w:r w:rsidRPr="00C921DE">
        <w:rPr>
          <w:rFonts w:ascii="GHEA Grapalat" w:hAnsi="GHEA Grapalat" w:cs="Times Armenian"/>
          <w:sz w:val="22"/>
          <w:szCs w:val="22"/>
        </w:rPr>
        <w:t xml:space="preserve">՝ </w:t>
      </w:r>
      <w:r w:rsidR="000C50FA" w:rsidRPr="00C921DE">
        <w:rPr>
          <w:rFonts w:ascii="GHEA Grapalat" w:hAnsi="GHEA Grapalat" w:cs="Times Armenian"/>
          <w:sz w:val="22"/>
          <w:szCs w:val="22"/>
          <w:lang w:val="en-US"/>
        </w:rPr>
        <w:t>կան</w:t>
      </w:r>
      <w:r w:rsidRPr="00C921DE">
        <w:rPr>
          <w:rFonts w:ascii="GHEA Grapalat" w:hAnsi="GHEA Grapalat" w:cs="Times Armenian"/>
          <w:sz w:val="22"/>
          <w:szCs w:val="22"/>
        </w:rPr>
        <w:t xml:space="preserve">խատեսված 99000-ի դիմաց, իսկ </w:t>
      </w:r>
      <w:r w:rsidRPr="00C921DE">
        <w:rPr>
          <w:rFonts w:ascii="GHEA Grapalat" w:hAnsi="GHEA Grapalat"/>
          <w:sz w:val="22"/>
          <w:szCs w:val="22"/>
        </w:rPr>
        <w:t xml:space="preserve">առաջնային սպառողական ծախսերը հոգալու </w:t>
      </w:r>
      <w:r w:rsidRPr="00C921DE">
        <w:rPr>
          <w:rFonts w:ascii="GHEA Grapalat" w:hAnsi="GHEA Grapalat"/>
          <w:sz w:val="22"/>
          <w:szCs w:val="22"/>
          <w:lang w:val="af-ZA"/>
        </w:rPr>
        <w:t>(</w:t>
      </w:r>
      <w:r w:rsidRPr="00C921DE">
        <w:rPr>
          <w:rFonts w:ascii="GHEA Grapalat" w:hAnsi="GHEA Grapalat"/>
          <w:color w:val="000000"/>
          <w:sz w:val="22"/>
          <w:szCs w:val="22"/>
        </w:rPr>
        <w:t>ամսական 50</w:t>
      </w:r>
      <w:r w:rsidRPr="00C921DE">
        <w:rPr>
          <w:rFonts w:ascii="GHEA Grapalat" w:hAnsi="GHEA Grapalat"/>
          <w:color w:val="000000"/>
          <w:sz w:val="22"/>
          <w:szCs w:val="22"/>
          <w:lang w:val="af-ZA"/>
        </w:rPr>
        <w:t xml:space="preserve"> հազար</w:t>
      </w:r>
      <w:r w:rsidRPr="00C921DE">
        <w:rPr>
          <w:rFonts w:ascii="GHEA Grapalat" w:hAnsi="GHEA Grapalat"/>
          <w:color w:val="000000"/>
          <w:sz w:val="22"/>
          <w:szCs w:val="22"/>
        </w:rPr>
        <w:t xml:space="preserve"> դրամ</w:t>
      </w:r>
      <w:r w:rsidRPr="00C921DE">
        <w:rPr>
          <w:rFonts w:ascii="GHEA Grapalat" w:hAnsi="GHEA Grapalat"/>
          <w:sz w:val="22"/>
          <w:szCs w:val="22"/>
          <w:lang w:val="af-ZA"/>
        </w:rPr>
        <w:t>) աջակցության շահառուների թիվը</w:t>
      </w:r>
      <w:r w:rsidR="006F5BB5" w:rsidRPr="00C921DE">
        <w:rPr>
          <w:rFonts w:ascii="GHEA Grapalat" w:hAnsi="GHEA Grapalat"/>
          <w:sz w:val="22"/>
          <w:szCs w:val="22"/>
          <w:lang w:val="af-ZA"/>
        </w:rPr>
        <w:t>՝</w:t>
      </w:r>
      <w:r w:rsidRPr="00C921DE">
        <w:rPr>
          <w:rFonts w:ascii="GHEA Grapalat" w:hAnsi="GHEA Grapalat"/>
          <w:sz w:val="22"/>
          <w:szCs w:val="22"/>
          <w:lang w:val="af-ZA"/>
        </w:rPr>
        <w:t xml:space="preserve"> 63707՝ </w:t>
      </w:r>
      <w:r w:rsidR="000C50FA" w:rsidRPr="00C921DE">
        <w:rPr>
          <w:rFonts w:ascii="GHEA Grapalat" w:hAnsi="GHEA Grapalat"/>
          <w:sz w:val="22"/>
          <w:szCs w:val="22"/>
          <w:lang w:val="af-ZA"/>
        </w:rPr>
        <w:t>կան</w:t>
      </w:r>
      <w:r w:rsidRPr="00C921DE">
        <w:rPr>
          <w:rFonts w:ascii="GHEA Grapalat" w:hAnsi="GHEA Grapalat"/>
          <w:sz w:val="22"/>
          <w:szCs w:val="22"/>
          <w:lang w:val="af-ZA"/>
        </w:rPr>
        <w:t xml:space="preserve">խատեսված 74117-ի դիմաց: </w:t>
      </w:r>
      <w:r w:rsidR="001506BE" w:rsidRPr="00C921DE">
        <w:rPr>
          <w:rFonts w:ascii="GHEA Grapalat" w:hAnsi="GHEA Grapalat"/>
          <w:sz w:val="22"/>
          <w:szCs w:val="22"/>
          <w:lang w:val="af-ZA"/>
        </w:rPr>
        <w:t>Ն</w:t>
      </w:r>
      <w:r w:rsidRPr="00C921DE">
        <w:rPr>
          <w:rFonts w:ascii="GHEA Grapalat" w:hAnsi="GHEA Grapalat"/>
          <w:sz w:val="22"/>
          <w:szCs w:val="22"/>
          <w:lang w:val="af-ZA"/>
        </w:rPr>
        <w:t xml:space="preserve">շված միջոցառումների շրջանակներում </w:t>
      </w:r>
      <w:r w:rsidRPr="00C921DE">
        <w:rPr>
          <w:rFonts w:ascii="GHEA Grapalat" w:hAnsi="GHEA Grapalat"/>
          <w:sz w:val="22"/>
          <w:szCs w:val="22"/>
        </w:rPr>
        <w:t>ծախսերը</w:t>
      </w:r>
      <w:r w:rsidR="004B2D47" w:rsidRPr="00C921DE">
        <w:rPr>
          <w:rFonts w:ascii="GHEA Grapalat" w:hAnsi="GHEA Grapalat"/>
          <w:sz w:val="22"/>
          <w:szCs w:val="22"/>
          <w:lang w:val="af-ZA"/>
        </w:rPr>
        <w:t xml:space="preserve"> </w:t>
      </w:r>
      <w:r w:rsidR="000C50FA" w:rsidRPr="00C921DE">
        <w:rPr>
          <w:rFonts w:ascii="GHEA Grapalat" w:hAnsi="GHEA Grapalat"/>
          <w:sz w:val="22"/>
          <w:szCs w:val="22"/>
        </w:rPr>
        <w:t>կազմել</w:t>
      </w:r>
      <w:r w:rsidR="000C50FA" w:rsidRPr="00C921DE">
        <w:rPr>
          <w:rFonts w:ascii="GHEA Grapalat" w:hAnsi="GHEA Grapalat"/>
          <w:sz w:val="22"/>
          <w:szCs w:val="22"/>
          <w:lang w:val="af-ZA"/>
        </w:rPr>
        <w:t xml:space="preserve"> </w:t>
      </w:r>
      <w:r w:rsidR="000C50FA" w:rsidRPr="00C921DE">
        <w:rPr>
          <w:rFonts w:ascii="GHEA Grapalat" w:hAnsi="GHEA Grapalat"/>
          <w:sz w:val="22"/>
          <w:szCs w:val="22"/>
        </w:rPr>
        <w:t>են</w:t>
      </w:r>
      <w:r w:rsidR="000C50FA" w:rsidRPr="00C921DE">
        <w:rPr>
          <w:rFonts w:ascii="GHEA Grapalat" w:hAnsi="GHEA Grapalat"/>
          <w:sz w:val="22"/>
          <w:szCs w:val="22"/>
          <w:lang w:val="af-ZA"/>
        </w:rPr>
        <w:t xml:space="preserve"> </w:t>
      </w:r>
      <w:r w:rsidRPr="00C921DE">
        <w:rPr>
          <w:rFonts w:ascii="GHEA Grapalat" w:hAnsi="GHEA Grapalat"/>
          <w:sz w:val="22"/>
          <w:szCs w:val="22"/>
          <w:lang w:val="af-ZA"/>
        </w:rPr>
        <w:t xml:space="preserve">համապատասխանաբար 11.2 </w:t>
      </w:r>
      <w:r w:rsidRPr="00C921DE">
        <w:rPr>
          <w:rFonts w:ascii="GHEA Grapalat" w:hAnsi="GHEA Grapalat"/>
          <w:sz w:val="22"/>
          <w:szCs w:val="22"/>
        </w:rPr>
        <w:t>մլրդ</w:t>
      </w:r>
      <w:r w:rsidRPr="00C921DE">
        <w:rPr>
          <w:rFonts w:ascii="GHEA Grapalat" w:hAnsi="GHEA Grapalat"/>
          <w:sz w:val="22"/>
          <w:szCs w:val="22"/>
          <w:lang w:val="af-ZA"/>
        </w:rPr>
        <w:t xml:space="preserve"> </w:t>
      </w:r>
      <w:r w:rsidRPr="00C921DE">
        <w:rPr>
          <w:rFonts w:ascii="GHEA Grapalat" w:hAnsi="GHEA Grapalat"/>
          <w:sz w:val="22"/>
          <w:szCs w:val="22"/>
        </w:rPr>
        <w:t>դրամ (</w:t>
      </w:r>
      <w:r w:rsidRPr="00C921DE">
        <w:rPr>
          <w:rFonts w:ascii="GHEA Grapalat" w:hAnsi="GHEA Grapalat"/>
          <w:sz w:val="22"/>
          <w:szCs w:val="22"/>
          <w:lang w:val="af-ZA"/>
        </w:rPr>
        <w:t>98.8</w:t>
      </w:r>
      <w:r w:rsidR="000C50FA" w:rsidRPr="00C921DE">
        <w:rPr>
          <w:rFonts w:ascii="GHEA Grapalat" w:hAnsi="GHEA Grapalat"/>
          <w:sz w:val="22"/>
          <w:szCs w:val="22"/>
          <w:lang w:val="af-ZA"/>
        </w:rPr>
        <w:t>%</w:t>
      </w:r>
      <w:r w:rsidRPr="00C921DE">
        <w:rPr>
          <w:rFonts w:ascii="GHEA Grapalat" w:hAnsi="GHEA Grapalat"/>
          <w:sz w:val="22"/>
          <w:szCs w:val="22"/>
        </w:rPr>
        <w:t>), 11.2 մլրդ</w:t>
      </w:r>
      <w:r w:rsidRPr="00C921DE">
        <w:rPr>
          <w:rFonts w:ascii="GHEA Grapalat" w:hAnsi="GHEA Grapalat"/>
          <w:sz w:val="22"/>
          <w:szCs w:val="22"/>
          <w:lang w:val="af-ZA"/>
        </w:rPr>
        <w:t xml:space="preserve"> </w:t>
      </w:r>
      <w:r w:rsidRPr="00C921DE">
        <w:rPr>
          <w:rFonts w:ascii="GHEA Grapalat" w:hAnsi="GHEA Grapalat"/>
          <w:sz w:val="22"/>
          <w:szCs w:val="22"/>
        </w:rPr>
        <w:t>դրամ (</w:t>
      </w:r>
      <w:r w:rsidRPr="00C921DE">
        <w:rPr>
          <w:rFonts w:ascii="GHEA Grapalat" w:hAnsi="GHEA Grapalat"/>
          <w:sz w:val="22"/>
          <w:szCs w:val="22"/>
          <w:lang w:val="af-ZA"/>
        </w:rPr>
        <w:t>97.1%</w:t>
      </w:r>
      <w:r w:rsidRPr="00C921DE">
        <w:rPr>
          <w:rFonts w:ascii="GHEA Grapalat" w:hAnsi="GHEA Grapalat"/>
          <w:sz w:val="22"/>
          <w:szCs w:val="22"/>
        </w:rPr>
        <w:t>) և 6.4 մլրդ դրամ</w:t>
      </w:r>
      <w:r w:rsidRPr="00C921DE">
        <w:rPr>
          <w:rFonts w:ascii="GHEA Grapalat" w:hAnsi="GHEA Grapalat"/>
          <w:sz w:val="22"/>
          <w:szCs w:val="22"/>
          <w:lang w:val="af-ZA"/>
        </w:rPr>
        <w:t xml:space="preserve"> (86</w:t>
      </w:r>
      <w:r w:rsidR="00341898" w:rsidRPr="00C921DE">
        <w:rPr>
          <w:rFonts w:ascii="GHEA Grapalat" w:hAnsi="GHEA Grapalat"/>
          <w:sz w:val="22"/>
          <w:szCs w:val="22"/>
          <w:lang w:val="af-ZA"/>
        </w:rPr>
        <w:t>%</w:t>
      </w:r>
      <w:r w:rsidRPr="00C921DE">
        <w:rPr>
          <w:rFonts w:ascii="GHEA Grapalat" w:hAnsi="GHEA Grapalat"/>
          <w:sz w:val="22"/>
          <w:szCs w:val="22"/>
        </w:rPr>
        <w:t>)</w:t>
      </w:r>
      <w:r w:rsidRPr="00C921DE">
        <w:rPr>
          <w:rFonts w:ascii="GHEA Grapalat" w:hAnsi="GHEA Grapalat"/>
          <w:sz w:val="22"/>
          <w:szCs w:val="22"/>
          <w:lang w:val="af-ZA"/>
        </w:rPr>
        <w:t>:</w:t>
      </w:r>
    </w:p>
    <w:p w14:paraId="6E6936AF" w14:textId="0FA1D360" w:rsidR="003E43B0" w:rsidRPr="00C921DE" w:rsidRDefault="003E43B0" w:rsidP="003E43B0">
      <w:pPr>
        <w:autoSpaceDE w:val="0"/>
        <w:autoSpaceDN w:val="0"/>
        <w:adjustRightInd w:val="0"/>
        <w:spacing w:line="360" w:lineRule="auto"/>
        <w:ind w:firstLine="567"/>
        <w:jc w:val="both"/>
        <w:rPr>
          <w:rFonts w:ascii="GHEA Grapalat" w:hAnsi="GHEA Grapalat" w:cs="Arial"/>
          <w:sz w:val="22"/>
          <w:szCs w:val="22"/>
          <w:lang w:val="af-ZA"/>
        </w:rPr>
      </w:pPr>
      <w:r w:rsidRPr="00C921DE">
        <w:rPr>
          <w:rFonts w:ascii="GHEA Grapalat" w:hAnsi="GHEA Grapalat" w:cs="Sylfaen"/>
          <w:sz w:val="22"/>
          <w:szCs w:val="22"/>
        </w:rPr>
        <w:t xml:space="preserve">ՀՀ </w:t>
      </w:r>
      <w:r w:rsidRPr="00C921DE">
        <w:rPr>
          <w:rFonts w:ascii="GHEA Grapalat" w:hAnsi="GHEA Grapalat"/>
          <w:sz w:val="22"/>
          <w:szCs w:val="22"/>
        </w:rPr>
        <w:t>ԱՍՀՆ-ի</w:t>
      </w:r>
      <w:r w:rsidRPr="00C921DE">
        <w:rPr>
          <w:rFonts w:ascii="GHEA Grapalat" w:hAnsi="GHEA Grapalat" w:cs="Sylfaen"/>
          <w:sz w:val="22"/>
          <w:szCs w:val="22"/>
        </w:rPr>
        <w:t xml:space="preserve"> կողմից իրականացվող այլ ծրագրերի շրջանակներում</w:t>
      </w:r>
      <w:r w:rsidRPr="00C921DE">
        <w:rPr>
          <w:rFonts w:ascii="GHEA Grapalat" w:hAnsi="GHEA Grapalat"/>
          <w:sz w:val="22"/>
          <w:szCs w:val="22"/>
        </w:rPr>
        <w:t xml:space="preserve"> հաշվետու տարում </w:t>
      </w:r>
      <w:r w:rsidRPr="00C921DE">
        <w:rPr>
          <w:rFonts w:ascii="GHEA Grapalat" w:hAnsi="GHEA Grapalat"/>
          <w:i/>
          <w:sz w:val="22"/>
          <w:szCs w:val="22"/>
        </w:rPr>
        <w:t>Պարգևավճարների և պատվովճարների</w:t>
      </w:r>
      <w:r w:rsidRPr="00C921DE">
        <w:rPr>
          <w:rFonts w:ascii="GHEA Grapalat" w:hAnsi="GHEA Grapalat"/>
          <w:sz w:val="22"/>
          <w:szCs w:val="22"/>
        </w:rPr>
        <w:t xml:space="preserve"> ծրագրի</w:t>
      </w:r>
      <w:r w:rsidRPr="00C921DE">
        <w:rPr>
          <w:rFonts w:ascii="GHEA Grapalat" w:hAnsi="GHEA Grapalat"/>
          <w:sz w:val="22"/>
          <w:szCs w:val="22"/>
          <w:lang w:val="af-ZA"/>
        </w:rPr>
        <w:t xml:space="preserve"> </w:t>
      </w:r>
      <w:r w:rsidRPr="00C921DE">
        <w:rPr>
          <w:rFonts w:ascii="GHEA Grapalat" w:hAnsi="GHEA Grapalat" w:cs="GHEA Grapalat"/>
          <w:sz w:val="22"/>
          <w:szCs w:val="22"/>
        </w:rPr>
        <w:t>համար նախատեսված 9.</w:t>
      </w:r>
      <w:r w:rsidRPr="00C921DE">
        <w:rPr>
          <w:rFonts w:ascii="GHEA Grapalat" w:hAnsi="GHEA Grapalat" w:cs="Sylfaen"/>
          <w:sz w:val="22"/>
          <w:szCs w:val="22"/>
          <w:lang w:val="af-ZA"/>
        </w:rPr>
        <w:t>8</w:t>
      </w:r>
      <w:r w:rsidRPr="00C921DE">
        <w:rPr>
          <w:rFonts w:ascii="GHEA Grapalat" w:hAnsi="GHEA Grapalat" w:cs="GHEA Grapalat"/>
          <w:sz w:val="22"/>
          <w:szCs w:val="22"/>
        </w:rPr>
        <w:t xml:space="preserve"> մլ</w:t>
      </w:r>
      <w:r w:rsidRPr="00C921DE">
        <w:rPr>
          <w:rFonts w:ascii="GHEA Grapalat" w:hAnsi="GHEA Grapalat" w:cs="GHEA Grapalat"/>
          <w:sz w:val="22"/>
          <w:szCs w:val="22"/>
          <w:lang w:val="en-US"/>
        </w:rPr>
        <w:t>րդ</w:t>
      </w:r>
      <w:r w:rsidRPr="00C921DE">
        <w:rPr>
          <w:rFonts w:ascii="GHEA Grapalat" w:hAnsi="GHEA Grapalat" w:cs="GHEA Grapalat"/>
          <w:sz w:val="22"/>
          <w:szCs w:val="22"/>
        </w:rPr>
        <w:t xml:space="preserve"> դրամն </w:t>
      </w:r>
      <w:r w:rsidRPr="00C921DE">
        <w:rPr>
          <w:rFonts w:ascii="GHEA Grapalat" w:hAnsi="GHEA Grapalat" w:cs="Sylfaen"/>
          <w:sz w:val="22"/>
          <w:szCs w:val="22"/>
        </w:rPr>
        <w:t>ամբողջությամբ</w:t>
      </w:r>
      <w:r w:rsidRPr="00C921DE">
        <w:rPr>
          <w:rFonts w:ascii="GHEA Grapalat" w:hAnsi="GHEA Grapalat" w:cs="GHEA Grapalat"/>
          <w:sz w:val="22"/>
          <w:szCs w:val="22"/>
        </w:rPr>
        <w:t xml:space="preserve"> օգտագործվել է:</w:t>
      </w:r>
      <w:r w:rsidRPr="00C921DE">
        <w:rPr>
          <w:rFonts w:ascii="GHEA Grapalat" w:hAnsi="GHEA Grapalat" w:cs="Times Armenian"/>
          <w:sz w:val="22"/>
          <w:szCs w:val="22"/>
        </w:rPr>
        <w:t xml:space="preserve"> Ծրագիրն ուղղված է եղել առանձին կատեգորիայի քաղաքացիների և նրանց ընտանիքի անդամների սոցիալական պաշտպանվածության մակարդակի բարձրացմանը: Միջոցների գերակշիռ մասն ուղղվել է զ</w:t>
      </w:r>
      <w:r w:rsidRPr="00C921DE">
        <w:rPr>
          <w:rFonts w:ascii="GHEA Grapalat" w:hAnsi="GHEA Grapalat" w:cs="Arial"/>
          <w:sz w:val="22"/>
          <w:szCs w:val="22"/>
        </w:rPr>
        <w:t xml:space="preserve">ինծառայողներին, ՀՄՊ մասնակիցներին, այլ պետություններում մարտական գործողությունների մասնակիցներին, զոհված (մահացած) զինծառայողի ընտանիքի անդամներին, ընտանիքներին </w:t>
      </w:r>
      <w:r w:rsidRPr="00C921DE">
        <w:rPr>
          <w:rFonts w:ascii="GHEA Grapalat" w:hAnsi="GHEA Grapalat"/>
          <w:sz w:val="22"/>
          <w:szCs w:val="22"/>
        </w:rPr>
        <w:t>տրվող</w:t>
      </w:r>
      <w:r w:rsidRPr="00C921DE">
        <w:rPr>
          <w:rFonts w:ascii="GHEA Grapalat" w:hAnsi="GHEA Grapalat" w:cs="Arial"/>
          <w:sz w:val="22"/>
          <w:szCs w:val="22"/>
        </w:rPr>
        <w:t xml:space="preserve"> պարգևավճարներին: </w:t>
      </w:r>
      <w:r w:rsidRPr="00C921DE">
        <w:rPr>
          <w:rFonts w:ascii="GHEA Grapalat" w:hAnsi="GHEA Grapalat"/>
          <w:sz w:val="22"/>
          <w:szCs w:val="22"/>
        </w:rPr>
        <w:t>Հաշվետու տարվա ընթացքում</w:t>
      </w:r>
      <w:r w:rsidRPr="00C921DE">
        <w:rPr>
          <w:rFonts w:ascii="GHEA Grapalat" w:hAnsi="GHEA Grapalat" w:cs="Arial"/>
          <w:sz w:val="22"/>
          <w:szCs w:val="22"/>
        </w:rPr>
        <w:t xml:space="preserve"> պարգևավճար ստացած շահառուների թիվը կազմել է 31</w:t>
      </w:r>
      <w:r w:rsidRPr="00C921DE">
        <w:rPr>
          <w:rFonts w:ascii="GHEA Grapalat" w:hAnsi="GHEA Grapalat" w:cs="Arial"/>
          <w:sz w:val="22"/>
          <w:szCs w:val="22"/>
          <w:lang w:val="af-ZA"/>
        </w:rPr>
        <w:t>921</w:t>
      </w:r>
      <w:r w:rsidRPr="00C921DE">
        <w:rPr>
          <w:rFonts w:ascii="GHEA Grapalat" w:hAnsi="GHEA Grapalat" w:cs="Arial"/>
          <w:sz w:val="22"/>
          <w:szCs w:val="22"/>
        </w:rPr>
        <w:t>՝ նախատեսված 32911</w:t>
      </w:r>
      <w:r w:rsidR="0098087D" w:rsidRPr="00C921DE">
        <w:rPr>
          <w:rFonts w:ascii="GHEA Grapalat" w:hAnsi="GHEA Grapalat" w:cs="Arial"/>
          <w:sz w:val="22"/>
          <w:szCs w:val="22"/>
        </w:rPr>
        <w:t>-ի և նախորդ տարվա 34242-ի դիմաց</w:t>
      </w:r>
      <w:r w:rsidR="0098087D" w:rsidRPr="00C921DE">
        <w:rPr>
          <w:rFonts w:ascii="GHEA Grapalat" w:hAnsi="GHEA Grapalat" w:cs="Arial"/>
          <w:sz w:val="22"/>
          <w:szCs w:val="22"/>
          <w:lang w:val="en-US"/>
        </w:rPr>
        <w:t xml:space="preserve">: Պարգևավճարների համար նախատեսված </w:t>
      </w:r>
      <w:r w:rsidR="0098087D" w:rsidRPr="00C921DE">
        <w:rPr>
          <w:rFonts w:ascii="GHEA Grapalat" w:hAnsi="GHEA Grapalat" w:cs="Arial"/>
          <w:sz w:val="22"/>
          <w:szCs w:val="22"/>
          <w:lang w:val="af-ZA"/>
        </w:rPr>
        <w:t>9.5</w:t>
      </w:r>
      <w:r w:rsidR="0098087D" w:rsidRPr="00C921DE">
        <w:rPr>
          <w:rFonts w:ascii="GHEA Grapalat" w:hAnsi="GHEA Grapalat"/>
          <w:sz w:val="22"/>
          <w:szCs w:val="22"/>
        </w:rPr>
        <w:t xml:space="preserve"> </w:t>
      </w:r>
      <w:r w:rsidR="0098087D" w:rsidRPr="00C921DE">
        <w:rPr>
          <w:rFonts w:ascii="GHEA Grapalat" w:hAnsi="GHEA Grapalat" w:cs="Arial"/>
          <w:sz w:val="22"/>
          <w:szCs w:val="22"/>
        </w:rPr>
        <w:t>մլրդ</w:t>
      </w:r>
      <w:r w:rsidR="0098087D" w:rsidRPr="00C921DE">
        <w:rPr>
          <w:rFonts w:ascii="GHEA Grapalat" w:hAnsi="GHEA Grapalat"/>
          <w:sz w:val="22"/>
          <w:szCs w:val="22"/>
        </w:rPr>
        <w:t xml:space="preserve"> </w:t>
      </w:r>
      <w:r w:rsidR="0098087D" w:rsidRPr="00C921DE">
        <w:rPr>
          <w:rFonts w:ascii="GHEA Grapalat" w:hAnsi="GHEA Grapalat" w:cs="Arial"/>
          <w:sz w:val="22"/>
          <w:szCs w:val="22"/>
        </w:rPr>
        <w:t>դրամ</w:t>
      </w:r>
      <w:r w:rsidR="0098087D" w:rsidRPr="00C921DE">
        <w:rPr>
          <w:rFonts w:ascii="GHEA Grapalat" w:hAnsi="GHEA Grapalat" w:cs="Arial"/>
          <w:sz w:val="22"/>
          <w:szCs w:val="22"/>
          <w:lang w:val="en-US"/>
        </w:rPr>
        <w:t xml:space="preserve"> միջոցներն</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ամբողջությամբ</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օգտագործվել</w:t>
      </w:r>
      <w:r w:rsidR="0098087D" w:rsidRPr="00C921DE">
        <w:rPr>
          <w:rFonts w:ascii="GHEA Grapalat" w:hAnsi="GHEA Grapalat" w:cs="Arial"/>
          <w:sz w:val="22"/>
          <w:szCs w:val="22"/>
          <w:lang w:val="en-US"/>
        </w:rPr>
        <w:t xml:space="preserve"> են</w:t>
      </w:r>
      <w:r w:rsidRPr="00C921DE">
        <w:rPr>
          <w:rFonts w:ascii="GHEA Grapalat" w:hAnsi="GHEA Grapalat"/>
          <w:sz w:val="22"/>
          <w:szCs w:val="22"/>
        </w:rPr>
        <w:t xml:space="preserve">: Նախորդ տարվա համեմատ Պարգևավճարների և </w:t>
      </w:r>
      <w:r w:rsidRPr="00C921DE">
        <w:rPr>
          <w:rFonts w:ascii="GHEA Grapalat" w:hAnsi="GHEA Grapalat"/>
          <w:sz w:val="22"/>
          <w:szCs w:val="22"/>
        </w:rPr>
        <w:lastRenderedPageBreak/>
        <w:t>պատվովճարների ծրագրի գծով ծախսեր</w:t>
      </w:r>
      <w:r w:rsidRPr="00C921DE">
        <w:rPr>
          <w:rFonts w:ascii="GHEA Grapalat" w:hAnsi="GHEA Grapalat"/>
          <w:sz w:val="22"/>
          <w:szCs w:val="22"/>
          <w:lang w:val="en-US"/>
        </w:rPr>
        <w:t>ը</w:t>
      </w:r>
      <w:r w:rsidRPr="00C921DE">
        <w:rPr>
          <w:rFonts w:ascii="GHEA Grapalat" w:hAnsi="GHEA Grapalat"/>
          <w:sz w:val="22"/>
          <w:szCs w:val="22"/>
        </w:rPr>
        <w:t xml:space="preserve"> </w:t>
      </w:r>
      <w:r w:rsidRPr="00C921DE">
        <w:rPr>
          <w:rFonts w:ascii="GHEA Grapalat" w:hAnsi="GHEA Grapalat"/>
          <w:sz w:val="22"/>
          <w:szCs w:val="22"/>
          <w:lang w:val="en-US"/>
        </w:rPr>
        <w:t>նվազել</w:t>
      </w:r>
      <w:r w:rsidRPr="00C921DE">
        <w:rPr>
          <w:rFonts w:ascii="GHEA Grapalat" w:hAnsi="GHEA Grapalat"/>
          <w:sz w:val="22"/>
          <w:szCs w:val="22"/>
        </w:rPr>
        <w:t xml:space="preserve"> են </w:t>
      </w:r>
      <w:r w:rsidRPr="00C921DE">
        <w:rPr>
          <w:rFonts w:ascii="GHEA Grapalat" w:hAnsi="GHEA Grapalat"/>
          <w:sz w:val="22"/>
          <w:szCs w:val="22"/>
          <w:lang w:val="af-ZA"/>
        </w:rPr>
        <w:t>13.3</w:t>
      </w:r>
      <w:r w:rsidRPr="00C921DE">
        <w:rPr>
          <w:rFonts w:ascii="GHEA Grapalat" w:hAnsi="GHEA Grapalat" w:cs="Arial"/>
          <w:sz w:val="22"/>
          <w:szCs w:val="22"/>
          <w:lang w:val="af-ZA"/>
        </w:rPr>
        <w:t>%-</w:t>
      </w:r>
      <w:r w:rsidRPr="00C921DE">
        <w:rPr>
          <w:rFonts w:ascii="GHEA Grapalat" w:hAnsi="GHEA Grapalat" w:cs="Arial"/>
          <w:sz w:val="22"/>
          <w:szCs w:val="22"/>
          <w:lang w:val="en-US"/>
        </w:rPr>
        <w:t>ով</w:t>
      </w:r>
      <w:r w:rsidR="003F48EB" w:rsidRPr="00C921DE">
        <w:rPr>
          <w:rFonts w:ascii="GHEA Grapalat" w:hAnsi="GHEA Grapalat" w:cs="Arial"/>
          <w:sz w:val="22"/>
          <w:szCs w:val="22"/>
          <w:lang w:val="en-US"/>
        </w:rPr>
        <w:t xml:space="preserve"> (1.5 մլրդ դրամով)</w:t>
      </w:r>
      <w:r w:rsidRPr="00C921DE">
        <w:rPr>
          <w:rFonts w:ascii="GHEA Grapalat" w:hAnsi="GHEA Grapalat" w:cs="Arial"/>
          <w:sz w:val="22"/>
          <w:szCs w:val="22"/>
          <w:lang w:val="en-US"/>
        </w:rPr>
        <w:t>՝</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հիմնականում</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պայմանավորված</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պարգևավճարի</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իրավունք</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ձեռք</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բերած</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անձանց</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թվի</w:t>
      </w:r>
      <w:r w:rsidRPr="00C921DE">
        <w:rPr>
          <w:rFonts w:ascii="GHEA Grapalat" w:hAnsi="GHEA Grapalat" w:cs="Arial"/>
          <w:sz w:val="22"/>
          <w:szCs w:val="22"/>
          <w:lang w:val="af-ZA"/>
        </w:rPr>
        <w:t xml:space="preserve"> </w:t>
      </w:r>
      <w:r w:rsidRPr="00C921DE">
        <w:rPr>
          <w:rFonts w:ascii="GHEA Grapalat" w:hAnsi="GHEA Grapalat" w:cs="Arial"/>
          <w:sz w:val="22"/>
          <w:szCs w:val="22"/>
          <w:lang w:val="en-US"/>
        </w:rPr>
        <w:t>նվազմամբ</w:t>
      </w:r>
      <w:r w:rsidRPr="00C921DE">
        <w:rPr>
          <w:rFonts w:ascii="GHEA Grapalat" w:hAnsi="GHEA Grapalat" w:cs="Arial"/>
          <w:sz w:val="22"/>
          <w:szCs w:val="22"/>
          <w:lang w:val="af-ZA"/>
        </w:rPr>
        <w:t>:</w:t>
      </w:r>
    </w:p>
    <w:p w14:paraId="5563BCBA" w14:textId="0AAE967E" w:rsidR="003E43B0" w:rsidRPr="00C921DE" w:rsidRDefault="003E43B0" w:rsidP="003E43B0">
      <w:pPr>
        <w:autoSpaceDE w:val="0"/>
        <w:autoSpaceDN w:val="0"/>
        <w:adjustRightInd w:val="0"/>
        <w:spacing w:line="360" w:lineRule="auto"/>
        <w:ind w:firstLine="567"/>
        <w:jc w:val="both"/>
        <w:rPr>
          <w:rFonts w:ascii="GHEA Grapalat" w:hAnsi="GHEA Grapalat" w:cs="Arial"/>
          <w:sz w:val="22"/>
          <w:szCs w:val="22"/>
        </w:rPr>
      </w:pPr>
      <w:r w:rsidRPr="00C921DE">
        <w:rPr>
          <w:rFonts w:ascii="GHEA Grapalat" w:hAnsi="GHEA Grapalat" w:cs="Arial"/>
          <w:i/>
          <w:sz w:val="22"/>
          <w:szCs w:val="22"/>
        </w:rPr>
        <w:t xml:space="preserve">Սոցիալական փաթեթների ապահովման </w:t>
      </w:r>
      <w:r w:rsidRPr="00C921DE">
        <w:rPr>
          <w:rFonts w:ascii="GHEA Grapalat" w:hAnsi="GHEA Grapalat" w:cs="Arial"/>
          <w:sz w:val="22"/>
          <w:szCs w:val="22"/>
        </w:rPr>
        <w:t xml:space="preserve">ծրագրի շրջանակներում </w:t>
      </w:r>
      <w:r w:rsidRPr="00C921DE">
        <w:rPr>
          <w:rFonts w:ascii="GHEA Grapalat" w:hAnsi="GHEA Grapalat"/>
          <w:sz w:val="22"/>
          <w:szCs w:val="22"/>
        </w:rPr>
        <w:t>պ</w:t>
      </w:r>
      <w:r w:rsidRPr="00C921DE">
        <w:rPr>
          <w:rFonts w:ascii="GHEA Grapalat" w:hAnsi="GHEA Grapalat" w:cs="Arial"/>
          <w:sz w:val="22"/>
          <w:szCs w:val="22"/>
        </w:rPr>
        <w:t>ետական հիմնարկների և կազմակերպությունների աշխատողների սոցիալական փաթեթով ապահովման միջոցառման շահառուների թիվը կազմել է 128</w:t>
      </w:r>
      <w:r w:rsidRPr="00C921DE">
        <w:rPr>
          <w:rFonts w:ascii="GHEA Grapalat" w:hAnsi="GHEA Grapalat" w:cs="Arial"/>
          <w:sz w:val="22"/>
          <w:szCs w:val="22"/>
          <w:lang w:val="af-ZA"/>
        </w:rPr>
        <w:t>122</w:t>
      </w:r>
      <w:r w:rsidRPr="00C921DE">
        <w:rPr>
          <w:rFonts w:ascii="GHEA Grapalat" w:hAnsi="GHEA Grapalat" w:cs="Arial"/>
          <w:sz w:val="22"/>
          <w:szCs w:val="22"/>
        </w:rPr>
        <w:t>՝ կանխատեսված 147493-ի և նախորդ տարվա 128455-ի դիմաց: Ծրագիրն ուղղված է պետական մարմինների աշխատակ</w:t>
      </w:r>
      <w:r w:rsidR="001506BE" w:rsidRPr="00C921DE">
        <w:rPr>
          <w:rFonts w:ascii="GHEA Grapalat" w:hAnsi="GHEA Grapalat" w:cs="Arial"/>
          <w:sz w:val="22"/>
          <w:szCs w:val="22"/>
        </w:rPr>
        <w:t>իցների կյանքի որակի բարելավմանը,</w:t>
      </w:r>
      <w:r w:rsidRPr="00C921DE">
        <w:rPr>
          <w:rFonts w:ascii="GHEA Grapalat" w:hAnsi="GHEA Grapalat" w:cs="Arial"/>
          <w:sz w:val="22"/>
          <w:szCs w:val="22"/>
        </w:rPr>
        <w:t xml:space="preserve"> սոցիալական երաշխիքների ապահովմանը և աշխատանքային մոտիվացիայի բարձրացմանը</w:t>
      </w:r>
      <w:r w:rsidRPr="00C921DE">
        <w:rPr>
          <w:rFonts w:ascii="GHEA Grapalat" w:hAnsi="GHEA Grapalat" w:cs="Sylfaen"/>
        </w:rPr>
        <w:t xml:space="preserve">: </w:t>
      </w:r>
      <w:r w:rsidRPr="00C921DE">
        <w:rPr>
          <w:rFonts w:ascii="GHEA Grapalat" w:hAnsi="GHEA Grapalat" w:cs="Arial"/>
          <w:sz w:val="22"/>
          <w:szCs w:val="22"/>
        </w:rPr>
        <w:t>Ծրագրի շրջանակներում օգտագործվել է նախատեսված միջոցների 87%-ը՝</w:t>
      </w:r>
      <w:r w:rsidRPr="00C921DE">
        <w:rPr>
          <w:rFonts w:ascii="GHEA Grapalat" w:hAnsi="GHEA Grapalat"/>
          <w:sz w:val="22"/>
          <w:szCs w:val="22"/>
        </w:rPr>
        <w:t xml:space="preserve"> 9.</w:t>
      </w:r>
      <w:r w:rsidRPr="00C921DE">
        <w:rPr>
          <w:rFonts w:ascii="GHEA Grapalat" w:hAnsi="GHEA Grapalat"/>
          <w:sz w:val="22"/>
          <w:szCs w:val="22"/>
          <w:lang w:val="af-ZA"/>
        </w:rPr>
        <w:t xml:space="preserve">2 </w:t>
      </w:r>
      <w:r w:rsidRPr="00C921DE">
        <w:rPr>
          <w:rFonts w:ascii="GHEA Grapalat" w:hAnsi="GHEA Grapalat"/>
          <w:sz w:val="22"/>
          <w:szCs w:val="22"/>
        </w:rPr>
        <w:t xml:space="preserve">մլրդ </w:t>
      </w:r>
      <w:r w:rsidRPr="00C921DE">
        <w:rPr>
          <w:rFonts w:ascii="GHEA Grapalat" w:hAnsi="GHEA Grapalat" w:cs="Arial"/>
          <w:sz w:val="22"/>
          <w:szCs w:val="22"/>
        </w:rPr>
        <w:t xml:space="preserve">դրամ: </w:t>
      </w:r>
      <w:r w:rsidRPr="00C921DE">
        <w:rPr>
          <w:rFonts w:ascii="GHEA Grapalat" w:hAnsi="GHEA Grapalat" w:cs="GHEA Grapalat"/>
          <w:iCs/>
          <w:sz w:val="22"/>
          <w:szCs w:val="22"/>
        </w:rPr>
        <w:t xml:space="preserve">Նախորդ տարվա համեմատ տվյալ ծախսերը գրեթե չեն փոփոխվել: </w:t>
      </w:r>
      <w:r w:rsidRPr="00C921DE">
        <w:rPr>
          <w:rFonts w:ascii="GHEA Grapalat" w:hAnsi="GHEA Grapalat" w:cs="Arial"/>
          <w:sz w:val="22"/>
          <w:szCs w:val="22"/>
        </w:rPr>
        <w:t xml:space="preserve">Ծախսերի՝ ծրագրից շեղումը և շահառուների՝ նախատեսվածից ցածր փաստացի թիվը հիմնականում </w:t>
      </w:r>
      <w:r w:rsidRPr="00C921DE">
        <w:rPr>
          <w:rFonts w:ascii="GHEA Grapalat" w:hAnsi="GHEA Grapalat"/>
          <w:sz w:val="22"/>
          <w:szCs w:val="22"/>
        </w:rPr>
        <w:t>պայմանավորված</w:t>
      </w:r>
      <w:r w:rsidRPr="00C921DE">
        <w:rPr>
          <w:rFonts w:ascii="GHEA Grapalat" w:hAnsi="GHEA Grapalat" w:cs="Arial"/>
          <w:sz w:val="22"/>
          <w:szCs w:val="22"/>
        </w:rPr>
        <w:t xml:space="preserve"> են </w:t>
      </w:r>
      <w:r w:rsidRPr="00C921DE">
        <w:rPr>
          <w:rFonts w:ascii="GHEA Grapalat" w:hAnsi="GHEA Grapalat"/>
          <w:sz w:val="22"/>
          <w:szCs w:val="22"/>
        </w:rPr>
        <w:t xml:space="preserve">6 ամսվա աշխատանքային ստաժ չունեցող աշխատողների, </w:t>
      </w:r>
      <w:r w:rsidRPr="00C921DE">
        <w:rPr>
          <w:rFonts w:ascii="GHEA Grapalat" w:hAnsi="GHEA Grapalat" w:cs="Arial"/>
          <w:sz w:val="22"/>
          <w:szCs w:val="22"/>
        </w:rPr>
        <w:t>թափուր հաստիքների առկայությամբ և շահառուների՝ սոցիալական փաթեթից օգտվելու իրավունքի դադարեցման այլ պատճառներով:</w:t>
      </w:r>
    </w:p>
    <w:p w14:paraId="6E4C0DCC" w14:textId="51B789B9" w:rsidR="003E43B0" w:rsidRPr="00C921DE" w:rsidRDefault="003E43B0" w:rsidP="003E43B0">
      <w:pPr>
        <w:tabs>
          <w:tab w:val="left" w:pos="0"/>
        </w:tabs>
        <w:spacing w:line="360" w:lineRule="auto"/>
        <w:ind w:firstLine="540"/>
        <w:jc w:val="both"/>
        <w:rPr>
          <w:rFonts w:ascii="GHEA Grapalat" w:hAnsi="GHEA Grapalat" w:cs="Sylfaen"/>
          <w:sz w:val="22"/>
          <w:szCs w:val="22"/>
        </w:rPr>
      </w:pPr>
      <w:r w:rsidRPr="00C921DE">
        <w:rPr>
          <w:rFonts w:ascii="GHEA Grapalat" w:hAnsi="GHEA Grapalat" w:cs="Sylfaen"/>
          <w:sz w:val="22"/>
          <w:szCs w:val="22"/>
        </w:rPr>
        <w:t xml:space="preserve">2023 թվականի </w:t>
      </w:r>
      <w:r w:rsidRPr="00C921DE">
        <w:rPr>
          <w:rFonts w:ascii="GHEA Grapalat" w:hAnsi="GHEA Grapalat" w:cs="Arial"/>
          <w:sz w:val="22"/>
          <w:szCs w:val="22"/>
        </w:rPr>
        <w:t>ընթացքում շուրջ 3.6</w:t>
      </w:r>
      <w:r w:rsidRPr="00C921DE">
        <w:rPr>
          <w:rFonts w:ascii="GHEA Grapalat" w:hAnsi="GHEA Grapalat"/>
          <w:sz w:val="22"/>
          <w:szCs w:val="22"/>
        </w:rPr>
        <w:t xml:space="preserve"> </w:t>
      </w:r>
      <w:r w:rsidRPr="00C921DE">
        <w:rPr>
          <w:rFonts w:ascii="GHEA Grapalat" w:hAnsi="GHEA Grapalat" w:cs="Arial"/>
          <w:sz w:val="22"/>
          <w:szCs w:val="22"/>
        </w:rPr>
        <w:t>մլրդ</w:t>
      </w:r>
      <w:r w:rsidRPr="00C921DE">
        <w:rPr>
          <w:rFonts w:ascii="GHEA Grapalat" w:hAnsi="GHEA Grapalat"/>
          <w:sz w:val="22"/>
          <w:szCs w:val="22"/>
        </w:rPr>
        <w:t xml:space="preserve"> </w:t>
      </w:r>
      <w:r w:rsidRPr="00C921DE">
        <w:rPr>
          <w:rFonts w:ascii="GHEA Grapalat" w:hAnsi="GHEA Grapalat" w:cs="Arial"/>
          <w:sz w:val="22"/>
          <w:szCs w:val="22"/>
        </w:rPr>
        <w:t xml:space="preserve">դրամ է տրամադրվել </w:t>
      </w:r>
      <w:r w:rsidRPr="00C921DE">
        <w:rPr>
          <w:rFonts w:ascii="GHEA Grapalat" w:hAnsi="GHEA Grapalat" w:cs="Sylfaen"/>
          <w:i/>
          <w:sz w:val="22"/>
          <w:szCs w:val="22"/>
          <w:lang w:val="pt-BR"/>
        </w:rPr>
        <w:t>18 տարեկանից</w:t>
      </w:r>
      <w:r w:rsidRPr="00C921DE">
        <w:rPr>
          <w:rFonts w:ascii="GHEA Grapalat" w:hAnsi="GHEA Grapalat" w:cs="Arial"/>
          <w:i/>
          <w:sz w:val="22"/>
          <w:szCs w:val="22"/>
        </w:rPr>
        <w:t xml:space="preserve"> բարձր տարիքի անձանց</w:t>
      </w:r>
      <w:r w:rsidRPr="00C921DE">
        <w:rPr>
          <w:rFonts w:ascii="GHEA Grapalat" w:hAnsi="GHEA Grapalat"/>
          <w:i/>
          <w:sz w:val="22"/>
          <w:szCs w:val="22"/>
        </w:rPr>
        <w:t xml:space="preserve"> խ</w:t>
      </w:r>
      <w:r w:rsidRPr="00C921DE">
        <w:rPr>
          <w:rFonts w:ascii="GHEA Grapalat" w:hAnsi="GHEA Grapalat" w:cs="Arial"/>
          <w:i/>
          <w:sz w:val="22"/>
          <w:szCs w:val="22"/>
        </w:rPr>
        <w:t>նամքի ծառայությունների</w:t>
      </w:r>
      <w:r w:rsidRPr="00C921DE">
        <w:rPr>
          <w:rFonts w:ascii="GHEA Grapalat" w:hAnsi="GHEA Grapalat" w:cs="Arial"/>
          <w:sz w:val="22"/>
          <w:szCs w:val="22"/>
        </w:rPr>
        <w:t xml:space="preserve"> ծրագրին՝ ապահովելով 95% կատարողական </w:t>
      </w:r>
      <w:r w:rsidRPr="00C921DE">
        <w:rPr>
          <w:rFonts w:ascii="GHEA Grapalat" w:hAnsi="GHEA Grapalat" w:cs="Times Armenian"/>
          <w:sz w:val="22"/>
          <w:szCs w:val="22"/>
        </w:rPr>
        <w:t>և 24.1</w:t>
      </w:r>
      <w:r w:rsidRPr="00C921DE">
        <w:rPr>
          <w:rFonts w:ascii="GHEA Grapalat" w:hAnsi="GHEA Grapalat" w:cs="Sylfaen"/>
          <w:sz w:val="22"/>
          <w:szCs w:val="22"/>
          <w:lang w:val="pt-BR"/>
        </w:rPr>
        <w:t>%</w:t>
      </w:r>
      <w:r w:rsidRPr="00C921DE">
        <w:rPr>
          <w:rFonts w:ascii="GHEA Grapalat" w:hAnsi="GHEA Grapalat" w:cs="Sylfaen"/>
          <w:sz w:val="22"/>
          <w:szCs w:val="22"/>
          <w:lang w:val="pt-BR"/>
        </w:rPr>
        <w:noBreakHyphen/>
        <w:t>ով կամ 693.2 մլն դրամով գերազանցելով նախորդ տարվա ցուցանիշը</w:t>
      </w:r>
      <w:r w:rsidRPr="00C921DE">
        <w:rPr>
          <w:rFonts w:ascii="GHEA Grapalat" w:hAnsi="GHEA Grapalat" w:cs="Times Armenian"/>
          <w:sz w:val="22"/>
          <w:szCs w:val="22"/>
        </w:rPr>
        <w:t xml:space="preserve">: Ծրագրի նկատմամբ շեղումը և նախորդ տարվա համեմատ աճը </w:t>
      </w:r>
      <w:r w:rsidRPr="00C921DE">
        <w:rPr>
          <w:rFonts w:ascii="GHEA Grapalat" w:hAnsi="GHEA Grapalat" w:cs="Arial"/>
          <w:sz w:val="22"/>
          <w:szCs w:val="22"/>
        </w:rPr>
        <w:t>հիմնականում պայմանավորված</w:t>
      </w:r>
      <w:r w:rsidRPr="00C921DE">
        <w:rPr>
          <w:rFonts w:ascii="GHEA Grapalat" w:hAnsi="GHEA Grapalat" w:cs="GHEA Grapalat"/>
          <w:sz w:val="22"/>
          <w:szCs w:val="22"/>
          <w:lang w:val="pt-BR"/>
        </w:rPr>
        <w:t xml:space="preserve"> են</w:t>
      </w:r>
      <w:r w:rsidRPr="00C921DE">
        <w:rPr>
          <w:rFonts w:ascii="GHEA Grapalat" w:hAnsi="GHEA Grapalat" w:cs="Arial"/>
          <w:sz w:val="22"/>
          <w:szCs w:val="22"/>
        </w:rPr>
        <w:t xml:space="preserve"> ծրագրում մեծ տեսակարար կշիռ ունեցող «Տարեց և (կամ) հաշմանդամություն ունեցող անձանց շուրջօրյա խնամքի ծառայություններ»</w:t>
      </w:r>
      <w:r w:rsidRPr="00C921DE">
        <w:rPr>
          <w:rFonts w:ascii="GHEA Grapalat" w:hAnsi="GHEA Grapalat" w:cs="Times Armenian"/>
          <w:sz w:val="22"/>
          <w:szCs w:val="22"/>
        </w:rPr>
        <w:t xml:space="preserve"> </w:t>
      </w:r>
      <w:r w:rsidRPr="00C921DE">
        <w:rPr>
          <w:rFonts w:ascii="GHEA Grapalat" w:hAnsi="GHEA Grapalat" w:cs="Arial"/>
          <w:sz w:val="22"/>
          <w:szCs w:val="22"/>
        </w:rPr>
        <w:t xml:space="preserve">միջոցառման </w:t>
      </w:r>
      <w:r w:rsidRPr="00C921DE">
        <w:rPr>
          <w:rFonts w:ascii="GHEA Grapalat" w:hAnsi="GHEA Grapalat"/>
          <w:sz w:val="22"/>
          <w:szCs w:val="22"/>
        </w:rPr>
        <w:t xml:space="preserve">ծախսերով, որոնք </w:t>
      </w:r>
      <w:r w:rsidRPr="00C921DE">
        <w:rPr>
          <w:rFonts w:ascii="GHEA Grapalat" w:hAnsi="GHEA Grapalat" w:cs="Arial"/>
          <w:sz w:val="22"/>
          <w:szCs w:val="22"/>
        </w:rPr>
        <w:t>կազմել են ավելի քան 3 մլրդ դրամ կամ նախատեսվածի 95.2%-ը: Միջոցառման շրջանակներում շուրջօրյա խնամքի բնակչության սոցիալական պաշտպանության</w:t>
      </w:r>
      <w:r w:rsidRPr="00C921DE">
        <w:rPr>
          <w:rFonts w:ascii="GHEA Grapalat" w:hAnsi="GHEA Grapalat" w:cs="Times Armenian"/>
          <w:sz w:val="22"/>
          <w:szCs w:val="22"/>
        </w:rPr>
        <w:t xml:space="preserve"> հաստատություններում խնամվող տարեցների և հաշմանդամություն ունեցող անձանց </w:t>
      </w:r>
      <w:r w:rsidRPr="00C921DE">
        <w:rPr>
          <w:rFonts w:ascii="GHEA Grapalat" w:hAnsi="GHEA Grapalat"/>
          <w:sz w:val="22"/>
          <w:szCs w:val="22"/>
        </w:rPr>
        <w:t>թիվը կազմել է 1202` կանխատեսված 1336-ի դիմաց և նախորդ տարվա 1129-ի դիմաց</w:t>
      </w:r>
      <w:r w:rsidRPr="00C921DE">
        <w:rPr>
          <w:rFonts w:ascii="GHEA Grapalat" w:hAnsi="GHEA Grapalat" w:cs="Arial"/>
          <w:sz w:val="22"/>
          <w:szCs w:val="22"/>
        </w:rPr>
        <w:t>: Ծրագրից շեղումը և շահառուների՝ կանխատեսվածից փոքր թիվը հիմնականում պայմանավորված են բնակչության սոցիալական պաշտպանության հաստատություններ ցածր դիմելիությամբ և դիմողների՝ ընդունելության չափորոշիչներին չհամապատասխանելու հանգամանքով</w:t>
      </w:r>
      <w:r w:rsidRPr="00C921DE">
        <w:rPr>
          <w:rFonts w:ascii="GHEA Grapalat" w:hAnsi="GHEA Grapalat"/>
          <w:sz w:val="22"/>
          <w:szCs w:val="22"/>
        </w:rPr>
        <w:t>:</w:t>
      </w:r>
      <w:r w:rsidR="004B2D47" w:rsidRPr="00C921DE">
        <w:rPr>
          <w:rFonts w:ascii="GHEA Grapalat" w:hAnsi="GHEA Grapalat"/>
          <w:sz w:val="22"/>
          <w:szCs w:val="22"/>
        </w:rPr>
        <w:t xml:space="preserve"> </w:t>
      </w:r>
      <w:r w:rsidRPr="00C921DE">
        <w:rPr>
          <w:rFonts w:ascii="GHEA Grapalat" w:hAnsi="GHEA Grapalat"/>
          <w:sz w:val="22"/>
          <w:szCs w:val="22"/>
        </w:rPr>
        <w:t>Միջոցառման նպատակն է՝ շուրջօրյա խնամքի ծառայություններ տրամադրել դրանց կարիքն ունեցող տարեց և հաշմանդամություն ունեցող 18 տարին լրացած անձանց` նրանց համար ապահովելով արժանապատիվ կենսապայմաններ: Խնամքի և սոցիալական սպասարկման ծառայությունները ներառում են կացարանի, կենսապահովման համար անհրաժեշտ պայմանների, սննդով, հագուստով, կոշկեղենով, անկողնային պարագաներով ապահովումը, բժշկական օգնության ու սպասարկման, սոցիալ-հոգեբանական և իրավաբանական օգնության տրամադրումը, մշակութային միջոցառումների կազմակերպումը:</w:t>
      </w:r>
      <w:r w:rsidRPr="00C921DE">
        <w:rPr>
          <w:rFonts w:ascii="GHEA Grapalat" w:hAnsi="GHEA Grapalat" w:cs="Sylfaen"/>
          <w:sz w:val="22"/>
          <w:szCs w:val="22"/>
        </w:rPr>
        <w:t xml:space="preserve"> </w:t>
      </w:r>
      <w:r w:rsidRPr="00C921DE">
        <w:rPr>
          <w:rFonts w:ascii="GHEA Grapalat" w:hAnsi="GHEA Grapalat" w:cs="Arial"/>
          <w:sz w:val="22"/>
          <w:szCs w:val="22"/>
        </w:rPr>
        <w:t>Տարեց և (կամ) հաշմանդամություն ունեցող անձանց շուրջօրյա խնամքի ծառայություններ</w:t>
      </w:r>
      <w:r w:rsidR="007110E0" w:rsidRPr="00C921DE">
        <w:rPr>
          <w:rFonts w:ascii="GHEA Grapalat" w:hAnsi="GHEA Grapalat" w:cs="Arial"/>
          <w:sz w:val="22"/>
          <w:szCs w:val="22"/>
          <w:lang w:val="en-US"/>
        </w:rPr>
        <w:t>ի</w:t>
      </w:r>
      <w:r w:rsidRPr="00C921DE">
        <w:rPr>
          <w:rFonts w:ascii="GHEA Grapalat" w:hAnsi="GHEA Grapalat" w:cs="Sylfaen"/>
          <w:sz w:val="22"/>
          <w:szCs w:val="22"/>
          <w:lang w:val="de-AT"/>
        </w:rPr>
        <w:t xml:space="preserve"> </w:t>
      </w:r>
      <w:r w:rsidRPr="00C921DE">
        <w:rPr>
          <w:rFonts w:ascii="GHEA Grapalat" w:hAnsi="GHEA Grapalat" w:cs="Sylfaen"/>
          <w:sz w:val="22"/>
          <w:szCs w:val="22"/>
        </w:rPr>
        <w:t>ծախսերը</w:t>
      </w:r>
      <w:r w:rsidRPr="00C921DE">
        <w:rPr>
          <w:rFonts w:ascii="GHEA Grapalat" w:hAnsi="GHEA Grapalat" w:cs="Sylfaen"/>
          <w:sz w:val="22"/>
          <w:szCs w:val="22"/>
          <w:lang w:val="de-AT"/>
        </w:rPr>
        <w:t xml:space="preserve"> </w:t>
      </w:r>
      <w:r w:rsidRPr="00C921DE">
        <w:rPr>
          <w:rFonts w:ascii="GHEA Grapalat" w:hAnsi="GHEA Grapalat" w:cs="Sylfaen"/>
          <w:sz w:val="22"/>
          <w:szCs w:val="22"/>
        </w:rPr>
        <w:t>նախորդ</w:t>
      </w:r>
      <w:r w:rsidRPr="00C921DE">
        <w:rPr>
          <w:rFonts w:ascii="GHEA Grapalat" w:hAnsi="GHEA Grapalat" w:cs="Sylfaen"/>
          <w:sz w:val="22"/>
          <w:szCs w:val="22"/>
          <w:lang w:val="de-AT"/>
        </w:rPr>
        <w:t xml:space="preserve"> </w:t>
      </w:r>
      <w:r w:rsidRPr="00C921DE">
        <w:rPr>
          <w:rFonts w:ascii="GHEA Grapalat" w:hAnsi="GHEA Grapalat" w:cs="Sylfaen"/>
          <w:sz w:val="22"/>
          <w:szCs w:val="22"/>
        </w:rPr>
        <w:t>տարվա</w:t>
      </w:r>
      <w:r w:rsidRPr="00C921DE">
        <w:rPr>
          <w:rFonts w:ascii="GHEA Grapalat" w:hAnsi="GHEA Grapalat" w:cs="Sylfaen"/>
          <w:sz w:val="22"/>
          <w:szCs w:val="22"/>
          <w:lang w:val="de-AT"/>
        </w:rPr>
        <w:t xml:space="preserve"> </w:t>
      </w:r>
      <w:r w:rsidRPr="00C921DE">
        <w:rPr>
          <w:rFonts w:ascii="GHEA Grapalat" w:hAnsi="GHEA Grapalat" w:cs="Sylfaen"/>
          <w:sz w:val="22"/>
          <w:szCs w:val="22"/>
        </w:rPr>
        <w:t>համեմատ</w:t>
      </w:r>
      <w:r w:rsidRPr="00C921DE">
        <w:rPr>
          <w:rFonts w:ascii="GHEA Grapalat" w:hAnsi="GHEA Grapalat" w:cs="Sylfaen"/>
          <w:sz w:val="22"/>
          <w:szCs w:val="22"/>
          <w:lang w:val="de-AT"/>
        </w:rPr>
        <w:t xml:space="preserve"> աճել </w:t>
      </w:r>
      <w:r w:rsidRPr="00C921DE">
        <w:rPr>
          <w:rFonts w:ascii="GHEA Grapalat" w:hAnsi="GHEA Grapalat" w:cs="Sylfaen"/>
          <w:sz w:val="22"/>
          <w:szCs w:val="22"/>
        </w:rPr>
        <w:t>են</w:t>
      </w:r>
      <w:r w:rsidRPr="00C921DE">
        <w:rPr>
          <w:rFonts w:ascii="GHEA Grapalat" w:hAnsi="GHEA Grapalat" w:cs="Sylfaen"/>
          <w:sz w:val="22"/>
          <w:szCs w:val="22"/>
          <w:lang w:val="de-AT"/>
        </w:rPr>
        <w:t xml:space="preserve"> </w:t>
      </w:r>
      <w:r w:rsidRPr="00C921DE">
        <w:rPr>
          <w:rFonts w:ascii="GHEA Grapalat" w:hAnsi="GHEA Grapalat" w:cs="Sylfaen"/>
          <w:sz w:val="22"/>
          <w:szCs w:val="22"/>
          <w:lang w:val="de-AT"/>
        </w:rPr>
        <w:lastRenderedPageBreak/>
        <w:t>24.8</w:t>
      </w:r>
      <w:r w:rsidR="007110E0" w:rsidRPr="00C921DE">
        <w:rPr>
          <w:rFonts w:ascii="GHEA Grapalat" w:hAnsi="GHEA Grapalat" w:cs="Sylfaen"/>
          <w:sz w:val="22"/>
          <w:szCs w:val="22"/>
          <w:lang w:val="de-AT"/>
        </w:rPr>
        <w:t>%</w:t>
      </w:r>
      <w:r w:rsidR="007110E0" w:rsidRPr="00C921DE">
        <w:rPr>
          <w:rFonts w:ascii="GHEA Grapalat" w:hAnsi="GHEA Grapalat" w:cs="Sylfaen"/>
          <w:sz w:val="22"/>
          <w:szCs w:val="22"/>
          <w:lang w:val="de-AT"/>
        </w:rPr>
        <w:noBreakHyphen/>
      </w:r>
      <w:r w:rsidRPr="00C921DE">
        <w:rPr>
          <w:rFonts w:ascii="GHEA Grapalat" w:hAnsi="GHEA Grapalat" w:cs="Sylfaen"/>
          <w:sz w:val="22"/>
          <w:szCs w:val="22"/>
        </w:rPr>
        <w:t>ով (601.4 մլն դրամով)</w:t>
      </w:r>
      <w:r w:rsidRPr="00C921DE">
        <w:rPr>
          <w:rFonts w:ascii="GHEA Grapalat" w:hAnsi="GHEA Grapalat" w:cs="Sylfaen"/>
          <w:sz w:val="22"/>
          <w:szCs w:val="22"/>
          <w:lang w:val="de-AT"/>
        </w:rPr>
        <w:t xml:space="preserve">, </w:t>
      </w:r>
      <w:r w:rsidRPr="00C921DE">
        <w:rPr>
          <w:rFonts w:ascii="GHEA Grapalat" w:hAnsi="GHEA Grapalat" w:cs="Sylfaen"/>
          <w:sz w:val="22"/>
          <w:szCs w:val="22"/>
        </w:rPr>
        <w:t>որը</w:t>
      </w:r>
      <w:r w:rsidRPr="00C921DE">
        <w:rPr>
          <w:rFonts w:ascii="GHEA Grapalat" w:hAnsi="GHEA Grapalat" w:cs="Sylfaen"/>
          <w:sz w:val="22"/>
          <w:szCs w:val="22"/>
          <w:lang w:val="de-AT"/>
        </w:rPr>
        <w:t xml:space="preserve"> հիմնականում </w:t>
      </w:r>
      <w:r w:rsidRPr="00C921DE">
        <w:rPr>
          <w:rFonts w:ascii="GHEA Grapalat" w:hAnsi="GHEA Grapalat" w:cs="Sylfaen"/>
          <w:sz w:val="22"/>
          <w:szCs w:val="22"/>
        </w:rPr>
        <w:t>պայմանավորված</w:t>
      </w:r>
      <w:r w:rsidRPr="00C921DE">
        <w:rPr>
          <w:rFonts w:ascii="GHEA Grapalat" w:hAnsi="GHEA Grapalat" w:cs="Sylfaen"/>
          <w:sz w:val="22"/>
          <w:szCs w:val="22"/>
          <w:lang w:val="de-AT"/>
        </w:rPr>
        <w:t xml:space="preserve"> </w:t>
      </w:r>
      <w:r w:rsidRPr="00C921DE">
        <w:rPr>
          <w:rFonts w:ascii="GHEA Grapalat" w:hAnsi="GHEA Grapalat" w:cs="Sylfaen"/>
          <w:sz w:val="22"/>
          <w:szCs w:val="22"/>
        </w:rPr>
        <w:t>է</w:t>
      </w:r>
      <w:r w:rsidRPr="00C921DE">
        <w:rPr>
          <w:rFonts w:ascii="GHEA Grapalat" w:hAnsi="GHEA Grapalat" w:cs="Sylfaen"/>
          <w:sz w:val="22"/>
          <w:szCs w:val="22"/>
          <w:lang w:val="de-AT"/>
        </w:rPr>
        <w:t xml:space="preserve"> </w:t>
      </w:r>
      <w:r w:rsidRPr="00C921DE">
        <w:rPr>
          <w:rFonts w:ascii="GHEA Grapalat" w:hAnsi="GHEA Grapalat" w:cs="Sylfaen"/>
          <w:sz w:val="22"/>
          <w:szCs w:val="22"/>
        </w:rPr>
        <w:t>շուրջօրյա խնամք ստացող շահառուների թվի աճով:</w:t>
      </w:r>
    </w:p>
    <w:p w14:paraId="76BA5054" w14:textId="10E80471" w:rsidR="003E43B0" w:rsidRPr="00C921DE" w:rsidRDefault="003E43B0" w:rsidP="00441E4A">
      <w:pPr>
        <w:pStyle w:val="ListParagraph"/>
        <w:spacing w:after="0" w:line="360" w:lineRule="auto"/>
        <w:ind w:left="0" w:firstLine="567"/>
        <w:jc w:val="both"/>
        <w:rPr>
          <w:rFonts w:ascii="GHEA Grapalat" w:hAnsi="GHEA Grapalat" w:cs="Times Armenian"/>
          <w:lang w:val="hy-AM"/>
        </w:rPr>
      </w:pPr>
      <w:r w:rsidRPr="00C921DE">
        <w:rPr>
          <w:rFonts w:ascii="GHEA Grapalat" w:hAnsi="GHEA Grapalat"/>
          <w:lang w:val="hy-AM"/>
        </w:rPr>
        <w:t xml:space="preserve">2023 </w:t>
      </w:r>
      <w:r w:rsidRPr="00C921DE">
        <w:rPr>
          <w:rFonts w:ascii="GHEA Grapalat" w:hAnsi="GHEA Grapalat" w:cs="Arial"/>
          <w:lang w:val="hy-AM"/>
        </w:rPr>
        <w:t>թվականի ընթացքում</w:t>
      </w:r>
      <w:r w:rsidRPr="00C921DE">
        <w:rPr>
          <w:rFonts w:ascii="GHEA Grapalat" w:hAnsi="GHEA Grapalat" w:cs="Sylfaen"/>
          <w:i/>
          <w:lang w:val="hy-AM"/>
        </w:rPr>
        <w:t xml:space="preserve"> Ընտանիքներին, կանանց և երեխաներին աջակցության</w:t>
      </w:r>
      <w:r w:rsidRPr="00C921DE">
        <w:rPr>
          <w:rFonts w:ascii="GHEA Grapalat" w:hAnsi="GHEA Grapalat" w:cs="Sylfaen"/>
          <w:lang w:val="hy-AM"/>
        </w:rPr>
        <w:t xml:space="preserve"> ծրագրի շրջանակներում օգտագործվել է ավելի քան 4 մլրդ դրամ՝ կազմելով ծրագրված </w:t>
      </w:r>
      <w:r w:rsidR="007110E0" w:rsidRPr="00C921DE">
        <w:rPr>
          <w:rFonts w:ascii="GHEA Grapalat" w:hAnsi="GHEA Grapalat" w:cs="Times New Roman"/>
          <w:noProof/>
          <w:lang w:val="hy-AM" w:eastAsia="en-US"/>
        </w:rPr>
        <w:t>ցուցանիշի 92.9%-ը</w:t>
      </w:r>
      <w:r w:rsidR="007110E0" w:rsidRPr="00C921DE">
        <w:rPr>
          <w:rFonts w:ascii="GHEA Grapalat" w:hAnsi="GHEA Grapalat" w:cs="Times New Roman"/>
          <w:noProof/>
          <w:lang w:val="en-US" w:eastAsia="en-US"/>
        </w:rPr>
        <w:t>:</w:t>
      </w:r>
      <w:r w:rsidRPr="00C921DE">
        <w:rPr>
          <w:rFonts w:ascii="GHEA Grapalat" w:hAnsi="GHEA Grapalat" w:cs="Times New Roman"/>
          <w:noProof/>
          <w:lang w:val="hy-AM" w:eastAsia="en-US"/>
        </w:rPr>
        <w:t xml:space="preserve"> </w:t>
      </w:r>
      <w:r w:rsidR="007110E0" w:rsidRPr="00C921DE">
        <w:rPr>
          <w:rFonts w:ascii="GHEA Grapalat" w:hAnsi="GHEA Grapalat" w:cs="Times New Roman"/>
          <w:noProof/>
          <w:lang w:val="en-US" w:eastAsia="en-US"/>
        </w:rPr>
        <w:t>Ծ</w:t>
      </w:r>
      <w:r w:rsidR="007110E0" w:rsidRPr="00C921DE">
        <w:rPr>
          <w:rFonts w:ascii="GHEA Grapalat" w:hAnsi="GHEA Grapalat" w:cs="Times New Roman"/>
          <w:noProof/>
          <w:lang w:val="hy-AM" w:eastAsia="en-US"/>
        </w:rPr>
        <w:t>րագրում ընդգրկված</w:t>
      </w:r>
      <w:r w:rsidR="004B2D47" w:rsidRPr="00C921DE">
        <w:rPr>
          <w:rFonts w:ascii="GHEA Grapalat" w:hAnsi="GHEA Grapalat" w:cs="Times New Roman"/>
          <w:noProof/>
          <w:lang w:val="hy-AM" w:eastAsia="en-US"/>
        </w:rPr>
        <w:t xml:space="preserve"> </w:t>
      </w:r>
      <w:r w:rsidR="007110E0" w:rsidRPr="00C921DE">
        <w:rPr>
          <w:rFonts w:ascii="GHEA Grapalat" w:hAnsi="GHEA Grapalat" w:cs="Times New Roman"/>
          <w:noProof/>
          <w:lang w:val="hy-AM" w:eastAsia="en-US"/>
        </w:rPr>
        <w:t>միջոցառումներ</w:t>
      </w:r>
      <w:r w:rsidR="007110E0" w:rsidRPr="00C921DE">
        <w:rPr>
          <w:rFonts w:ascii="GHEA Grapalat" w:hAnsi="GHEA Grapalat" w:cs="Times New Roman"/>
          <w:noProof/>
          <w:lang w:val="en-US" w:eastAsia="en-US"/>
        </w:rPr>
        <w:t>ի մեծամասնության գծով</w:t>
      </w:r>
      <w:r w:rsidRPr="00C921DE">
        <w:rPr>
          <w:rFonts w:ascii="GHEA Grapalat" w:hAnsi="GHEA Grapalat" w:cs="Times New Roman"/>
          <w:noProof/>
          <w:lang w:val="hy-AM" w:eastAsia="en-US"/>
        </w:rPr>
        <w:t xml:space="preserve"> արձանագրվել են շեղումներ: Ծրագիրն ուղղված է ընտանիքներին՝ կանանց և երեխաներին մատուցվող սոցիալական ծառայությունների և դրանց հասցեականության </w:t>
      </w:r>
      <w:r w:rsidR="00F72135" w:rsidRPr="00C921DE">
        <w:rPr>
          <w:rFonts w:ascii="GHEA Grapalat" w:hAnsi="GHEA Grapalat" w:cs="Times New Roman"/>
          <w:noProof/>
          <w:lang w:val="hy-AM" w:eastAsia="en-US"/>
        </w:rPr>
        <w:t>բարելավմանը, նրանց՝ հասարակության</w:t>
      </w:r>
      <w:r w:rsidRPr="00C921DE">
        <w:rPr>
          <w:rFonts w:ascii="GHEA Grapalat" w:hAnsi="GHEA Grapalat" w:cs="Times New Roman"/>
          <w:noProof/>
          <w:lang w:val="hy-AM" w:eastAsia="en-US"/>
        </w:rPr>
        <w:t>ն ինտեգրմանը: Նախորդ տարվա համեմատ Ընտանիքներին, կանանց և երեխաներին աջակցության ծրագրի ծախսերն աճել են 33%</w:t>
      </w:r>
      <w:r w:rsidRPr="00C921DE">
        <w:rPr>
          <w:rFonts w:ascii="GHEA Grapalat" w:hAnsi="GHEA Grapalat" w:cs="Times New Roman"/>
          <w:noProof/>
          <w:lang w:val="hy-AM" w:eastAsia="en-US"/>
        </w:rPr>
        <w:noBreakHyphen/>
        <w:t>ով կամ 997.8 մլն դրամով` հիմնականում պայմանավորված երեխաների շուրջօրյա խնամքի ծառայությունների և երեխաների</w:t>
      </w:r>
      <w:r w:rsidR="004B2D47" w:rsidRPr="00C921DE">
        <w:rPr>
          <w:rFonts w:ascii="GHEA Grapalat" w:hAnsi="GHEA Grapalat" w:cs="Times New Roman"/>
          <w:noProof/>
          <w:lang w:val="hy-AM" w:eastAsia="en-US"/>
        </w:rPr>
        <w:t xml:space="preserve"> </w:t>
      </w:r>
      <w:r w:rsidRPr="00C921DE">
        <w:rPr>
          <w:rFonts w:ascii="GHEA Grapalat" w:hAnsi="GHEA Grapalat" w:cs="Times New Roman"/>
          <w:noProof/>
          <w:lang w:val="hy-AM" w:eastAsia="en-US"/>
        </w:rPr>
        <w:t>խնամքի ց</w:t>
      </w:r>
      <w:r w:rsidRPr="00C921DE">
        <w:rPr>
          <w:rFonts w:ascii="GHEA Grapalat" w:hAnsi="GHEA Grapalat" w:cs="Times Armenian"/>
          <w:lang w:val="hy-AM"/>
        </w:rPr>
        <w:t>երեկային ծառայությունների տրամադրման գծով ծախսերի աճով:</w:t>
      </w:r>
    </w:p>
    <w:p w14:paraId="64A8A538" w14:textId="77777777" w:rsidR="003E43B0" w:rsidRPr="00C921DE" w:rsidRDefault="003E43B0" w:rsidP="00441E4A">
      <w:pPr>
        <w:pStyle w:val="ListParagraph"/>
        <w:spacing w:after="0" w:line="360" w:lineRule="auto"/>
        <w:ind w:left="0" w:firstLine="567"/>
        <w:jc w:val="both"/>
        <w:rPr>
          <w:rFonts w:ascii="GHEA Grapalat" w:hAnsi="GHEA Grapalat" w:cs="Times New Roman"/>
          <w:noProof/>
          <w:lang w:val="hy-AM" w:eastAsia="en-US"/>
        </w:rPr>
      </w:pPr>
      <w:r w:rsidRPr="00C921DE">
        <w:rPr>
          <w:rFonts w:ascii="GHEA Grapalat" w:hAnsi="GHEA Grapalat" w:cs="Times Armenian"/>
          <w:lang w:val="hy-AM"/>
        </w:rPr>
        <w:t xml:space="preserve">Երեխաների շուրջօրյա խնամքի </w:t>
      </w:r>
      <w:r w:rsidRPr="00C921DE">
        <w:rPr>
          <w:rFonts w:ascii="GHEA Grapalat" w:hAnsi="GHEA Grapalat" w:cs="Sylfaen"/>
          <w:lang w:val="hy-AM"/>
        </w:rPr>
        <w:t xml:space="preserve">ծառայությունների միջոցառման շրջանակներում հաշվետու տարում բնակչության սոցիալական պաշտպանության ընդհանուր տիպի և հատուկ/մասնագիտացված 5 </w:t>
      </w:r>
      <w:r w:rsidRPr="00C921DE">
        <w:rPr>
          <w:rFonts w:ascii="GHEA Grapalat" w:hAnsi="GHEA Grapalat" w:cs="Times New Roman"/>
          <w:noProof/>
          <w:lang w:val="hy-AM" w:eastAsia="en-US"/>
        </w:rPr>
        <w:t>հաստատություններում խնամվել է 589 երեխա՝ կանխատեսված 615-ի և նախորդ տարվա 573-ի դիմաց: Կանխատեսվածի համեմատ երեխաների փոքր թիվը պայմանավորված է առանց ծնողական խնամքի մնացած երեխաներին այլընտրանքային խնամքի տրամադրմամբ, նրանց կենսաբանական ընտանիքներ վերադարձնելով:</w:t>
      </w:r>
      <w:r w:rsidRPr="00C921DE">
        <w:rPr>
          <w:rFonts w:ascii="GHEA Grapalat" w:hAnsi="GHEA Grapalat" w:cs="Sylfaen"/>
          <w:color w:val="FF0000"/>
          <w:lang w:val="hy-AM"/>
        </w:rPr>
        <w:t xml:space="preserve"> </w:t>
      </w:r>
      <w:r w:rsidRPr="00C921DE">
        <w:rPr>
          <w:rFonts w:ascii="GHEA Grapalat" w:hAnsi="GHEA Grapalat" w:cs="Sylfaen"/>
          <w:lang w:val="hy-AM"/>
        </w:rPr>
        <w:t xml:space="preserve">Ընտանիքներին, կանանց </w:t>
      </w:r>
      <w:r w:rsidRPr="00C921DE">
        <w:rPr>
          <w:rFonts w:ascii="GHEA Grapalat" w:hAnsi="GHEA Grapalat" w:cs="Times New Roman"/>
          <w:noProof/>
          <w:lang w:val="hy-AM" w:eastAsia="en-US"/>
        </w:rPr>
        <w:t>և երեխաներին աջակցության ծրագրին հատկացված միջոցների գերակշիռ մասն ուղղվել է տվյալ միջոցառմանը, որի շրջանակներում օգտագործվել է ծրագրված միջոցների 97.5%-ը՝ 2.4 մլրդ դրամ: Շեղումը պայմանավորված է շահառուների՝ կանխատեսվածից պակաս թվով և դրանով պայմանավորված՝ սննդի ու այլ ծառայությունների գծով ծախսերի տնտեսմամբ: Նախորդ տարվա համեմատ նշված միջոցառման ծախսերն աճել են 27%-ով (508.2 մլն դրամով),</w:t>
      </w:r>
      <w:r w:rsidRPr="00C921DE">
        <w:rPr>
          <w:rFonts w:ascii="GHEA Grapalat" w:hAnsi="GHEA Grapalat" w:cs="Sylfaen"/>
          <w:lang w:val="de-AT"/>
        </w:rPr>
        <w:t xml:space="preserve"> </w:t>
      </w:r>
      <w:r w:rsidRPr="00C921DE">
        <w:rPr>
          <w:rFonts w:ascii="GHEA Grapalat" w:hAnsi="GHEA Grapalat" w:cs="Times New Roman"/>
          <w:noProof/>
          <w:lang w:val="hy-AM" w:eastAsia="en-US"/>
        </w:rPr>
        <w:t>որը պայմանավորված է խնամք ստացող շահառուների թվի աճով:</w:t>
      </w:r>
    </w:p>
    <w:p w14:paraId="6605FD65" w14:textId="77777777" w:rsidR="00C56BD7" w:rsidRPr="00C921DE" w:rsidRDefault="00C56BD7" w:rsidP="00441E4A">
      <w:pPr>
        <w:pStyle w:val="ListParagraph"/>
        <w:spacing w:after="0" w:line="360" w:lineRule="auto"/>
        <w:ind w:left="0" w:firstLine="567"/>
        <w:jc w:val="both"/>
        <w:rPr>
          <w:rFonts w:ascii="GHEA Grapalat" w:hAnsi="GHEA Grapalat" w:cs="Times New Roman"/>
          <w:noProof/>
          <w:lang w:val="hy-AM" w:eastAsia="en-US"/>
        </w:rPr>
      </w:pPr>
    </w:p>
    <w:p w14:paraId="5864929B" w14:textId="140550DC" w:rsidR="00CD04D2" w:rsidRPr="00C921DE" w:rsidRDefault="00C56BD7"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 xml:space="preserve">ՀՀ </w:t>
      </w:r>
      <w:r w:rsidRPr="00C921DE">
        <w:rPr>
          <w:rFonts w:ascii="GHEA Grapalat" w:hAnsi="GHEA Grapalat" w:cs="Arial"/>
          <w:i/>
          <w:sz w:val="22"/>
          <w:szCs w:val="22"/>
          <w:u w:val="single"/>
        </w:rPr>
        <w:t>բ</w:t>
      </w:r>
      <w:r w:rsidRPr="00C921DE">
        <w:rPr>
          <w:rFonts w:ascii="GHEA Grapalat" w:hAnsi="GHEA Grapalat" w:cs="GHEA Grapalat"/>
          <w:i/>
          <w:sz w:val="22"/>
          <w:szCs w:val="22"/>
          <w:u w:val="single"/>
        </w:rPr>
        <w:t>արձր տեխնոլոգիական արդյունաբերության նախարարության</w:t>
      </w:r>
      <w:r w:rsidRPr="00C921DE">
        <w:rPr>
          <w:rFonts w:ascii="GHEA Grapalat" w:hAnsi="GHEA Grapalat" w:cs="GHEA Grapalat"/>
          <w:sz w:val="22"/>
          <w:szCs w:val="22"/>
        </w:rPr>
        <w:t xml:space="preserve"> </w:t>
      </w:r>
      <w:r w:rsidR="00CD04D2" w:rsidRPr="00C921DE">
        <w:rPr>
          <w:rFonts w:ascii="GHEA Grapalat" w:hAnsi="GHEA Grapalat" w:cs="Times Armenian"/>
          <w:sz w:val="22"/>
          <w:szCs w:val="22"/>
        </w:rPr>
        <w:t>պատասխանատվությամբ 2023</w:t>
      </w:r>
      <w:r w:rsidR="00CD04D2" w:rsidRPr="00C921DE">
        <w:rPr>
          <w:rFonts w:ascii="GHEA Grapalat" w:hAnsi="GHEA Grapalat" w:cs="GHEA Grapalat"/>
          <w:sz w:val="22"/>
          <w:szCs w:val="22"/>
        </w:rPr>
        <w:t xml:space="preserve"> թվականի </w:t>
      </w:r>
      <w:r w:rsidR="00CD04D2" w:rsidRPr="00C921DE">
        <w:rPr>
          <w:rFonts w:ascii="GHEA Grapalat" w:hAnsi="GHEA Grapalat" w:cs="Sylfaen"/>
          <w:sz w:val="22"/>
          <w:szCs w:val="22"/>
        </w:rPr>
        <w:t>ընթացք</w:t>
      </w:r>
      <w:r w:rsidR="00CD04D2" w:rsidRPr="00C921DE">
        <w:rPr>
          <w:rFonts w:ascii="GHEA Grapalat" w:hAnsi="GHEA Grapalat" w:cs="GHEA Grapalat"/>
          <w:sz w:val="22"/>
          <w:szCs w:val="22"/>
        </w:rPr>
        <w:t>ում կատարվել է պետական բյուջեի 4 ծրագիր: Ծախսերը կազմել են շուրջ</w:t>
      </w:r>
      <w:r w:rsidR="00CD04D2" w:rsidRPr="00C921DE">
        <w:rPr>
          <w:rFonts w:ascii="Calibri" w:hAnsi="Calibri" w:cs="Calibri"/>
          <w:sz w:val="22"/>
          <w:szCs w:val="22"/>
        </w:rPr>
        <w:t> </w:t>
      </w:r>
      <w:r w:rsidR="00CD04D2" w:rsidRPr="00C921DE">
        <w:rPr>
          <w:rFonts w:ascii="GHEA Grapalat" w:hAnsi="GHEA Grapalat" w:cs="GHEA Grapalat"/>
          <w:sz w:val="22"/>
          <w:szCs w:val="22"/>
        </w:rPr>
        <w:t>22.1</w:t>
      </w:r>
      <w:r w:rsidR="00CD04D2" w:rsidRPr="00C921DE">
        <w:rPr>
          <w:rFonts w:ascii="Courier New" w:hAnsi="Courier New" w:cs="Courier New"/>
          <w:sz w:val="22"/>
          <w:szCs w:val="22"/>
        </w:rPr>
        <w:t> </w:t>
      </w:r>
      <w:r w:rsidR="00CD04D2" w:rsidRPr="00C921DE">
        <w:rPr>
          <w:rFonts w:ascii="GHEA Grapalat" w:hAnsi="GHEA Grapalat" w:cs="GHEA Grapalat"/>
          <w:sz w:val="22"/>
          <w:szCs w:val="22"/>
        </w:rPr>
        <w:t xml:space="preserve">մլրդ դրամ կամ </w:t>
      </w:r>
      <w:r w:rsidR="00B47042" w:rsidRPr="00C921DE">
        <w:rPr>
          <w:rFonts w:ascii="GHEA Grapalat" w:hAnsi="GHEA Grapalat" w:cs="GHEA Grapalat"/>
          <w:sz w:val="22"/>
          <w:szCs w:val="22"/>
          <w:lang w:val="en-US"/>
        </w:rPr>
        <w:t>ծրագրված ցուցանիշի</w:t>
      </w:r>
      <w:r w:rsidR="00CD04D2" w:rsidRPr="00C921DE">
        <w:rPr>
          <w:rFonts w:ascii="GHEA Grapalat" w:hAnsi="GHEA Grapalat" w:cs="GHEA Grapalat"/>
          <w:sz w:val="22"/>
          <w:szCs w:val="22"/>
        </w:rPr>
        <w:t xml:space="preserve"> 87%</w:t>
      </w:r>
      <w:r w:rsidR="00CD04D2" w:rsidRPr="00C921DE">
        <w:rPr>
          <w:rFonts w:ascii="GHEA Grapalat" w:hAnsi="GHEA Grapalat" w:cs="GHEA Grapalat"/>
          <w:sz w:val="22"/>
          <w:szCs w:val="22"/>
        </w:rPr>
        <w:noBreakHyphen/>
        <w:t>ը: Շեղումը հիմնականում պայմանավորված է Բարձր տեխնոլոգիական արդյունաբերության էկոհամակարգի, թվայնացման և շուկայի զարգացման ծրագրի կատարողականով: Հիմնականում վերջինիս ծախսերի աճի</w:t>
      </w:r>
      <w:r w:rsidR="004B2D47" w:rsidRPr="00C921DE">
        <w:rPr>
          <w:rFonts w:ascii="GHEA Grapalat" w:hAnsi="GHEA Grapalat" w:cs="GHEA Grapalat"/>
          <w:sz w:val="22"/>
          <w:szCs w:val="22"/>
        </w:rPr>
        <w:t xml:space="preserve"> </w:t>
      </w:r>
      <w:r w:rsidR="00CD04D2" w:rsidRPr="00C921DE">
        <w:rPr>
          <w:rFonts w:ascii="GHEA Grapalat" w:hAnsi="GHEA Grapalat" w:cs="GHEA Grapalat"/>
          <w:sz w:val="22"/>
          <w:szCs w:val="22"/>
        </w:rPr>
        <w:t>արդյունքում նախորդ տարվա համեմատ ՀՀ ԲՏԱՆ ծախսերն աճել են 91.4%</w:t>
      </w:r>
      <w:r w:rsidR="00CD04D2" w:rsidRPr="00C921DE">
        <w:rPr>
          <w:rFonts w:ascii="GHEA Grapalat" w:hAnsi="GHEA Grapalat" w:cs="GHEA Grapalat"/>
          <w:sz w:val="22"/>
          <w:szCs w:val="22"/>
        </w:rPr>
        <w:noBreakHyphen/>
        <w:t>ով կամ շուրջ 10.6 մլրդ դրամով:</w:t>
      </w:r>
    </w:p>
    <w:p w14:paraId="25593899" w14:textId="77777777" w:rsidR="00CD04D2" w:rsidRPr="00C921DE" w:rsidRDefault="00CD04D2" w:rsidP="005772F6">
      <w:pPr>
        <w:autoSpaceDE w:val="0"/>
        <w:autoSpaceDN w:val="0"/>
        <w:adjustRightInd w:val="0"/>
        <w:ind w:firstLine="567"/>
        <w:jc w:val="both"/>
        <w:rPr>
          <w:rFonts w:ascii="GHEA Grapalat" w:hAnsi="GHEA Grapalat" w:cs="GHEA Grapalat"/>
          <w:sz w:val="22"/>
          <w:szCs w:val="22"/>
        </w:rPr>
      </w:pPr>
    </w:p>
    <w:p w14:paraId="6ADD1BD2" w14:textId="77777777" w:rsidR="00CD04D2" w:rsidRPr="00C921DE" w:rsidRDefault="00CD04D2" w:rsidP="00CD04D2">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lastRenderedPageBreak/>
        <w:t>2023թ. ՀՀ բարձր տեխնոլոգիական արդյունաբերության նախարարության կողմից իրականացված ծրագրերը (մլն</w:t>
      </w:r>
      <w:r w:rsidRPr="00C921DE">
        <w:rPr>
          <w:rFonts w:ascii="Courier New" w:hAnsi="Courier New" w:cs="Courier New"/>
          <w:i/>
          <w:sz w:val="18"/>
          <w:szCs w:val="18"/>
          <w:lang w:val="hy-AM"/>
        </w:rPr>
        <w:t> </w:t>
      </w:r>
      <w:r w:rsidRPr="00C921DE">
        <w:rPr>
          <w:rFonts w:ascii="GHEA Grapalat" w:hAnsi="GHEA Grapalat" w:cs="GHEA Grapalat"/>
          <w:i/>
          <w:sz w:val="18"/>
          <w:szCs w:val="18"/>
          <w:lang w:val="hy-AM"/>
        </w:rPr>
        <w:t>դրամ</w:t>
      </w:r>
      <w:r w:rsidRPr="00C921DE">
        <w:rPr>
          <w:rFonts w:ascii="GHEA Grapalat" w:hAnsi="GHEA Grapalat"/>
          <w:i/>
          <w:sz w:val="18"/>
          <w:szCs w:val="18"/>
          <w:lang w:val="hy-AM"/>
        </w:rPr>
        <w:t>)</w:t>
      </w:r>
    </w:p>
    <w:tbl>
      <w:tblPr>
        <w:tblW w:w="10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08"/>
        <w:gridCol w:w="1263"/>
        <w:gridCol w:w="968"/>
        <w:gridCol w:w="993"/>
        <w:gridCol w:w="1203"/>
        <w:gridCol w:w="1203"/>
        <w:gridCol w:w="1048"/>
      </w:tblGrid>
      <w:tr w:rsidR="00D61F4C" w:rsidRPr="00C921DE" w14:paraId="1AE9115D" w14:textId="77777777" w:rsidTr="00D61F4C">
        <w:trPr>
          <w:trHeight w:val="300"/>
          <w:jc w:val="center"/>
        </w:trPr>
        <w:tc>
          <w:tcPr>
            <w:tcW w:w="3608" w:type="dxa"/>
            <w:noWrap/>
            <w:vAlign w:val="bottom"/>
          </w:tcPr>
          <w:p w14:paraId="3F814A1D" w14:textId="77777777" w:rsidR="00D61F4C" w:rsidRPr="00C921DE" w:rsidRDefault="00D61F4C" w:rsidP="00D61F4C">
            <w:pPr>
              <w:rPr>
                <w:noProof w:val="0"/>
                <w:sz w:val="20"/>
                <w:szCs w:val="20"/>
              </w:rPr>
            </w:pPr>
          </w:p>
        </w:tc>
        <w:tc>
          <w:tcPr>
            <w:tcW w:w="1263" w:type="dxa"/>
          </w:tcPr>
          <w:p w14:paraId="5E051A11"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2</w:t>
            </w:r>
            <w:r w:rsidRPr="00C921DE">
              <w:rPr>
                <w:rFonts w:ascii="GHEA Grapalat" w:hAnsi="GHEA Grapalat" w:cs="Calibri"/>
                <w:b/>
                <w:sz w:val="18"/>
                <w:szCs w:val="18"/>
              </w:rPr>
              <w:t>թ. փաստ</w:t>
            </w:r>
          </w:p>
        </w:tc>
        <w:tc>
          <w:tcPr>
            <w:tcW w:w="968" w:type="dxa"/>
          </w:tcPr>
          <w:p w14:paraId="04C5EEB9" w14:textId="345732F6"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993" w:type="dxa"/>
            <w:noWrap/>
          </w:tcPr>
          <w:p w14:paraId="3863DBF1" w14:textId="237DA220"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03" w:type="dxa"/>
          </w:tcPr>
          <w:p w14:paraId="69F970E2" w14:textId="0A32B631"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03" w:type="dxa"/>
          </w:tcPr>
          <w:p w14:paraId="216C811E" w14:textId="284CEDAA" w:rsidR="00D61F4C" w:rsidRPr="00C921DE" w:rsidRDefault="00D61F4C" w:rsidP="00D61F4C">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048" w:type="dxa"/>
          </w:tcPr>
          <w:p w14:paraId="5AA22EC5" w14:textId="77777777" w:rsidR="00D61F4C" w:rsidRPr="00C921DE" w:rsidRDefault="00D61F4C" w:rsidP="00D61F4C">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և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տարբե-րությունը</w:t>
            </w:r>
          </w:p>
        </w:tc>
      </w:tr>
      <w:tr w:rsidR="00CD04D2" w:rsidRPr="00C921DE" w14:paraId="32A6C4A8" w14:textId="77777777" w:rsidTr="00D61F4C">
        <w:trPr>
          <w:trHeight w:val="331"/>
          <w:jc w:val="center"/>
        </w:trPr>
        <w:tc>
          <w:tcPr>
            <w:tcW w:w="3608" w:type="dxa"/>
          </w:tcPr>
          <w:p w14:paraId="7A4BCF6F" w14:textId="77777777" w:rsidR="00CD04D2" w:rsidRPr="00C921DE" w:rsidRDefault="00CD04D2" w:rsidP="00CD04D2">
            <w:pPr>
              <w:rPr>
                <w:rFonts w:ascii="GHEA Grapalat" w:hAnsi="GHEA Grapalat" w:cs="Calibri"/>
                <w:b/>
                <w:sz w:val="18"/>
                <w:szCs w:val="18"/>
              </w:rPr>
            </w:pPr>
            <w:r w:rsidRPr="00C921DE">
              <w:rPr>
                <w:rFonts w:ascii="GHEA Grapalat" w:hAnsi="GHEA Grapalat"/>
                <w:b/>
                <w:sz w:val="18"/>
                <w:szCs w:val="18"/>
              </w:rPr>
              <w:t>ԸՆԴԱՄԵՆԸ</w:t>
            </w:r>
          </w:p>
        </w:tc>
        <w:tc>
          <w:tcPr>
            <w:tcW w:w="1263" w:type="dxa"/>
            <w:vAlign w:val="bottom"/>
          </w:tcPr>
          <w:p w14:paraId="4961CD6F" w14:textId="77777777" w:rsidR="00CD04D2" w:rsidRPr="00C921DE" w:rsidRDefault="00CD04D2" w:rsidP="00CD04D2">
            <w:pPr>
              <w:jc w:val="right"/>
              <w:rPr>
                <w:rFonts w:ascii="GHEA Grapalat" w:hAnsi="GHEA Grapalat"/>
                <w:b/>
                <w:bCs/>
                <w:noProof w:val="0"/>
                <w:sz w:val="18"/>
                <w:szCs w:val="18"/>
                <w:lang w:val="en-US"/>
              </w:rPr>
            </w:pPr>
            <w:r w:rsidRPr="00C921DE">
              <w:rPr>
                <w:rFonts w:ascii="GHEA Grapalat" w:hAnsi="GHEA Grapalat"/>
                <w:b/>
                <w:bCs/>
                <w:sz w:val="18"/>
                <w:szCs w:val="18"/>
              </w:rPr>
              <w:t>11,539.2</w:t>
            </w:r>
          </w:p>
        </w:tc>
        <w:tc>
          <w:tcPr>
            <w:tcW w:w="968" w:type="dxa"/>
            <w:vAlign w:val="bottom"/>
          </w:tcPr>
          <w:p w14:paraId="4812FBC2"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25,385.2</w:t>
            </w:r>
          </w:p>
        </w:tc>
        <w:tc>
          <w:tcPr>
            <w:tcW w:w="993" w:type="dxa"/>
            <w:vAlign w:val="bottom"/>
          </w:tcPr>
          <w:p w14:paraId="1B51128D"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22,090.9</w:t>
            </w:r>
          </w:p>
        </w:tc>
        <w:tc>
          <w:tcPr>
            <w:tcW w:w="1203" w:type="dxa"/>
            <w:vAlign w:val="bottom"/>
          </w:tcPr>
          <w:p w14:paraId="1041733B"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87.0</w:t>
            </w:r>
          </w:p>
        </w:tc>
        <w:tc>
          <w:tcPr>
            <w:tcW w:w="1203" w:type="dxa"/>
            <w:vAlign w:val="bottom"/>
          </w:tcPr>
          <w:p w14:paraId="39EE6744"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191.4</w:t>
            </w:r>
          </w:p>
        </w:tc>
        <w:tc>
          <w:tcPr>
            <w:tcW w:w="1048" w:type="dxa"/>
            <w:vAlign w:val="bottom"/>
          </w:tcPr>
          <w:p w14:paraId="09FC6476"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10,551.7</w:t>
            </w:r>
          </w:p>
        </w:tc>
      </w:tr>
      <w:tr w:rsidR="00CD04D2" w:rsidRPr="00C921DE" w14:paraId="3343854D" w14:textId="77777777" w:rsidTr="00D61F4C">
        <w:trPr>
          <w:trHeight w:val="331"/>
          <w:jc w:val="center"/>
        </w:trPr>
        <w:tc>
          <w:tcPr>
            <w:tcW w:w="3608" w:type="dxa"/>
          </w:tcPr>
          <w:p w14:paraId="42D326F1" w14:textId="77777777" w:rsidR="00CD04D2" w:rsidRPr="00C921DE" w:rsidRDefault="00CD04D2" w:rsidP="00CD04D2">
            <w:pPr>
              <w:rPr>
                <w:rFonts w:ascii="GHEA Grapalat" w:hAnsi="GHEA Grapalat"/>
                <w:sz w:val="18"/>
                <w:szCs w:val="18"/>
              </w:rPr>
            </w:pPr>
            <w:r w:rsidRPr="00C921DE">
              <w:rPr>
                <w:rFonts w:ascii="GHEA Grapalat" w:hAnsi="GHEA Grapalat"/>
                <w:sz w:val="18"/>
                <w:szCs w:val="18"/>
              </w:rPr>
              <w:t>Բարձր տեխնոլոգիական արդյունաբերության էկոհամակարգի և շուկայի զարգացման ծրագիր</w:t>
            </w:r>
          </w:p>
        </w:tc>
        <w:tc>
          <w:tcPr>
            <w:tcW w:w="1263" w:type="dxa"/>
            <w:vAlign w:val="bottom"/>
          </w:tcPr>
          <w:p w14:paraId="3989B116"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6,441.3</w:t>
            </w:r>
          </w:p>
        </w:tc>
        <w:tc>
          <w:tcPr>
            <w:tcW w:w="968" w:type="dxa"/>
            <w:vAlign w:val="bottom"/>
          </w:tcPr>
          <w:p w14:paraId="725B620B"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19,518.9</w:t>
            </w:r>
          </w:p>
        </w:tc>
        <w:tc>
          <w:tcPr>
            <w:tcW w:w="993" w:type="dxa"/>
            <w:vAlign w:val="bottom"/>
          </w:tcPr>
          <w:p w14:paraId="36CD4405"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17,082.5</w:t>
            </w:r>
          </w:p>
        </w:tc>
        <w:tc>
          <w:tcPr>
            <w:tcW w:w="1203" w:type="dxa"/>
            <w:vAlign w:val="bottom"/>
          </w:tcPr>
          <w:p w14:paraId="7BB74FC0"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87.5</w:t>
            </w:r>
          </w:p>
        </w:tc>
        <w:tc>
          <w:tcPr>
            <w:tcW w:w="1203" w:type="dxa"/>
            <w:vAlign w:val="bottom"/>
          </w:tcPr>
          <w:p w14:paraId="427B7415"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265.2</w:t>
            </w:r>
          </w:p>
        </w:tc>
        <w:tc>
          <w:tcPr>
            <w:tcW w:w="1048" w:type="dxa"/>
            <w:vAlign w:val="bottom"/>
          </w:tcPr>
          <w:p w14:paraId="152122DF"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10,641.3</w:t>
            </w:r>
          </w:p>
        </w:tc>
      </w:tr>
      <w:tr w:rsidR="00CD04D2" w:rsidRPr="00C921DE" w14:paraId="6C3E22F2" w14:textId="77777777" w:rsidTr="00D61F4C">
        <w:trPr>
          <w:trHeight w:val="300"/>
          <w:jc w:val="center"/>
        </w:trPr>
        <w:tc>
          <w:tcPr>
            <w:tcW w:w="3608" w:type="dxa"/>
          </w:tcPr>
          <w:p w14:paraId="405DAEF8" w14:textId="77777777" w:rsidR="00CD04D2" w:rsidRPr="00C921DE" w:rsidRDefault="00CD04D2" w:rsidP="00CD04D2">
            <w:pPr>
              <w:rPr>
                <w:rFonts w:ascii="GHEA Grapalat" w:hAnsi="GHEA Grapalat"/>
                <w:sz w:val="18"/>
                <w:szCs w:val="18"/>
              </w:rPr>
            </w:pPr>
            <w:r w:rsidRPr="00C921DE">
              <w:rPr>
                <w:rFonts w:ascii="GHEA Grapalat" w:hAnsi="GHEA Grapalat"/>
                <w:sz w:val="18"/>
                <w:szCs w:val="18"/>
              </w:rPr>
              <w:t>Այլ ծրագրեր</w:t>
            </w:r>
          </w:p>
        </w:tc>
        <w:tc>
          <w:tcPr>
            <w:tcW w:w="1263" w:type="dxa"/>
            <w:vAlign w:val="bottom"/>
          </w:tcPr>
          <w:p w14:paraId="650E2B52"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5,097.9</w:t>
            </w:r>
          </w:p>
        </w:tc>
        <w:tc>
          <w:tcPr>
            <w:tcW w:w="968" w:type="dxa"/>
            <w:vAlign w:val="bottom"/>
          </w:tcPr>
          <w:p w14:paraId="6BA0D0B6"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5,866.3</w:t>
            </w:r>
          </w:p>
        </w:tc>
        <w:tc>
          <w:tcPr>
            <w:tcW w:w="993" w:type="dxa"/>
            <w:vAlign w:val="bottom"/>
          </w:tcPr>
          <w:p w14:paraId="1373D3DA"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5,008.4</w:t>
            </w:r>
          </w:p>
        </w:tc>
        <w:tc>
          <w:tcPr>
            <w:tcW w:w="1203" w:type="dxa"/>
            <w:vAlign w:val="bottom"/>
          </w:tcPr>
          <w:p w14:paraId="5D92FDE1"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85.4</w:t>
            </w:r>
          </w:p>
        </w:tc>
        <w:tc>
          <w:tcPr>
            <w:tcW w:w="1203" w:type="dxa"/>
            <w:vAlign w:val="bottom"/>
          </w:tcPr>
          <w:p w14:paraId="6B22769B"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98.2</w:t>
            </w:r>
          </w:p>
        </w:tc>
        <w:tc>
          <w:tcPr>
            <w:tcW w:w="1048" w:type="dxa"/>
            <w:vAlign w:val="bottom"/>
          </w:tcPr>
          <w:p w14:paraId="242CF84B"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(89.6)</w:t>
            </w:r>
          </w:p>
        </w:tc>
      </w:tr>
    </w:tbl>
    <w:p w14:paraId="26CF859E" w14:textId="77777777" w:rsidR="00CD04D2" w:rsidRPr="00C921DE" w:rsidRDefault="00CD04D2" w:rsidP="00B134DD">
      <w:pPr>
        <w:autoSpaceDE w:val="0"/>
        <w:autoSpaceDN w:val="0"/>
        <w:adjustRightInd w:val="0"/>
        <w:ind w:firstLine="567"/>
        <w:jc w:val="both"/>
        <w:rPr>
          <w:rFonts w:ascii="GHEA Grapalat" w:hAnsi="GHEA Grapalat" w:cs="GHEA Grapalat"/>
          <w:sz w:val="22"/>
          <w:szCs w:val="22"/>
        </w:rPr>
      </w:pPr>
    </w:p>
    <w:p w14:paraId="0245C0DD" w14:textId="0CE2F7C7" w:rsidR="00CD04D2" w:rsidRPr="00C921DE" w:rsidRDefault="00CD04D2" w:rsidP="00CD04D2">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GHEA Grapalat"/>
          <w:sz w:val="22"/>
          <w:szCs w:val="22"/>
        </w:rPr>
        <w:t xml:space="preserve">Հաշվետու տարում </w:t>
      </w:r>
      <w:r w:rsidRPr="00C921DE">
        <w:rPr>
          <w:rFonts w:ascii="GHEA Grapalat" w:hAnsi="GHEA Grapalat" w:cs="GHEA Grapalat"/>
          <w:i/>
          <w:sz w:val="22"/>
          <w:szCs w:val="22"/>
        </w:rPr>
        <w:t>Բարձր տեխնոլոգիական արդյունաբերության էկոհամակարգի և շուկայի զարգացման</w:t>
      </w:r>
      <w:r w:rsidRPr="00C921DE">
        <w:rPr>
          <w:rFonts w:ascii="GHEA Grapalat" w:hAnsi="GHEA Grapalat" w:cs="GHEA Grapalat"/>
          <w:sz w:val="22"/>
          <w:szCs w:val="22"/>
        </w:rPr>
        <w:t xml:space="preserve"> </w:t>
      </w:r>
      <w:r w:rsidRPr="00C921DE">
        <w:rPr>
          <w:rFonts w:ascii="GHEA Grapalat" w:hAnsi="GHEA Grapalat" w:cs="Sylfaen"/>
          <w:sz w:val="22"/>
          <w:szCs w:val="22"/>
        </w:rPr>
        <w:t xml:space="preserve">ծրագրի շրջանակներում </w:t>
      </w:r>
      <w:r w:rsidRPr="00C921DE">
        <w:rPr>
          <w:rFonts w:ascii="GHEA Grapalat" w:hAnsi="GHEA Grapalat"/>
          <w:sz w:val="22"/>
          <w:szCs w:val="22"/>
        </w:rPr>
        <w:t xml:space="preserve">օգտագործվել է շուրջ 17.1 մլրդ դրամ կամ նախատեսված միջոցների 87.5%-ը: </w:t>
      </w:r>
      <w:r w:rsidRPr="00C921DE">
        <w:rPr>
          <w:rFonts w:ascii="GHEA Grapalat" w:hAnsi="GHEA Grapalat" w:cs="Sylfaen"/>
          <w:sz w:val="22"/>
          <w:szCs w:val="22"/>
        </w:rPr>
        <w:t>Շեղումը հիմնականում պայմանավորված է Համաշխարհային բանկի աջակցությամբ իրականացվող առևտրի և ենթակառուցվածքների զարգացման վարկային ծրագրի կատարողականով: Նախորդ տարվա համեմատ Բարձր տեխնոլոգիական արդյունաբերության էկոհամակարգի և շուկայի զարգացման</w:t>
      </w:r>
      <w:r w:rsidRPr="00C921DE">
        <w:rPr>
          <w:rFonts w:ascii="GHEA Grapalat" w:hAnsi="GHEA Grapalat"/>
          <w:sz w:val="22"/>
          <w:szCs w:val="22"/>
        </w:rPr>
        <w:t xml:space="preserve"> ծրագրի ծախսերն աճել </w:t>
      </w:r>
      <w:r w:rsidRPr="00C921DE">
        <w:rPr>
          <w:rFonts w:ascii="GHEA Grapalat" w:hAnsi="GHEA Grapalat" w:cs="GHEA Grapalat"/>
          <w:sz w:val="22"/>
          <w:szCs w:val="22"/>
        </w:rPr>
        <w:t>են</w:t>
      </w:r>
      <w:r w:rsidR="001F5C10" w:rsidRPr="00C921DE">
        <w:rPr>
          <w:rFonts w:ascii="GHEA Grapalat" w:hAnsi="GHEA Grapalat"/>
          <w:sz w:val="22"/>
          <w:szCs w:val="22"/>
        </w:rPr>
        <w:t xml:space="preserve"> 2.7 անգամ կամ ավելի քան 10.6</w:t>
      </w:r>
      <w:r w:rsidR="001F5C10" w:rsidRPr="00C921DE">
        <w:rPr>
          <w:rFonts w:ascii="Calibri" w:hAnsi="Calibri" w:cs="Calibri"/>
          <w:sz w:val="22"/>
          <w:szCs w:val="22"/>
          <w:lang w:val="en-US"/>
        </w:rPr>
        <w:t> </w:t>
      </w:r>
      <w:r w:rsidRPr="00C921DE">
        <w:rPr>
          <w:rFonts w:ascii="GHEA Grapalat" w:hAnsi="GHEA Grapalat"/>
          <w:sz w:val="22"/>
          <w:szCs w:val="22"/>
        </w:rPr>
        <w:t>մլրդ դրամով, որը հիմնականում պայմանավորված է տեղեկատվական տեխնոլոգիաների ոլորտում գործունեություն իրականացնող առևտրային կազմակերպություններին և անհատ ձեռնարկատերերին պետական աջակցության ծախսերի աճով:</w:t>
      </w:r>
    </w:p>
    <w:p w14:paraId="4904962E" w14:textId="1294A989" w:rsidR="00CD04D2" w:rsidRPr="00C921DE" w:rsidRDefault="00C15DDD" w:rsidP="00CD04D2">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Sylfaen"/>
          <w:sz w:val="22"/>
          <w:szCs w:val="22"/>
        </w:rPr>
        <w:t>Համաշխարհային բանկի աջակցությամբ իրականացվող առևտրի և ենթակառուցվածքների զարգացման վարկային ծրագրի շրջանակներում ընդհանուր առմամբ օգտագործվել է 2.7 մլրդ դրամ կամ նախատեսված միջոցների 56.5%</w:t>
      </w:r>
      <w:r w:rsidRPr="00C921DE">
        <w:rPr>
          <w:rFonts w:ascii="GHEA Grapalat" w:hAnsi="GHEA Grapalat" w:cs="Sylfaen"/>
          <w:sz w:val="22"/>
          <w:szCs w:val="22"/>
        </w:rPr>
        <w:noBreakHyphen/>
        <w:t>ը:</w:t>
      </w:r>
      <w:r w:rsidR="00CD04D2" w:rsidRPr="00C921DE">
        <w:rPr>
          <w:rFonts w:ascii="GHEA Grapalat" w:hAnsi="GHEA Grapalat" w:cs="Sylfaen"/>
          <w:sz w:val="22"/>
          <w:szCs w:val="22"/>
        </w:rPr>
        <w:t xml:space="preserve"> </w:t>
      </w:r>
      <w:r w:rsidRPr="00C921DE">
        <w:rPr>
          <w:rFonts w:ascii="GHEA Grapalat" w:hAnsi="GHEA Grapalat" w:cs="Sylfaen"/>
          <w:sz w:val="22"/>
          <w:szCs w:val="22"/>
          <w:lang w:val="en-US"/>
        </w:rPr>
        <w:t>Ծ</w:t>
      </w:r>
      <w:r w:rsidR="00CD04D2" w:rsidRPr="00C921DE">
        <w:rPr>
          <w:rFonts w:ascii="GHEA Grapalat" w:hAnsi="GHEA Grapalat" w:cs="Sylfaen"/>
          <w:sz w:val="22"/>
          <w:szCs w:val="22"/>
        </w:rPr>
        <w:t xml:space="preserve">րագրի </w:t>
      </w:r>
      <w:r w:rsidR="00CD04D2" w:rsidRPr="00C921DE">
        <w:rPr>
          <w:rFonts w:ascii="GHEA Grapalat" w:hAnsi="GHEA Grapalat"/>
          <w:sz w:val="22"/>
          <w:szCs w:val="22"/>
        </w:rPr>
        <w:t xml:space="preserve">նպատակն է՝ հզորացնել արտահանման խթանման, ներդրումների ներգրավման և </w:t>
      </w:r>
      <w:r w:rsidR="00CD04D2" w:rsidRPr="00C921DE">
        <w:rPr>
          <w:rFonts w:ascii="GHEA Grapalat" w:hAnsi="GHEA Grapalat" w:cs="Sylfaen"/>
          <w:sz w:val="22"/>
          <w:szCs w:val="22"/>
        </w:rPr>
        <w:t>ձեռնարկություններին տրամադրվող</w:t>
      </w:r>
      <w:r w:rsidR="00CD04D2" w:rsidRPr="00C921DE">
        <w:rPr>
          <w:rFonts w:ascii="GHEA Grapalat" w:hAnsi="GHEA Grapalat"/>
          <w:sz w:val="22"/>
          <w:szCs w:val="22"/>
        </w:rPr>
        <w:t xml:space="preserve"> որակի կառավարման ծառայությունների կարողությունները: Ծրագիրը բաղկացած է հետևյալ բաղադրիչներից.</w:t>
      </w:r>
    </w:p>
    <w:p w14:paraId="50024FE2" w14:textId="77777777" w:rsidR="00CD04D2" w:rsidRPr="00C921DE" w:rsidRDefault="00CD04D2"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Առևտրի խթանման և որակի համակարգերի արդյունավետության բարելավում,</w:t>
      </w:r>
    </w:p>
    <w:p w14:paraId="03BF7489" w14:textId="77777777" w:rsidR="00CD04D2" w:rsidRPr="00C921DE" w:rsidRDefault="00CD04D2"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Ներդրումների և արտահանման խթանում,</w:t>
      </w:r>
    </w:p>
    <w:p w14:paraId="62E660AB" w14:textId="77777777" w:rsidR="00CD04D2" w:rsidRPr="00C921DE" w:rsidRDefault="00CD04D2"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Որակի ազգային ենթակառուցվածքի արդիականացում,</w:t>
      </w:r>
    </w:p>
    <w:p w14:paraId="3B17631A" w14:textId="77777777" w:rsidR="00CD04D2" w:rsidRPr="00C921DE" w:rsidRDefault="00CD04D2" w:rsidP="00AF07CE">
      <w:pPr>
        <w:numPr>
          <w:ilvl w:val="0"/>
          <w:numId w:val="30"/>
        </w:numPr>
        <w:tabs>
          <w:tab w:val="left" w:pos="851"/>
        </w:tabs>
        <w:spacing w:line="360" w:lineRule="auto"/>
        <w:ind w:left="0" w:firstLine="567"/>
        <w:jc w:val="both"/>
        <w:rPr>
          <w:rFonts w:ascii="GHEA Grapalat" w:hAnsi="GHEA Grapalat"/>
          <w:sz w:val="22"/>
          <w:szCs w:val="22"/>
        </w:rPr>
      </w:pPr>
      <w:r w:rsidRPr="00C921DE">
        <w:rPr>
          <w:rFonts w:ascii="GHEA Grapalat" w:hAnsi="GHEA Grapalat"/>
          <w:sz w:val="22"/>
          <w:szCs w:val="22"/>
        </w:rPr>
        <w:t>Ծրագրի կառավարում, մոնիտորինգ և գնահատում:</w:t>
      </w:r>
    </w:p>
    <w:p w14:paraId="72AD43AE" w14:textId="5E2E3DEB" w:rsidR="00CD04D2" w:rsidRPr="00C921DE" w:rsidRDefault="00CD04D2"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 xml:space="preserve">Ծրագրի՝ ծառայությունների մատուցման </w:t>
      </w:r>
      <w:r w:rsidR="00AA5259" w:rsidRPr="00C921DE">
        <w:rPr>
          <w:rFonts w:ascii="GHEA Grapalat" w:hAnsi="GHEA Grapalat" w:cs="Sylfaen"/>
          <w:sz w:val="22"/>
          <w:szCs w:val="22"/>
          <w:lang w:val="en-US"/>
        </w:rPr>
        <w:t>միջոցառման</w:t>
      </w:r>
      <w:r w:rsidRPr="00C921DE">
        <w:rPr>
          <w:rFonts w:ascii="GHEA Grapalat" w:hAnsi="GHEA Grapalat" w:cs="Sylfaen"/>
          <w:sz w:val="22"/>
          <w:szCs w:val="22"/>
        </w:rPr>
        <w:t xml:space="preserve"> շրջանակներում արտահանողների զարգացման դրամաշնորհներ ստացած 11 կազմակերպություններ</w:t>
      </w:r>
      <w:r w:rsidR="00DE28C1" w:rsidRPr="00C921DE">
        <w:rPr>
          <w:rFonts w:ascii="GHEA Grapalat" w:hAnsi="GHEA Grapalat" w:cs="Sylfaen"/>
          <w:sz w:val="22"/>
          <w:szCs w:val="22"/>
          <w:lang w:val="en-US"/>
        </w:rPr>
        <w:t xml:space="preserve"> </w:t>
      </w:r>
      <w:r w:rsidR="00DE28C1" w:rsidRPr="00C921DE">
        <w:rPr>
          <w:rFonts w:ascii="GHEA Grapalat" w:hAnsi="GHEA Grapalat" w:cs="Sylfaen"/>
          <w:sz w:val="22"/>
          <w:szCs w:val="22"/>
        </w:rPr>
        <w:t xml:space="preserve">2023 թվականին </w:t>
      </w:r>
      <w:r w:rsidRPr="00C921DE">
        <w:rPr>
          <w:rFonts w:ascii="GHEA Grapalat" w:hAnsi="GHEA Grapalat" w:cs="Sylfaen"/>
          <w:sz w:val="22"/>
          <w:szCs w:val="22"/>
        </w:rPr>
        <w:t>ամբողջությամբ իրականացրել են ծրագրերով նախատեսված աշխատանքները</w:t>
      </w:r>
      <w:r w:rsidR="00DE28C1" w:rsidRPr="00C921DE">
        <w:rPr>
          <w:rFonts w:ascii="GHEA Grapalat" w:hAnsi="GHEA Grapalat" w:cs="Sylfaen"/>
          <w:sz w:val="22"/>
          <w:szCs w:val="22"/>
          <w:lang w:val="en-US"/>
        </w:rPr>
        <w:t>:</w:t>
      </w:r>
      <w:r w:rsidRPr="00C921DE">
        <w:rPr>
          <w:rFonts w:ascii="GHEA Grapalat" w:hAnsi="GHEA Grapalat" w:cs="Sylfaen"/>
          <w:sz w:val="22"/>
          <w:szCs w:val="22"/>
        </w:rPr>
        <w:t xml:space="preserve"> </w:t>
      </w:r>
      <w:r w:rsidR="005370A4" w:rsidRPr="00C921DE">
        <w:rPr>
          <w:rFonts w:ascii="GHEA Grapalat" w:hAnsi="GHEA Grapalat" w:cs="Sylfaen"/>
          <w:sz w:val="22"/>
          <w:szCs w:val="22"/>
          <w:lang w:val="en-US"/>
        </w:rPr>
        <w:t>Ա</w:t>
      </w:r>
      <w:r w:rsidRPr="00C921DE">
        <w:rPr>
          <w:rFonts w:ascii="GHEA Grapalat" w:hAnsi="GHEA Grapalat" w:cs="Sylfaen"/>
          <w:sz w:val="22"/>
          <w:szCs w:val="22"/>
        </w:rPr>
        <w:t xml:space="preserve">մբողջությամբ իրականացվել են </w:t>
      </w:r>
      <w:r w:rsidRPr="00C921DE">
        <w:rPr>
          <w:rFonts w:ascii="GHEA Grapalat" w:hAnsi="GHEA Grapalat" w:cs="GHEA Grapalat"/>
          <w:sz w:val="22"/>
          <w:szCs w:val="22"/>
        </w:rPr>
        <w:t xml:space="preserve">ինժեներական քաղաքի տարածքի բարեկարգման և ենթակառուցվածքների հեղինակային վերահսկողության աշխատանքները, ինժեներական քաղաքի տարածքի բարեկարգման և ենթակառուցվածքների կառուցման աշխատանքների, տեխնիկական հսկողության և շինարարության </w:t>
      </w:r>
      <w:r w:rsidRPr="00C921DE">
        <w:rPr>
          <w:rFonts w:ascii="GHEA Grapalat" w:hAnsi="GHEA Grapalat" w:cs="GHEA Grapalat"/>
          <w:sz w:val="22"/>
          <w:szCs w:val="22"/>
        </w:rPr>
        <w:lastRenderedPageBreak/>
        <w:t>ծրագրի ղեկավարի ծառայություններ</w:t>
      </w:r>
      <w:r w:rsidR="00AA5259"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ու հավատարմագրման ծառայությունները։ ՍՉԱՄ-ի</w:t>
      </w:r>
      <w:r w:rsidR="005D68FD" w:rsidRPr="00C921DE">
        <w:rPr>
          <w:rFonts w:ascii="GHEA Grapalat" w:hAnsi="GHEA Grapalat" w:cs="GHEA Grapalat"/>
          <w:sz w:val="22"/>
          <w:szCs w:val="22"/>
          <w:lang w:val="en-US"/>
        </w:rPr>
        <w:t xml:space="preserve"> (Ստանդարտացման և չափագիտության ազգային մարմնի)</w:t>
      </w:r>
      <w:r w:rsidRPr="00C921DE">
        <w:rPr>
          <w:rFonts w:ascii="GHEA Grapalat" w:hAnsi="GHEA Grapalat" w:cs="GHEA Grapalat"/>
          <w:sz w:val="22"/>
          <w:szCs w:val="22"/>
        </w:rPr>
        <w:t xml:space="preserve"> տրամաչափարկման լաբորատորիաների համար միջազգային հավատարմագրում ստանալու նպատակով իրականացվել են մի շարք նախապատրաստական (</w:t>
      </w:r>
      <w:r w:rsidR="005D68FD" w:rsidRPr="00C921DE">
        <w:rPr>
          <w:rFonts w:ascii="GHEA Grapalat" w:hAnsi="GHEA Grapalat" w:cs="GHEA Grapalat"/>
          <w:sz w:val="22"/>
          <w:szCs w:val="22"/>
        </w:rPr>
        <w:t>կարողությունների գնահատում և համապատասխանեցում ստանդարտներին և այլն</w:t>
      </w:r>
      <w:r w:rsidR="00AA5259" w:rsidRPr="00C921DE">
        <w:rPr>
          <w:rFonts w:ascii="GHEA Grapalat" w:hAnsi="GHEA Grapalat" w:cs="GHEA Grapalat"/>
          <w:sz w:val="22"/>
          <w:szCs w:val="22"/>
        </w:rPr>
        <w:t>) աշխատանք</w:t>
      </w:r>
      <w:r w:rsidR="005D68FD" w:rsidRPr="00C921DE">
        <w:rPr>
          <w:rFonts w:ascii="GHEA Grapalat" w:hAnsi="GHEA Grapalat" w:cs="GHEA Grapalat"/>
          <w:sz w:val="22"/>
          <w:szCs w:val="22"/>
          <w:lang w:val="en-US"/>
        </w:rPr>
        <w:t>-</w:t>
      </w:r>
      <w:r w:rsidR="00AA5259" w:rsidRPr="00C921DE">
        <w:rPr>
          <w:rFonts w:ascii="GHEA Grapalat" w:hAnsi="GHEA Grapalat" w:cs="GHEA Grapalat"/>
          <w:sz w:val="22"/>
          <w:szCs w:val="22"/>
        </w:rPr>
        <w:t>ներ</w:t>
      </w:r>
      <w:r w:rsidRPr="00C921DE">
        <w:rPr>
          <w:rFonts w:ascii="GHEA Grapalat" w:hAnsi="GHEA Grapalat" w:cs="GHEA Grapalat"/>
          <w:sz w:val="22"/>
          <w:szCs w:val="22"/>
        </w:rPr>
        <w:t xml:space="preserve">, ազգային հավատարմագրման մարմնի կողմից միջազգային գործելակերպին համապատասխան հավատարմագրվել են 24 ընկերություններ: Հաշվետու տարում միջոցառման շրջանակներում իրականացվել են նաև 1 ծրագրի ֆինանսական աուդիտ, ծրագրի իրականացման հետ կապված 9 խորհրդատվություններ: </w:t>
      </w:r>
      <w:r w:rsidR="00AA5259" w:rsidRPr="00C921DE">
        <w:rPr>
          <w:rFonts w:ascii="GHEA Grapalat" w:hAnsi="GHEA Grapalat" w:cs="GHEA Grapalat"/>
          <w:sz w:val="22"/>
          <w:szCs w:val="22"/>
          <w:lang w:val="en-US"/>
        </w:rPr>
        <w:t>Միջոցառման</w:t>
      </w:r>
      <w:r w:rsidRPr="00C921DE">
        <w:rPr>
          <w:rFonts w:ascii="GHEA Grapalat" w:hAnsi="GHEA Grapalat" w:cs="GHEA Grapalat"/>
          <w:sz w:val="22"/>
          <w:szCs w:val="22"/>
        </w:rPr>
        <w:t xml:space="preserve"> ծախսերը կատարվել են 56.3%-ով՝ կազմելով 839.4 մլն դրամ: Շեղումը հիմնականում պայմանավորված է նրանով, որ արտահանողների զարգացման դրամաշնորհների 2 շահառուների կողմից փաստացի կատարված աշխատանքները չեն համապատասխանել բիզնես նախագծով առաջարկված աշխատանքներին, ինչի հետևանքով աշխատանքներն ու հաշվետվությունները չեն ընդունվել Ներդրումների աջակցման կենտրոնի կողմից, արդյունքում պայմանագրերը չեղարկվել են:</w:t>
      </w:r>
    </w:p>
    <w:p w14:paraId="7C0A6624" w14:textId="3C007BA5"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sz w:val="22"/>
          <w:szCs w:val="22"/>
        </w:rPr>
        <w:t>Համաշխարհային բանկի աջակցությամբ իրականացվող առևտրի և ենթակառուցվածքների զարգացման վարկային ծրագրի</w:t>
      </w:r>
      <w:r w:rsidRPr="00C921DE">
        <w:rPr>
          <w:rFonts w:ascii="GHEA Grapalat" w:hAnsi="GHEA Grapalat" w:cs="Sylfaen"/>
          <w:sz w:val="22"/>
          <w:szCs w:val="22"/>
        </w:rPr>
        <w:t xml:space="preserve">՝ շենքերի և շինությունների շինարարության և հիմնանորոգման բաղադրիչի շրջանակներում 2023 թվականի ընթացքում նախատեսված ծավալով իրականացվել են ինժեներական քաղաքի տարածքի բարեկարգման և ենթակառուցվածքների կառուցման աշխատանքները: Ինժեներական բիզնես </w:t>
      </w:r>
      <w:r w:rsidR="00270C53" w:rsidRPr="00C921DE">
        <w:rPr>
          <w:rFonts w:ascii="GHEA Grapalat" w:hAnsi="GHEA Grapalat" w:cs="Sylfaen"/>
          <w:sz w:val="22"/>
          <w:szCs w:val="22"/>
          <w:lang w:val="en-US"/>
        </w:rPr>
        <w:t>ա</w:t>
      </w:r>
      <w:r w:rsidRPr="00C921DE">
        <w:rPr>
          <w:rFonts w:ascii="GHEA Grapalat" w:hAnsi="GHEA Grapalat" w:cs="Sylfaen"/>
          <w:sz w:val="22"/>
          <w:szCs w:val="22"/>
        </w:rPr>
        <w:t>քսել</w:t>
      </w:r>
      <w:r w:rsidR="00AC2181" w:rsidRPr="00C921DE">
        <w:rPr>
          <w:rFonts w:ascii="GHEA Grapalat" w:hAnsi="GHEA Grapalat" w:cs="Sylfaen"/>
          <w:sz w:val="22"/>
          <w:szCs w:val="22"/>
          <w:lang w:val="en-US"/>
        </w:rPr>
        <w:t>եր</w:t>
      </w:r>
      <w:r w:rsidRPr="00C921DE">
        <w:rPr>
          <w:rFonts w:ascii="GHEA Grapalat" w:hAnsi="GHEA Grapalat" w:cs="Sylfaen"/>
          <w:sz w:val="22"/>
          <w:szCs w:val="22"/>
        </w:rPr>
        <w:t xml:space="preserve">ատորի շենքի, ԻՔ ջրավազանի և տեսահսկման-տեսահաղորդակցման համակարգի կառուցման աշխատանքները նախատեսված 50%-ի փոխարեն </w:t>
      </w:r>
      <w:r w:rsidRPr="00C921DE">
        <w:rPr>
          <w:rFonts w:ascii="GHEA Grapalat" w:hAnsi="GHEA Grapalat" w:cs="GHEA Grapalat"/>
          <w:sz w:val="22"/>
          <w:szCs w:val="22"/>
        </w:rPr>
        <w:t xml:space="preserve">կատարվել են 2.4%-ով՝ պայմանավորված </w:t>
      </w:r>
      <w:r w:rsidR="00270C53" w:rsidRPr="00C921DE">
        <w:rPr>
          <w:rFonts w:ascii="GHEA Grapalat" w:hAnsi="GHEA Grapalat" w:cs="GHEA Grapalat"/>
          <w:sz w:val="22"/>
          <w:szCs w:val="22"/>
        </w:rPr>
        <w:t>պայմանագրի</w:t>
      </w:r>
      <w:r w:rsidR="009D1198" w:rsidRPr="00C921DE">
        <w:rPr>
          <w:rFonts w:ascii="GHEA Grapalat" w:hAnsi="GHEA Grapalat" w:cs="GHEA Grapalat"/>
          <w:sz w:val="22"/>
          <w:szCs w:val="22"/>
        </w:rPr>
        <w:t>՝</w:t>
      </w:r>
      <w:r w:rsidR="00270C53" w:rsidRPr="00C921DE">
        <w:rPr>
          <w:rFonts w:ascii="GHEA Grapalat" w:hAnsi="GHEA Grapalat" w:cs="GHEA Grapalat"/>
          <w:sz w:val="22"/>
          <w:szCs w:val="22"/>
        </w:rPr>
        <w:t xml:space="preserve"> նախատեսվածից 3 ամիս ուշ ստորագրմամբ, ինչպես նաև կապալառու ընկերության կողմից շին</w:t>
      </w:r>
      <w:r w:rsidR="009D1198" w:rsidRPr="00C921DE">
        <w:rPr>
          <w:rFonts w:ascii="GHEA Grapalat" w:hAnsi="GHEA Grapalat" w:cs="GHEA Grapalat"/>
          <w:sz w:val="22"/>
          <w:szCs w:val="22"/>
          <w:lang w:val="en-US"/>
        </w:rPr>
        <w:t xml:space="preserve">արարական </w:t>
      </w:r>
      <w:r w:rsidR="00270C53" w:rsidRPr="00C921DE">
        <w:rPr>
          <w:rFonts w:ascii="GHEA Grapalat" w:hAnsi="GHEA Grapalat" w:cs="GHEA Grapalat"/>
          <w:sz w:val="22"/>
          <w:szCs w:val="22"/>
        </w:rPr>
        <w:t>աշխատանքների դանդաղ իրականացմամբ</w:t>
      </w:r>
      <w:r w:rsidRPr="00C921DE">
        <w:rPr>
          <w:rFonts w:ascii="GHEA Grapalat" w:hAnsi="GHEA Grapalat" w:cs="GHEA Grapalat"/>
          <w:sz w:val="22"/>
          <w:szCs w:val="22"/>
        </w:rPr>
        <w:t>։</w:t>
      </w:r>
      <w:r w:rsidRPr="00C921DE">
        <w:rPr>
          <w:rFonts w:ascii="GHEA Grapalat" w:hAnsi="GHEA Grapalat" w:cs="Sylfaen"/>
          <w:sz w:val="22"/>
          <w:szCs w:val="22"/>
        </w:rPr>
        <w:t xml:space="preserve"> Շինարարությունների հետ կապված</w:t>
      </w:r>
      <w:r w:rsidR="00F33E0A" w:rsidRPr="00C921DE">
        <w:rPr>
          <w:rFonts w:ascii="GHEA Grapalat" w:hAnsi="GHEA Grapalat" w:cs="Sylfaen"/>
          <w:sz w:val="22"/>
          <w:szCs w:val="22"/>
          <w:lang w:val="en-US"/>
        </w:rPr>
        <w:t xml:space="preserve"> կնքվել է 5</w:t>
      </w:r>
      <w:r w:rsidR="00F33E0A" w:rsidRPr="00C921DE">
        <w:rPr>
          <w:rFonts w:ascii="GHEA Grapalat" w:hAnsi="GHEA Grapalat" w:cs="Sylfaen"/>
          <w:sz w:val="22"/>
          <w:szCs w:val="22"/>
        </w:rPr>
        <w:t xml:space="preserve"> խորհրդատվ</w:t>
      </w:r>
      <w:r w:rsidR="00F33E0A" w:rsidRPr="00C921DE">
        <w:rPr>
          <w:rFonts w:ascii="GHEA Grapalat" w:hAnsi="GHEA Grapalat" w:cs="Sylfaen"/>
          <w:sz w:val="22"/>
          <w:szCs w:val="22"/>
          <w:lang w:val="en-US"/>
        </w:rPr>
        <w:t>ական</w:t>
      </w:r>
      <w:r w:rsidRPr="00C921DE">
        <w:rPr>
          <w:rFonts w:ascii="GHEA Grapalat" w:hAnsi="GHEA Grapalat" w:cs="Sylfaen"/>
          <w:sz w:val="22"/>
          <w:szCs w:val="22"/>
        </w:rPr>
        <w:t xml:space="preserve"> պայմանագ</w:t>
      </w:r>
      <w:r w:rsidR="00F33E0A" w:rsidRPr="00C921DE">
        <w:rPr>
          <w:rFonts w:ascii="GHEA Grapalat" w:hAnsi="GHEA Grapalat" w:cs="Sylfaen"/>
          <w:sz w:val="22"/>
          <w:szCs w:val="22"/>
          <w:lang w:val="en-US"/>
        </w:rPr>
        <w:t>իր՝</w:t>
      </w:r>
      <w:r w:rsidRPr="00C921DE">
        <w:rPr>
          <w:rFonts w:ascii="GHEA Grapalat" w:hAnsi="GHEA Grapalat" w:cs="Sylfaen"/>
          <w:sz w:val="22"/>
          <w:szCs w:val="22"/>
        </w:rPr>
        <w:t xml:space="preserve"> նախատեսված 8-ի փոխարեն, իսկ Հայաստանի ազգային պոլիտեխնիկական համալսարանի (ՀԱՊՀ) Գյումրու նոր մասնաճյուղի շենքերի վերակառուցման աշխատանքները չեն իրականացվել՝ պայմանավորված երկարատև քննարկումների արդյունքում Հայաստանի ազգային պոլիտեխնիկական համալսարանի (ՀԱՊՀ) Գյումրու նոր մասնաճյուղի շենքերի վերակառուցման միջոցառման չեղարկմամբ: </w:t>
      </w:r>
      <w:r w:rsidR="00F97075" w:rsidRPr="00C921DE">
        <w:rPr>
          <w:rFonts w:ascii="GHEA Grapalat" w:hAnsi="GHEA Grapalat" w:cs="Sylfaen"/>
          <w:sz w:val="22"/>
          <w:szCs w:val="22"/>
          <w:lang w:val="en-US"/>
        </w:rPr>
        <w:t>Վերոնշյալ պատճառներով պայմանավորված՝ վ</w:t>
      </w:r>
      <w:r w:rsidRPr="00C921DE">
        <w:rPr>
          <w:rFonts w:ascii="GHEA Grapalat" w:hAnsi="GHEA Grapalat" w:cs="Sylfaen"/>
          <w:sz w:val="22"/>
          <w:szCs w:val="22"/>
        </w:rPr>
        <w:t>արկային ծրագրի շրջանակներում շենքերի և շինությունների շինարարության և հիմնանորոգման համար օգտագործվել է նախատեսված միջ</w:t>
      </w:r>
      <w:r w:rsidR="00D729CA" w:rsidRPr="00C921DE">
        <w:rPr>
          <w:rFonts w:ascii="GHEA Grapalat" w:hAnsi="GHEA Grapalat" w:cs="Sylfaen"/>
          <w:sz w:val="22"/>
          <w:szCs w:val="22"/>
        </w:rPr>
        <w:t>ոցների 43.4%-ը՝ 996.8 մլն դրամ:</w:t>
      </w:r>
    </w:p>
    <w:p w14:paraId="35FD5DB4" w14:textId="65518503"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sz w:val="22"/>
          <w:szCs w:val="22"/>
        </w:rPr>
        <w:t>Ծրագրի՝ սարքավորումների ձեռքբերման բաղադրիչի շրջանակներում</w:t>
      </w:r>
      <w:r w:rsidRPr="00C921DE">
        <w:rPr>
          <w:rFonts w:ascii="GHEA Grapalat" w:hAnsi="GHEA Grapalat" w:cs="Sylfaen"/>
          <w:sz w:val="22"/>
          <w:szCs w:val="22"/>
        </w:rPr>
        <w:t xml:space="preserve"> նախատեսված ողջ ծավալով իրականացվել են </w:t>
      </w:r>
      <w:r w:rsidRPr="00C921DE">
        <w:rPr>
          <w:rFonts w:ascii="GHEA Grapalat" w:hAnsi="GHEA Grapalat" w:cs="GHEA Grapalat"/>
          <w:sz w:val="22"/>
          <w:szCs w:val="22"/>
        </w:rPr>
        <w:t xml:space="preserve">ՍՉԱՄ նավթամթերքների թեստավորման լաբորատորիայի համար սարքավորումների, </w:t>
      </w:r>
      <w:r w:rsidRPr="00C921DE">
        <w:rPr>
          <w:rFonts w:ascii="GHEA Grapalat" w:hAnsi="GHEA Grapalat" w:cs="Sylfaen"/>
          <w:sz w:val="22"/>
          <w:szCs w:val="22"/>
        </w:rPr>
        <w:t xml:space="preserve">կիբերանվտանգության ինկուբատորի լաբորատորիաների համար </w:t>
      </w:r>
      <w:r w:rsidRPr="00C921DE">
        <w:rPr>
          <w:rFonts w:ascii="GHEA Grapalat" w:hAnsi="GHEA Grapalat" w:cs="Sylfaen"/>
          <w:sz w:val="22"/>
          <w:szCs w:val="22"/>
        </w:rPr>
        <w:lastRenderedPageBreak/>
        <w:t xml:space="preserve">համակարգչային սարքավորումների </w:t>
      </w:r>
      <w:r w:rsidRPr="00C921DE">
        <w:rPr>
          <w:rFonts w:ascii="GHEA Grapalat" w:hAnsi="GHEA Grapalat" w:cs="GHEA Grapalat"/>
          <w:sz w:val="22"/>
          <w:szCs w:val="22"/>
        </w:rPr>
        <w:t>ու</w:t>
      </w:r>
      <w:r w:rsidRPr="00C921DE">
        <w:rPr>
          <w:rFonts w:ascii="GHEA Grapalat" w:hAnsi="GHEA Grapalat" w:cs="Sylfaen"/>
          <w:sz w:val="22"/>
          <w:szCs w:val="22"/>
        </w:rPr>
        <w:t xml:space="preserve"> IBM</w:t>
      </w:r>
      <w:r w:rsidR="004B2D47" w:rsidRPr="00C921DE">
        <w:rPr>
          <w:rFonts w:ascii="GHEA Grapalat" w:hAnsi="GHEA Grapalat" w:cs="Sylfaen"/>
          <w:sz w:val="22"/>
          <w:szCs w:val="22"/>
        </w:rPr>
        <w:t xml:space="preserve"> </w:t>
      </w:r>
      <w:r w:rsidRPr="00C921DE">
        <w:rPr>
          <w:rFonts w:ascii="GHEA Grapalat" w:hAnsi="GHEA Grapalat" w:cs="Sylfaen"/>
          <w:sz w:val="22"/>
          <w:szCs w:val="22"/>
        </w:rPr>
        <w:t xml:space="preserve">ծրագրային ապահովման և ծառայությունների </w:t>
      </w:r>
      <w:r w:rsidRPr="00C921DE">
        <w:rPr>
          <w:rFonts w:ascii="GHEA Grapalat" w:hAnsi="GHEA Grapalat" w:cs="GHEA Grapalat"/>
          <w:sz w:val="22"/>
          <w:szCs w:val="22"/>
        </w:rPr>
        <w:t>ու կ</w:t>
      </w:r>
      <w:r w:rsidRPr="00C921DE">
        <w:rPr>
          <w:rFonts w:ascii="GHEA Grapalat" w:hAnsi="GHEA Grapalat" w:cs="Sylfaen"/>
          <w:sz w:val="22"/>
          <w:szCs w:val="22"/>
        </w:rPr>
        <w:t xml:space="preserve">իբերանվտանգության ինկուբատորի համար կահույքի ձեռքբերումները: Հայաստանի գերհամակարգչային համակարգի արդիականացման և տեղադրման աշխատանքները նախատեսված 100%-ի փոխարեն կատարվել են 35.6%-ով՝ պայմանավորված նրանով, որ </w:t>
      </w:r>
      <w:r w:rsidR="00B20B1A" w:rsidRPr="00C921DE">
        <w:rPr>
          <w:rFonts w:ascii="GHEA Grapalat" w:hAnsi="GHEA Grapalat" w:cs="Sylfaen"/>
          <w:sz w:val="22"/>
          <w:szCs w:val="22"/>
          <w:lang w:val="en-US"/>
        </w:rPr>
        <w:t>գ</w:t>
      </w:r>
      <w:r w:rsidRPr="00C921DE">
        <w:rPr>
          <w:rFonts w:ascii="GHEA Grapalat" w:hAnsi="GHEA Grapalat" w:cs="Sylfaen"/>
          <w:sz w:val="22"/>
          <w:szCs w:val="22"/>
        </w:rPr>
        <w:t>երհամակարգչի տեղադ</w:t>
      </w:r>
      <w:r w:rsidR="00B20B1A" w:rsidRPr="00C921DE">
        <w:rPr>
          <w:rFonts w:ascii="GHEA Grapalat" w:hAnsi="GHEA Grapalat" w:cs="Sylfaen"/>
          <w:sz w:val="22"/>
          <w:szCs w:val="22"/>
          <w:lang w:val="en-US"/>
        </w:rPr>
        <w:t>րումը</w:t>
      </w:r>
      <w:r w:rsidRPr="00C921DE">
        <w:rPr>
          <w:rFonts w:ascii="GHEA Grapalat" w:hAnsi="GHEA Grapalat" w:cs="Sylfaen"/>
          <w:sz w:val="22"/>
          <w:szCs w:val="22"/>
        </w:rPr>
        <w:t xml:space="preserve"> հետաձգվել </w:t>
      </w:r>
      <w:r w:rsidR="00B20B1A" w:rsidRPr="00C921DE">
        <w:rPr>
          <w:rFonts w:ascii="GHEA Grapalat" w:hAnsi="GHEA Grapalat" w:cs="Sylfaen"/>
          <w:sz w:val="22"/>
          <w:szCs w:val="22"/>
          <w:lang w:val="en-US"/>
        </w:rPr>
        <w:t>է</w:t>
      </w:r>
      <w:r w:rsidRPr="00C921DE">
        <w:rPr>
          <w:rFonts w:ascii="GHEA Grapalat" w:hAnsi="GHEA Grapalat" w:cs="Sylfaen"/>
          <w:sz w:val="22"/>
          <w:szCs w:val="22"/>
        </w:rPr>
        <w:t xml:space="preserve"> մինչև ԻՔ-ում համապատասխան տարածքի շինարարական աշխատանքների ավարտը: Չեն իրականացվել ՍՉԱՄ-ի համար կահույքի ձեռքբերման աշխատանքները՝ պայմանավորված մի քանի անգամ հայտարարված մրցույթների չկայանալուց հետո պատվիրատուի կողմից միջոցառման չեղարկմամբ: Չ</w:t>
      </w:r>
      <w:r w:rsidR="002B6978" w:rsidRPr="00C921DE">
        <w:rPr>
          <w:rFonts w:ascii="GHEA Grapalat" w:hAnsi="GHEA Grapalat" w:cs="Sylfaen"/>
          <w:sz w:val="22"/>
          <w:szCs w:val="22"/>
          <w:lang w:val="en-US"/>
        </w:rPr>
        <w:t>ի</w:t>
      </w:r>
      <w:r w:rsidRPr="00C921DE">
        <w:rPr>
          <w:rFonts w:ascii="GHEA Grapalat" w:hAnsi="GHEA Grapalat" w:cs="Sylfaen"/>
          <w:sz w:val="22"/>
          <w:szCs w:val="22"/>
        </w:rPr>
        <w:t xml:space="preserve"> իրականացվել</w:t>
      </w:r>
      <w:r w:rsidR="002B6978" w:rsidRPr="00C921DE">
        <w:rPr>
          <w:rFonts w:ascii="GHEA Grapalat" w:hAnsi="GHEA Grapalat" w:cs="Sylfaen"/>
          <w:sz w:val="22"/>
          <w:szCs w:val="22"/>
          <w:lang w:val="en-US"/>
        </w:rPr>
        <w:t xml:space="preserve"> նաև</w:t>
      </w:r>
      <w:r w:rsidRPr="00C921DE">
        <w:rPr>
          <w:rFonts w:ascii="GHEA Grapalat" w:hAnsi="GHEA Grapalat" w:cs="Sylfaen"/>
          <w:sz w:val="22"/>
          <w:szCs w:val="22"/>
        </w:rPr>
        <w:t xml:space="preserve"> ինժեներական բիզնես </w:t>
      </w:r>
      <w:r w:rsidR="00B20B1A" w:rsidRPr="00C921DE">
        <w:rPr>
          <w:rFonts w:ascii="GHEA Grapalat" w:hAnsi="GHEA Grapalat" w:cs="Sylfaen"/>
          <w:sz w:val="22"/>
          <w:szCs w:val="22"/>
          <w:lang w:val="en-US"/>
        </w:rPr>
        <w:t>ա</w:t>
      </w:r>
      <w:r w:rsidRPr="00C921DE">
        <w:rPr>
          <w:rFonts w:ascii="GHEA Grapalat" w:hAnsi="GHEA Grapalat" w:cs="Sylfaen"/>
          <w:sz w:val="22"/>
          <w:szCs w:val="22"/>
        </w:rPr>
        <w:t>քսել</w:t>
      </w:r>
      <w:r w:rsidR="00AC2181" w:rsidRPr="00C921DE">
        <w:rPr>
          <w:rFonts w:ascii="GHEA Grapalat" w:hAnsi="GHEA Grapalat" w:cs="Sylfaen"/>
          <w:sz w:val="22"/>
          <w:szCs w:val="22"/>
          <w:lang w:val="en-US"/>
        </w:rPr>
        <w:t>եր</w:t>
      </w:r>
      <w:r w:rsidRPr="00C921DE">
        <w:rPr>
          <w:rFonts w:ascii="GHEA Grapalat" w:hAnsi="GHEA Grapalat" w:cs="Sylfaen"/>
          <w:sz w:val="22"/>
          <w:szCs w:val="22"/>
        </w:rPr>
        <w:t>ատորի շենքի համար կահույքի ձեռքբեր</w:t>
      </w:r>
      <w:r w:rsidR="002B6978" w:rsidRPr="00C921DE">
        <w:rPr>
          <w:rFonts w:ascii="GHEA Grapalat" w:hAnsi="GHEA Grapalat" w:cs="Sylfaen"/>
          <w:sz w:val="22"/>
          <w:szCs w:val="22"/>
          <w:lang w:val="en-US"/>
        </w:rPr>
        <w:t>ում</w:t>
      </w:r>
      <w:r w:rsidRPr="00C921DE">
        <w:rPr>
          <w:rFonts w:ascii="GHEA Grapalat" w:hAnsi="GHEA Grapalat" w:cs="Sylfaen"/>
          <w:sz w:val="22"/>
          <w:szCs w:val="22"/>
        </w:rPr>
        <w:t>ը՝ պայմանավորված նրանով, որ</w:t>
      </w:r>
      <w:r w:rsidR="00B20B1A" w:rsidRPr="00C921DE">
        <w:rPr>
          <w:rFonts w:ascii="GHEA Grapalat" w:hAnsi="GHEA Grapalat" w:cs="Sylfaen"/>
          <w:sz w:val="22"/>
          <w:szCs w:val="22"/>
          <w:lang w:val="en-US"/>
        </w:rPr>
        <w:t>,</w:t>
      </w:r>
      <w:r w:rsidRPr="00C921DE">
        <w:rPr>
          <w:rFonts w:ascii="GHEA Grapalat" w:hAnsi="GHEA Grapalat" w:cs="Sylfaen"/>
          <w:sz w:val="22"/>
          <w:szCs w:val="22"/>
        </w:rPr>
        <w:t xml:space="preserve"> ելնելով նպատակահարմարությունից</w:t>
      </w:r>
      <w:r w:rsidR="00B20B1A" w:rsidRPr="00C921DE">
        <w:rPr>
          <w:rFonts w:ascii="GHEA Grapalat" w:hAnsi="GHEA Grapalat" w:cs="Sylfaen"/>
          <w:sz w:val="22"/>
          <w:szCs w:val="22"/>
          <w:lang w:val="en-US"/>
        </w:rPr>
        <w:t>,</w:t>
      </w:r>
      <w:r w:rsidRPr="00C921DE">
        <w:rPr>
          <w:rFonts w:ascii="GHEA Grapalat" w:hAnsi="GHEA Grapalat" w:cs="Sylfaen"/>
          <w:sz w:val="22"/>
          <w:szCs w:val="22"/>
        </w:rPr>
        <w:t xml:space="preserve"> նախատեսված միջոցներն ուղղվել են այլ աշխատանքների իրականացմանը: Չ</w:t>
      </w:r>
      <w:r w:rsidR="00147957" w:rsidRPr="00C921DE">
        <w:rPr>
          <w:rFonts w:ascii="GHEA Grapalat" w:hAnsi="GHEA Grapalat" w:cs="Sylfaen"/>
          <w:sz w:val="22"/>
          <w:szCs w:val="22"/>
          <w:lang w:val="en-US"/>
        </w:rPr>
        <w:t>ի</w:t>
      </w:r>
      <w:r w:rsidRPr="00C921DE">
        <w:rPr>
          <w:rFonts w:ascii="GHEA Grapalat" w:hAnsi="GHEA Grapalat" w:cs="Sylfaen"/>
          <w:sz w:val="22"/>
          <w:szCs w:val="22"/>
        </w:rPr>
        <w:t xml:space="preserve"> իրականացվել կիբերանվտանգության ինկուբատորի դեմո լաբորատորիայի համար ցանցի տեղադր</w:t>
      </w:r>
      <w:r w:rsidR="00147957" w:rsidRPr="00C921DE">
        <w:rPr>
          <w:rFonts w:ascii="GHEA Grapalat" w:hAnsi="GHEA Grapalat" w:cs="Sylfaen"/>
          <w:sz w:val="22"/>
          <w:szCs w:val="22"/>
          <w:lang w:val="en-US"/>
        </w:rPr>
        <w:t>ում</w:t>
      </w:r>
      <w:r w:rsidRPr="00C921DE">
        <w:rPr>
          <w:rFonts w:ascii="GHEA Grapalat" w:hAnsi="GHEA Grapalat" w:cs="Sylfaen"/>
          <w:sz w:val="22"/>
          <w:szCs w:val="22"/>
        </w:rPr>
        <w:t>ը՝ պայմանավորված աշխատանքների անհրաժեշտության վերացման հանգամանքով: Վերոնշյալ հանգամանք</w:t>
      </w:r>
      <w:r w:rsidR="003F496D" w:rsidRPr="00C921DE">
        <w:rPr>
          <w:rFonts w:ascii="GHEA Grapalat" w:hAnsi="GHEA Grapalat" w:cs="Sylfaen"/>
          <w:sz w:val="22"/>
          <w:szCs w:val="22"/>
          <w:lang w:val="en-US"/>
        </w:rPr>
        <w:t>ն</w:t>
      </w:r>
      <w:r w:rsidRPr="00C921DE">
        <w:rPr>
          <w:rFonts w:ascii="GHEA Grapalat" w:hAnsi="GHEA Grapalat" w:cs="Sylfaen"/>
          <w:sz w:val="22"/>
          <w:szCs w:val="22"/>
        </w:rPr>
        <w:t xml:space="preserve">երով պայմանավորված՝ </w:t>
      </w:r>
      <w:r w:rsidRPr="00C921DE">
        <w:rPr>
          <w:rFonts w:ascii="GHEA Grapalat" w:hAnsi="GHEA Grapalat" w:cs="GHEA Grapalat"/>
          <w:sz w:val="22"/>
          <w:szCs w:val="22"/>
        </w:rPr>
        <w:t>նշված միջոցառման շրջանակներում օգտագործվել է նախատեսված միջոցների</w:t>
      </w:r>
      <w:r w:rsidRPr="00C921DE">
        <w:rPr>
          <w:rFonts w:ascii="GHEA Grapalat" w:hAnsi="GHEA Grapalat" w:cs="Sylfaen"/>
          <w:sz w:val="22"/>
          <w:szCs w:val="22"/>
        </w:rPr>
        <w:t xml:space="preserve"> 86.6%-ը՝ 875 մլն դրամ:</w:t>
      </w:r>
    </w:p>
    <w:p w14:paraId="54008826" w14:textId="73C1969A"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Տեղեկատվական տեխնոլոգիաների ոլորտում գործունեություն իրականացնող առևտրային կազմակերպություններին և անհատ ձեռնարկատերերին պետական աջակցության միջոցառման նպատակն է Հայաստանի Հանրապետությունում տեղեկատվական տեխնոլոգիաների ոլորտի զարգացմանն օժանդակելու, ինչպես նաև տարածաշրջանի երկրների համեմատ նշյալ ոլորտում գործունեության խթանների առումով տնտես</w:t>
      </w:r>
      <w:r w:rsidR="003F496D" w:rsidRPr="00C921DE">
        <w:rPr>
          <w:rFonts w:ascii="GHEA Grapalat" w:hAnsi="GHEA Grapalat" w:cs="Sylfaen"/>
          <w:sz w:val="22"/>
          <w:szCs w:val="22"/>
          <w:lang w:val="en-US"/>
        </w:rPr>
        <w:t>ա</w:t>
      </w:r>
      <w:r w:rsidRPr="00C921DE">
        <w:rPr>
          <w:rFonts w:ascii="GHEA Grapalat" w:hAnsi="GHEA Grapalat" w:cs="Sylfaen"/>
          <w:sz w:val="22"/>
          <w:szCs w:val="22"/>
        </w:rPr>
        <w:t>վարող սուբ</w:t>
      </w:r>
      <w:r w:rsidRPr="00C921DE">
        <w:rPr>
          <w:rFonts w:ascii="GHEA Grapalat" w:hAnsi="GHEA Grapalat" w:cs="Sylfaen"/>
          <w:sz w:val="22"/>
          <w:szCs w:val="22"/>
        </w:rPr>
        <w:softHyphen/>
        <w:t>յեկտ</w:t>
      </w:r>
      <w:r w:rsidRPr="00C921DE">
        <w:rPr>
          <w:rFonts w:ascii="GHEA Grapalat" w:hAnsi="GHEA Grapalat" w:cs="Sylfaen"/>
          <w:sz w:val="22"/>
          <w:szCs w:val="22"/>
        </w:rPr>
        <w:softHyphen/>
      </w:r>
      <w:r w:rsidRPr="00C921DE">
        <w:rPr>
          <w:rFonts w:ascii="GHEA Grapalat" w:hAnsi="GHEA Grapalat" w:cs="Sylfaen"/>
          <w:sz w:val="22"/>
          <w:szCs w:val="22"/>
        </w:rPr>
        <w:softHyphen/>
        <w:t xml:space="preserve">ների գործունեության իրականացման համար համապատասխան մրցունակ միջավայրի ստեղծումը։ Միջոցառման շրջանակներում աջակցություն ստացած շահառուների թիվը կազմել է 376՝ նախատեսված 361-ի ու նախորդ տարվա 34-ի դիմաց: Արդյունքային ցուցանիշի գծով արձանագրված գերակատարումը պայմանավորված է միջոցառման նկատմամբ բարձր պահանջարկով: Նշված միջոցառման շրջանակներում </w:t>
      </w:r>
      <w:r w:rsidR="003F496D" w:rsidRPr="00C921DE">
        <w:rPr>
          <w:rFonts w:ascii="GHEA Grapalat" w:hAnsi="GHEA Grapalat" w:cs="Sylfaen"/>
          <w:sz w:val="22"/>
          <w:szCs w:val="22"/>
          <w:lang w:val="en-US"/>
        </w:rPr>
        <w:t>տրամադր</w:t>
      </w:r>
      <w:r w:rsidRPr="00C921DE">
        <w:rPr>
          <w:rFonts w:ascii="GHEA Grapalat" w:hAnsi="GHEA Grapalat" w:cs="Sylfaen"/>
          <w:sz w:val="22"/>
          <w:szCs w:val="22"/>
        </w:rPr>
        <w:t>վել է շուրջ 12.7 մլրդ դրամ</w:t>
      </w:r>
      <w:r w:rsidR="00A8701F" w:rsidRPr="00C921DE">
        <w:rPr>
          <w:rFonts w:ascii="GHEA Grapalat" w:hAnsi="GHEA Grapalat" w:cs="Sylfaen"/>
          <w:sz w:val="22"/>
          <w:szCs w:val="22"/>
          <w:lang w:val="en-US"/>
        </w:rPr>
        <w:t xml:space="preserve"> աջակցություն</w:t>
      </w:r>
      <w:r w:rsidRPr="00C921DE">
        <w:rPr>
          <w:rFonts w:ascii="GHEA Grapalat" w:hAnsi="GHEA Grapalat" w:cs="Sylfaen"/>
          <w:sz w:val="22"/>
          <w:szCs w:val="22"/>
        </w:rPr>
        <w:t>՝ ապահովելով 100% կատարողական: Նախորդ տարվա համեմատ նշված ծախսերն աճել են 4.9 անգամ կամ 10.1 մլրդ դրամով՝ պայմանավորված շահառուների թվի աճով:</w:t>
      </w:r>
    </w:p>
    <w:p w14:paraId="3373F7C4" w14:textId="348AF312"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Պետական գերատեսչությունների համար միասնական թվային ծառայությունների ձեռքբերման միջոցառման շրջանակներում</w:t>
      </w:r>
      <w:r w:rsidR="004B2D47" w:rsidRPr="00C921DE">
        <w:rPr>
          <w:rFonts w:ascii="GHEA Grapalat" w:hAnsi="GHEA Grapalat" w:cs="Sylfaen"/>
          <w:sz w:val="22"/>
          <w:szCs w:val="22"/>
        </w:rPr>
        <w:t xml:space="preserve"> </w:t>
      </w:r>
      <w:r w:rsidRPr="00C921DE">
        <w:rPr>
          <w:rFonts w:ascii="GHEA Grapalat" w:hAnsi="GHEA Grapalat" w:cs="Sylfaen"/>
          <w:sz w:val="22"/>
          <w:szCs w:val="22"/>
        </w:rPr>
        <w:t xml:space="preserve">ՀՀ պետական գերատեսչությունների կողմից ներկայացված հայտերի հիման վրա «Գեոկոսմոս» ՓԲԸ-ի կողմից տրամադրվել </w:t>
      </w:r>
      <w:r w:rsidR="00A8701F" w:rsidRPr="00C921DE">
        <w:rPr>
          <w:rFonts w:ascii="GHEA Grapalat" w:hAnsi="GHEA Grapalat" w:cs="Sylfaen"/>
          <w:sz w:val="22"/>
          <w:szCs w:val="22"/>
          <w:lang w:val="en-US"/>
        </w:rPr>
        <w:t>են</w:t>
      </w:r>
      <w:r w:rsidRPr="00C921DE">
        <w:rPr>
          <w:rFonts w:ascii="GHEA Grapalat" w:hAnsi="GHEA Grapalat" w:cs="Sylfaen"/>
          <w:sz w:val="22"/>
          <w:szCs w:val="22"/>
        </w:rPr>
        <w:t xml:space="preserve"> շուրջ 147,000 քառակուսի կիլոմետր մակերեսով տարածքի տիեզերալուսանկարներ։ Նշված միջոցառման շրջանակներում օգտագործվել է 579.6 մլն դրամ՝ ապահովելով 100% կատարողական: Նախորդ տարվա համեմատ նշված ծախսերն </w:t>
      </w:r>
      <w:r w:rsidRPr="00C921DE">
        <w:rPr>
          <w:rFonts w:ascii="GHEA Grapalat" w:hAnsi="GHEA Grapalat" w:cs="Sylfaen"/>
          <w:sz w:val="22"/>
          <w:szCs w:val="22"/>
        </w:rPr>
        <w:lastRenderedPageBreak/>
        <w:t>աճել են 46.7%-ով կամ 184.6 մլն դրամով՝ պայմանավորված ՀՀ գերատեսչությունների կողմից պահանջարկի աճով։</w:t>
      </w:r>
    </w:p>
    <w:p w14:paraId="02F4EB81" w14:textId="6D2E3826" w:rsidR="00CD04D2" w:rsidRPr="00C921DE" w:rsidRDefault="00CD04D2"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ՀՀ ԲՏԱՆ պատասխանատվությամբ իրականացվող այլ ծրագրերից </w:t>
      </w:r>
      <w:r w:rsidRPr="00C921DE">
        <w:rPr>
          <w:rFonts w:ascii="GHEA Grapalat" w:hAnsi="GHEA Grapalat" w:cs="Sylfaen"/>
          <w:i/>
          <w:sz w:val="22"/>
          <w:szCs w:val="22"/>
        </w:rPr>
        <w:t>Հեռահաղորդակցության ապահովման</w:t>
      </w:r>
      <w:r w:rsidRPr="00C921DE">
        <w:rPr>
          <w:rFonts w:ascii="GHEA Grapalat" w:hAnsi="GHEA Grapalat" w:cs="GHEA Grapalat"/>
          <w:sz w:val="22"/>
          <w:szCs w:val="22"/>
        </w:rPr>
        <w:t xml:space="preserve"> ծրագրի շրջանակներում</w:t>
      </w:r>
      <w:r w:rsidRPr="00C921DE">
        <w:rPr>
          <w:rFonts w:ascii="GHEA Grapalat" w:hAnsi="GHEA Grapalat"/>
          <w:sz w:val="22"/>
          <w:szCs w:val="22"/>
        </w:rPr>
        <w:t xml:space="preserve"> օգտագործվել է շուրջ 2.6 մլրդ դրամ կամ նախատեսված միջոցների 96.4%-ը: </w:t>
      </w:r>
      <w:r w:rsidRPr="00C921DE">
        <w:rPr>
          <w:rFonts w:ascii="GHEA Grapalat" w:hAnsi="GHEA Grapalat" w:cs="Sylfaen"/>
          <w:sz w:val="22"/>
          <w:szCs w:val="22"/>
        </w:rPr>
        <w:t>Հատկացված միջոցներն ուղղվել են չորս միջոցառումների իրականացմանը</w:t>
      </w:r>
      <w:r w:rsidRPr="00C921DE">
        <w:rPr>
          <w:rFonts w:ascii="GHEA Grapalat" w:hAnsi="GHEA Grapalat" w:cs="GHEA Grapalat"/>
          <w:sz w:val="22"/>
          <w:szCs w:val="22"/>
        </w:rPr>
        <w:t xml:space="preserve">: </w:t>
      </w:r>
      <w:r w:rsidRPr="00C921DE">
        <w:rPr>
          <w:rFonts w:ascii="GHEA Grapalat" w:hAnsi="GHEA Grapalat" w:cs="Sylfaen"/>
          <w:sz w:val="22"/>
          <w:szCs w:val="22"/>
        </w:rPr>
        <w:t>Շեղումը</w:t>
      </w:r>
      <w:r w:rsidR="00EC7B05" w:rsidRPr="00C921DE">
        <w:rPr>
          <w:rFonts w:ascii="GHEA Grapalat" w:hAnsi="GHEA Grapalat" w:cs="Sylfaen"/>
          <w:sz w:val="22"/>
          <w:szCs w:val="22"/>
          <w:lang w:val="en-US"/>
        </w:rPr>
        <w:t xml:space="preserve">, ինչպես նաև </w:t>
      </w:r>
      <w:r w:rsidR="00EC7B05" w:rsidRPr="00C921DE">
        <w:rPr>
          <w:rFonts w:ascii="GHEA Grapalat" w:hAnsi="GHEA Grapalat" w:cs="GHEA Grapalat"/>
          <w:sz w:val="22"/>
          <w:szCs w:val="22"/>
        </w:rPr>
        <w:t>նախորդ տարվա համեմատ ծախսերի 2.6 անգամ (1.6 մլրդ դրամ) աճը</w:t>
      </w:r>
      <w:r w:rsidRPr="00C921DE">
        <w:rPr>
          <w:rFonts w:ascii="GHEA Grapalat" w:hAnsi="GHEA Grapalat" w:cs="Sylfaen"/>
          <w:sz w:val="22"/>
          <w:szCs w:val="22"/>
        </w:rPr>
        <w:t xml:space="preserve"> հիմնականում պայմանավորված </w:t>
      </w:r>
      <w:r w:rsidR="004A655F" w:rsidRPr="00C921DE">
        <w:rPr>
          <w:rFonts w:ascii="GHEA Grapalat" w:hAnsi="GHEA Grapalat" w:cs="Sylfaen"/>
          <w:sz w:val="22"/>
          <w:szCs w:val="22"/>
          <w:lang w:val="en-US"/>
        </w:rPr>
        <w:t>են</w:t>
      </w:r>
      <w:r w:rsidRPr="00C921DE">
        <w:rPr>
          <w:rFonts w:ascii="GHEA Grapalat" w:hAnsi="GHEA Grapalat" w:cs="Sylfaen"/>
          <w:sz w:val="22"/>
          <w:szCs w:val="22"/>
        </w:rPr>
        <w:t xml:space="preserve"> ՀՀ տարածքում բազային և շարժական ռադիոմոնիտորինգի համակարգի ներդրման միջոցառման կատարողականով:</w:t>
      </w:r>
    </w:p>
    <w:p w14:paraId="08FB6A6A" w14:textId="2F0A4EF7" w:rsidR="00CD04D2" w:rsidRPr="00C921DE" w:rsidRDefault="00CD04D2"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 xml:space="preserve">ՀՀ </w:t>
      </w:r>
      <w:r w:rsidRPr="00C921DE">
        <w:rPr>
          <w:rFonts w:ascii="GHEA Grapalat" w:hAnsi="GHEA Grapalat" w:cs="GHEA Grapalat"/>
          <w:sz w:val="22"/>
          <w:szCs w:val="22"/>
        </w:rPr>
        <w:t>տարածքում բազային և շարժական ռադիոմոնիտորինգի համակարգի ներդրման ծրագիրը նպատակ ունի լուծել տեղական, տարածաշրջանային կամ գլոբալ մասշտաբներով քաղաքացիական, ռազմական և հատուկ նշանակության</w:t>
      </w:r>
      <w:bookmarkStart w:id="240" w:name="_Hlk80631260"/>
      <w:r w:rsidRPr="00C921DE">
        <w:rPr>
          <w:rFonts w:ascii="GHEA Grapalat" w:hAnsi="GHEA Grapalat" w:cs="GHEA Grapalat"/>
          <w:sz w:val="22"/>
          <w:szCs w:val="22"/>
        </w:rPr>
        <w:t xml:space="preserve"> ռադիոէլեկտրոնային միջոցների էլեկտրամագնիսական համատեղելիության և ռադիոհաճախականային խանգարումներին առնչվող խնդիրները</w:t>
      </w:r>
      <w:bookmarkEnd w:id="240"/>
      <w:r w:rsidRPr="00C921DE">
        <w:rPr>
          <w:rFonts w:ascii="GHEA Grapalat" w:hAnsi="GHEA Grapalat" w:cs="GHEA Grapalat"/>
          <w:sz w:val="22"/>
          <w:szCs w:val="22"/>
        </w:rPr>
        <w:t>, ապահովել ռադիոհաճախականությունների և հաճախականային շերտերի փաստացի օգտագործմանը վերաբերող տվյալների հավաքագրումն ու տրամադրումը: ՀՀ տարածքում բազային և շարժական ռադիոմոնիտորինգի համակարգ</w:t>
      </w:r>
      <w:r w:rsidR="000A660B" w:rsidRPr="00C921DE">
        <w:rPr>
          <w:rFonts w:ascii="GHEA Grapalat" w:hAnsi="GHEA Grapalat" w:cs="GHEA Grapalat"/>
          <w:sz w:val="22"/>
          <w:szCs w:val="22"/>
          <w:lang w:val="en-US"/>
        </w:rPr>
        <w:t>ի</w:t>
      </w:r>
      <w:r w:rsidRPr="00C921DE">
        <w:rPr>
          <w:rFonts w:ascii="GHEA Grapalat" w:hAnsi="GHEA Grapalat" w:cs="GHEA Grapalat"/>
          <w:sz w:val="22"/>
          <w:szCs w:val="22"/>
        </w:rPr>
        <w:t xml:space="preserve"> ներդրման արդյունքում կունենանք</w:t>
      </w:r>
      <w:r w:rsidR="004B2D47" w:rsidRPr="00C921DE">
        <w:rPr>
          <w:rFonts w:ascii="GHEA Grapalat" w:hAnsi="GHEA Grapalat" w:cs="GHEA Grapalat"/>
          <w:sz w:val="22"/>
          <w:szCs w:val="22"/>
        </w:rPr>
        <w:t xml:space="preserve"> </w:t>
      </w:r>
      <w:r w:rsidRPr="00C921DE">
        <w:rPr>
          <w:rFonts w:ascii="GHEA Grapalat" w:hAnsi="GHEA Grapalat" w:cs="GHEA Grapalat"/>
          <w:sz w:val="22"/>
          <w:szCs w:val="22"/>
        </w:rPr>
        <w:t>ժամանակակից տեխնիկական լուծումներով կառուցված ռադիոեթերի մշտադիտարկման միասնական ցանց, որը ՀՀ ողջ տարածքում հնարավորություն կտա իրականացնել շուրջօրյա ռադիոհսկում: Արդյունքում արագ կհայտնաբերվեն և ՀՀ օրենսդրությամբ սահմանված կարգով կբացառվեն չթույլատրված ռադիոհեռարձակումները, ինչպես նաև ռադիոխանգարումներ առաջացնող վնասակար սարքերը և համակարգերը` զերծ պահելով եթերը վնասակար խանգարումներից: Համակարգը ծառայելու է նաև հատուկ</w:t>
      </w:r>
      <w:r w:rsidR="000A660B" w:rsidRPr="00C921DE">
        <w:rPr>
          <w:rFonts w:ascii="GHEA Grapalat" w:hAnsi="GHEA Grapalat" w:cs="GHEA Grapalat"/>
          <w:sz w:val="22"/>
          <w:szCs w:val="22"/>
        </w:rPr>
        <w:t xml:space="preserve"> նշանակության խնդիրների լուծման</w:t>
      </w:r>
      <w:r w:rsidR="000A660B" w:rsidRPr="00C921DE">
        <w:rPr>
          <w:rFonts w:ascii="GHEA Grapalat" w:hAnsi="GHEA Grapalat" w:cs="GHEA Grapalat"/>
          <w:sz w:val="22"/>
          <w:szCs w:val="22"/>
          <w:lang w:val="en-US"/>
        </w:rPr>
        <w:t>ը</w:t>
      </w:r>
      <w:r w:rsidRPr="00C921DE">
        <w:rPr>
          <w:rFonts w:ascii="GHEA Grapalat" w:hAnsi="GHEA Grapalat" w:cs="GHEA Grapalat"/>
          <w:sz w:val="22"/>
          <w:szCs w:val="22"/>
        </w:rPr>
        <w:t>: 2023 թվականի հունվա</w:t>
      </w:r>
      <w:r w:rsidR="000A660B" w:rsidRPr="00C921DE">
        <w:rPr>
          <w:rFonts w:ascii="GHEA Grapalat" w:hAnsi="GHEA Grapalat" w:cs="GHEA Grapalat"/>
          <w:sz w:val="22"/>
          <w:szCs w:val="22"/>
        </w:rPr>
        <w:t xml:space="preserve">րի 31֊ին ավարտվել և շահագործման </w:t>
      </w:r>
      <w:r w:rsidR="000A660B" w:rsidRPr="00C921DE">
        <w:rPr>
          <w:rFonts w:ascii="GHEA Grapalat" w:hAnsi="GHEA Grapalat" w:cs="GHEA Grapalat"/>
          <w:sz w:val="22"/>
          <w:szCs w:val="22"/>
          <w:lang w:val="en-US"/>
        </w:rPr>
        <w:t>է</w:t>
      </w:r>
      <w:r w:rsidRPr="00C921DE">
        <w:rPr>
          <w:rFonts w:ascii="GHEA Grapalat" w:hAnsi="GHEA Grapalat" w:cs="GHEA Grapalat"/>
          <w:sz w:val="22"/>
          <w:szCs w:val="22"/>
        </w:rPr>
        <w:t xml:space="preserve"> հանձնվել ռադիոմոնիտորինգի համակարգի </w:t>
      </w:r>
      <w:r w:rsidR="000A660B" w:rsidRPr="00C921DE">
        <w:rPr>
          <w:rFonts w:ascii="GHEA Grapalat" w:hAnsi="GHEA Grapalat" w:cs="GHEA Grapalat"/>
          <w:sz w:val="22"/>
          <w:szCs w:val="22"/>
          <w:lang w:val="en-US"/>
        </w:rPr>
        <w:t>մեկ</w:t>
      </w:r>
      <w:r w:rsidRPr="00C921DE">
        <w:rPr>
          <w:rFonts w:ascii="GHEA Grapalat" w:hAnsi="GHEA Grapalat" w:cs="GHEA Grapalat"/>
          <w:sz w:val="22"/>
          <w:szCs w:val="22"/>
        </w:rPr>
        <w:t xml:space="preserve"> գլխավոր (MS</w:t>
      </w:r>
      <w:r w:rsidR="000A660B" w:rsidRPr="00C921DE">
        <w:rPr>
          <w:rFonts w:ascii="GHEA Grapalat" w:hAnsi="GHEA Grapalat" w:cs="GHEA Grapalat"/>
          <w:sz w:val="22"/>
          <w:szCs w:val="22"/>
        </w:rPr>
        <w:t>) և ֆիքսված չսպասարկվող կայան, որ</w:t>
      </w:r>
      <w:r w:rsidR="000A660B" w:rsidRPr="00C921DE">
        <w:rPr>
          <w:rFonts w:ascii="GHEA Grapalat" w:hAnsi="GHEA Grapalat" w:cs="GHEA Grapalat"/>
          <w:sz w:val="22"/>
          <w:szCs w:val="22"/>
          <w:lang w:val="en-US"/>
        </w:rPr>
        <w:t xml:space="preserve">ն </w:t>
      </w:r>
      <w:r w:rsidRPr="00C921DE">
        <w:rPr>
          <w:rFonts w:ascii="GHEA Grapalat" w:hAnsi="GHEA Grapalat" w:cs="GHEA Grapalat"/>
          <w:sz w:val="22"/>
          <w:szCs w:val="22"/>
        </w:rPr>
        <w:t xml:space="preserve">ապահովում </w:t>
      </w:r>
      <w:r w:rsidR="000A660B" w:rsidRPr="00C921DE">
        <w:rPr>
          <w:rFonts w:ascii="GHEA Grapalat" w:hAnsi="GHEA Grapalat" w:cs="GHEA Grapalat"/>
          <w:sz w:val="22"/>
          <w:szCs w:val="22"/>
          <w:lang w:val="en-US"/>
        </w:rPr>
        <w:t>է</w:t>
      </w:r>
      <w:r w:rsidRPr="00C921DE">
        <w:rPr>
          <w:rFonts w:ascii="GHEA Grapalat" w:hAnsi="GHEA Grapalat" w:cs="GHEA Grapalat"/>
          <w:sz w:val="22"/>
          <w:szCs w:val="22"/>
        </w:rPr>
        <w:t xml:space="preserve"> Երևանի քաղաքի կենտրոնական մասի մշտադիտարկում՝ 24/7 (ժամ/օր) ռեժիմով: </w:t>
      </w:r>
      <w:r w:rsidR="009D1198" w:rsidRPr="00C921DE">
        <w:rPr>
          <w:rFonts w:ascii="GHEA Grapalat" w:hAnsi="GHEA Grapalat" w:cs="GHEA Grapalat"/>
          <w:sz w:val="22"/>
          <w:szCs w:val="22"/>
          <w:lang w:val="en-US"/>
        </w:rPr>
        <w:t>Ձ</w:t>
      </w:r>
      <w:r w:rsidRPr="00C921DE">
        <w:rPr>
          <w:rFonts w:ascii="GHEA Grapalat" w:hAnsi="GHEA Grapalat" w:cs="GHEA Grapalat"/>
          <w:sz w:val="22"/>
          <w:szCs w:val="22"/>
        </w:rPr>
        <w:t xml:space="preserve">եռք են բերվել </w:t>
      </w:r>
      <w:r w:rsidR="009D1198" w:rsidRPr="00C921DE">
        <w:rPr>
          <w:rFonts w:ascii="GHEA Grapalat" w:hAnsi="GHEA Grapalat" w:cs="GHEA Grapalat"/>
          <w:sz w:val="22"/>
          <w:szCs w:val="22"/>
          <w:lang w:val="en-US"/>
        </w:rPr>
        <w:t xml:space="preserve">նախատեսված </w:t>
      </w:r>
      <w:r w:rsidRPr="00C921DE">
        <w:rPr>
          <w:rFonts w:ascii="GHEA Grapalat" w:hAnsi="GHEA Grapalat" w:cs="GHEA Grapalat"/>
          <w:sz w:val="22"/>
          <w:szCs w:val="22"/>
        </w:rPr>
        <w:t>5 հատ սպասարկվող ստացիոնար կայաններ</w:t>
      </w:r>
      <w:r w:rsidR="009D1198" w:rsidRPr="00C921DE">
        <w:rPr>
          <w:rFonts w:ascii="GHEA Grapalat" w:hAnsi="GHEA Grapalat" w:cs="GHEA Grapalat"/>
          <w:sz w:val="22"/>
          <w:szCs w:val="22"/>
          <w:lang w:val="en-US"/>
        </w:rPr>
        <w:t>ը</w:t>
      </w:r>
      <w:r w:rsidRPr="00C921DE">
        <w:rPr>
          <w:rFonts w:ascii="GHEA Grapalat" w:hAnsi="GHEA Grapalat" w:cs="GHEA Grapalat"/>
          <w:sz w:val="22"/>
          <w:szCs w:val="22"/>
        </w:rPr>
        <w:t xml:space="preserve">: </w:t>
      </w:r>
      <w:r w:rsidR="00F90A03" w:rsidRPr="00C921DE">
        <w:rPr>
          <w:rFonts w:ascii="GHEA Grapalat" w:hAnsi="GHEA Grapalat" w:cs="GHEA Grapalat"/>
          <w:sz w:val="22"/>
          <w:szCs w:val="22"/>
          <w:lang w:val="en-US"/>
        </w:rPr>
        <w:t>Ն</w:t>
      </w:r>
      <w:r w:rsidRPr="00C921DE">
        <w:rPr>
          <w:rFonts w:ascii="GHEA Grapalat" w:hAnsi="GHEA Grapalat" w:cs="GHEA Grapalat"/>
          <w:sz w:val="22"/>
          <w:szCs w:val="22"/>
        </w:rPr>
        <w:t>շված միջոցառման շրջանակներում օգտագործվել է նախատեսված միջոցների</w:t>
      </w:r>
      <w:r w:rsidRPr="00C921DE">
        <w:rPr>
          <w:rFonts w:ascii="GHEA Grapalat" w:hAnsi="GHEA Grapalat" w:cs="Sylfaen"/>
          <w:sz w:val="22"/>
          <w:szCs w:val="22"/>
        </w:rPr>
        <w:t xml:space="preserve"> 96%-ը՝ շուրջ 1.9 մլրդ դրամ:</w:t>
      </w:r>
      <w:r w:rsidR="00F90A03" w:rsidRPr="00C921DE">
        <w:rPr>
          <w:rFonts w:ascii="GHEA Grapalat" w:hAnsi="GHEA Grapalat" w:cs="Sylfaen"/>
          <w:sz w:val="22"/>
          <w:szCs w:val="22"/>
          <w:lang w:val="en-US"/>
        </w:rPr>
        <w:t xml:space="preserve"> Շեղումը հիմնականում պայմանավորված է նրանով, որ մատակարարի կողմից ուշացվել է</w:t>
      </w:r>
      <w:r w:rsidR="00996091" w:rsidRPr="00C921DE">
        <w:rPr>
          <w:rFonts w:ascii="GHEA Grapalat" w:hAnsi="GHEA Grapalat" w:cs="Sylfaen"/>
          <w:sz w:val="22"/>
          <w:szCs w:val="22"/>
          <w:lang w:val="en-US"/>
        </w:rPr>
        <w:t xml:space="preserve"> նախատեսված 4</w:t>
      </w:r>
      <w:r w:rsidR="00F90A03" w:rsidRPr="00C921DE">
        <w:rPr>
          <w:rFonts w:ascii="GHEA Grapalat" w:hAnsi="GHEA Grapalat" w:cs="Sylfaen"/>
          <w:sz w:val="22"/>
          <w:szCs w:val="22"/>
          <w:lang w:val="en-US"/>
        </w:rPr>
        <w:t xml:space="preserve"> շարժական կայանների կազմի մեջ մտնող որոշակի </w:t>
      </w:r>
      <w:r w:rsidR="009D1198" w:rsidRPr="00C921DE">
        <w:rPr>
          <w:rFonts w:ascii="GHEA Grapalat" w:hAnsi="GHEA Grapalat" w:cs="Sylfaen"/>
          <w:sz w:val="22"/>
          <w:szCs w:val="22"/>
          <w:lang w:val="en-US"/>
        </w:rPr>
        <w:t>բաղադրիչ</w:t>
      </w:r>
      <w:r w:rsidR="00F90A03" w:rsidRPr="00C921DE">
        <w:rPr>
          <w:rFonts w:ascii="GHEA Grapalat" w:hAnsi="GHEA Grapalat" w:cs="Sylfaen"/>
          <w:sz w:val="22"/>
          <w:szCs w:val="22"/>
          <w:lang w:val="en-US"/>
        </w:rPr>
        <w:t>ների՝ այլ արտադրողներից ձեռքբերումն ու մատակարարումը: Արդյունքում երկարաձգվել է մոնտաժային աշխատանքների ժամկետը:</w:t>
      </w:r>
      <w:r w:rsidRPr="00C921DE">
        <w:rPr>
          <w:rFonts w:ascii="GHEA Grapalat" w:hAnsi="GHEA Grapalat" w:cs="Sylfaen"/>
          <w:sz w:val="22"/>
          <w:szCs w:val="22"/>
        </w:rPr>
        <w:t xml:space="preserve"> </w:t>
      </w:r>
      <w:r w:rsidRPr="00C921DE">
        <w:rPr>
          <w:rFonts w:ascii="GHEA Grapalat" w:hAnsi="GHEA Grapalat" w:cs="GHEA Grapalat"/>
          <w:sz w:val="22"/>
          <w:szCs w:val="22"/>
        </w:rPr>
        <w:t xml:space="preserve">Բացի այդ, </w:t>
      </w:r>
      <w:r w:rsidR="00F90A03" w:rsidRPr="00C921DE">
        <w:rPr>
          <w:rFonts w:ascii="GHEA Grapalat" w:hAnsi="GHEA Grapalat" w:cs="GHEA Grapalat"/>
          <w:sz w:val="22"/>
          <w:szCs w:val="22"/>
          <w:lang w:val="en-US"/>
        </w:rPr>
        <w:t>միջոցառման կատարողականը</w:t>
      </w:r>
      <w:r w:rsidRPr="00C921DE">
        <w:rPr>
          <w:rFonts w:ascii="GHEA Grapalat" w:hAnsi="GHEA Grapalat" w:cs="GHEA Grapalat"/>
          <w:sz w:val="22"/>
          <w:szCs w:val="22"/>
        </w:rPr>
        <w:t xml:space="preserve"> մասամբ պայմանավորված է նաև արտարժույթի կանխատեսված և փաստացի փոխարժեքների տարբերությամբ: Նախորդ տարվա համեմատ նշված միջոցառման ծախսերն աճել են 4.5 անգամ կամ 1.4 մլրդ դրամով, ինչը պայմանավորված է հաշվետու տարում կատարված աշխատանքների ծավալով, բացի այդ, </w:t>
      </w:r>
      <w:r w:rsidRPr="00C921DE">
        <w:rPr>
          <w:rFonts w:ascii="GHEA Grapalat" w:hAnsi="GHEA Grapalat" w:cs="GHEA Grapalat"/>
          <w:sz w:val="22"/>
          <w:szCs w:val="22"/>
        </w:rPr>
        <w:lastRenderedPageBreak/>
        <w:t xml:space="preserve">իրականացվել են նաև 2022 թվականին ձեռքբերված գլխավոր կայանի և մեկ չսպասարկվող ֆիքսված կայանի մոնտաժային աշխատանքները: </w:t>
      </w:r>
    </w:p>
    <w:p w14:paraId="302E20FB" w14:textId="2050B2FD"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rPr>
        <w:t>Պաշտպանության բնագավառում գիտական և գիտատեխնիկական նպատակային հետազոտությունների</w:t>
      </w:r>
      <w:r w:rsidRPr="00C921DE">
        <w:rPr>
          <w:rFonts w:ascii="GHEA Grapalat" w:hAnsi="GHEA Grapalat" w:cs="GHEA Grapalat"/>
          <w:sz w:val="22"/>
          <w:szCs w:val="22"/>
        </w:rPr>
        <w:t xml:space="preserve"> ծրագրի շրջանակներում մ</w:t>
      </w:r>
      <w:r w:rsidRPr="00C921DE">
        <w:rPr>
          <w:rFonts w:ascii="GHEA Grapalat" w:hAnsi="GHEA Grapalat" w:cs="Sylfaen"/>
          <w:sz w:val="22"/>
          <w:szCs w:val="22"/>
        </w:rPr>
        <w:t xml:space="preserve">իջոցներն ուղղվել են հատուկ գիտահետազոտական և փորձակոնստրուկտորական աշխատանքների ֆինանսավորմանը: </w:t>
      </w:r>
      <w:r w:rsidRPr="00C921DE">
        <w:rPr>
          <w:rFonts w:ascii="GHEA Grapalat" w:hAnsi="GHEA Grapalat" w:cs="GHEA Grapalat"/>
          <w:sz w:val="22"/>
          <w:szCs w:val="22"/>
        </w:rPr>
        <w:t xml:space="preserve">Ծրագրի շրջանակներում </w:t>
      </w:r>
      <w:r w:rsidRPr="00C921DE">
        <w:rPr>
          <w:rFonts w:ascii="GHEA Grapalat" w:hAnsi="GHEA Grapalat" w:cs="Sylfaen"/>
          <w:sz w:val="22"/>
          <w:szCs w:val="22"/>
        </w:rPr>
        <w:t xml:space="preserve">օգտագործվել է 1.1 մլրդ դրամ՝ ապահովելով 59.8% կատարողական: Շեղումը պայմանավորված է նրանով, որ ներկայացված հայտերից շահագրգիռ մարմինների կողմից մերժվել են 21-ը, իսկ գործող պայմանագրերից նախատեսված 74 փուլերից ընդունվել են 18-ը, բացի այդ աշխատանքների կատարման համար առկա են արտերկրից ներմուծման և լոգիստիկ խնդիրներ: Նախորդ տարվա համեմատ Պաշտպանության բնագավառում գիտական և գիտատեխնիկական </w:t>
      </w:r>
      <w:r w:rsidRPr="00C921DE">
        <w:rPr>
          <w:rFonts w:ascii="GHEA Grapalat" w:hAnsi="GHEA Grapalat" w:cs="GHEA Grapalat"/>
          <w:sz w:val="22"/>
          <w:szCs w:val="22"/>
        </w:rPr>
        <w:t xml:space="preserve">նպատակային հետազոտությունների ծրագրի շրջանակներում կատարված ծախսերը </w:t>
      </w:r>
      <w:r w:rsidRPr="00C921DE">
        <w:rPr>
          <w:rFonts w:ascii="GHEA Grapalat" w:hAnsi="GHEA Grapalat" w:cs="Sylfaen"/>
          <w:sz w:val="22"/>
          <w:szCs w:val="22"/>
        </w:rPr>
        <w:t xml:space="preserve">նվազել են 62.9%-ով կամ շուրջ 1.9 մլրդ դրամով, ինչը պայմանավորված է 2023 թվականին ռազմաարդյունաբերական համալիր (ՌԱՀ) նիստի հավանությանն արժանացած և </w:t>
      </w:r>
      <w:r w:rsidR="00D149AC" w:rsidRPr="00C921DE">
        <w:rPr>
          <w:rFonts w:ascii="GHEA Grapalat" w:hAnsi="GHEA Grapalat" w:cs="Sylfaen"/>
          <w:sz w:val="22"/>
          <w:szCs w:val="22"/>
          <w:lang w:val="en-US"/>
        </w:rPr>
        <w:t>Կ</w:t>
      </w:r>
      <w:r w:rsidRPr="00C921DE">
        <w:rPr>
          <w:rFonts w:ascii="GHEA Grapalat" w:hAnsi="GHEA Grapalat" w:cs="Sylfaen"/>
          <w:sz w:val="22"/>
          <w:szCs w:val="22"/>
        </w:rPr>
        <w:t xml:space="preserve">առավարության որոշմամբ հաստատված նոր թեմաների քիչ քանակով, ինչպես նաև դրանց առաջին փուլերի կանխավճարների տրամադրմամբ: Բացի այդ, հաշվետու տարում ընկերությունները պատվիրատուին են հանձնել ԳՀՓԿԱ պայմանագրերի փուլերի գծով նախատեսվածից շուրջ 4 անգամ </w:t>
      </w:r>
      <w:r w:rsidR="005F2CC9" w:rsidRPr="00C921DE">
        <w:rPr>
          <w:rFonts w:ascii="GHEA Grapalat" w:hAnsi="GHEA Grapalat" w:cs="Sylfaen"/>
          <w:sz w:val="22"/>
          <w:szCs w:val="22"/>
          <w:lang w:val="en-US"/>
        </w:rPr>
        <w:t xml:space="preserve">պակաս </w:t>
      </w:r>
      <w:r w:rsidRPr="00C921DE">
        <w:rPr>
          <w:rFonts w:ascii="GHEA Grapalat" w:hAnsi="GHEA Grapalat" w:cs="Sylfaen"/>
          <w:sz w:val="22"/>
          <w:szCs w:val="22"/>
        </w:rPr>
        <w:t>աշխատանքներ, ինչը պայմանավորված է ընկերությունների մոտ առաջացած մի շարք գիտական, գիտատեխնիկական և ինժեներական խնդիրների բացահայտման և դրանց լուծման ուղիների որոնման հանգամանքով: Նշված աշխատանքների կատարման համար առկա են</w:t>
      </w:r>
      <w:r w:rsidR="005F2CC9" w:rsidRPr="00C921DE">
        <w:rPr>
          <w:rFonts w:ascii="GHEA Grapalat" w:hAnsi="GHEA Grapalat" w:cs="Sylfaen"/>
          <w:sz w:val="22"/>
          <w:szCs w:val="22"/>
        </w:rPr>
        <w:t xml:space="preserve"> նաև արտերկրից ներմուծվող հումքի ու </w:t>
      </w:r>
      <w:r w:rsidRPr="00C921DE">
        <w:rPr>
          <w:rFonts w:ascii="GHEA Grapalat" w:hAnsi="GHEA Grapalat" w:cs="Sylfaen"/>
          <w:sz w:val="22"/>
          <w:szCs w:val="22"/>
        </w:rPr>
        <w:t>նյութերի, սարքերի, սարքավորումների և միկրոէլեկտրոնային բազայի բացակայության,</w:t>
      </w:r>
      <w:r w:rsidR="004B2D47" w:rsidRPr="00C921DE">
        <w:rPr>
          <w:rFonts w:ascii="GHEA Grapalat" w:hAnsi="GHEA Grapalat" w:cs="Sylfaen"/>
          <w:sz w:val="22"/>
          <w:szCs w:val="22"/>
        </w:rPr>
        <w:t xml:space="preserve"> </w:t>
      </w:r>
      <w:r w:rsidRPr="00C921DE">
        <w:rPr>
          <w:rFonts w:ascii="GHEA Grapalat" w:hAnsi="GHEA Grapalat" w:cs="Sylfaen"/>
          <w:sz w:val="22"/>
          <w:szCs w:val="22"/>
        </w:rPr>
        <w:t xml:space="preserve">լոգիստիկ և բանկային փոխանցումների խնդիրներ: </w:t>
      </w:r>
    </w:p>
    <w:p w14:paraId="68947D05" w14:textId="77777777" w:rsidR="00C56BD7" w:rsidRPr="00C921DE" w:rsidRDefault="00C56BD7" w:rsidP="00C56BD7">
      <w:pPr>
        <w:spacing w:line="360" w:lineRule="auto"/>
        <w:ind w:firstLine="561"/>
        <w:jc w:val="both"/>
        <w:rPr>
          <w:rFonts w:ascii="GHEA Grapalat" w:hAnsi="GHEA Grapalat" w:cs="GHEA Grapalat"/>
          <w:sz w:val="22"/>
          <w:szCs w:val="22"/>
        </w:rPr>
      </w:pPr>
    </w:p>
    <w:p w14:paraId="3AB7D925" w14:textId="4AE9BF74" w:rsidR="000A1950" w:rsidRPr="00C921DE" w:rsidRDefault="00C56BD7"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i/>
          <w:sz w:val="22"/>
          <w:szCs w:val="22"/>
          <w:u w:val="single"/>
        </w:rPr>
        <w:t xml:space="preserve">ՀՀ </w:t>
      </w:r>
      <w:r w:rsidRPr="00C921DE">
        <w:rPr>
          <w:rFonts w:ascii="GHEA Grapalat" w:hAnsi="GHEA Grapalat" w:cs="GHEA Grapalat"/>
          <w:i/>
          <w:sz w:val="22"/>
          <w:szCs w:val="22"/>
          <w:u w:val="single"/>
        </w:rPr>
        <w:t>ֆինանսների</w:t>
      </w:r>
      <w:r w:rsidRPr="00C921DE">
        <w:rPr>
          <w:rFonts w:ascii="GHEA Grapalat" w:hAnsi="GHEA Grapalat" w:cs="Sylfaen"/>
          <w:i/>
          <w:sz w:val="22"/>
          <w:szCs w:val="22"/>
          <w:u w:val="single"/>
        </w:rPr>
        <w:t xml:space="preserve"> նախարարության</w:t>
      </w:r>
      <w:r w:rsidR="000A1950" w:rsidRPr="00C921DE">
        <w:rPr>
          <w:rFonts w:ascii="GHEA Grapalat" w:hAnsi="GHEA Grapalat" w:cs="Sylfaen"/>
          <w:sz w:val="22"/>
          <w:szCs w:val="22"/>
          <w:lang w:val="en-US"/>
        </w:rPr>
        <w:t xml:space="preserve"> </w:t>
      </w:r>
      <w:r w:rsidR="000A1950" w:rsidRPr="00C921DE">
        <w:rPr>
          <w:rFonts w:ascii="GHEA Grapalat" w:hAnsi="GHEA Grapalat" w:cs="Sylfaen"/>
          <w:sz w:val="22"/>
          <w:szCs w:val="22"/>
        </w:rPr>
        <w:t xml:space="preserve">պատասխանատվության ներքո իրականացվել են </w:t>
      </w:r>
      <w:r w:rsidR="000A1950" w:rsidRPr="00C921DE">
        <w:rPr>
          <w:rFonts w:ascii="GHEA Grapalat" w:hAnsi="GHEA Grapalat" w:cs="Sylfaen"/>
          <w:sz w:val="22"/>
          <w:szCs w:val="22"/>
          <w:lang w:val="en-US"/>
        </w:rPr>
        <w:t>3</w:t>
      </w:r>
      <w:r w:rsidR="000A1950" w:rsidRPr="00C921DE">
        <w:rPr>
          <w:rFonts w:ascii="GHEA Grapalat" w:hAnsi="GHEA Grapalat" w:cs="Sylfaen"/>
          <w:sz w:val="22"/>
          <w:szCs w:val="22"/>
        </w:rPr>
        <w:t xml:space="preserve"> ծրագրեր</w:t>
      </w:r>
      <w:r w:rsidR="00531273" w:rsidRPr="00C921DE">
        <w:rPr>
          <w:rFonts w:ascii="GHEA Grapalat" w:hAnsi="GHEA Grapalat" w:cs="Sylfaen"/>
          <w:sz w:val="22"/>
          <w:szCs w:val="22"/>
          <w:lang w:val="en-US"/>
        </w:rPr>
        <w:t>` նախատեսված 4-ի փոխարեն</w:t>
      </w:r>
      <w:r w:rsidR="000A1950" w:rsidRPr="00C921DE">
        <w:rPr>
          <w:rFonts w:ascii="GHEA Grapalat" w:hAnsi="GHEA Grapalat" w:cs="Sylfaen"/>
          <w:sz w:val="22"/>
          <w:szCs w:val="22"/>
        </w:rPr>
        <w:t>, որոնց 202</w:t>
      </w:r>
      <w:r w:rsidR="000A1950" w:rsidRPr="00C921DE">
        <w:rPr>
          <w:rFonts w:ascii="GHEA Grapalat" w:hAnsi="GHEA Grapalat" w:cs="Sylfaen"/>
          <w:sz w:val="22"/>
          <w:szCs w:val="22"/>
          <w:lang w:val="en-US"/>
        </w:rPr>
        <w:t>3</w:t>
      </w:r>
      <w:r w:rsidR="000A1950" w:rsidRPr="00C921DE">
        <w:rPr>
          <w:rFonts w:ascii="GHEA Grapalat" w:hAnsi="GHEA Grapalat" w:cs="Sylfaen"/>
          <w:sz w:val="22"/>
          <w:szCs w:val="22"/>
        </w:rPr>
        <w:t xml:space="preserve"> թվականի</w:t>
      </w:r>
      <w:r w:rsidR="000A1950" w:rsidRPr="00C921DE">
        <w:rPr>
          <w:rFonts w:ascii="GHEA Grapalat" w:hAnsi="GHEA Grapalat" w:cs="GHEA Grapalat"/>
          <w:sz w:val="22"/>
          <w:szCs w:val="22"/>
        </w:rPr>
        <w:t xml:space="preserve">ն </w:t>
      </w:r>
      <w:r w:rsidR="000A1950" w:rsidRPr="00C921DE">
        <w:rPr>
          <w:rFonts w:ascii="GHEA Grapalat" w:hAnsi="GHEA Grapalat" w:cs="Sylfaen"/>
          <w:sz w:val="22"/>
          <w:szCs w:val="22"/>
        </w:rPr>
        <w:t>ՀՀ պետական բյուջեից տրամադրվել է 2</w:t>
      </w:r>
      <w:r w:rsidR="000A1950" w:rsidRPr="00C921DE">
        <w:rPr>
          <w:rFonts w:ascii="GHEA Grapalat" w:hAnsi="GHEA Grapalat" w:cs="Sylfaen"/>
          <w:sz w:val="22"/>
          <w:szCs w:val="22"/>
          <w:lang w:val="en-US"/>
        </w:rPr>
        <w:t>57.5</w:t>
      </w:r>
      <w:r w:rsidR="000A1950" w:rsidRPr="00C921DE">
        <w:rPr>
          <w:rFonts w:ascii="Courier New" w:hAnsi="Courier New" w:cs="Courier New"/>
          <w:sz w:val="22"/>
          <w:szCs w:val="22"/>
        </w:rPr>
        <w:t> </w:t>
      </w:r>
      <w:r w:rsidR="000A1950" w:rsidRPr="00C921DE">
        <w:rPr>
          <w:rFonts w:ascii="GHEA Grapalat" w:hAnsi="GHEA Grapalat" w:cs="GHEA Grapalat"/>
          <w:sz w:val="22"/>
          <w:szCs w:val="22"/>
        </w:rPr>
        <w:t>մլրդ</w:t>
      </w:r>
      <w:r w:rsidR="000A1950" w:rsidRPr="00C921DE">
        <w:rPr>
          <w:rFonts w:ascii="GHEA Grapalat" w:hAnsi="GHEA Grapalat" w:cs="Sylfaen"/>
          <w:sz w:val="22"/>
          <w:szCs w:val="22"/>
        </w:rPr>
        <w:t xml:space="preserve"> </w:t>
      </w:r>
      <w:r w:rsidR="000A1950" w:rsidRPr="00C921DE">
        <w:rPr>
          <w:rFonts w:ascii="GHEA Grapalat" w:hAnsi="GHEA Grapalat" w:cs="GHEA Grapalat"/>
          <w:sz w:val="22"/>
          <w:szCs w:val="22"/>
        </w:rPr>
        <w:t>դրամ՝</w:t>
      </w:r>
      <w:r w:rsidR="000A1950" w:rsidRPr="00C921DE">
        <w:rPr>
          <w:rFonts w:ascii="GHEA Grapalat" w:hAnsi="GHEA Grapalat" w:cs="Sylfaen"/>
          <w:sz w:val="22"/>
          <w:szCs w:val="22"/>
        </w:rPr>
        <w:t xml:space="preserve"> </w:t>
      </w:r>
      <w:r w:rsidR="000A1950" w:rsidRPr="00C921DE">
        <w:rPr>
          <w:rFonts w:ascii="GHEA Grapalat" w:hAnsi="GHEA Grapalat" w:cs="GHEA Grapalat"/>
          <w:sz w:val="22"/>
          <w:szCs w:val="22"/>
        </w:rPr>
        <w:t>ապահովելով</w:t>
      </w:r>
      <w:r w:rsidR="000A1950" w:rsidRPr="00C921DE">
        <w:rPr>
          <w:rFonts w:ascii="GHEA Grapalat" w:hAnsi="GHEA Grapalat" w:cs="Sylfaen"/>
          <w:sz w:val="22"/>
          <w:szCs w:val="22"/>
        </w:rPr>
        <w:t xml:space="preserve"> </w:t>
      </w:r>
      <w:r w:rsidR="000A1950" w:rsidRPr="00C921DE">
        <w:rPr>
          <w:rFonts w:ascii="GHEA Grapalat" w:hAnsi="GHEA Grapalat" w:cs="GHEA Grapalat"/>
          <w:sz w:val="22"/>
          <w:szCs w:val="22"/>
        </w:rPr>
        <w:t>ծրագրի</w:t>
      </w:r>
      <w:r w:rsidR="000A1950" w:rsidRPr="00C921DE">
        <w:rPr>
          <w:rFonts w:ascii="GHEA Grapalat" w:hAnsi="GHEA Grapalat" w:cs="Sylfaen"/>
          <w:sz w:val="22"/>
          <w:szCs w:val="22"/>
        </w:rPr>
        <w:t xml:space="preserve"> 9</w:t>
      </w:r>
      <w:r w:rsidR="000A1950" w:rsidRPr="00C921DE">
        <w:rPr>
          <w:rFonts w:ascii="GHEA Grapalat" w:hAnsi="GHEA Grapalat" w:cs="Sylfaen"/>
          <w:sz w:val="22"/>
          <w:szCs w:val="22"/>
          <w:lang w:val="en-US"/>
        </w:rPr>
        <w:t>8.6</w:t>
      </w:r>
      <w:r w:rsidR="000A1950" w:rsidRPr="00C921DE">
        <w:rPr>
          <w:rFonts w:ascii="GHEA Grapalat" w:hAnsi="GHEA Grapalat" w:cs="Sylfaen"/>
          <w:sz w:val="22"/>
          <w:szCs w:val="22"/>
        </w:rPr>
        <w:t>% կատարողական: 202</w:t>
      </w:r>
      <w:r w:rsidR="000A1950" w:rsidRPr="00C921DE">
        <w:rPr>
          <w:rFonts w:ascii="GHEA Grapalat" w:hAnsi="GHEA Grapalat" w:cs="Sylfaen"/>
          <w:sz w:val="22"/>
          <w:szCs w:val="22"/>
          <w:lang w:val="en-US"/>
        </w:rPr>
        <w:t>2</w:t>
      </w:r>
      <w:r w:rsidR="000A1950" w:rsidRPr="00C921DE">
        <w:rPr>
          <w:rFonts w:ascii="GHEA Grapalat" w:hAnsi="GHEA Grapalat" w:cs="Sylfaen"/>
          <w:sz w:val="22"/>
          <w:szCs w:val="22"/>
        </w:rPr>
        <w:t xml:space="preserve"> թվականի համեմատ նախարարության ծախսերն աճել են </w:t>
      </w:r>
      <w:r w:rsidR="000A1950" w:rsidRPr="00C921DE">
        <w:rPr>
          <w:rFonts w:ascii="GHEA Grapalat" w:hAnsi="GHEA Grapalat" w:cs="Sylfaen"/>
          <w:sz w:val="22"/>
          <w:szCs w:val="22"/>
          <w:lang w:val="en-US"/>
        </w:rPr>
        <w:t>27.8</w:t>
      </w:r>
      <w:r w:rsidR="000A1950" w:rsidRPr="00C921DE">
        <w:rPr>
          <w:rFonts w:ascii="GHEA Grapalat" w:hAnsi="GHEA Grapalat" w:cs="Sylfaen"/>
          <w:sz w:val="22"/>
          <w:szCs w:val="22"/>
        </w:rPr>
        <w:t>%-ով (</w:t>
      </w:r>
      <w:r w:rsidR="000A1950" w:rsidRPr="00C921DE">
        <w:rPr>
          <w:rFonts w:ascii="GHEA Grapalat" w:hAnsi="GHEA Grapalat" w:cs="Sylfaen"/>
          <w:sz w:val="22"/>
          <w:szCs w:val="22"/>
          <w:lang w:val="en-US"/>
        </w:rPr>
        <w:t>շուրջ 56</w:t>
      </w:r>
      <w:r w:rsidR="000A1950" w:rsidRPr="00C921DE">
        <w:rPr>
          <w:rFonts w:ascii="GHEA Grapalat" w:hAnsi="GHEA Grapalat" w:cs="Sylfaen"/>
          <w:sz w:val="22"/>
          <w:szCs w:val="22"/>
        </w:rPr>
        <w:t xml:space="preserve"> մլրդ դրամով)՝ հիմնականում պայմանավորված Պետական պարտքի կառավարման ծրագրի շրջանակներում կատարված ծախսերի աճով:</w:t>
      </w:r>
    </w:p>
    <w:p w14:paraId="3A12259A" w14:textId="77777777" w:rsidR="000A1950" w:rsidRPr="00C921DE" w:rsidRDefault="000A1950" w:rsidP="005772F6">
      <w:pPr>
        <w:autoSpaceDE w:val="0"/>
        <w:autoSpaceDN w:val="0"/>
        <w:adjustRightInd w:val="0"/>
        <w:ind w:firstLine="567"/>
        <w:jc w:val="both"/>
        <w:rPr>
          <w:rFonts w:ascii="GHEA Grapalat" w:hAnsi="GHEA Grapalat" w:cs="Sylfaen"/>
          <w:sz w:val="22"/>
          <w:szCs w:val="22"/>
        </w:rPr>
      </w:pPr>
    </w:p>
    <w:p w14:paraId="65395185" w14:textId="1C02E401" w:rsidR="000A1950" w:rsidRPr="00C921DE" w:rsidRDefault="0001238C" w:rsidP="000A1950">
      <w:pPr>
        <w:pStyle w:val="Caption"/>
        <w:keepNext/>
        <w:numPr>
          <w:ilvl w:val="0"/>
          <w:numId w:val="16"/>
        </w:numPr>
        <w:tabs>
          <w:tab w:val="left" w:pos="1276"/>
        </w:tabs>
        <w:ind w:left="0" w:firstLine="0"/>
        <w:jc w:val="left"/>
        <w:rPr>
          <w:rFonts w:ascii="GHEA Grapalat" w:hAnsi="GHEA Grapalat"/>
          <w:i/>
          <w:sz w:val="18"/>
          <w:szCs w:val="18"/>
          <w:lang w:val="en-US"/>
        </w:rPr>
      </w:pPr>
      <w:r w:rsidRPr="00C921DE">
        <w:rPr>
          <w:rFonts w:ascii="GHEA Grapalat" w:hAnsi="GHEA Grapalat"/>
          <w:i/>
          <w:sz w:val="18"/>
          <w:szCs w:val="18"/>
          <w:lang w:val="en-US"/>
        </w:rPr>
        <w:lastRenderedPageBreak/>
        <w:t xml:space="preserve">2023թ. </w:t>
      </w:r>
      <w:r w:rsidR="000A1950" w:rsidRPr="00C921DE">
        <w:rPr>
          <w:rFonts w:ascii="GHEA Grapalat" w:hAnsi="GHEA Grapalat"/>
          <w:i/>
          <w:sz w:val="18"/>
          <w:szCs w:val="18"/>
          <w:lang w:val="en-US"/>
        </w:rPr>
        <w:t xml:space="preserve">ՀՀ ֆինանսների </w:t>
      </w:r>
      <w:r w:rsidR="000A1950" w:rsidRPr="00C921DE">
        <w:rPr>
          <w:rFonts w:ascii="GHEA Grapalat" w:hAnsi="GHEA Grapalat"/>
          <w:i/>
          <w:sz w:val="18"/>
          <w:szCs w:val="18"/>
          <w:lang w:val="hy-AM"/>
        </w:rPr>
        <w:t>նախարարության</w:t>
      </w:r>
      <w:r w:rsidR="000A1950" w:rsidRPr="00C921DE">
        <w:rPr>
          <w:rFonts w:ascii="GHEA Grapalat" w:hAnsi="GHEA Grapalat"/>
          <w:i/>
          <w:sz w:val="18"/>
          <w:szCs w:val="18"/>
          <w:lang w:val="en-US"/>
        </w:rPr>
        <w:t xml:space="preserve"> կողմից իրականացված ծրագրերը (մլն դրամ)</w:t>
      </w:r>
    </w:p>
    <w:tbl>
      <w:tblPr>
        <w:tblW w:w="10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145"/>
        <w:gridCol w:w="1170"/>
        <w:gridCol w:w="1253"/>
        <w:gridCol w:w="1090"/>
        <w:gridCol w:w="1417"/>
        <w:gridCol w:w="992"/>
        <w:gridCol w:w="1098"/>
      </w:tblGrid>
      <w:tr w:rsidR="00D61F4C" w:rsidRPr="00C921DE" w14:paraId="71BF16B1" w14:textId="77777777" w:rsidTr="0063565A">
        <w:trPr>
          <w:trHeight w:val="1596"/>
          <w:jc w:val="center"/>
        </w:trPr>
        <w:tc>
          <w:tcPr>
            <w:tcW w:w="3145" w:type="dxa"/>
            <w:noWrap/>
            <w:vAlign w:val="bottom"/>
          </w:tcPr>
          <w:p w14:paraId="62F94D95" w14:textId="77777777" w:rsidR="00D61F4C" w:rsidRPr="00C921DE" w:rsidRDefault="00D61F4C" w:rsidP="00D61F4C">
            <w:pPr>
              <w:spacing w:after="160" w:line="256" w:lineRule="auto"/>
              <w:rPr>
                <w:rFonts w:ascii="Calibri" w:hAnsi="Calibri"/>
              </w:rPr>
            </w:pPr>
          </w:p>
        </w:tc>
        <w:tc>
          <w:tcPr>
            <w:tcW w:w="1170" w:type="dxa"/>
          </w:tcPr>
          <w:p w14:paraId="1122270C" w14:textId="77777777" w:rsidR="00D61F4C" w:rsidRPr="00C921DE" w:rsidRDefault="00D61F4C" w:rsidP="00D61F4C">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փաստ</w:t>
            </w:r>
          </w:p>
        </w:tc>
        <w:tc>
          <w:tcPr>
            <w:tcW w:w="1253" w:type="dxa"/>
          </w:tcPr>
          <w:p w14:paraId="6640A9A2" w14:textId="5E94E131" w:rsidR="00D61F4C" w:rsidRPr="00C921DE" w:rsidRDefault="00D61F4C" w:rsidP="00D61F4C">
            <w:pPr>
              <w:spacing w:line="256" w:lineRule="auto"/>
              <w:jc w:val="center"/>
              <w:rPr>
                <w:rFonts w:ascii="GHEA Grapalat" w:hAnsi="GHEA Grapalat" w:cs="Calibri"/>
                <w:b/>
                <w:bCs/>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090" w:type="dxa"/>
            <w:noWrap/>
          </w:tcPr>
          <w:p w14:paraId="59B8A77B" w14:textId="01B3A25A" w:rsidR="00D61F4C" w:rsidRPr="00C921DE" w:rsidRDefault="00D61F4C" w:rsidP="00D61F4C">
            <w:pPr>
              <w:spacing w:line="256" w:lineRule="auto"/>
              <w:jc w:val="center"/>
              <w:rPr>
                <w:rFonts w:ascii="GHEA Grapalat" w:hAnsi="GHEA Grapalat" w:cs="Calibri"/>
                <w:b/>
                <w:bCs/>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417" w:type="dxa"/>
          </w:tcPr>
          <w:p w14:paraId="1BFE0EA6" w14:textId="27C2DE06" w:rsidR="00D61F4C" w:rsidRPr="00C921DE" w:rsidRDefault="00D61F4C" w:rsidP="00D61F4C">
            <w:pPr>
              <w:spacing w:line="256" w:lineRule="auto"/>
              <w:jc w:val="center"/>
              <w:rPr>
                <w:rFonts w:ascii="GHEA Grapalat" w:hAnsi="GHEA Grapalat" w:cs="Calibri"/>
                <w:b/>
                <w:bCs/>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992" w:type="dxa"/>
          </w:tcPr>
          <w:p w14:paraId="7C84BE88" w14:textId="162C4157" w:rsidR="00D61F4C" w:rsidRPr="00C921DE" w:rsidRDefault="00D61F4C" w:rsidP="00D61F4C">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w:t>
            </w:r>
            <w:r w:rsidR="0063565A" w:rsidRPr="00C921DE">
              <w:rPr>
                <w:rFonts w:ascii="GHEA Grapalat" w:hAnsi="GHEA Grapalat" w:cs="Calibri"/>
                <w:b/>
                <w:bCs/>
                <w:sz w:val="18"/>
                <w:szCs w:val="18"/>
                <w:lang w:val="en-US"/>
              </w:rPr>
              <w:t>-</w:t>
            </w:r>
            <w:r w:rsidRPr="00C921DE">
              <w:rPr>
                <w:rFonts w:ascii="GHEA Grapalat" w:hAnsi="GHEA Grapalat" w:cs="Calibri"/>
                <w:b/>
                <w:bCs/>
                <w:sz w:val="18"/>
                <w:szCs w:val="18"/>
              </w:rPr>
              <w:t>մամբ</w:t>
            </w:r>
            <w:r w:rsidRPr="00C921DE">
              <w:rPr>
                <w:rFonts w:ascii="GHEA Grapalat" w:hAnsi="GHEA Grapalat" w:cs="Calibri"/>
                <w:b/>
                <w:bCs/>
                <w:sz w:val="18"/>
                <w:szCs w:val="18"/>
                <w:lang w:val="en-US"/>
              </w:rPr>
              <w:t xml:space="preserve"> (%)</w:t>
            </w:r>
          </w:p>
        </w:tc>
        <w:tc>
          <w:tcPr>
            <w:tcW w:w="1098" w:type="dxa"/>
          </w:tcPr>
          <w:p w14:paraId="0B8E6B82" w14:textId="77777777" w:rsidR="00D61F4C" w:rsidRPr="00C921DE" w:rsidRDefault="00D61F4C" w:rsidP="00D61F4C">
            <w:pPr>
              <w:spacing w:line="256" w:lineRule="auto"/>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և 202</w:t>
            </w:r>
            <w:r w:rsidRPr="00C921DE">
              <w:rPr>
                <w:rFonts w:ascii="GHEA Grapalat" w:hAnsi="GHEA Grapalat" w:cs="Calibri"/>
                <w:b/>
                <w:sz w:val="18"/>
                <w:szCs w:val="18"/>
                <w:lang w:val="en-US"/>
              </w:rPr>
              <w:t>2</w:t>
            </w:r>
            <w:r w:rsidRPr="00C921DE">
              <w:rPr>
                <w:rFonts w:ascii="GHEA Grapalat" w:hAnsi="GHEA Grapalat" w:cs="Calibri"/>
                <w:b/>
                <w:sz w:val="18"/>
                <w:szCs w:val="18"/>
              </w:rPr>
              <w:t>թ. տարբե-րությունը</w:t>
            </w:r>
          </w:p>
        </w:tc>
      </w:tr>
      <w:tr w:rsidR="000A1950" w:rsidRPr="00C921DE" w14:paraId="1C0E5A8D" w14:textId="77777777" w:rsidTr="0063565A">
        <w:trPr>
          <w:trHeight w:val="331"/>
          <w:jc w:val="center"/>
        </w:trPr>
        <w:tc>
          <w:tcPr>
            <w:tcW w:w="3145" w:type="dxa"/>
            <w:vAlign w:val="bottom"/>
          </w:tcPr>
          <w:p w14:paraId="4AD6748B" w14:textId="77777777" w:rsidR="000A1950" w:rsidRPr="00C921DE" w:rsidRDefault="000A1950" w:rsidP="00742201">
            <w:pPr>
              <w:spacing w:line="256" w:lineRule="auto"/>
              <w:rPr>
                <w:rFonts w:ascii="GHEA Grapalat" w:hAnsi="GHEA Grapalat" w:cs="Calibri"/>
                <w:b/>
                <w:sz w:val="18"/>
                <w:szCs w:val="18"/>
              </w:rPr>
            </w:pPr>
            <w:r w:rsidRPr="00C921DE">
              <w:rPr>
                <w:rFonts w:ascii="GHEA Grapalat" w:hAnsi="GHEA Grapalat" w:cs="Calibri"/>
                <w:b/>
                <w:sz w:val="18"/>
                <w:szCs w:val="18"/>
              </w:rPr>
              <w:t>ԸՆԴԱՄԵՆԸ</w:t>
            </w:r>
          </w:p>
        </w:tc>
        <w:tc>
          <w:tcPr>
            <w:tcW w:w="1170" w:type="dxa"/>
            <w:vAlign w:val="bottom"/>
          </w:tcPr>
          <w:p w14:paraId="2041D63C" w14:textId="77777777" w:rsidR="000A1950" w:rsidRPr="00C921DE" w:rsidRDefault="000A1950" w:rsidP="00742201">
            <w:pPr>
              <w:jc w:val="right"/>
              <w:rPr>
                <w:rFonts w:ascii="GHEA Grapalat" w:hAnsi="GHEA Grapalat"/>
                <w:b/>
                <w:sz w:val="18"/>
                <w:szCs w:val="18"/>
              </w:rPr>
            </w:pPr>
            <w:r w:rsidRPr="00C921DE">
              <w:rPr>
                <w:rFonts w:ascii="GHEA Grapalat" w:hAnsi="GHEA Grapalat"/>
                <w:b/>
                <w:sz w:val="18"/>
                <w:szCs w:val="18"/>
              </w:rPr>
              <w:t>201,594.1</w:t>
            </w:r>
          </w:p>
        </w:tc>
        <w:tc>
          <w:tcPr>
            <w:tcW w:w="1253" w:type="dxa"/>
            <w:vAlign w:val="bottom"/>
          </w:tcPr>
          <w:p w14:paraId="18C47831" w14:textId="77777777" w:rsidR="000A1950" w:rsidRPr="00C921DE" w:rsidRDefault="000A1950" w:rsidP="00742201">
            <w:pPr>
              <w:jc w:val="right"/>
              <w:rPr>
                <w:rFonts w:ascii="GHEA Grapalat" w:hAnsi="GHEA Grapalat"/>
                <w:b/>
                <w:sz w:val="18"/>
                <w:szCs w:val="18"/>
              </w:rPr>
            </w:pPr>
            <w:r w:rsidRPr="00C921DE">
              <w:rPr>
                <w:rFonts w:ascii="GHEA Grapalat" w:hAnsi="GHEA Grapalat"/>
                <w:b/>
                <w:sz w:val="18"/>
                <w:szCs w:val="18"/>
              </w:rPr>
              <w:t>2</w:t>
            </w:r>
            <w:r w:rsidRPr="00C921DE">
              <w:rPr>
                <w:rFonts w:ascii="GHEA Grapalat" w:hAnsi="GHEA Grapalat"/>
                <w:b/>
                <w:sz w:val="18"/>
                <w:szCs w:val="18"/>
                <w:lang w:val="en-US"/>
              </w:rPr>
              <w:t>61</w:t>
            </w:r>
            <w:r w:rsidRPr="00C921DE">
              <w:rPr>
                <w:rFonts w:ascii="GHEA Grapalat" w:hAnsi="GHEA Grapalat"/>
                <w:b/>
                <w:sz w:val="18"/>
                <w:szCs w:val="18"/>
              </w:rPr>
              <w:t>,</w:t>
            </w:r>
            <w:r w:rsidRPr="00C921DE">
              <w:rPr>
                <w:rFonts w:ascii="GHEA Grapalat" w:hAnsi="GHEA Grapalat"/>
                <w:b/>
                <w:sz w:val="18"/>
                <w:szCs w:val="18"/>
                <w:lang w:val="en-US"/>
              </w:rPr>
              <w:t>184</w:t>
            </w:r>
            <w:r w:rsidRPr="00C921DE">
              <w:rPr>
                <w:rFonts w:ascii="GHEA Grapalat" w:hAnsi="GHEA Grapalat"/>
                <w:b/>
                <w:sz w:val="18"/>
                <w:szCs w:val="18"/>
              </w:rPr>
              <w:t>.6</w:t>
            </w:r>
          </w:p>
        </w:tc>
        <w:tc>
          <w:tcPr>
            <w:tcW w:w="1090" w:type="dxa"/>
            <w:vAlign w:val="bottom"/>
          </w:tcPr>
          <w:p w14:paraId="4443B2B6" w14:textId="77777777" w:rsidR="000A1950" w:rsidRPr="00C921DE" w:rsidRDefault="000A1950" w:rsidP="00742201">
            <w:pPr>
              <w:jc w:val="right"/>
              <w:rPr>
                <w:rFonts w:ascii="GHEA Grapalat" w:hAnsi="GHEA Grapalat"/>
                <w:b/>
                <w:sz w:val="18"/>
                <w:szCs w:val="18"/>
                <w:lang w:val="en-US"/>
              </w:rPr>
            </w:pPr>
            <w:r w:rsidRPr="00C921DE">
              <w:rPr>
                <w:rFonts w:ascii="GHEA Grapalat" w:hAnsi="GHEA Grapalat"/>
                <w:b/>
                <w:sz w:val="18"/>
                <w:szCs w:val="18"/>
                <w:lang w:val="en-US"/>
              </w:rPr>
              <w:t>257,547.4</w:t>
            </w:r>
          </w:p>
        </w:tc>
        <w:tc>
          <w:tcPr>
            <w:tcW w:w="1417" w:type="dxa"/>
            <w:vAlign w:val="bottom"/>
          </w:tcPr>
          <w:p w14:paraId="742BD1D2" w14:textId="77777777" w:rsidR="000A1950" w:rsidRPr="00C921DE" w:rsidRDefault="000A1950" w:rsidP="00742201">
            <w:pPr>
              <w:jc w:val="right"/>
              <w:rPr>
                <w:rFonts w:ascii="GHEA Grapalat" w:hAnsi="GHEA Grapalat"/>
                <w:b/>
                <w:sz w:val="18"/>
                <w:szCs w:val="18"/>
              </w:rPr>
            </w:pPr>
            <w:r w:rsidRPr="00C921DE">
              <w:rPr>
                <w:rFonts w:ascii="GHEA Grapalat" w:hAnsi="GHEA Grapalat"/>
                <w:b/>
                <w:sz w:val="18"/>
                <w:szCs w:val="18"/>
              </w:rPr>
              <w:t>9</w:t>
            </w:r>
            <w:r w:rsidRPr="00C921DE">
              <w:rPr>
                <w:rFonts w:ascii="GHEA Grapalat" w:hAnsi="GHEA Grapalat"/>
                <w:b/>
                <w:sz w:val="18"/>
                <w:szCs w:val="18"/>
                <w:lang w:val="en-US"/>
              </w:rPr>
              <w:t>8.6</w:t>
            </w:r>
          </w:p>
        </w:tc>
        <w:tc>
          <w:tcPr>
            <w:tcW w:w="992" w:type="dxa"/>
            <w:vAlign w:val="bottom"/>
          </w:tcPr>
          <w:p w14:paraId="501D6019" w14:textId="77777777" w:rsidR="000A1950" w:rsidRPr="00C921DE" w:rsidRDefault="000A1950" w:rsidP="00742201">
            <w:pPr>
              <w:jc w:val="right"/>
              <w:rPr>
                <w:rFonts w:ascii="GHEA Grapalat" w:hAnsi="GHEA Grapalat"/>
                <w:b/>
                <w:sz w:val="18"/>
                <w:szCs w:val="18"/>
              </w:rPr>
            </w:pPr>
            <w:r w:rsidRPr="00C921DE">
              <w:rPr>
                <w:rFonts w:ascii="GHEA Grapalat" w:hAnsi="GHEA Grapalat"/>
                <w:b/>
                <w:sz w:val="18"/>
                <w:szCs w:val="18"/>
              </w:rPr>
              <w:t>1</w:t>
            </w:r>
            <w:r w:rsidRPr="00C921DE">
              <w:rPr>
                <w:rFonts w:ascii="GHEA Grapalat" w:hAnsi="GHEA Grapalat"/>
                <w:b/>
                <w:sz w:val="18"/>
                <w:szCs w:val="18"/>
                <w:lang w:val="en-US"/>
              </w:rPr>
              <w:t>27.8</w:t>
            </w:r>
          </w:p>
        </w:tc>
        <w:tc>
          <w:tcPr>
            <w:tcW w:w="1098" w:type="dxa"/>
            <w:vAlign w:val="bottom"/>
          </w:tcPr>
          <w:p w14:paraId="11FC6DD6" w14:textId="77777777" w:rsidR="000A1950" w:rsidRPr="00C921DE" w:rsidRDefault="000A1950" w:rsidP="00742201">
            <w:pPr>
              <w:jc w:val="right"/>
              <w:rPr>
                <w:rFonts w:ascii="GHEA Grapalat" w:hAnsi="GHEA Grapalat"/>
                <w:b/>
                <w:sz w:val="18"/>
                <w:szCs w:val="18"/>
              </w:rPr>
            </w:pPr>
            <w:r w:rsidRPr="00C921DE">
              <w:rPr>
                <w:rFonts w:ascii="GHEA Grapalat" w:hAnsi="GHEA Grapalat"/>
                <w:b/>
                <w:sz w:val="18"/>
                <w:szCs w:val="18"/>
                <w:lang w:val="en-US"/>
              </w:rPr>
              <w:t>55,953.3</w:t>
            </w:r>
          </w:p>
        </w:tc>
      </w:tr>
      <w:tr w:rsidR="000A1950" w:rsidRPr="00C921DE" w14:paraId="1243498D" w14:textId="77777777" w:rsidTr="0063565A">
        <w:trPr>
          <w:trHeight w:val="339"/>
          <w:jc w:val="center"/>
        </w:trPr>
        <w:tc>
          <w:tcPr>
            <w:tcW w:w="3145" w:type="dxa"/>
            <w:vAlign w:val="bottom"/>
          </w:tcPr>
          <w:p w14:paraId="6DB4825A" w14:textId="77777777" w:rsidR="000A1950" w:rsidRPr="00C921DE" w:rsidRDefault="000A1950" w:rsidP="00742201">
            <w:pPr>
              <w:spacing w:line="256" w:lineRule="auto"/>
              <w:rPr>
                <w:rFonts w:ascii="GHEA Grapalat" w:hAnsi="GHEA Grapalat" w:cs="Calibri"/>
                <w:sz w:val="18"/>
                <w:szCs w:val="18"/>
              </w:rPr>
            </w:pPr>
            <w:r w:rsidRPr="00C921DE">
              <w:rPr>
                <w:rFonts w:ascii="GHEA Grapalat" w:hAnsi="GHEA Grapalat" w:cs="Calibri"/>
                <w:sz w:val="18"/>
                <w:szCs w:val="18"/>
              </w:rPr>
              <w:t>Պետական պարտքի կառավարում</w:t>
            </w:r>
          </w:p>
        </w:tc>
        <w:tc>
          <w:tcPr>
            <w:tcW w:w="1170" w:type="dxa"/>
            <w:vAlign w:val="bottom"/>
          </w:tcPr>
          <w:p w14:paraId="40F99A33" w14:textId="77777777" w:rsidR="000A1950" w:rsidRPr="00C921DE" w:rsidRDefault="000A1950" w:rsidP="00742201">
            <w:pPr>
              <w:jc w:val="right"/>
              <w:rPr>
                <w:rFonts w:ascii="GHEA Grapalat" w:hAnsi="GHEA Grapalat"/>
                <w:sz w:val="18"/>
                <w:szCs w:val="18"/>
              </w:rPr>
            </w:pPr>
            <w:r w:rsidRPr="00C921DE">
              <w:rPr>
                <w:rFonts w:ascii="GHEA Grapalat" w:hAnsi="GHEA Grapalat"/>
                <w:sz w:val="18"/>
                <w:szCs w:val="18"/>
              </w:rPr>
              <w:t>198,374.0</w:t>
            </w:r>
          </w:p>
        </w:tc>
        <w:tc>
          <w:tcPr>
            <w:tcW w:w="1253" w:type="dxa"/>
            <w:vAlign w:val="bottom"/>
          </w:tcPr>
          <w:p w14:paraId="429D78C2" w14:textId="77777777" w:rsidR="000A1950" w:rsidRPr="00C921DE" w:rsidRDefault="000A1950" w:rsidP="00742201">
            <w:pPr>
              <w:jc w:val="right"/>
              <w:rPr>
                <w:rFonts w:ascii="GHEA Grapalat" w:hAnsi="GHEA Grapalat"/>
                <w:sz w:val="18"/>
                <w:szCs w:val="18"/>
              </w:rPr>
            </w:pPr>
            <w:r w:rsidRPr="00C921DE">
              <w:rPr>
                <w:rFonts w:ascii="GHEA Grapalat" w:hAnsi="GHEA Grapalat"/>
                <w:sz w:val="18"/>
                <w:szCs w:val="18"/>
              </w:rPr>
              <w:t>256,596.0</w:t>
            </w:r>
          </w:p>
        </w:tc>
        <w:tc>
          <w:tcPr>
            <w:tcW w:w="1090" w:type="dxa"/>
            <w:vAlign w:val="bottom"/>
          </w:tcPr>
          <w:p w14:paraId="2E2E8956"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lang w:val="en-US"/>
              </w:rPr>
              <w:t>253,538.8</w:t>
            </w:r>
          </w:p>
        </w:tc>
        <w:tc>
          <w:tcPr>
            <w:tcW w:w="1417" w:type="dxa"/>
            <w:vAlign w:val="bottom"/>
          </w:tcPr>
          <w:p w14:paraId="4A57806F" w14:textId="77777777" w:rsidR="000A1950" w:rsidRPr="00C921DE" w:rsidRDefault="000A1950" w:rsidP="00742201">
            <w:pPr>
              <w:jc w:val="right"/>
              <w:rPr>
                <w:rFonts w:ascii="GHEA Grapalat" w:hAnsi="GHEA Grapalat"/>
                <w:sz w:val="18"/>
                <w:szCs w:val="18"/>
              </w:rPr>
            </w:pPr>
            <w:r w:rsidRPr="00C921DE">
              <w:rPr>
                <w:rFonts w:ascii="GHEA Grapalat" w:hAnsi="GHEA Grapalat"/>
                <w:sz w:val="18"/>
                <w:szCs w:val="18"/>
              </w:rPr>
              <w:t>9</w:t>
            </w:r>
            <w:r w:rsidRPr="00C921DE">
              <w:rPr>
                <w:rFonts w:ascii="GHEA Grapalat" w:hAnsi="GHEA Grapalat"/>
                <w:sz w:val="18"/>
                <w:szCs w:val="18"/>
                <w:lang w:val="en-US"/>
              </w:rPr>
              <w:t>8</w:t>
            </w:r>
            <w:r w:rsidRPr="00C921DE">
              <w:rPr>
                <w:rFonts w:ascii="GHEA Grapalat" w:hAnsi="GHEA Grapalat"/>
                <w:sz w:val="18"/>
                <w:szCs w:val="18"/>
              </w:rPr>
              <w:t>.8</w:t>
            </w:r>
          </w:p>
        </w:tc>
        <w:tc>
          <w:tcPr>
            <w:tcW w:w="992" w:type="dxa"/>
            <w:vAlign w:val="bottom"/>
          </w:tcPr>
          <w:p w14:paraId="19E6F426" w14:textId="77777777" w:rsidR="000A1950" w:rsidRPr="00C921DE" w:rsidRDefault="000A1950" w:rsidP="00742201">
            <w:pPr>
              <w:jc w:val="right"/>
              <w:rPr>
                <w:rFonts w:ascii="GHEA Grapalat" w:hAnsi="GHEA Grapalat"/>
                <w:sz w:val="18"/>
                <w:szCs w:val="18"/>
              </w:rPr>
            </w:pPr>
            <w:r w:rsidRPr="00C921DE">
              <w:rPr>
                <w:rFonts w:ascii="GHEA Grapalat" w:hAnsi="GHEA Grapalat"/>
                <w:sz w:val="18"/>
                <w:szCs w:val="18"/>
              </w:rPr>
              <w:t>1</w:t>
            </w:r>
            <w:r w:rsidRPr="00C921DE">
              <w:rPr>
                <w:rFonts w:ascii="GHEA Grapalat" w:hAnsi="GHEA Grapalat"/>
                <w:sz w:val="18"/>
                <w:szCs w:val="18"/>
                <w:lang w:val="en-US"/>
              </w:rPr>
              <w:t>27.8</w:t>
            </w:r>
          </w:p>
        </w:tc>
        <w:tc>
          <w:tcPr>
            <w:tcW w:w="1098" w:type="dxa"/>
            <w:vAlign w:val="bottom"/>
          </w:tcPr>
          <w:p w14:paraId="4C3116C4"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rPr>
              <w:t>55,164.8</w:t>
            </w:r>
          </w:p>
        </w:tc>
      </w:tr>
      <w:tr w:rsidR="000A1950" w:rsidRPr="00C921DE" w14:paraId="20D739C7" w14:textId="77777777" w:rsidTr="0063565A">
        <w:trPr>
          <w:trHeight w:val="300"/>
          <w:jc w:val="center"/>
        </w:trPr>
        <w:tc>
          <w:tcPr>
            <w:tcW w:w="3145" w:type="dxa"/>
            <w:vAlign w:val="bottom"/>
          </w:tcPr>
          <w:p w14:paraId="3A6972BA" w14:textId="77777777" w:rsidR="000A1950" w:rsidRPr="00C921DE" w:rsidRDefault="000A1950" w:rsidP="00742201">
            <w:pPr>
              <w:spacing w:line="256" w:lineRule="auto"/>
              <w:rPr>
                <w:rFonts w:ascii="GHEA Grapalat" w:hAnsi="GHEA Grapalat" w:cs="Calibri"/>
                <w:sz w:val="18"/>
                <w:szCs w:val="18"/>
              </w:rPr>
            </w:pPr>
            <w:r w:rsidRPr="00C921DE">
              <w:rPr>
                <w:rFonts w:ascii="GHEA Grapalat" w:hAnsi="GHEA Grapalat" w:cs="Calibri"/>
                <w:sz w:val="18"/>
                <w:szCs w:val="18"/>
              </w:rPr>
              <w:t>Այլ ծրագրեր</w:t>
            </w:r>
          </w:p>
        </w:tc>
        <w:tc>
          <w:tcPr>
            <w:tcW w:w="1170" w:type="dxa"/>
            <w:vAlign w:val="bottom"/>
          </w:tcPr>
          <w:p w14:paraId="7A630E80"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lang w:val="en-US"/>
              </w:rPr>
              <w:t>3,220.1</w:t>
            </w:r>
          </w:p>
        </w:tc>
        <w:tc>
          <w:tcPr>
            <w:tcW w:w="1253" w:type="dxa"/>
            <w:vAlign w:val="bottom"/>
          </w:tcPr>
          <w:p w14:paraId="453048E6"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lang w:val="en-US"/>
              </w:rPr>
              <w:t>4,588.6</w:t>
            </w:r>
          </w:p>
        </w:tc>
        <w:tc>
          <w:tcPr>
            <w:tcW w:w="1090" w:type="dxa"/>
            <w:vAlign w:val="bottom"/>
          </w:tcPr>
          <w:p w14:paraId="686977E5"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lang w:val="en-US"/>
              </w:rPr>
              <w:t>4,008.6</w:t>
            </w:r>
          </w:p>
        </w:tc>
        <w:tc>
          <w:tcPr>
            <w:tcW w:w="1417" w:type="dxa"/>
            <w:vAlign w:val="bottom"/>
          </w:tcPr>
          <w:p w14:paraId="31296BF3"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lang w:val="en-US"/>
              </w:rPr>
              <w:t>87.4</w:t>
            </w:r>
          </w:p>
        </w:tc>
        <w:tc>
          <w:tcPr>
            <w:tcW w:w="992" w:type="dxa"/>
            <w:vAlign w:val="bottom"/>
          </w:tcPr>
          <w:p w14:paraId="1D1F285D"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rPr>
              <w:t>1</w:t>
            </w:r>
            <w:r w:rsidRPr="00C921DE">
              <w:rPr>
                <w:rFonts w:ascii="GHEA Grapalat" w:hAnsi="GHEA Grapalat"/>
                <w:sz w:val="18"/>
                <w:szCs w:val="18"/>
                <w:lang w:val="en-US"/>
              </w:rPr>
              <w:t>24.5</w:t>
            </w:r>
          </w:p>
        </w:tc>
        <w:tc>
          <w:tcPr>
            <w:tcW w:w="1098" w:type="dxa"/>
            <w:vAlign w:val="bottom"/>
          </w:tcPr>
          <w:p w14:paraId="4F5C3E84" w14:textId="77777777" w:rsidR="000A1950" w:rsidRPr="00C921DE" w:rsidRDefault="000A1950" w:rsidP="00742201">
            <w:pPr>
              <w:jc w:val="right"/>
              <w:rPr>
                <w:rFonts w:ascii="GHEA Grapalat" w:hAnsi="GHEA Grapalat"/>
                <w:sz w:val="18"/>
                <w:szCs w:val="18"/>
                <w:lang w:val="en-US"/>
              </w:rPr>
            </w:pPr>
            <w:r w:rsidRPr="00C921DE">
              <w:rPr>
                <w:rFonts w:ascii="GHEA Grapalat" w:hAnsi="GHEA Grapalat"/>
                <w:sz w:val="18"/>
                <w:szCs w:val="18"/>
                <w:lang w:val="en-US"/>
              </w:rPr>
              <w:t>788.5</w:t>
            </w:r>
          </w:p>
        </w:tc>
      </w:tr>
    </w:tbl>
    <w:p w14:paraId="7BD04960" w14:textId="77777777" w:rsidR="000A1950" w:rsidRPr="00C921DE" w:rsidRDefault="000A1950" w:rsidP="0063565A">
      <w:pPr>
        <w:autoSpaceDE w:val="0"/>
        <w:autoSpaceDN w:val="0"/>
        <w:adjustRightInd w:val="0"/>
        <w:ind w:firstLine="567"/>
        <w:jc w:val="both"/>
        <w:rPr>
          <w:rFonts w:ascii="GHEA Grapalat" w:hAnsi="GHEA Grapalat" w:cs="Sylfaen"/>
          <w:sz w:val="22"/>
          <w:szCs w:val="22"/>
          <w:lang w:val="en-US"/>
        </w:rPr>
      </w:pPr>
    </w:p>
    <w:p w14:paraId="6BA6F613" w14:textId="3B548D90" w:rsidR="000F1C82"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Հատկացված միջոցների գերակշիռ մասը բաժին է ընկել </w:t>
      </w:r>
      <w:r w:rsidRPr="00C921DE">
        <w:rPr>
          <w:rFonts w:ascii="GHEA Grapalat" w:hAnsi="GHEA Grapalat" w:cs="Sylfaen"/>
          <w:i/>
          <w:sz w:val="22"/>
          <w:szCs w:val="22"/>
        </w:rPr>
        <w:t>Պետական պարտքի կառավարման</w:t>
      </w:r>
      <w:r w:rsidRPr="00C921DE">
        <w:rPr>
          <w:rFonts w:ascii="GHEA Grapalat" w:hAnsi="GHEA Grapalat" w:cs="Sylfaen"/>
          <w:sz w:val="22"/>
          <w:szCs w:val="22"/>
        </w:rPr>
        <w:t xml:space="preserve"> ծրագրին, որի շրջանակներում օգտագործվել է նախատեսված միջոցների 9</w:t>
      </w:r>
      <w:r w:rsidRPr="00C921DE">
        <w:rPr>
          <w:rFonts w:ascii="GHEA Grapalat" w:hAnsi="GHEA Grapalat" w:cs="Sylfaen"/>
          <w:sz w:val="22"/>
          <w:szCs w:val="22"/>
          <w:lang w:val="en-US"/>
        </w:rPr>
        <w:t>8.8</w:t>
      </w:r>
      <w:r w:rsidRPr="00C921DE">
        <w:rPr>
          <w:rFonts w:ascii="GHEA Grapalat" w:hAnsi="GHEA Grapalat" w:cs="Sylfaen"/>
          <w:sz w:val="22"/>
          <w:szCs w:val="22"/>
        </w:rPr>
        <w:t xml:space="preserve">%-ը՝ </w:t>
      </w:r>
      <w:r w:rsidRPr="00C921DE">
        <w:rPr>
          <w:rFonts w:ascii="GHEA Grapalat" w:hAnsi="GHEA Grapalat" w:cs="Sylfaen"/>
          <w:sz w:val="22"/>
          <w:szCs w:val="22"/>
          <w:lang w:val="en-US"/>
        </w:rPr>
        <w:t>253.5</w:t>
      </w:r>
      <w:r w:rsidRPr="00C921DE">
        <w:rPr>
          <w:rFonts w:ascii="GHEA Grapalat" w:hAnsi="GHEA Grapalat" w:cs="Sylfaen"/>
          <w:sz w:val="22"/>
          <w:szCs w:val="22"/>
        </w:rPr>
        <w:t xml:space="preserve"> մլրդ դրամ: Նշված գ</w:t>
      </w:r>
      <w:r w:rsidR="000F1C82" w:rsidRPr="00C921DE">
        <w:rPr>
          <w:rFonts w:ascii="GHEA Grapalat" w:hAnsi="GHEA Grapalat" w:cs="Sylfaen"/>
          <w:sz w:val="22"/>
          <w:szCs w:val="22"/>
        </w:rPr>
        <w:t xml:space="preserve">ումարի հիմնական մասն ուղղվել է </w:t>
      </w:r>
      <w:r w:rsidR="000F1C82" w:rsidRPr="00C921DE">
        <w:rPr>
          <w:rFonts w:ascii="GHEA Grapalat" w:hAnsi="GHEA Grapalat" w:cs="Sylfaen"/>
          <w:sz w:val="22"/>
          <w:szCs w:val="22"/>
          <w:lang w:val="en-US"/>
        </w:rPr>
        <w:t>կ</w:t>
      </w:r>
      <w:r w:rsidRPr="00C921DE">
        <w:rPr>
          <w:rFonts w:ascii="GHEA Grapalat" w:hAnsi="GHEA Grapalat" w:cs="Sylfaen"/>
          <w:sz w:val="22"/>
          <w:szCs w:val="22"/>
        </w:rPr>
        <w:t>առավարության պարտքի սպասարկմանը</w:t>
      </w:r>
      <w:r w:rsidRPr="00C921DE">
        <w:rPr>
          <w:rStyle w:val="FootnoteReference"/>
          <w:rFonts w:ascii="GHEA Grapalat" w:hAnsi="GHEA Grapalat" w:cs="Sylfaen"/>
          <w:sz w:val="22"/>
          <w:szCs w:val="22"/>
        </w:rPr>
        <w:footnoteReference w:id="39"/>
      </w:r>
      <w:r w:rsidRPr="00C921DE">
        <w:rPr>
          <w:rFonts w:ascii="GHEA Grapalat" w:hAnsi="GHEA Grapalat" w:cs="Sylfaen"/>
          <w:sz w:val="22"/>
          <w:szCs w:val="22"/>
        </w:rPr>
        <w:t xml:space="preserve">: Նախորդ տարվա համեմատ Պետական պարտքի կառավարման ծրագրի ծախսերն աճել են </w:t>
      </w:r>
      <w:r w:rsidR="00CB71A8" w:rsidRPr="00C921DE">
        <w:rPr>
          <w:rFonts w:ascii="GHEA Grapalat" w:hAnsi="GHEA Grapalat" w:cs="Sylfaen"/>
          <w:sz w:val="22"/>
          <w:szCs w:val="22"/>
          <w:lang w:val="en-US"/>
        </w:rPr>
        <w:t>27.8</w:t>
      </w:r>
      <w:r w:rsidR="00CB71A8" w:rsidRPr="00C921DE">
        <w:rPr>
          <w:rFonts w:ascii="GHEA Grapalat" w:hAnsi="GHEA Grapalat" w:cs="Sylfaen"/>
          <w:sz w:val="22"/>
          <w:szCs w:val="22"/>
        </w:rPr>
        <w:t>%-ով կամ 55.2</w:t>
      </w:r>
      <w:r w:rsidRPr="00C921DE">
        <w:rPr>
          <w:rFonts w:ascii="Courier New" w:hAnsi="Courier New" w:cs="Courier New"/>
          <w:sz w:val="22"/>
          <w:szCs w:val="22"/>
          <w:lang w:val="en-US"/>
        </w:rPr>
        <w:t> </w:t>
      </w:r>
      <w:r w:rsidRPr="00C921DE">
        <w:rPr>
          <w:rFonts w:ascii="GHEA Grapalat" w:hAnsi="GHEA Grapalat" w:cs="Sylfaen"/>
          <w:sz w:val="22"/>
          <w:szCs w:val="22"/>
        </w:rPr>
        <w:t>մլրդ դրամով</w:t>
      </w:r>
      <w:r w:rsidRPr="00C921DE">
        <w:rPr>
          <w:rFonts w:ascii="GHEA Grapalat" w:hAnsi="GHEA Grapalat" w:cs="Sylfaen"/>
          <w:sz w:val="22"/>
          <w:szCs w:val="22"/>
          <w:lang w:val="en-US"/>
        </w:rPr>
        <w:t>՝ պայմանավորված և</w:t>
      </w:r>
      <w:r w:rsidR="000F1C82" w:rsidRPr="00C921DE">
        <w:rPr>
          <w:rFonts w:ascii="GHEA Grapalat" w:hAnsi="GHEA Grapalat" w:cs="Sylfaen"/>
          <w:sz w:val="22"/>
          <w:szCs w:val="22"/>
          <w:lang w:val="en-US"/>
        </w:rPr>
        <w:t>՛</w:t>
      </w:r>
      <w:r w:rsidRPr="00C921DE">
        <w:rPr>
          <w:rFonts w:ascii="GHEA Grapalat" w:hAnsi="GHEA Grapalat" w:cs="Sylfaen"/>
          <w:sz w:val="22"/>
          <w:szCs w:val="22"/>
          <w:lang w:val="en-US"/>
        </w:rPr>
        <w:t xml:space="preserve"> ներքին</w:t>
      </w:r>
      <w:r w:rsidR="000F1C82" w:rsidRPr="00C921DE">
        <w:rPr>
          <w:rFonts w:ascii="GHEA Grapalat" w:hAnsi="GHEA Grapalat" w:cs="Sylfaen"/>
          <w:sz w:val="22"/>
          <w:szCs w:val="22"/>
          <w:lang w:val="en-US"/>
        </w:rPr>
        <w:t>,</w:t>
      </w:r>
      <w:r w:rsidRPr="00C921DE">
        <w:rPr>
          <w:rFonts w:ascii="GHEA Grapalat" w:hAnsi="GHEA Grapalat" w:cs="Sylfaen"/>
          <w:sz w:val="22"/>
          <w:szCs w:val="22"/>
          <w:lang w:val="en-US"/>
        </w:rPr>
        <w:t xml:space="preserve"> և</w:t>
      </w:r>
      <w:r w:rsidR="000F1C82" w:rsidRPr="00C921DE">
        <w:rPr>
          <w:rFonts w:ascii="GHEA Grapalat" w:hAnsi="GHEA Grapalat" w:cs="Sylfaen"/>
          <w:sz w:val="22"/>
          <w:szCs w:val="22"/>
          <w:lang w:val="en-US"/>
        </w:rPr>
        <w:t>՛</w:t>
      </w:r>
      <w:r w:rsidRPr="00C921DE">
        <w:rPr>
          <w:rFonts w:ascii="GHEA Grapalat" w:hAnsi="GHEA Grapalat" w:cs="Sylfaen"/>
          <w:sz w:val="22"/>
          <w:szCs w:val="22"/>
          <w:lang w:val="en-US"/>
        </w:rPr>
        <w:t xml:space="preserve"> արտաքին պարտքի սպասարկման ծախսերի աճով</w:t>
      </w:r>
      <w:r w:rsidRPr="00C921DE">
        <w:rPr>
          <w:rFonts w:ascii="GHEA Grapalat" w:hAnsi="GHEA Grapalat" w:cs="Sylfaen"/>
          <w:sz w:val="22"/>
          <w:szCs w:val="22"/>
        </w:rPr>
        <w:t xml:space="preserve">: </w:t>
      </w:r>
    </w:p>
    <w:p w14:paraId="766DC1E7" w14:textId="076243D8" w:rsidR="00901462" w:rsidRPr="00C921DE" w:rsidRDefault="000A1950" w:rsidP="00880BE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lang w:val="en-US"/>
        </w:rPr>
        <w:t xml:space="preserve">ՀՀ ՖՆ այլ ծրագրերից </w:t>
      </w:r>
      <w:r w:rsidRPr="00C921DE">
        <w:rPr>
          <w:rFonts w:ascii="GHEA Grapalat" w:hAnsi="GHEA Grapalat" w:cs="Sylfaen"/>
          <w:i/>
          <w:sz w:val="22"/>
          <w:szCs w:val="22"/>
        </w:rPr>
        <w:t>Հանրային ֆինանսների կառավարման բնագավառում պետական քաղաքականության մշակման, ծրագրերի համակարգման և մոնիտորինգի</w:t>
      </w:r>
      <w:r w:rsidRPr="00C921DE">
        <w:rPr>
          <w:rFonts w:ascii="GHEA Grapalat" w:hAnsi="GHEA Grapalat" w:cs="Sylfaen"/>
          <w:sz w:val="22"/>
          <w:szCs w:val="22"/>
        </w:rPr>
        <w:t xml:space="preserve"> ծախսերը կազմել են 3.</w:t>
      </w:r>
      <w:r w:rsidRPr="00C921DE">
        <w:rPr>
          <w:rFonts w:ascii="GHEA Grapalat" w:hAnsi="GHEA Grapalat" w:cs="Sylfaen"/>
          <w:sz w:val="22"/>
          <w:szCs w:val="22"/>
          <w:lang w:val="en-US"/>
        </w:rPr>
        <w:t>9</w:t>
      </w:r>
      <w:r w:rsidR="00D52670" w:rsidRPr="00C921DE">
        <w:rPr>
          <w:rFonts w:ascii="Calibri" w:hAnsi="Calibri" w:cs="Calibri"/>
          <w:sz w:val="22"/>
          <w:szCs w:val="22"/>
          <w:lang w:val="en-US"/>
        </w:rPr>
        <w:t> </w:t>
      </w:r>
      <w:r w:rsidRPr="00C921DE">
        <w:rPr>
          <w:rFonts w:ascii="GHEA Grapalat" w:hAnsi="GHEA Grapalat" w:cs="Sylfaen"/>
          <w:sz w:val="22"/>
          <w:szCs w:val="22"/>
        </w:rPr>
        <w:t xml:space="preserve">մլրդ դրամ՝ ապահովելով ծրագրի </w:t>
      </w:r>
      <w:r w:rsidRPr="00C921DE">
        <w:rPr>
          <w:rFonts w:ascii="GHEA Grapalat" w:hAnsi="GHEA Grapalat" w:cs="Sylfaen"/>
          <w:sz w:val="22"/>
          <w:szCs w:val="22"/>
          <w:lang w:val="en-US"/>
        </w:rPr>
        <w:t>87.5</w:t>
      </w:r>
      <w:r w:rsidRPr="00C921DE">
        <w:rPr>
          <w:rFonts w:ascii="GHEA Grapalat" w:hAnsi="GHEA Grapalat" w:cs="Sylfaen"/>
          <w:sz w:val="22"/>
          <w:szCs w:val="22"/>
        </w:rPr>
        <w:t>%-ը: Շեղումը հիմնականում առաջացել է Ռուսաստանի Դաշնության կողմից Հայաստանի Հանրապետությանն անհատույց ֆինանսակա</w:t>
      </w:r>
      <w:r w:rsidR="00D52670" w:rsidRPr="00C921DE">
        <w:rPr>
          <w:rFonts w:ascii="GHEA Grapalat" w:hAnsi="GHEA Grapalat" w:cs="Sylfaen"/>
          <w:sz w:val="22"/>
          <w:szCs w:val="22"/>
        </w:rPr>
        <w:t>ն օգնության դրամաշնորհային ծրագրի</w:t>
      </w:r>
      <w:r w:rsidRPr="00C921DE">
        <w:rPr>
          <w:rFonts w:ascii="GHEA Grapalat" w:hAnsi="GHEA Grapalat" w:cs="Sylfaen"/>
          <w:sz w:val="22"/>
          <w:szCs w:val="22"/>
        </w:rPr>
        <w:t xml:space="preserve"> </w:t>
      </w:r>
      <w:r w:rsidR="00901462" w:rsidRPr="00C921DE">
        <w:rPr>
          <w:rFonts w:ascii="GHEA Grapalat" w:hAnsi="GHEA Grapalat" w:cs="Sylfaen"/>
          <w:sz w:val="22"/>
          <w:szCs w:val="22"/>
          <w:lang w:val="en-US"/>
        </w:rPr>
        <w:t xml:space="preserve">կատարողականով, որի </w:t>
      </w:r>
      <w:r w:rsidR="00040149" w:rsidRPr="00C921DE">
        <w:rPr>
          <w:rFonts w:ascii="GHEA Grapalat" w:hAnsi="GHEA Grapalat" w:cs="Sylfaen"/>
          <w:sz w:val="22"/>
          <w:szCs w:val="22"/>
          <w:lang w:val="en-US"/>
        </w:rPr>
        <w:t>գծով ծախսերը կատարվել են</w:t>
      </w:r>
      <w:r w:rsidR="00901462" w:rsidRPr="00C921DE">
        <w:rPr>
          <w:rFonts w:ascii="GHEA Grapalat" w:hAnsi="GHEA Grapalat" w:cs="Sylfaen"/>
          <w:sz w:val="22"/>
          <w:szCs w:val="22"/>
          <w:lang w:val="en-US"/>
        </w:rPr>
        <w:t xml:space="preserve"> </w:t>
      </w:r>
      <w:r w:rsidR="00040149" w:rsidRPr="00C921DE">
        <w:rPr>
          <w:rFonts w:ascii="GHEA Grapalat" w:hAnsi="GHEA Grapalat" w:cs="Sylfaen"/>
          <w:sz w:val="22"/>
          <w:szCs w:val="22"/>
          <w:lang w:val="en-US"/>
        </w:rPr>
        <w:t xml:space="preserve">21.8%-ով՝ կազմելով շուրջ 118 մլն դրամ: Միջոցներն օգտագործվել են </w:t>
      </w:r>
      <w:r w:rsidR="00040149" w:rsidRPr="00C921DE">
        <w:rPr>
          <w:rFonts w:ascii="GHEA Grapalat" w:hAnsi="GHEA Grapalat" w:cs="Sylfaen"/>
          <w:sz w:val="22"/>
          <w:szCs w:val="22"/>
        </w:rPr>
        <w:t xml:space="preserve">խորհրդատվական ծառայությունների ձեռքբերման </w:t>
      </w:r>
      <w:r w:rsidR="00D26B0C" w:rsidRPr="00C921DE">
        <w:rPr>
          <w:rFonts w:ascii="GHEA Grapalat" w:hAnsi="GHEA Grapalat" w:cs="Sylfaen"/>
          <w:sz w:val="22"/>
          <w:szCs w:val="22"/>
          <w:lang w:val="en-US"/>
        </w:rPr>
        <w:t>միջոցառման շրջանակներում</w:t>
      </w:r>
      <w:r w:rsidR="00040149" w:rsidRPr="00C921DE">
        <w:rPr>
          <w:rFonts w:ascii="GHEA Grapalat" w:hAnsi="GHEA Grapalat" w:cs="Sylfaen"/>
          <w:sz w:val="22"/>
          <w:szCs w:val="22"/>
        </w:rPr>
        <w:t>, որ</w:t>
      </w:r>
      <w:r w:rsidR="00D26B0C" w:rsidRPr="00C921DE">
        <w:rPr>
          <w:rFonts w:ascii="GHEA Grapalat" w:hAnsi="GHEA Grapalat" w:cs="Sylfaen"/>
          <w:sz w:val="22"/>
          <w:szCs w:val="22"/>
          <w:lang w:val="en-US"/>
        </w:rPr>
        <w:t>ի կատարողականը</w:t>
      </w:r>
      <w:r w:rsidR="00040149" w:rsidRPr="00C921DE">
        <w:rPr>
          <w:rFonts w:ascii="GHEA Grapalat" w:hAnsi="GHEA Grapalat" w:cs="Sylfaen"/>
          <w:sz w:val="22"/>
          <w:szCs w:val="22"/>
          <w:lang w:val="en-US"/>
        </w:rPr>
        <w:t xml:space="preserve"> </w:t>
      </w:r>
      <w:r w:rsidR="00D26B0C" w:rsidRPr="00C921DE">
        <w:rPr>
          <w:rFonts w:ascii="GHEA Grapalat" w:hAnsi="GHEA Grapalat" w:cs="Sylfaen"/>
          <w:sz w:val="22"/>
          <w:szCs w:val="22"/>
          <w:lang w:val="en-US"/>
        </w:rPr>
        <w:t xml:space="preserve">կազմել է </w:t>
      </w:r>
      <w:r w:rsidR="00040149" w:rsidRPr="00C921DE">
        <w:rPr>
          <w:rFonts w:ascii="GHEA Grapalat" w:hAnsi="GHEA Grapalat" w:cs="Sylfaen"/>
          <w:sz w:val="22"/>
          <w:szCs w:val="22"/>
        </w:rPr>
        <w:t>64.9%</w:t>
      </w:r>
      <w:r w:rsidR="00040149" w:rsidRPr="00C921DE">
        <w:rPr>
          <w:rFonts w:ascii="GHEA Grapalat" w:hAnsi="GHEA Grapalat" w:cs="Sylfaen"/>
          <w:sz w:val="22"/>
          <w:szCs w:val="22"/>
          <w:lang w:val="en-US"/>
        </w:rPr>
        <w:t>:</w:t>
      </w:r>
      <w:r w:rsidR="00040149" w:rsidRPr="00C921DE">
        <w:rPr>
          <w:rFonts w:ascii="GHEA Grapalat" w:hAnsi="GHEA Grapalat" w:cs="Sylfaen"/>
          <w:sz w:val="22"/>
          <w:szCs w:val="22"/>
        </w:rPr>
        <w:t xml:space="preserve"> </w:t>
      </w:r>
      <w:r w:rsidR="00040149" w:rsidRPr="00C921DE">
        <w:rPr>
          <w:rFonts w:ascii="GHEA Grapalat" w:hAnsi="GHEA Grapalat" w:cs="Sylfaen"/>
          <w:sz w:val="22"/>
          <w:szCs w:val="22"/>
          <w:lang w:val="en-US"/>
        </w:rPr>
        <w:t>Ցածր կատարողականը պ</w:t>
      </w:r>
      <w:r w:rsidR="00040149" w:rsidRPr="00C921DE">
        <w:rPr>
          <w:rFonts w:ascii="GHEA Grapalat" w:hAnsi="GHEA Grapalat" w:cs="Sylfaen"/>
          <w:sz w:val="22"/>
          <w:szCs w:val="22"/>
        </w:rPr>
        <w:t>այմանավորված է 30.10.2023թ. ՀՀ ՖՆ և «Հարմոնիա» հիմնադրամի միջև կնքված</w:t>
      </w:r>
      <w:r w:rsidR="00040149" w:rsidRPr="00C921DE">
        <w:rPr>
          <w:rFonts w:ascii="GHEA Grapalat" w:hAnsi="GHEA Grapalat" w:cs="Sylfaen"/>
          <w:sz w:val="22"/>
          <w:szCs w:val="22"/>
          <w:lang w:val="en-US"/>
        </w:rPr>
        <w:t xml:space="preserve"> պա</w:t>
      </w:r>
      <w:r w:rsidR="00040149" w:rsidRPr="00C921DE">
        <w:rPr>
          <w:rFonts w:ascii="GHEA Grapalat" w:hAnsi="GHEA Grapalat" w:cs="Sylfaen"/>
          <w:sz w:val="22"/>
          <w:szCs w:val="22"/>
        </w:rPr>
        <w:t>յմանագրում փոփոխություններ կատարելու մասին համաձայնագ</w:t>
      </w:r>
      <w:r w:rsidR="00040149" w:rsidRPr="00C921DE">
        <w:rPr>
          <w:rFonts w:ascii="GHEA Grapalat" w:hAnsi="GHEA Grapalat" w:cs="Sylfaen"/>
          <w:sz w:val="22"/>
          <w:szCs w:val="22"/>
          <w:lang w:val="en-US"/>
        </w:rPr>
        <w:t>րի կնքմամբ</w:t>
      </w:r>
      <w:r w:rsidR="00040149" w:rsidRPr="00C921DE">
        <w:rPr>
          <w:rFonts w:ascii="GHEA Grapalat" w:hAnsi="GHEA Grapalat" w:cs="Sylfaen"/>
          <w:sz w:val="22"/>
          <w:szCs w:val="22"/>
        </w:rPr>
        <w:t>, որով հիմնադրամին փաստացի վճարվել է 15%-ով պակաս</w:t>
      </w:r>
      <w:r w:rsidR="00040149" w:rsidRPr="00C921DE">
        <w:rPr>
          <w:rFonts w:ascii="GHEA Grapalat" w:hAnsi="GHEA Grapalat" w:cs="Sylfaen"/>
          <w:sz w:val="22"/>
          <w:szCs w:val="22"/>
          <w:lang w:val="en-US"/>
        </w:rPr>
        <w:t xml:space="preserve"> գումար:</w:t>
      </w:r>
      <w:r w:rsidR="00BD40F4" w:rsidRPr="00C921DE">
        <w:rPr>
          <w:rFonts w:ascii="GHEA Grapalat" w:hAnsi="GHEA Grapalat" w:cs="Sylfaen"/>
          <w:sz w:val="22"/>
          <w:szCs w:val="22"/>
          <w:lang w:val="en-US"/>
        </w:rPr>
        <w:t xml:space="preserve"> </w:t>
      </w:r>
      <w:r w:rsidR="006B5860" w:rsidRPr="00C921DE">
        <w:rPr>
          <w:rFonts w:ascii="GHEA Grapalat" w:hAnsi="GHEA Grapalat" w:cs="Sylfaen"/>
          <w:sz w:val="22"/>
          <w:szCs w:val="22"/>
          <w:lang w:val="en-US"/>
        </w:rPr>
        <w:t>Դրամաշնորհային ծրագրի՝</w:t>
      </w:r>
      <w:r w:rsidR="006B5860" w:rsidRPr="00C921DE">
        <w:rPr>
          <w:rFonts w:ascii="GHEA Grapalat" w:hAnsi="GHEA Grapalat" w:cs="Sylfaen"/>
          <w:sz w:val="22"/>
          <w:szCs w:val="22"/>
        </w:rPr>
        <w:t xml:space="preserve"> ԿՖԿՏՀ ներդրման միջոցառման</w:t>
      </w:r>
      <w:r w:rsidR="006B5860" w:rsidRPr="00C921DE">
        <w:rPr>
          <w:rFonts w:ascii="GHEA Grapalat" w:hAnsi="GHEA Grapalat" w:cs="Sylfaen"/>
          <w:sz w:val="22"/>
          <w:szCs w:val="22"/>
          <w:lang w:val="en-US"/>
        </w:rPr>
        <w:t>ը</w:t>
      </w:r>
      <w:r w:rsidR="00C77957" w:rsidRPr="00C921DE">
        <w:rPr>
          <w:rFonts w:ascii="GHEA Grapalat" w:hAnsi="GHEA Grapalat" w:cs="Sylfaen"/>
          <w:sz w:val="22"/>
          <w:szCs w:val="22"/>
          <w:lang w:val="en-US"/>
        </w:rPr>
        <w:t xml:space="preserve"> հատկացված</w:t>
      </w:r>
      <w:r w:rsidR="00FB1135" w:rsidRPr="00C921DE">
        <w:rPr>
          <w:rFonts w:ascii="GHEA Grapalat" w:hAnsi="GHEA Grapalat" w:cs="Sylfaen"/>
          <w:sz w:val="22"/>
          <w:szCs w:val="22"/>
          <w:lang w:val="en-US"/>
        </w:rPr>
        <w:t xml:space="preserve"> </w:t>
      </w:r>
      <w:r w:rsidRPr="00C921DE">
        <w:rPr>
          <w:rFonts w:ascii="GHEA Grapalat" w:hAnsi="GHEA Grapalat" w:cs="Sylfaen"/>
          <w:sz w:val="22"/>
          <w:szCs w:val="22"/>
        </w:rPr>
        <w:t>358.6 մլն դրամ</w:t>
      </w:r>
      <w:r w:rsidR="00C77957" w:rsidRPr="00C921DE">
        <w:rPr>
          <w:rFonts w:ascii="GHEA Grapalat" w:hAnsi="GHEA Grapalat" w:cs="Sylfaen"/>
          <w:sz w:val="22"/>
          <w:szCs w:val="22"/>
          <w:lang w:val="en-US"/>
        </w:rPr>
        <w:t>ը չի օգտագործվել</w:t>
      </w:r>
      <w:r w:rsidRPr="00C921DE">
        <w:rPr>
          <w:rFonts w:ascii="GHEA Grapalat" w:hAnsi="GHEA Grapalat" w:cs="Sylfaen"/>
          <w:sz w:val="22"/>
          <w:szCs w:val="22"/>
          <w:lang w:val="en-US"/>
        </w:rPr>
        <w:t>՝</w:t>
      </w:r>
      <w:r w:rsidRPr="00C921DE">
        <w:rPr>
          <w:rFonts w:ascii="GHEA Grapalat" w:hAnsi="GHEA Grapalat" w:cs="Sylfaen"/>
          <w:sz w:val="22"/>
          <w:szCs w:val="22"/>
        </w:rPr>
        <w:t xml:space="preserve"> ԿՖԿՏՀ ծրագրային ապահովման ձեռքբերման մրցույթը 2023</w:t>
      </w:r>
      <w:r w:rsidRPr="00C921DE">
        <w:rPr>
          <w:rFonts w:ascii="GHEA Grapalat" w:hAnsi="GHEA Grapalat" w:cs="Sylfaen"/>
          <w:sz w:val="22"/>
          <w:szCs w:val="22"/>
          <w:lang w:val="en-US"/>
        </w:rPr>
        <w:t xml:space="preserve"> </w:t>
      </w:r>
      <w:r w:rsidRPr="00C921DE">
        <w:rPr>
          <w:rFonts w:ascii="GHEA Grapalat" w:hAnsi="GHEA Grapalat" w:cs="Sylfaen"/>
          <w:sz w:val="22"/>
          <w:szCs w:val="22"/>
        </w:rPr>
        <w:t>թ</w:t>
      </w:r>
      <w:r w:rsidRPr="00C921DE">
        <w:rPr>
          <w:rFonts w:ascii="GHEA Grapalat" w:hAnsi="GHEA Grapalat" w:cs="Sylfaen"/>
          <w:sz w:val="22"/>
          <w:szCs w:val="22"/>
          <w:lang w:val="en-US"/>
        </w:rPr>
        <w:t>վականին չկայանալու պատճառով</w:t>
      </w:r>
      <w:r w:rsidRPr="00C921DE">
        <w:rPr>
          <w:rFonts w:ascii="GHEA Grapalat" w:hAnsi="GHEA Grapalat" w:cs="Sylfaen"/>
          <w:sz w:val="22"/>
          <w:szCs w:val="22"/>
        </w:rPr>
        <w:t xml:space="preserve">: </w:t>
      </w:r>
    </w:p>
    <w:p w14:paraId="5FD175AE" w14:textId="7E9A7B4B" w:rsidR="004A541C" w:rsidRPr="00C921DE" w:rsidRDefault="004A541C" w:rsidP="004A541C">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lang w:val="en-US"/>
        </w:rPr>
        <w:t>ՌԴ կառավարության աջակցությամբ իրականացվող ԵՏՄ-ի անդամակցության շրջանակներում ՀՀ-ին տեխնիկական և ֆինանսական աջակցություն ցուցաբերելու դրամաշնորհային ծրագրի</w:t>
      </w:r>
    </w:p>
    <w:p w14:paraId="39532BD8" w14:textId="7A4FFC2E" w:rsidR="00880BE9" w:rsidRPr="00C921DE" w:rsidRDefault="006B5860" w:rsidP="00880BE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Հանրային ֆինանսների կառավարման բնագավառում պետական քաղաքականության մշակման, ծրագրերի համակարգման և մոնիտորինգի ծ</w:t>
      </w:r>
      <w:r w:rsidR="00880BE9" w:rsidRPr="00C921DE">
        <w:rPr>
          <w:rFonts w:ascii="GHEA Grapalat" w:hAnsi="GHEA Grapalat" w:cs="Sylfaen"/>
          <w:sz w:val="22"/>
          <w:szCs w:val="22"/>
        </w:rPr>
        <w:t xml:space="preserve">րագրի շրջանակներում հատկացված </w:t>
      </w:r>
      <w:r w:rsidR="00880BE9" w:rsidRPr="00C921DE">
        <w:rPr>
          <w:rFonts w:ascii="GHEA Grapalat" w:hAnsi="GHEA Grapalat" w:cs="Sylfaen"/>
          <w:sz w:val="22"/>
          <w:szCs w:val="22"/>
        </w:rPr>
        <w:lastRenderedPageBreak/>
        <w:t>միջոցների մեծ մասը բաժին է ընկել պլանավորման, բյուջետավորման, գանձապետական ծառայությունների, պետական պարտքի կառավարման, տնտեսական և հարկաբյուջետային քաղաքականության մշակման և մոնիտորինգի միջոցառման ծախսերին, որոնք կատարվել են 9</w:t>
      </w:r>
      <w:r w:rsidR="00880BE9" w:rsidRPr="00C921DE">
        <w:rPr>
          <w:rFonts w:ascii="GHEA Grapalat" w:hAnsi="GHEA Grapalat" w:cs="Sylfaen"/>
          <w:sz w:val="22"/>
          <w:szCs w:val="22"/>
          <w:lang w:val="en-US"/>
        </w:rPr>
        <w:t>8</w:t>
      </w:r>
      <w:r w:rsidR="00880BE9" w:rsidRPr="00C921DE">
        <w:rPr>
          <w:rFonts w:ascii="GHEA Grapalat" w:hAnsi="GHEA Grapalat" w:cs="Sylfaen"/>
          <w:sz w:val="22"/>
          <w:szCs w:val="22"/>
        </w:rPr>
        <w:t>.</w:t>
      </w:r>
      <w:r w:rsidR="00880BE9" w:rsidRPr="00C921DE">
        <w:rPr>
          <w:rFonts w:ascii="GHEA Grapalat" w:hAnsi="GHEA Grapalat" w:cs="Sylfaen"/>
          <w:sz w:val="22"/>
          <w:szCs w:val="22"/>
          <w:lang w:val="en-US"/>
        </w:rPr>
        <w:t>9</w:t>
      </w:r>
      <w:r w:rsidRPr="00C921DE">
        <w:rPr>
          <w:rFonts w:ascii="GHEA Grapalat" w:hAnsi="GHEA Grapalat" w:cs="Sylfaen"/>
          <w:sz w:val="22"/>
          <w:szCs w:val="22"/>
        </w:rPr>
        <w:t>%</w:t>
      </w:r>
      <w:r w:rsidRPr="00C921DE">
        <w:rPr>
          <w:rFonts w:ascii="GHEA Grapalat" w:hAnsi="GHEA Grapalat" w:cs="Sylfaen"/>
          <w:sz w:val="22"/>
          <w:szCs w:val="22"/>
        </w:rPr>
        <w:noBreakHyphen/>
      </w:r>
      <w:r w:rsidR="00880BE9" w:rsidRPr="00C921DE">
        <w:rPr>
          <w:rFonts w:ascii="GHEA Grapalat" w:hAnsi="GHEA Grapalat" w:cs="Sylfaen"/>
          <w:sz w:val="22"/>
          <w:szCs w:val="22"/>
        </w:rPr>
        <w:t>ով և կազմել 2.</w:t>
      </w:r>
      <w:r w:rsidR="00880BE9" w:rsidRPr="00C921DE">
        <w:rPr>
          <w:rFonts w:ascii="GHEA Grapalat" w:hAnsi="GHEA Grapalat" w:cs="Sylfaen"/>
          <w:sz w:val="22"/>
          <w:szCs w:val="22"/>
          <w:lang w:val="en-US"/>
        </w:rPr>
        <w:t>9</w:t>
      </w:r>
      <w:r w:rsidR="00880BE9" w:rsidRPr="00C921DE">
        <w:rPr>
          <w:rFonts w:ascii="GHEA Grapalat" w:hAnsi="GHEA Grapalat" w:cs="Sylfaen"/>
          <w:sz w:val="22"/>
          <w:szCs w:val="22"/>
        </w:rPr>
        <w:t xml:space="preserve"> մլրդ դրամ: </w:t>
      </w:r>
    </w:p>
    <w:p w14:paraId="13F2DE35" w14:textId="54D65361" w:rsidR="000F1C82" w:rsidRPr="00C921DE" w:rsidRDefault="000F1C82" w:rsidP="000F1C82">
      <w:pPr>
        <w:autoSpaceDE w:val="0"/>
        <w:autoSpaceDN w:val="0"/>
        <w:adjustRightInd w:val="0"/>
        <w:spacing w:line="360" w:lineRule="auto"/>
        <w:ind w:firstLine="567"/>
        <w:jc w:val="both"/>
        <w:rPr>
          <w:rFonts w:ascii="GHEA Grapalat" w:hAnsi="GHEA Grapalat" w:cs="Sylfaen"/>
          <w:sz w:val="22"/>
          <w:szCs w:val="22"/>
          <w:lang w:val="en-US"/>
        </w:rPr>
      </w:pPr>
      <w:r w:rsidRPr="00C921DE">
        <w:rPr>
          <w:rFonts w:ascii="GHEA Grapalat" w:hAnsi="GHEA Grapalat" w:cs="Sylfaen"/>
          <w:sz w:val="22"/>
          <w:szCs w:val="22"/>
          <w:lang w:val="en-US"/>
        </w:rPr>
        <w:t xml:space="preserve">Նախորդ տարվա համեմատ Հանրային ֆինանսների կառավարման բնագավառում պետական քաղաքականության մշակման, ծրագրերի համակարգման և մոնիտորինգի ծրագրի ծախսերն աճել են 26.1%-ով (804.8 մլն դրամով)՝ հիմնականում պայմանավորված </w:t>
      </w:r>
      <w:r w:rsidR="009A0F7A" w:rsidRPr="00C921DE">
        <w:rPr>
          <w:rFonts w:ascii="GHEA Grapalat" w:hAnsi="GHEA Grapalat" w:cs="Sylfaen"/>
          <w:sz w:val="22"/>
          <w:szCs w:val="22"/>
          <w:lang w:val="en-US"/>
        </w:rPr>
        <w:t>«</w:t>
      </w:r>
      <w:r w:rsidRPr="00C921DE">
        <w:rPr>
          <w:rFonts w:ascii="GHEA Grapalat" w:hAnsi="GHEA Grapalat" w:cs="Sylfaen"/>
          <w:sz w:val="22"/>
          <w:szCs w:val="22"/>
          <w:lang w:val="en-US"/>
        </w:rPr>
        <w:t>Պլանավորում, բյուջետավորում, գանձապետական ծառայություններ, պետական պարտքի կառավարում, տնտեսական և հարկաբյուջետային քաղաքականության մշակում և մոնիտորինգ</w:t>
      </w:r>
      <w:r w:rsidR="009A0F7A" w:rsidRPr="00C921DE">
        <w:rPr>
          <w:rFonts w:ascii="GHEA Grapalat" w:hAnsi="GHEA Grapalat" w:cs="Sylfaen"/>
          <w:sz w:val="22"/>
          <w:szCs w:val="22"/>
          <w:lang w:val="en-US"/>
        </w:rPr>
        <w:t>»</w:t>
      </w:r>
      <w:r w:rsidRPr="00C921DE">
        <w:rPr>
          <w:rFonts w:ascii="GHEA Grapalat" w:hAnsi="GHEA Grapalat" w:cs="Sylfaen"/>
          <w:sz w:val="22"/>
          <w:szCs w:val="22"/>
          <w:lang w:val="en-US"/>
        </w:rPr>
        <w:t xml:space="preserve"> միջոցառման</w:t>
      </w:r>
      <w:r w:rsidR="009A0F7A" w:rsidRPr="00C921DE">
        <w:rPr>
          <w:rFonts w:ascii="GHEA Grapalat" w:hAnsi="GHEA Grapalat" w:cs="Sylfaen"/>
          <w:sz w:val="22"/>
          <w:szCs w:val="22"/>
          <w:lang w:val="en-US"/>
        </w:rPr>
        <w:t xml:space="preserve"> շրջանակներում կատարված ծախսերի աճով</w:t>
      </w:r>
      <w:r w:rsidRPr="00C921DE">
        <w:rPr>
          <w:rFonts w:ascii="GHEA Grapalat" w:hAnsi="GHEA Grapalat" w:cs="Sylfaen"/>
          <w:sz w:val="22"/>
          <w:szCs w:val="22"/>
          <w:lang w:val="en-US"/>
        </w:rPr>
        <w:t xml:space="preserve">, </w:t>
      </w:r>
      <w:r w:rsidR="009A0F7A" w:rsidRPr="00C921DE">
        <w:rPr>
          <w:rFonts w:ascii="GHEA Grapalat" w:hAnsi="GHEA Grapalat" w:cs="Sylfaen"/>
          <w:sz w:val="22"/>
          <w:szCs w:val="22"/>
          <w:lang w:val="en-US"/>
        </w:rPr>
        <w:t xml:space="preserve">ինչպես նաև </w:t>
      </w:r>
      <w:r w:rsidR="00880BE9" w:rsidRPr="00C921DE">
        <w:rPr>
          <w:rFonts w:ascii="GHEA Grapalat" w:hAnsi="GHEA Grapalat" w:cs="Sylfaen"/>
          <w:sz w:val="22"/>
          <w:szCs w:val="22"/>
          <w:lang w:val="en-US"/>
        </w:rPr>
        <w:t>ՌԴ</w:t>
      </w:r>
      <w:r w:rsidRPr="00C921DE">
        <w:rPr>
          <w:rFonts w:ascii="GHEA Grapalat" w:hAnsi="GHEA Grapalat" w:cs="Sylfaen"/>
          <w:sz w:val="22"/>
          <w:szCs w:val="22"/>
          <w:lang w:val="en-US"/>
        </w:rPr>
        <w:t xml:space="preserve"> կառավարությ</w:t>
      </w:r>
      <w:r w:rsidR="00EF2027" w:rsidRPr="00C921DE">
        <w:rPr>
          <w:rFonts w:ascii="GHEA Grapalat" w:hAnsi="GHEA Grapalat" w:cs="Sylfaen"/>
          <w:sz w:val="22"/>
          <w:szCs w:val="22"/>
          <w:lang w:val="en-US"/>
        </w:rPr>
        <w:t>ան աջակցությամբ իրականացվող ԵՏՄ</w:t>
      </w:r>
      <w:r w:rsidR="00EF2027" w:rsidRPr="00C921DE">
        <w:rPr>
          <w:rFonts w:ascii="GHEA Grapalat" w:hAnsi="GHEA Grapalat" w:cs="Sylfaen"/>
          <w:sz w:val="22"/>
          <w:szCs w:val="22"/>
          <w:lang w:val="en-US"/>
        </w:rPr>
        <w:noBreakHyphen/>
      </w:r>
      <w:r w:rsidRPr="00C921DE">
        <w:rPr>
          <w:rFonts w:ascii="GHEA Grapalat" w:hAnsi="GHEA Grapalat" w:cs="Sylfaen"/>
          <w:sz w:val="22"/>
          <w:szCs w:val="22"/>
          <w:lang w:val="en-US"/>
        </w:rPr>
        <w:t xml:space="preserve">ի անդամակցության շրջանակներում ՀՀ-ին տեխնիկական և ֆինանսական աջակցություն ցուցաբերելու </w:t>
      </w:r>
      <w:r w:rsidR="00880BE9" w:rsidRPr="00C921DE">
        <w:rPr>
          <w:rFonts w:ascii="GHEA Grapalat" w:hAnsi="GHEA Grapalat" w:cs="Sylfaen"/>
          <w:sz w:val="22"/>
          <w:szCs w:val="22"/>
          <w:lang w:val="en-US"/>
        </w:rPr>
        <w:t>դրամաշնորհային ծրագ</w:t>
      </w:r>
      <w:r w:rsidRPr="00C921DE">
        <w:rPr>
          <w:rFonts w:ascii="GHEA Grapalat" w:hAnsi="GHEA Grapalat" w:cs="Sylfaen"/>
          <w:sz w:val="22"/>
          <w:szCs w:val="22"/>
          <w:lang w:val="en-US"/>
        </w:rPr>
        <w:t xml:space="preserve">րի և </w:t>
      </w:r>
      <w:r w:rsidR="00880BE9" w:rsidRPr="00C921DE">
        <w:rPr>
          <w:rFonts w:ascii="GHEA Grapalat" w:hAnsi="GHEA Grapalat" w:cs="Sylfaen"/>
          <w:sz w:val="22"/>
          <w:szCs w:val="22"/>
          <w:lang w:val="en-US"/>
        </w:rPr>
        <w:t>ՌԴ</w:t>
      </w:r>
      <w:r w:rsidRPr="00C921DE">
        <w:rPr>
          <w:rFonts w:ascii="GHEA Grapalat" w:hAnsi="GHEA Grapalat" w:cs="Sylfaen"/>
          <w:sz w:val="22"/>
          <w:szCs w:val="22"/>
          <w:lang w:val="en-US"/>
        </w:rPr>
        <w:t xml:space="preserve"> կողմից Հ</w:t>
      </w:r>
      <w:r w:rsidR="00880BE9" w:rsidRPr="00C921DE">
        <w:rPr>
          <w:rFonts w:ascii="GHEA Grapalat" w:hAnsi="GHEA Grapalat" w:cs="Sylfaen"/>
          <w:sz w:val="22"/>
          <w:szCs w:val="22"/>
          <w:lang w:val="en-US"/>
        </w:rPr>
        <w:t xml:space="preserve">Հ-ին </w:t>
      </w:r>
      <w:r w:rsidRPr="00C921DE">
        <w:rPr>
          <w:rFonts w:ascii="GHEA Grapalat" w:hAnsi="GHEA Grapalat" w:cs="Sylfaen"/>
          <w:sz w:val="22"/>
          <w:szCs w:val="22"/>
          <w:lang w:val="en-US"/>
        </w:rPr>
        <w:t xml:space="preserve">անհատույց ֆինանսական օգնության դրամաշնորհային ծրագրի շրջանակներում խորհրդատվական ծառայությունների ձեռքբերման ծախսերով, </w:t>
      </w:r>
      <w:r w:rsidR="00880BE9" w:rsidRPr="00C921DE">
        <w:rPr>
          <w:rFonts w:ascii="GHEA Grapalat" w:hAnsi="GHEA Grapalat" w:cs="Sylfaen"/>
          <w:sz w:val="22"/>
          <w:szCs w:val="22"/>
          <w:lang w:val="en-US"/>
        </w:rPr>
        <w:t>որոնց</w:t>
      </w:r>
      <w:r w:rsidRPr="00C921DE">
        <w:rPr>
          <w:rFonts w:ascii="GHEA Grapalat" w:hAnsi="GHEA Grapalat" w:cs="Sylfaen"/>
          <w:sz w:val="22"/>
          <w:szCs w:val="22"/>
          <w:lang w:val="en-US"/>
        </w:rPr>
        <w:t xml:space="preserve"> նախորդ տարի միջոցներ չէին հատկացվել:</w:t>
      </w:r>
    </w:p>
    <w:p w14:paraId="2AE40EEA" w14:textId="653FCF11"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 xml:space="preserve">ՀՀ միջազգային վարկանիշի տրամադրման ծախսերը կազմել են 79.6 մլն դրամ կամ ծրագրված ցուցանիշի 74.8%-ը: Միջոցները հատկացվել են Fitch և Moodys վարկանիշային ընկերությունների կողմից վարկային դեֆոլտի (երկարաժամկետ և կարճաժամկետ, դրամային և արտարժութային) վարկանիշների վերանայումների նպատակով: </w:t>
      </w:r>
      <w:r w:rsidR="00857D2E" w:rsidRPr="00C921DE">
        <w:rPr>
          <w:rFonts w:ascii="GHEA Grapalat" w:hAnsi="GHEA Grapalat" w:cs="Sylfaen"/>
          <w:sz w:val="22"/>
          <w:szCs w:val="22"/>
          <w:lang w:val="en-US"/>
        </w:rPr>
        <w:t xml:space="preserve">Ծախսերի կատարողականը պայմանավորված է </w:t>
      </w:r>
      <w:r w:rsidRPr="00C921DE">
        <w:rPr>
          <w:rFonts w:ascii="GHEA Grapalat" w:hAnsi="GHEA Grapalat" w:cs="Sylfaen"/>
          <w:sz w:val="22"/>
          <w:szCs w:val="22"/>
        </w:rPr>
        <w:t>նրանով, որ Standard&amp;Poor's վարկանիշային գործակալությ</w:t>
      </w:r>
      <w:r w:rsidR="00857D2E" w:rsidRPr="00C921DE">
        <w:rPr>
          <w:rFonts w:ascii="GHEA Grapalat" w:hAnsi="GHEA Grapalat" w:cs="Sylfaen"/>
          <w:sz w:val="22"/>
          <w:szCs w:val="22"/>
          <w:lang w:val="en-US"/>
        </w:rPr>
        <w:t xml:space="preserve">ան կողմից </w:t>
      </w:r>
      <w:r w:rsidR="00857D2E" w:rsidRPr="00C921DE">
        <w:rPr>
          <w:rFonts w:ascii="GHEA Grapalat" w:hAnsi="GHEA Grapalat" w:cs="Sylfaen"/>
          <w:sz w:val="22"/>
          <w:szCs w:val="22"/>
        </w:rPr>
        <w:t>վճարման պահանջ չի ներկայացվ</w:t>
      </w:r>
      <w:r w:rsidRPr="00C921DE">
        <w:rPr>
          <w:rFonts w:ascii="GHEA Grapalat" w:hAnsi="GHEA Grapalat" w:cs="Sylfaen"/>
          <w:sz w:val="22"/>
          <w:szCs w:val="22"/>
        </w:rPr>
        <w:t>ել:</w:t>
      </w:r>
    </w:p>
    <w:p w14:paraId="654F815B" w14:textId="77777777" w:rsidR="009A2EF0" w:rsidRPr="00C921DE" w:rsidRDefault="009A2EF0" w:rsidP="009A2EF0">
      <w:pPr>
        <w:autoSpaceDE w:val="0"/>
        <w:autoSpaceDN w:val="0"/>
        <w:adjustRightInd w:val="0"/>
        <w:spacing w:line="360" w:lineRule="auto"/>
        <w:ind w:firstLine="567"/>
        <w:jc w:val="both"/>
        <w:rPr>
          <w:rFonts w:ascii="GHEA Grapalat" w:hAnsi="GHEA Grapalat" w:cs="Sylfaen"/>
          <w:sz w:val="22"/>
          <w:szCs w:val="22"/>
          <w:lang w:val="en-US"/>
        </w:rPr>
      </w:pPr>
    </w:p>
    <w:p w14:paraId="531EF106" w14:textId="77777777" w:rsidR="00B93503" w:rsidRPr="00C921DE" w:rsidRDefault="00C56BD7" w:rsidP="00CD04D2">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GHEA Grapalat"/>
          <w:i/>
          <w:sz w:val="22"/>
          <w:szCs w:val="22"/>
          <w:u w:val="single"/>
        </w:rPr>
        <w:t>ՀՀ ներքին գործերի նախարարության</w:t>
      </w:r>
      <w:r w:rsidR="00CD04D2" w:rsidRPr="00C921DE">
        <w:rPr>
          <w:rFonts w:ascii="GHEA Grapalat" w:hAnsi="GHEA Grapalat" w:cs="GHEA Grapalat"/>
          <w:sz w:val="22"/>
          <w:szCs w:val="22"/>
          <w:lang w:val="en-US"/>
        </w:rPr>
        <w:t xml:space="preserve"> </w:t>
      </w:r>
      <w:r w:rsidR="00CD04D2" w:rsidRPr="00C921DE">
        <w:rPr>
          <w:rFonts w:ascii="GHEA Grapalat" w:hAnsi="GHEA Grapalat" w:cs="Times Armenian"/>
          <w:sz w:val="22"/>
          <w:szCs w:val="22"/>
        </w:rPr>
        <w:t>պատասխանատվությամբ 2023</w:t>
      </w:r>
      <w:r w:rsidR="00CD04D2" w:rsidRPr="00C921DE">
        <w:rPr>
          <w:rFonts w:ascii="GHEA Grapalat" w:hAnsi="GHEA Grapalat" w:cs="GHEA Grapalat"/>
          <w:sz w:val="22"/>
          <w:szCs w:val="22"/>
        </w:rPr>
        <w:t xml:space="preserve"> թվականի </w:t>
      </w:r>
      <w:r w:rsidR="00CD04D2" w:rsidRPr="00C921DE">
        <w:rPr>
          <w:rFonts w:ascii="GHEA Grapalat" w:hAnsi="GHEA Grapalat" w:cs="Sylfaen"/>
          <w:sz w:val="22"/>
          <w:szCs w:val="22"/>
        </w:rPr>
        <w:t>ընթացք</w:t>
      </w:r>
      <w:r w:rsidR="00CD04D2" w:rsidRPr="00C921DE">
        <w:rPr>
          <w:rFonts w:ascii="GHEA Grapalat" w:hAnsi="GHEA Grapalat" w:cs="GHEA Grapalat"/>
          <w:sz w:val="22"/>
          <w:szCs w:val="22"/>
        </w:rPr>
        <w:t xml:space="preserve">ում կատարվել է </w:t>
      </w:r>
      <w:r w:rsidR="00CD04D2" w:rsidRPr="00C921DE">
        <w:rPr>
          <w:rFonts w:ascii="GHEA Grapalat" w:hAnsi="GHEA Grapalat" w:cs="Times Armenian"/>
          <w:sz w:val="22"/>
          <w:szCs w:val="22"/>
        </w:rPr>
        <w:t xml:space="preserve">պետական բյուջեի պետական բյուջեի 8 ծրագիր՝ նախատեսված 9-ի փոխարեն: </w:t>
      </w:r>
      <w:r w:rsidR="00CD04D2" w:rsidRPr="00C921DE">
        <w:rPr>
          <w:rFonts w:ascii="GHEA Grapalat" w:hAnsi="GHEA Grapalat" w:cs="GHEA Grapalat"/>
          <w:sz w:val="22"/>
          <w:szCs w:val="22"/>
        </w:rPr>
        <w:t>Ծախսերը կազմել են ավելի քան 16.6 մլրդ դրամ կամ ծրագրված ցուցանիշի 94.9%</w:t>
      </w:r>
      <w:r w:rsidR="00CD04D2" w:rsidRPr="00C921DE">
        <w:rPr>
          <w:rFonts w:ascii="GHEA Grapalat" w:hAnsi="GHEA Grapalat" w:cs="GHEA Grapalat"/>
          <w:sz w:val="22"/>
          <w:szCs w:val="22"/>
        </w:rPr>
        <w:noBreakHyphen/>
        <w:t xml:space="preserve">ը: </w:t>
      </w:r>
      <w:r w:rsidR="00CD04D2" w:rsidRPr="00C921DE">
        <w:rPr>
          <w:rFonts w:ascii="GHEA Grapalat" w:hAnsi="GHEA Grapalat" w:cs="Times Armenian"/>
          <w:sz w:val="22"/>
          <w:szCs w:val="22"/>
        </w:rPr>
        <w:t xml:space="preserve">Շեղումը հիմնականում պայմանավորված է նախարարության ծախսերի գերակշիռ մասը կազմող «Փրկարարական ծառայություններ» ծրագրի կատարողականով: </w:t>
      </w:r>
    </w:p>
    <w:p w14:paraId="366EB1AC" w14:textId="345A77DA" w:rsidR="00CD04D2" w:rsidRPr="00C921DE" w:rsidRDefault="00CD04D2" w:rsidP="00CD04D2">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Times Armenian"/>
          <w:sz w:val="22"/>
          <w:szCs w:val="22"/>
        </w:rPr>
        <w:t>2022 թվականի դեկտեմբերի 16</w:t>
      </w:r>
      <w:r w:rsidRPr="00C921DE">
        <w:rPr>
          <w:rFonts w:ascii="GHEA Grapalat" w:hAnsi="GHEA Grapalat" w:cs="Times Armenian"/>
          <w:sz w:val="22"/>
          <w:szCs w:val="22"/>
        </w:rPr>
        <w:noBreakHyphen/>
        <w:t xml:space="preserve">ի «Կառավարության կառուցվածքի և գործունեության մասին» 457-Ն ՀՀ օրենքում կատարված փոփոխությունների և լրացումների համաձայն </w:t>
      </w:r>
      <w:r w:rsidRPr="00C921DE">
        <w:rPr>
          <w:rFonts w:ascii="GHEA Grapalat" w:hAnsi="GHEA Grapalat"/>
          <w:sz w:val="22"/>
          <w:szCs w:val="22"/>
        </w:rPr>
        <w:t xml:space="preserve">ՀՀ ներքին </w:t>
      </w:r>
      <w:r w:rsidRPr="00C921DE">
        <w:rPr>
          <w:rFonts w:ascii="GHEA Grapalat" w:hAnsi="GHEA Grapalat" w:cs="Times Armenian"/>
          <w:sz w:val="22"/>
          <w:szCs w:val="22"/>
        </w:rPr>
        <w:t>գործերի նախարարության ձևավորման հետ կապված՝ դադարեցվել է ՀՀ արտակարգ իրավիճակների նախարարության գործունեությունը, և վերջինիս գործառույթները փոխանցվել են ՀՀ ներքին գործերի նախարարությանը: Բացի այդ</w:t>
      </w:r>
      <w:r w:rsidRPr="00C921DE">
        <w:rPr>
          <w:rFonts w:ascii="GHEA Grapalat" w:hAnsi="GHEA Grapalat"/>
          <w:sz w:val="22"/>
          <w:szCs w:val="22"/>
        </w:rPr>
        <w:t xml:space="preserve">, </w:t>
      </w:r>
      <w:r w:rsidRPr="00C921DE">
        <w:rPr>
          <w:rFonts w:ascii="GHEA Grapalat" w:hAnsi="GHEA Grapalat" w:cs="GHEA Grapalat"/>
          <w:sz w:val="22"/>
          <w:szCs w:val="22"/>
        </w:rPr>
        <w:t>Միգրացիայի</w:t>
      </w:r>
      <w:r w:rsidRPr="00C921DE">
        <w:rPr>
          <w:rFonts w:ascii="GHEA Grapalat" w:hAnsi="GHEA Grapalat" w:cs="Times Armenian"/>
          <w:sz w:val="22"/>
          <w:szCs w:val="22"/>
        </w:rPr>
        <w:t xml:space="preserve"> և քաղաքացիության ծառայությունը դուրս է եկել ՀՀ ՏԿԵ նախարարության կազմից և ընդգրկվել ՀՀ ներքին գործերի նախարարության կազմում:</w:t>
      </w:r>
      <w:r w:rsidRPr="00C921DE">
        <w:rPr>
          <w:rFonts w:ascii="GHEA Grapalat" w:hAnsi="GHEA Grapalat"/>
          <w:sz w:val="22"/>
          <w:szCs w:val="22"/>
        </w:rPr>
        <w:t xml:space="preserve"> 2022 </w:t>
      </w:r>
      <w:r w:rsidRPr="00C921DE">
        <w:rPr>
          <w:rFonts w:ascii="GHEA Grapalat" w:hAnsi="GHEA Grapalat"/>
          <w:sz w:val="22"/>
          <w:szCs w:val="22"/>
        </w:rPr>
        <w:lastRenderedPageBreak/>
        <w:t>թվականի համադրելի ցուցանիշի համեմատ ՀՀ ներքին գործերի նախարարության պատասխանատվությամբ իրականացվող ծա</w:t>
      </w:r>
      <w:r w:rsidR="00F66A59" w:rsidRPr="00C921DE">
        <w:rPr>
          <w:rFonts w:ascii="GHEA Grapalat" w:hAnsi="GHEA Grapalat"/>
          <w:sz w:val="22"/>
          <w:szCs w:val="22"/>
        </w:rPr>
        <w:t>խսերի գծով արձանագրվել է 3.4%</w:t>
      </w:r>
      <w:r w:rsidRPr="00C921DE">
        <w:rPr>
          <w:rFonts w:ascii="GHEA Grapalat" w:hAnsi="GHEA Grapalat"/>
          <w:sz w:val="22"/>
          <w:szCs w:val="22"/>
        </w:rPr>
        <w:t xml:space="preserve"> կամ շուրջ 544.1 մլն դրամ աճ:</w:t>
      </w:r>
    </w:p>
    <w:p w14:paraId="0DB4A48A" w14:textId="77777777" w:rsidR="00CF1FD6" w:rsidRPr="00C921DE" w:rsidRDefault="00CF1FD6" w:rsidP="005772F6">
      <w:pPr>
        <w:autoSpaceDE w:val="0"/>
        <w:autoSpaceDN w:val="0"/>
        <w:adjustRightInd w:val="0"/>
        <w:ind w:firstLine="567"/>
        <w:jc w:val="both"/>
        <w:rPr>
          <w:rFonts w:ascii="GHEA Grapalat" w:hAnsi="GHEA Grapalat" w:cs="GHEA Grapalat"/>
          <w:sz w:val="22"/>
          <w:szCs w:val="22"/>
        </w:rPr>
      </w:pPr>
    </w:p>
    <w:p w14:paraId="4FA2EC0D" w14:textId="77777777" w:rsidR="00CD04D2" w:rsidRPr="00C921DE" w:rsidRDefault="00CD04D2" w:rsidP="00CD04D2">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2023թ. ՀՀ ներքին գործերի նախարարության կողմից իրականացված ծրագրերը (մլն</w:t>
      </w:r>
      <w:r w:rsidRPr="00C921DE">
        <w:rPr>
          <w:rFonts w:ascii="Courier New" w:hAnsi="Courier New" w:cs="Courier New"/>
          <w:i/>
          <w:sz w:val="18"/>
          <w:szCs w:val="18"/>
          <w:lang w:val="hy-AM"/>
        </w:rPr>
        <w:t> </w:t>
      </w:r>
      <w:r w:rsidRPr="00C921DE">
        <w:rPr>
          <w:rFonts w:ascii="GHEA Grapalat" w:hAnsi="GHEA Grapalat"/>
          <w:i/>
          <w:sz w:val="18"/>
          <w:szCs w:val="18"/>
          <w:lang w:val="hy-AM"/>
        </w:rPr>
        <w:t>դրամ)</w:t>
      </w:r>
    </w:p>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1366"/>
        <w:gridCol w:w="993"/>
        <w:gridCol w:w="1043"/>
        <w:gridCol w:w="1276"/>
        <w:gridCol w:w="1251"/>
        <w:gridCol w:w="1107"/>
      </w:tblGrid>
      <w:tr w:rsidR="00D61F4C" w:rsidRPr="00C921DE" w14:paraId="115107C6" w14:textId="77777777" w:rsidTr="00F66A59">
        <w:trPr>
          <w:trHeight w:val="300"/>
          <w:jc w:val="center"/>
        </w:trPr>
        <w:tc>
          <w:tcPr>
            <w:tcW w:w="3114" w:type="dxa"/>
            <w:noWrap/>
            <w:vAlign w:val="bottom"/>
          </w:tcPr>
          <w:p w14:paraId="38467D06" w14:textId="77777777" w:rsidR="00D61F4C" w:rsidRPr="00C921DE" w:rsidRDefault="00D61F4C" w:rsidP="00D61F4C">
            <w:pPr>
              <w:rPr>
                <w:rFonts w:ascii="GHEA Grapalat" w:hAnsi="GHEA Grapalat" w:cs="Calibri"/>
                <w:color w:val="000000"/>
                <w:sz w:val="18"/>
                <w:szCs w:val="18"/>
              </w:rPr>
            </w:pPr>
          </w:p>
        </w:tc>
        <w:tc>
          <w:tcPr>
            <w:tcW w:w="1366" w:type="dxa"/>
          </w:tcPr>
          <w:p w14:paraId="033721E8"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2022թ. փաստ</w:t>
            </w:r>
          </w:p>
          <w:p w14:paraId="751C62C5" w14:textId="77777777"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(2023թ. հետ համադրելի)</w:t>
            </w:r>
          </w:p>
        </w:tc>
        <w:tc>
          <w:tcPr>
            <w:tcW w:w="993" w:type="dxa"/>
          </w:tcPr>
          <w:p w14:paraId="5D062730" w14:textId="4A9FEE9C"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1043" w:type="dxa"/>
            <w:noWrap/>
          </w:tcPr>
          <w:p w14:paraId="501A4483" w14:textId="177D5D1D"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276" w:type="dxa"/>
          </w:tcPr>
          <w:p w14:paraId="1AC33AE5" w14:textId="5BD851D8" w:rsidR="00D61F4C" w:rsidRPr="00C921DE" w:rsidRDefault="00D61F4C" w:rsidP="00D61F4C">
            <w:pPr>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251" w:type="dxa"/>
          </w:tcPr>
          <w:p w14:paraId="4EB72CD8" w14:textId="7309FBE2" w:rsidR="00D61F4C" w:rsidRPr="00C921DE" w:rsidRDefault="00D61F4C" w:rsidP="00D61F4C">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c>
          <w:tcPr>
            <w:tcW w:w="1107" w:type="dxa"/>
          </w:tcPr>
          <w:p w14:paraId="64404983" w14:textId="77777777" w:rsidR="00D61F4C" w:rsidRPr="00C921DE" w:rsidRDefault="00D61F4C" w:rsidP="00D61F4C">
            <w:pPr>
              <w:jc w:val="center"/>
              <w:rPr>
                <w:rFonts w:ascii="GHEA Grapalat" w:hAnsi="GHEA Grapalat" w:cs="Calibri"/>
                <w:b/>
                <w:sz w:val="18"/>
                <w:szCs w:val="18"/>
                <w:lang w:val="en-US"/>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և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տարբե-րությունը</w:t>
            </w:r>
          </w:p>
        </w:tc>
      </w:tr>
      <w:tr w:rsidR="00CD04D2" w:rsidRPr="00C921DE" w14:paraId="21BABFDA" w14:textId="77777777" w:rsidTr="00F66A59">
        <w:trPr>
          <w:trHeight w:val="331"/>
          <w:jc w:val="center"/>
        </w:trPr>
        <w:tc>
          <w:tcPr>
            <w:tcW w:w="3114" w:type="dxa"/>
            <w:vAlign w:val="bottom"/>
          </w:tcPr>
          <w:p w14:paraId="6CA400F5" w14:textId="77777777" w:rsidR="00CD04D2" w:rsidRPr="00C921DE" w:rsidRDefault="00CD04D2" w:rsidP="00CD04D2">
            <w:pPr>
              <w:rPr>
                <w:rFonts w:ascii="GHEA Grapalat" w:hAnsi="GHEA Grapalat" w:cs="Calibri"/>
                <w:b/>
                <w:color w:val="000000"/>
                <w:sz w:val="18"/>
                <w:szCs w:val="18"/>
              </w:rPr>
            </w:pPr>
            <w:r w:rsidRPr="00C921DE">
              <w:rPr>
                <w:rFonts w:ascii="GHEA Grapalat" w:hAnsi="GHEA Grapalat" w:cs="Calibri"/>
                <w:b/>
                <w:color w:val="000000"/>
                <w:sz w:val="18"/>
                <w:szCs w:val="18"/>
              </w:rPr>
              <w:t>ԸՆԴԱՄԵՆԸ</w:t>
            </w:r>
          </w:p>
        </w:tc>
        <w:tc>
          <w:tcPr>
            <w:tcW w:w="1366" w:type="dxa"/>
            <w:vAlign w:val="bottom"/>
          </w:tcPr>
          <w:p w14:paraId="6AC5A286" w14:textId="77777777" w:rsidR="00CD04D2" w:rsidRPr="00C921DE" w:rsidRDefault="00CD04D2" w:rsidP="00CD04D2">
            <w:pPr>
              <w:jc w:val="right"/>
              <w:rPr>
                <w:rFonts w:ascii="GHEA Grapalat" w:hAnsi="GHEA Grapalat"/>
                <w:b/>
                <w:bCs/>
                <w:noProof w:val="0"/>
                <w:sz w:val="18"/>
                <w:szCs w:val="18"/>
                <w:lang w:val="en-US"/>
              </w:rPr>
            </w:pPr>
            <w:r w:rsidRPr="00C921DE">
              <w:rPr>
                <w:rFonts w:ascii="GHEA Grapalat" w:hAnsi="GHEA Grapalat"/>
                <w:b/>
                <w:bCs/>
                <w:sz w:val="18"/>
                <w:szCs w:val="18"/>
              </w:rPr>
              <w:t>16,105.0</w:t>
            </w:r>
          </w:p>
        </w:tc>
        <w:tc>
          <w:tcPr>
            <w:tcW w:w="993" w:type="dxa"/>
            <w:vAlign w:val="bottom"/>
          </w:tcPr>
          <w:p w14:paraId="3AF8E1B2"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17,541.9</w:t>
            </w:r>
          </w:p>
        </w:tc>
        <w:tc>
          <w:tcPr>
            <w:tcW w:w="1043" w:type="dxa"/>
            <w:vAlign w:val="bottom"/>
          </w:tcPr>
          <w:p w14:paraId="78F73C9B"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16,649.1</w:t>
            </w:r>
          </w:p>
        </w:tc>
        <w:tc>
          <w:tcPr>
            <w:tcW w:w="1276" w:type="dxa"/>
            <w:vAlign w:val="bottom"/>
          </w:tcPr>
          <w:p w14:paraId="3FDD096F"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94.9</w:t>
            </w:r>
          </w:p>
        </w:tc>
        <w:tc>
          <w:tcPr>
            <w:tcW w:w="1251" w:type="dxa"/>
            <w:vAlign w:val="bottom"/>
          </w:tcPr>
          <w:p w14:paraId="1DBFBC5F"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103.4</w:t>
            </w:r>
          </w:p>
        </w:tc>
        <w:tc>
          <w:tcPr>
            <w:tcW w:w="1107" w:type="dxa"/>
            <w:vAlign w:val="bottom"/>
          </w:tcPr>
          <w:p w14:paraId="5FAA4234" w14:textId="77777777" w:rsidR="00CD04D2" w:rsidRPr="00C921DE" w:rsidRDefault="00CD04D2" w:rsidP="00CD04D2">
            <w:pPr>
              <w:jc w:val="right"/>
              <w:rPr>
                <w:rFonts w:ascii="GHEA Grapalat" w:hAnsi="GHEA Grapalat"/>
                <w:b/>
                <w:bCs/>
                <w:sz w:val="18"/>
                <w:szCs w:val="18"/>
              </w:rPr>
            </w:pPr>
            <w:r w:rsidRPr="00C921DE">
              <w:rPr>
                <w:rFonts w:ascii="GHEA Grapalat" w:hAnsi="GHEA Grapalat"/>
                <w:b/>
                <w:bCs/>
                <w:sz w:val="18"/>
                <w:szCs w:val="18"/>
              </w:rPr>
              <w:t>544.1</w:t>
            </w:r>
          </w:p>
        </w:tc>
      </w:tr>
      <w:tr w:rsidR="00CD04D2" w:rsidRPr="00C921DE" w14:paraId="7EBE39AB" w14:textId="77777777" w:rsidTr="00F66A59">
        <w:trPr>
          <w:trHeight w:val="300"/>
          <w:jc w:val="center"/>
        </w:trPr>
        <w:tc>
          <w:tcPr>
            <w:tcW w:w="3114" w:type="dxa"/>
            <w:vAlign w:val="bottom"/>
          </w:tcPr>
          <w:p w14:paraId="145EC472" w14:textId="77777777" w:rsidR="00CD04D2" w:rsidRPr="00C921DE" w:rsidRDefault="00CD04D2" w:rsidP="00CD04D2">
            <w:pPr>
              <w:rPr>
                <w:rFonts w:ascii="GHEA Grapalat" w:hAnsi="GHEA Grapalat"/>
                <w:sz w:val="18"/>
                <w:szCs w:val="18"/>
              </w:rPr>
            </w:pPr>
            <w:r w:rsidRPr="00C921DE">
              <w:rPr>
                <w:rFonts w:ascii="GHEA Grapalat" w:hAnsi="GHEA Grapalat"/>
                <w:sz w:val="18"/>
                <w:szCs w:val="18"/>
              </w:rPr>
              <w:t>Փրկարարական ծառայություններ</w:t>
            </w:r>
          </w:p>
        </w:tc>
        <w:tc>
          <w:tcPr>
            <w:tcW w:w="1366" w:type="dxa"/>
            <w:vAlign w:val="bottom"/>
          </w:tcPr>
          <w:p w14:paraId="12A31060"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12,411.5</w:t>
            </w:r>
          </w:p>
        </w:tc>
        <w:tc>
          <w:tcPr>
            <w:tcW w:w="993" w:type="dxa"/>
            <w:vAlign w:val="bottom"/>
          </w:tcPr>
          <w:p w14:paraId="14B7E6E1"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13,623.7</w:t>
            </w:r>
          </w:p>
        </w:tc>
        <w:tc>
          <w:tcPr>
            <w:tcW w:w="1043" w:type="dxa"/>
            <w:vAlign w:val="bottom"/>
          </w:tcPr>
          <w:p w14:paraId="6E20FB76"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13,044.7</w:t>
            </w:r>
          </w:p>
        </w:tc>
        <w:tc>
          <w:tcPr>
            <w:tcW w:w="1276" w:type="dxa"/>
            <w:vAlign w:val="bottom"/>
          </w:tcPr>
          <w:p w14:paraId="025BC0C7"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95.8</w:t>
            </w:r>
          </w:p>
        </w:tc>
        <w:tc>
          <w:tcPr>
            <w:tcW w:w="1251" w:type="dxa"/>
            <w:vAlign w:val="bottom"/>
          </w:tcPr>
          <w:p w14:paraId="14FF3CC8"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105.1</w:t>
            </w:r>
          </w:p>
        </w:tc>
        <w:tc>
          <w:tcPr>
            <w:tcW w:w="1107" w:type="dxa"/>
            <w:vAlign w:val="bottom"/>
          </w:tcPr>
          <w:p w14:paraId="1ECB77C3"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633.2</w:t>
            </w:r>
          </w:p>
        </w:tc>
      </w:tr>
      <w:tr w:rsidR="00CD04D2" w:rsidRPr="00C921DE" w14:paraId="5AF662DC" w14:textId="77777777" w:rsidTr="00F66A59">
        <w:trPr>
          <w:trHeight w:val="300"/>
          <w:jc w:val="center"/>
        </w:trPr>
        <w:tc>
          <w:tcPr>
            <w:tcW w:w="3114" w:type="dxa"/>
            <w:vAlign w:val="bottom"/>
          </w:tcPr>
          <w:p w14:paraId="62B76069" w14:textId="77777777" w:rsidR="00CD04D2" w:rsidRPr="00C921DE" w:rsidRDefault="00CD04D2" w:rsidP="00CD04D2">
            <w:pPr>
              <w:rPr>
                <w:rFonts w:ascii="GHEA Grapalat" w:hAnsi="GHEA Grapalat"/>
                <w:sz w:val="18"/>
                <w:szCs w:val="18"/>
              </w:rPr>
            </w:pPr>
            <w:r w:rsidRPr="00C921DE">
              <w:rPr>
                <w:rFonts w:ascii="GHEA Grapalat" w:hAnsi="GHEA Grapalat"/>
                <w:sz w:val="18"/>
                <w:szCs w:val="18"/>
              </w:rPr>
              <w:t>Արտակարգ իրավիճակների բնագավառի պետական քաղաքականության մշակում, ծրագրերի համակարգում և մոնիտորինգ</w:t>
            </w:r>
          </w:p>
        </w:tc>
        <w:tc>
          <w:tcPr>
            <w:tcW w:w="1366" w:type="dxa"/>
            <w:vAlign w:val="bottom"/>
          </w:tcPr>
          <w:p w14:paraId="2FFA8FC3"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1,391.9</w:t>
            </w:r>
          </w:p>
        </w:tc>
        <w:tc>
          <w:tcPr>
            <w:tcW w:w="993" w:type="dxa"/>
            <w:vAlign w:val="bottom"/>
          </w:tcPr>
          <w:p w14:paraId="3A69E9BB"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1,752.5</w:t>
            </w:r>
          </w:p>
        </w:tc>
        <w:tc>
          <w:tcPr>
            <w:tcW w:w="1043" w:type="dxa"/>
            <w:vAlign w:val="bottom"/>
          </w:tcPr>
          <w:p w14:paraId="0C388620"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1,613.3</w:t>
            </w:r>
          </w:p>
        </w:tc>
        <w:tc>
          <w:tcPr>
            <w:tcW w:w="1276" w:type="dxa"/>
            <w:vAlign w:val="bottom"/>
          </w:tcPr>
          <w:p w14:paraId="6F7E2F45"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92.1</w:t>
            </w:r>
          </w:p>
        </w:tc>
        <w:tc>
          <w:tcPr>
            <w:tcW w:w="1251" w:type="dxa"/>
            <w:vAlign w:val="bottom"/>
          </w:tcPr>
          <w:p w14:paraId="56E86C5E"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115.9</w:t>
            </w:r>
          </w:p>
        </w:tc>
        <w:tc>
          <w:tcPr>
            <w:tcW w:w="1107" w:type="dxa"/>
            <w:vAlign w:val="bottom"/>
          </w:tcPr>
          <w:p w14:paraId="2D922732"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221.4</w:t>
            </w:r>
          </w:p>
        </w:tc>
      </w:tr>
      <w:tr w:rsidR="00CD04D2" w:rsidRPr="00C921DE" w14:paraId="668E52AC" w14:textId="77777777" w:rsidTr="00F66A59">
        <w:trPr>
          <w:trHeight w:val="300"/>
          <w:jc w:val="center"/>
        </w:trPr>
        <w:tc>
          <w:tcPr>
            <w:tcW w:w="3114" w:type="dxa"/>
            <w:vAlign w:val="bottom"/>
          </w:tcPr>
          <w:p w14:paraId="393B6684" w14:textId="77777777" w:rsidR="00CD04D2" w:rsidRPr="00C921DE" w:rsidRDefault="00CD04D2" w:rsidP="00CD04D2">
            <w:pPr>
              <w:rPr>
                <w:rFonts w:ascii="GHEA Grapalat" w:hAnsi="GHEA Grapalat"/>
                <w:sz w:val="18"/>
                <w:szCs w:val="18"/>
              </w:rPr>
            </w:pPr>
            <w:r w:rsidRPr="00C921DE">
              <w:rPr>
                <w:rFonts w:ascii="GHEA Grapalat" w:hAnsi="GHEA Grapalat"/>
                <w:sz w:val="18"/>
                <w:szCs w:val="18"/>
              </w:rPr>
              <w:t>Այլ ծրագրեր</w:t>
            </w:r>
          </w:p>
        </w:tc>
        <w:tc>
          <w:tcPr>
            <w:tcW w:w="1366" w:type="dxa"/>
            <w:vAlign w:val="bottom"/>
          </w:tcPr>
          <w:p w14:paraId="36D8B291"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2,301.6</w:t>
            </w:r>
          </w:p>
        </w:tc>
        <w:tc>
          <w:tcPr>
            <w:tcW w:w="993" w:type="dxa"/>
            <w:vAlign w:val="bottom"/>
          </w:tcPr>
          <w:p w14:paraId="32472BA2"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2,165.7</w:t>
            </w:r>
          </w:p>
        </w:tc>
        <w:tc>
          <w:tcPr>
            <w:tcW w:w="1043" w:type="dxa"/>
            <w:vAlign w:val="bottom"/>
          </w:tcPr>
          <w:p w14:paraId="6F61C036"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1,991.1</w:t>
            </w:r>
          </w:p>
        </w:tc>
        <w:tc>
          <w:tcPr>
            <w:tcW w:w="1276" w:type="dxa"/>
            <w:vAlign w:val="bottom"/>
          </w:tcPr>
          <w:p w14:paraId="1417DA12"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91.9</w:t>
            </w:r>
          </w:p>
        </w:tc>
        <w:tc>
          <w:tcPr>
            <w:tcW w:w="1251" w:type="dxa"/>
            <w:vAlign w:val="bottom"/>
          </w:tcPr>
          <w:p w14:paraId="7215A127"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86.5</w:t>
            </w:r>
          </w:p>
        </w:tc>
        <w:tc>
          <w:tcPr>
            <w:tcW w:w="1107" w:type="dxa"/>
            <w:vAlign w:val="bottom"/>
          </w:tcPr>
          <w:p w14:paraId="42D45359" w14:textId="77777777" w:rsidR="00CD04D2" w:rsidRPr="00C921DE" w:rsidRDefault="00CD04D2" w:rsidP="00CD04D2">
            <w:pPr>
              <w:jc w:val="right"/>
              <w:rPr>
                <w:rFonts w:ascii="GHEA Grapalat" w:hAnsi="GHEA Grapalat"/>
                <w:sz w:val="18"/>
                <w:szCs w:val="18"/>
              </w:rPr>
            </w:pPr>
            <w:r w:rsidRPr="00C921DE">
              <w:rPr>
                <w:rFonts w:ascii="GHEA Grapalat" w:hAnsi="GHEA Grapalat"/>
                <w:sz w:val="18"/>
                <w:szCs w:val="18"/>
              </w:rPr>
              <w:t>(310.4)</w:t>
            </w:r>
          </w:p>
        </w:tc>
      </w:tr>
    </w:tbl>
    <w:p w14:paraId="7D068C6A" w14:textId="77777777" w:rsidR="00CD04D2" w:rsidRPr="00C921DE" w:rsidRDefault="00CD04D2" w:rsidP="0063565A">
      <w:pPr>
        <w:autoSpaceDE w:val="0"/>
        <w:autoSpaceDN w:val="0"/>
        <w:adjustRightInd w:val="0"/>
        <w:ind w:firstLine="567"/>
        <w:jc w:val="both"/>
        <w:rPr>
          <w:rFonts w:ascii="GHEA Grapalat" w:hAnsi="GHEA Grapalat" w:cs="GHEA Grapalat"/>
          <w:sz w:val="22"/>
          <w:szCs w:val="22"/>
        </w:rPr>
      </w:pPr>
    </w:p>
    <w:p w14:paraId="7F45A8FA" w14:textId="496F5285" w:rsidR="00CD04D2" w:rsidRPr="00C921DE" w:rsidRDefault="00BD1C20"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sz w:val="22"/>
          <w:szCs w:val="22"/>
          <w:lang w:val="en-US"/>
        </w:rPr>
        <w:t>2023 թվականին</w:t>
      </w:r>
      <w:r w:rsidR="00CD04D2" w:rsidRPr="00C921DE">
        <w:rPr>
          <w:rFonts w:ascii="GHEA Grapalat" w:hAnsi="GHEA Grapalat" w:cs="GHEA Grapalat"/>
          <w:sz w:val="22"/>
          <w:szCs w:val="22"/>
        </w:rPr>
        <w:t xml:space="preserve"> </w:t>
      </w:r>
      <w:r w:rsidR="00CD04D2" w:rsidRPr="00C921DE">
        <w:rPr>
          <w:rFonts w:ascii="GHEA Grapalat" w:hAnsi="GHEA Grapalat" w:cs="GHEA Grapalat"/>
          <w:i/>
          <w:sz w:val="22"/>
          <w:szCs w:val="22"/>
        </w:rPr>
        <w:t>«Փրկարարական ծառայություններ»</w:t>
      </w:r>
      <w:r w:rsidR="00CD04D2" w:rsidRPr="00C921DE">
        <w:rPr>
          <w:rFonts w:ascii="GHEA Grapalat" w:hAnsi="GHEA Grapalat" w:cs="GHEA Grapalat"/>
          <w:sz w:val="22"/>
          <w:szCs w:val="22"/>
        </w:rPr>
        <w:t xml:space="preserve"> </w:t>
      </w:r>
      <w:r w:rsidR="00CD04D2" w:rsidRPr="00C921DE">
        <w:rPr>
          <w:rFonts w:ascii="GHEA Grapalat" w:hAnsi="GHEA Grapalat" w:cs="Sylfaen"/>
          <w:sz w:val="22"/>
          <w:szCs w:val="22"/>
        </w:rPr>
        <w:t>ծրագրի շրջանակներում օգտագործվել է ավելի քան 13 մլրդ դրամ կամ նախատեսված միջոցների 95.8%-ը: Շեղումը հիմնականում պայմանավորված է «Փրկարարական ծառայություններ» միջոցառման կատարողականով: Վերջինով է հիմնականում պայմանավորված նաև նախորդ տարվա համեմատ «Փրկարարական ծառայություններ»</w:t>
      </w:r>
      <w:r w:rsidR="004B2D47" w:rsidRPr="00C921DE">
        <w:rPr>
          <w:rFonts w:ascii="GHEA Grapalat" w:hAnsi="GHEA Grapalat" w:cs="Sylfaen"/>
          <w:sz w:val="22"/>
          <w:szCs w:val="22"/>
        </w:rPr>
        <w:t xml:space="preserve"> </w:t>
      </w:r>
      <w:r w:rsidR="00CD04D2" w:rsidRPr="00C921DE">
        <w:rPr>
          <w:rFonts w:ascii="GHEA Grapalat" w:hAnsi="GHEA Grapalat" w:cs="Sylfaen"/>
          <w:sz w:val="22"/>
          <w:szCs w:val="22"/>
        </w:rPr>
        <w:t>ծրագրի շրջան</w:t>
      </w:r>
      <w:r w:rsidR="00B5328A" w:rsidRPr="00C921DE">
        <w:rPr>
          <w:rFonts w:ascii="GHEA Grapalat" w:hAnsi="GHEA Grapalat" w:cs="Sylfaen"/>
          <w:sz w:val="22"/>
          <w:szCs w:val="22"/>
        </w:rPr>
        <w:t>ակներում կատարված ծախսերի 5.1%</w:t>
      </w:r>
      <w:r w:rsidR="00CD04D2" w:rsidRPr="00C921DE">
        <w:rPr>
          <w:rFonts w:ascii="GHEA Grapalat" w:hAnsi="GHEA Grapalat" w:cs="Sylfaen"/>
          <w:sz w:val="22"/>
          <w:szCs w:val="22"/>
        </w:rPr>
        <w:t xml:space="preserve"> (633.2 մլն դրամ) աճը:</w:t>
      </w:r>
    </w:p>
    <w:p w14:paraId="2E70835F" w14:textId="2E55A2DC" w:rsidR="00CD04D2" w:rsidRPr="00C921DE" w:rsidRDefault="00CD04D2" w:rsidP="00CD04D2">
      <w:pPr>
        <w:pStyle w:val="NormalWeb"/>
        <w:spacing w:after="0" w:line="360" w:lineRule="auto"/>
        <w:ind w:firstLine="547"/>
        <w:jc w:val="both"/>
        <w:rPr>
          <w:rFonts w:ascii="GHEA Grapalat" w:hAnsi="GHEA Grapalat" w:cs="Sylfaen"/>
          <w:sz w:val="22"/>
        </w:rPr>
      </w:pPr>
      <w:r w:rsidRPr="00C921DE">
        <w:rPr>
          <w:rFonts w:ascii="GHEA Grapalat" w:hAnsi="GHEA Grapalat" w:cs="Sylfaen"/>
          <w:sz w:val="22"/>
          <w:szCs w:val="22"/>
        </w:rPr>
        <w:t>Հաշվետու տարում «Փրկարարական ծառայություններ» միջոցառման շրջանակներում մարտունակության բարձրացման</w:t>
      </w:r>
      <w:r w:rsidRPr="00C921DE">
        <w:rPr>
          <w:rFonts w:ascii="GHEA Grapalat" w:hAnsi="GHEA Grapalat" w:cs="GHEA Grapalat"/>
          <w:sz w:val="22"/>
          <w:szCs w:val="22"/>
        </w:rPr>
        <w:t xml:space="preserve"> նպատակով իրականացվել են 325 ուսումնավարժանքներ: </w:t>
      </w:r>
      <w:r w:rsidR="00F72428" w:rsidRPr="00C921DE">
        <w:rPr>
          <w:rFonts w:ascii="GHEA Grapalat" w:hAnsi="GHEA Grapalat" w:cs="GHEA Grapalat"/>
          <w:sz w:val="22"/>
          <w:szCs w:val="22"/>
          <w:lang w:val="en-US"/>
        </w:rPr>
        <w:t>Ծ</w:t>
      </w:r>
      <w:r w:rsidRPr="00C921DE">
        <w:rPr>
          <w:rFonts w:ascii="GHEA Grapalat" w:hAnsi="GHEA Grapalat" w:cs="GHEA Grapalat"/>
          <w:sz w:val="22"/>
          <w:szCs w:val="22"/>
        </w:rPr>
        <w:t xml:space="preserve">ախսերը կազմել են 12.7 մլրդ դրամ և ապահովել 95.8% կատարողական: Շեղումը հիմնականում պայմանավորված է ապրանքների և ծառայությունների համար հատկացված միջոցների՝ նախատեսվածից պակաս օգտագործմամբ: Նախորդ տարվա համեմատ նշված միջոցառման ծախսերն աճել են 10.8%-ով կամ 1.2 մլրդ դրամով՝ </w:t>
      </w:r>
      <w:r w:rsidRPr="00C921DE">
        <w:rPr>
          <w:rFonts w:ascii="GHEA Grapalat" w:hAnsi="GHEA Grapalat" w:cs="Sylfaen"/>
          <w:sz w:val="22"/>
        </w:rPr>
        <w:t>պայմանավորված</w:t>
      </w:r>
      <w:r w:rsidR="00C359AF" w:rsidRPr="00C921DE">
        <w:rPr>
          <w:rFonts w:ascii="GHEA Grapalat" w:hAnsi="GHEA Grapalat" w:cs="Sylfaen"/>
          <w:sz w:val="22"/>
          <w:lang w:val="en-US"/>
        </w:rPr>
        <w:t xml:space="preserve"> </w:t>
      </w:r>
      <w:r w:rsidR="00C359AF" w:rsidRPr="00C921DE">
        <w:rPr>
          <w:rFonts w:ascii="GHEA Grapalat" w:hAnsi="GHEA Grapalat" w:cs="Sylfaen"/>
          <w:sz w:val="22"/>
          <w:szCs w:val="22"/>
        </w:rPr>
        <w:t>պետական պաշտոն և պետական ծառայության պաշտոն զբաղեցնող անձանց</w:t>
      </w:r>
      <w:r w:rsidRPr="00C921DE">
        <w:rPr>
          <w:rFonts w:ascii="GHEA Grapalat" w:hAnsi="GHEA Grapalat" w:cs="Sylfaen"/>
          <w:sz w:val="22"/>
        </w:rPr>
        <w:t xml:space="preserve"> բազային աշխատավարձի բարձրացման </w:t>
      </w:r>
      <w:r w:rsidR="00F72428" w:rsidRPr="00C921DE">
        <w:rPr>
          <w:rFonts w:ascii="GHEA Grapalat" w:hAnsi="GHEA Grapalat" w:cs="Sylfaen"/>
          <w:sz w:val="22"/>
          <w:lang w:val="en-US"/>
        </w:rPr>
        <w:t>արդյունքում</w:t>
      </w:r>
      <w:r w:rsidRPr="00C921DE">
        <w:rPr>
          <w:rFonts w:ascii="GHEA Grapalat" w:hAnsi="GHEA Grapalat" w:cs="Sylfaen"/>
          <w:sz w:val="22"/>
        </w:rPr>
        <w:t xml:space="preserve"> աշխատանքի վարձատրության ծախսերի աճով:</w:t>
      </w:r>
    </w:p>
    <w:p w14:paraId="2D6C936D" w14:textId="42E297FF" w:rsidR="00CD04D2" w:rsidRPr="00C921DE" w:rsidRDefault="00CD04D2" w:rsidP="00CD04D2">
      <w:pPr>
        <w:pStyle w:val="NormalWeb"/>
        <w:spacing w:after="0" w:line="360" w:lineRule="auto"/>
        <w:ind w:firstLine="540"/>
        <w:jc w:val="both"/>
        <w:rPr>
          <w:rFonts w:ascii="GHEA Grapalat" w:hAnsi="GHEA Grapalat" w:cs="Sylfaen"/>
          <w:sz w:val="22"/>
        </w:rPr>
      </w:pPr>
      <w:r w:rsidRPr="00C921DE">
        <w:rPr>
          <w:rFonts w:ascii="GHEA Grapalat" w:hAnsi="GHEA Grapalat" w:cs="GHEA Grapalat"/>
          <w:sz w:val="22"/>
          <w:szCs w:val="22"/>
        </w:rPr>
        <w:t xml:space="preserve">«ԱԻՆ փրկարար ծառայության շենքի ապահովվածության և պայմանների բարելավում» միջոցառման </w:t>
      </w:r>
      <w:r w:rsidRPr="00C921DE">
        <w:rPr>
          <w:rFonts w:ascii="GHEA Grapalat" w:hAnsi="GHEA Grapalat" w:cs="Sylfaen"/>
          <w:sz w:val="22"/>
        </w:rPr>
        <w:t xml:space="preserve">շրջանակներում իրականացվել են ներքին հարդարման և ջեռուցման ապահովման աշխատանքներ: </w:t>
      </w:r>
      <w:r w:rsidRPr="00C921DE">
        <w:rPr>
          <w:rFonts w:ascii="GHEA Grapalat" w:hAnsi="GHEA Grapalat" w:cs="GHEA Grapalat"/>
          <w:sz w:val="22"/>
          <w:szCs w:val="22"/>
        </w:rPr>
        <w:t xml:space="preserve">Միջոցառման շրջանակներում նախատեսված բոլոր արդյունքային չափորոշիչներն ամբողջությամբ </w:t>
      </w:r>
      <w:r w:rsidR="00F72428" w:rsidRPr="00C921DE">
        <w:rPr>
          <w:rFonts w:ascii="GHEA Grapalat" w:hAnsi="GHEA Grapalat" w:cs="GHEA Grapalat"/>
          <w:sz w:val="22"/>
          <w:szCs w:val="22"/>
          <w:lang w:val="en-US"/>
        </w:rPr>
        <w:t>ապահով</w:t>
      </w:r>
      <w:r w:rsidRPr="00C921DE">
        <w:rPr>
          <w:rFonts w:ascii="GHEA Grapalat" w:hAnsi="GHEA Grapalat" w:cs="GHEA Grapalat"/>
          <w:sz w:val="22"/>
          <w:szCs w:val="22"/>
        </w:rPr>
        <w:t>վել են. 7 օբյեկտներում՝ 4212.1 մ</w:t>
      </w:r>
      <w:r w:rsidRPr="00C921DE">
        <w:rPr>
          <w:rFonts w:ascii="GHEA Grapalat" w:hAnsi="GHEA Grapalat" w:cs="GHEA Grapalat"/>
          <w:sz w:val="22"/>
          <w:szCs w:val="22"/>
          <w:vertAlign w:val="superscript"/>
        </w:rPr>
        <w:t xml:space="preserve">2 </w:t>
      </w:r>
      <w:r w:rsidRPr="00C921DE">
        <w:rPr>
          <w:rFonts w:ascii="GHEA Grapalat" w:hAnsi="GHEA Grapalat" w:cs="GHEA Grapalat"/>
          <w:sz w:val="22"/>
          <w:szCs w:val="22"/>
        </w:rPr>
        <w:t xml:space="preserve">մակերեսով, կատարվել են կապիտալ վերանորոգման աշխատանքներ: Միջոցառման շրջանակներում </w:t>
      </w:r>
      <w:r w:rsidR="00F72428" w:rsidRPr="00C921DE">
        <w:rPr>
          <w:rFonts w:ascii="GHEA Grapalat" w:hAnsi="GHEA Grapalat" w:cs="GHEA Grapalat"/>
          <w:sz w:val="22"/>
          <w:szCs w:val="22"/>
          <w:lang w:val="en-US"/>
        </w:rPr>
        <w:t xml:space="preserve">նախատեսված </w:t>
      </w:r>
      <w:r w:rsidRPr="00C921DE">
        <w:rPr>
          <w:rFonts w:ascii="GHEA Grapalat" w:hAnsi="GHEA Grapalat" w:cs="GHEA Grapalat"/>
          <w:sz w:val="22"/>
          <w:szCs w:val="22"/>
        </w:rPr>
        <w:t>207.2 մլն դրամ</w:t>
      </w:r>
      <w:r w:rsidR="00F72428" w:rsidRPr="00C921DE">
        <w:rPr>
          <w:rFonts w:ascii="GHEA Grapalat" w:hAnsi="GHEA Grapalat" w:cs="GHEA Grapalat"/>
          <w:sz w:val="22"/>
          <w:szCs w:val="22"/>
          <w:lang w:val="en-US"/>
        </w:rPr>
        <w:t xml:space="preserve">ն </w:t>
      </w:r>
      <w:r w:rsidR="00F72428" w:rsidRPr="00C921DE">
        <w:rPr>
          <w:rFonts w:ascii="GHEA Grapalat" w:hAnsi="GHEA Grapalat" w:cs="GHEA Grapalat"/>
          <w:sz w:val="22"/>
          <w:szCs w:val="22"/>
          <w:lang w:val="en-US"/>
        </w:rPr>
        <w:lastRenderedPageBreak/>
        <w:t>ամբողջությամբ օգտագործվել է</w:t>
      </w:r>
      <w:r w:rsidRPr="00C921DE">
        <w:rPr>
          <w:rFonts w:ascii="GHEA Grapalat" w:hAnsi="GHEA Grapalat" w:cs="GHEA Grapalat"/>
          <w:sz w:val="22"/>
          <w:szCs w:val="22"/>
        </w:rPr>
        <w:t>: Նախորդ տարվա համեմատ նշված միջոցառման ծախսերն աճել են 68.1%-ով կամ շուրջ 84 մլն դրամով՝ պայմանավորված</w:t>
      </w:r>
      <w:r w:rsidRPr="00C921DE">
        <w:rPr>
          <w:rFonts w:ascii="GHEA Grapalat" w:hAnsi="GHEA Grapalat" w:cs="Sylfaen"/>
          <w:sz w:val="22"/>
        </w:rPr>
        <w:t xml:space="preserve"> շենքային պայմանների բարելավման անհրաժեշտությա</w:t>
      </w:r>
      <w:r w:rsidR="00043EB0" w:rsidRPr="00C921DE">
        <w:rPr>
          <w:rFonts w:ascii="GHEA Grapalat" w:hAnsi="GHEA Grapalat" w:cs="Sylfaen"/>
          <w:sz w:val="22"/>
          <w:lang w:val="en-US"/>
        </w:rPr>
        <w:t>մբ</w:t>
      </w:r>
      <w:r w:rsidRPr="00C921DE">
        <w:rPr>
          <w:rFonts w:ascii="GHEA Grapalat" w:hAnsi="GHEA Grapalat" w:cs="Sylfaen"/>
          <w:sz w:val="22"/>
        </w:rPr>
        <w:t>:</w:t>
      </w:r>
    </w:p>
    <w:p w14:paraId="3960941D" w14:textId="2277BCC0" w:rsidR="00CD04D2" w:rsidRPr="00C921DE" w:rsidRDefault="00CD04D2"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ԵՄ-ի կողմից Հարավային Կովկասի խոցելի տարածքներում երկրաշարժի համակողմանի կառավարման աջակցության ծրագրի նպատակը խոցելի տարածքներում բնակչության պաշտպանությանն ուղղված արագ արձագանքման միջոցառումների մեխանիզմի ներդրումն է: ՀՀ արտակարգ իրավիճակների նախարարությունը Կիպրոսի Եվրոպական Համալսարանի, Ֆրանսիայի Ներքին գործերի նախարարության, Կիպրոսի Բնակչության պաշտպանության ծառայության, Մոնտենեգրոյի Ներքին գործերի նախարարության, Հունաստանի Բնակչության պաշտպանության գլխավոր քարտուղարության և Հյուսիսային Մակեդոնիայի Պաշտպանության և փրկարար ծառայության տնօրինության հետ համատեղ ստացել է Եվրոպական հանձնաժողովի Եվրոպայի Բնակչության պաշտպանության և մարդասիրական օգնության գործողությունների գլխավոր տնօրինության (DG-ECHO)</w:t>
      </w:r>
      <w:r w:rsidR="004B2D47" w:rsidRPr="00C921DE">
        <w:rPr>
          <w:rFonts w:ascii="GHEA Grapalat" w:hAnsi="GHEA Grapalat" w:cs="GHEA Grapalat"/>
          <w:sz w:val="22"/>
          <w:szCs w:val="22"/>
        </w:rPr>
        <w:t xml:space="preserve"> </w:t>
      </w:r>
      <w:r w:rsidRPr="00C921DE">
        <w:rPr>
          <w:rFonts w:ascii="GHEA Grapalat" w:hAnsi="GHEA Grapalat" w:cs="GHEA Grapalat"/>
          <w:sz w:val="22"/>
          <w:szCs w:val="22"/>
        </w:rPr>
        <w:t>դրամաշնորհ՝ Եվրոմիության Բնակչության պաշտպանության մեխանիզմի շրջանակներում «Երկրաշարժի համակողմանի կառավարումը Հարավային Կովկասի խոցելի տարածքներում` արդյունավետ պլանավորման, արձագանքման և համատեղ գործողությունների միջոցով» համատեղ դաշտային վարժանք իրականացնելու համար:</w:t>
      </w:r>
      <w:r w:rsidR="004B2D47" w:rsidRPr="00C921DE">
        <w:rPr>
          <w:rFonts w:ascii="GHEA Grapalat" w:hAnsi="GHEA Grapalat" w:cs="GHEA Grapalat"/>
          <w:sz w:val="22"/>
          <w:szCs w:val="22"/>
        </w:rPr>
        <w:t xml:space="preserve"> </w:t>
      </w:r>
      <w:r w:rsidRPr="00C921DE">
        <w:rPr>
          <w:rFonts w:ascii="GHEA Grapalat" w:hAnsi="GHEA Grapalat" w:cs="GHEA Grapalat"/>
          <w:sz w:val="22"/>
          <w:szCs w:val="22"/>
        </w:rPr>
        <w:t>Ծրագիր</w:t>
      </w:r>
      <w:r w:rsidR="00B32A0B" w:rsidRPr="00C921DE">
        <w:rPr>
          <w:rFonts w:ascii="GHEA Grapalat" w:hAnsi="GHEA Grapalat" w:cs="GHEA Grapalat"/>
          <w:sz w:val="22"/>
          <w:szCs w:val="22"/>
          <w:lang w:val="en-US"/>
        </w:rPr>
        <w:t xml:space="preserve">ն իրականացվել </w:t>
      </w:r>
      <w:r w:rsidRPr="00C921DE">
        <w:rPr>
          <w:rFonts w:ascii="GHEA Grapalat" w:hAnsi="GHEA Grapalat" w:cs="GHEA Grapalat"/>
          <w:sz w:val="22"/>
          <w:szCs w:val="22"/>
        </w:rPr>
        <w:t>է 2022 թվականի հունվարի 1-ից մին</w:t>
      </w:r>
      <w:r w:rsidR="00B32A0B" w:rsidRPr="00C921DE">
        <w:rPr>
          <w:rFonts w:ascii="GHEA Grapalat" w:hAnsi="GHEA Grapalat" w:cs="GHEA Grapalat"/>
          <w:sz w:val="22"/>
          <w:szCs w:val="22"/>
        </w:rPr>
        <w:t>չև 2023 թվականի դեկտեմբերի 31-ը</w:t>
      </w:r>
      <w:r w:rsidRPr="00C921DE">
        <w:rPr>
          <w:rFonts w:ascii="GHEA Grapalat" w:hAnsi="GHEA Grapalat" w:cs="GHEA Grapalat"/>
          <w:sz w:val="22"/>
          <w:szCs w:val="22"/>
        </w:rPr>
        <w:t>:</w:t>
      </w:r>
    </w:p>
    <w:p w14:paraId="491EFC5E" w14:textId="4BF5A506"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sz w:val="22"/>
          <w:szCs w:val="22"/>
        </w:rPr>
        <w:t>ԵՄ-ի կողմից Հարավային Կովկասի խոցելի տարածքներում երկրաշարժի համակողմանի կառավարման աջակցության ծրագրի իրականացման շրջանակներում</w:t>
      </w:r>
      <w:r w:rsidRPr="00C921DE">
        <w:rPr>
          <w:rFonts w:ascii="GHEA Grapalat" w:hAnsi="GHEA Grapalat" w:cs="Sylfaen"/>
          <w:sz w:val="22"/>
          <w:szCs w:val="22"/>
        </w:rPr>
        <w:t xml:space="preserve"> ընդհանուր առմամբ օգտագործվել է 111.6 մլն դրամ կամ նախատեսված միջոցների 85.1%-ը:</w:t>
      </w:r>
    </w:p>
    <w:p w14:paraId="44C48833" w14:textId="34DB0943"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Ծրագրի՝ սեմինարների, դասընթացների, համաժողովների, ինչպես նաև դաշտային վարժանքի անցկացման բաղադրիչի շրջանակներում 2023 թվական</w:t>
      </w:r>
      <w:r w:rsidR="009A55DA" w:rsidRPr="00C921DE">
        <w:rPr>
          <w:rFonts w:ascii="GHEA Grapalat" w:hAnsi="GHEA Grapalat" w:cs="Sylfaen"/>
          <w:sz w:val="22"/>
          <w:szCs w:val="22"/>
        </w:rPr>
        <w:t>ի հոկտեմբերի 9-13-ը տեղի ունեցած</w:t>
      </w:r>
      <w:r w:rsidRPr="00C921DE">
        <w:rPr>
          <w:rFonts w:ascii="GHEA Grapalat" w:hAnsi="GHEA Grapalat" w:cs="Sylfaen"/>
          <w:sz w:val="22"/>
          <w:szCs w:val="22"/>
        </w:rPr>
        <w:t xml:space="preserve"> հրամանատարաշտաբային լայնածավալ վարժանքի</w:t>
      </w:r>
      <w:r w:rsidR="009A55DA" w:rsidRPr="00C921DE">
        <w:rPr>
          <w:rFonts w:ascii="GHEA Grapalat" w:hAnsi="GHEA Grapalat" w:cs="Sylfaen"/>
          <w:sz w:val="22"/>
          <w:szCs w:val="22"/>
        </w:rPr>
        <w:t xml:space="preserve"> նախապատրաստական աշխատանքներն ամբողջությամբ կատարվել են</w:t>
      </w:r>
      <w:r w:rsidR="009A55DA" w:rsidRPr="00C921DE">
        <w:rPr>
          <w:rFonts w:ascii="GHEA Grapalat" w:hAnsi="GHEA Grapalat" w:cs="Sylfaen"/>
          <w:sz w:val="22"/>
          <w:szCs w:val="22"/>
          <w:lang w:val="en-US"/>
        </w:rPr>
        <w:t>:</w:t>
      </w:r>
      <w:r w:rsidRPr="00C921DE">
        <w:rPr>
          <w:rFonts w:ascii="GHEA Grapalat" w:hAnsi="GHEA Grapalat" w:cs="Sylfaen"/>
          <w:sz w:val="22"/>
          <w:szCs w:val="22"/>
        </w:rPr>
        <w:t xml:space="preserve"> </w:t>
      </w:r>
      <w:r w:rsidR="009A55DA" w:rsidRPr="00C921DE">
        <w:rPr>
          <w:rFonts w:ascii="GHEA Grapalat" w:hAnsi="GHEA Grapalat" w:cs="Sylfaen"/>
          <w:sz w:val="22"/>
          <w:szCs w:val="22"/>
          <w:lang w:val="en-US"/>
        </w:rPr>
        <w:t>Միջոցառման ծ</w:t>
      </w:r>
      <w:r w:rsidRPr="00C921DE">
        <w:rPr>
          <w:rFonts w:ascii="GHEA Grapalat" w:hAnsi="GHEA Grapalat" w:cs="Sylfaen"/>
          <w:sz w:val="22"/>
          <w:szCs w:val="22"/>
        </w:rPr>
        <w:t xml:space="preserve">ախսերը կատարվել են 90.2%-ով՝ կազմելով 105.8 մլն դրամ: Շեղումը հիմնականում պայմանավորված է </w:t>
      </w:r>
      <w:r w:rsidR="00911551" w:rsidRPr="00C921DE">
        <w:rPr>
          <w:rFonts w:ascii="GHEA Grapalat" w:hAnsi="GHEA Grapalat" w:cs="Sylfaen"/>
          <w:sz w:val="22"/>
          <w:szCs w:val="22"/>
          <w:lang w:val="en-US"/>
        </w:rPr>
        <w:t>տնտեսումներով</w:t>
      </w:r>
      <w:r w:rsidRPr="00C921DE">
        <w:rPr>
          <w:rFonts w:ascii="GHEA Grapalat" w:hAnsi="GHEA Grapalat" w:cs="Sylfaen"/>
          <w:sz w:val="22"/>
          <w:szCs w:val="22"/>
        </w:rPr>
        <w:t>:</w:t>
      </w:r>
    </w:p>
    <w:p w14:paraId="42A9F581" w14:textId="2842DEF7" w:rsidR="00CD04D2" w:rsidRPr="00C921DE" w:rsidRDefault="00CD04D2"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 xml:space="preserve">Ծրագրի՝ տեխնիկական հագեցվածության բարելավման նպատակով վարժանքի համար անհրաժեշտ սարքերի և սարքավորումների ձեռքբերման բաղադրիչի շրջանակներում 2023 թվականի ընթացքում իրականացվել են փրկարար ծառայողների պատրաստվածության մակարդակի բարձրացման աշխատանքներ, </w:t>
      </w:r>
      <w:r w:rsidR="00911551" w:rsidRPr="00C921DE">
        <w:rPr>
          <w:rFonts w:ascii="GHEA Grapalat" w:hAnsi="GHEA Grapalat" w:cs="Sylfaen"/>
          <w:sz w:val="22"/>
          <w:szCs w:val="22"/>
          <w:lang w:val="en-US"/>
        </w:rPr>
        <w:t>ինչպես նաև</w:t>
      </w:r>
      <w:r w:rsidRPr="00C921DE">
        <w:rPr>
          <w:rFonts w:ascii="GHEA Grapalat" w:hAnsi="GHEA Grapalat" w:cs="Sylfaen"/>
          <w:sz w:val="22"/>
          <w:szCs w:val="22"/>
        </w:rPr>
        <w:t xml:space="preserve"> ձեռք են բերվել վարժանքի համար անհրաժեշտ </w:t>
      </w:r>
      <w:r w:rsidR="00911551" w:rsidRPr="00C921DE">
        <w:rPr>
          <w:rFonts w:ascii="GHEA Grapalat" w:hAnsi="GHEA Grapalat" w:cs="Sylfaen"/>
          <w:sz w:val="22"/>
          <w:szCs w:val="22"/>
          <w:lang w:val="en-US"/>
        </w:rPr>
        <w:t>սարքավորումներ</w:t>
      </w:r>
      <w:r w:rsidR="00911551" w:rsidRPr="00C921DE">
        <w:rPr>
          <w:rFonts w:ascii="GHEA Grapalat" w:hAnsi="GHEA Grapalat" w:cs="GHEA Grapalat"/>
          <w:sz w:val="22"/>
          <w:szCs w:val="22"/>
          <w:lang w:val="en-US"/>
        </w:rPr>
        <w:t>: Միջոցառման շրջանակներում</w:t>
      </w:r>
      <w:r w:rsidRPr="00C921DE">
        <w:rPr>
          <w:rFonts w:ascii="GHEA Grapalat" w:hAnsi="GHEA Grapalat" w:cs="GHEA Grapalat"/>
          <w:sz w:val="22"/>
          <w:szCs w:val="22"/>
        </w:rPr>
        <w:t xml:space="preserve"> օգտագործ</w:t>
      </w:r>
      <w:r w:rsidR="00911551" w:rsidRPr="00C921DE">
        <w:rPr>
          <w:rFonts w:ascii="GHEA Grapalat" w:hAnsi="GHEA Grapalat" w:cs="GHEA Grapalat"/>
          <w:sz w:val="22"/>
          <w:szCs w:val="22"/>
          <w:lang w:val="en-US"/>
        </w:rPr>
        <w:t>վ</w:t>
      </w:r>
      <w:r w:rsidRPr="00C921DE">
        <w:rPr>
          <w:rFonts w:ascii="GHEA Grapalat" w:hAnsi="GHEA Grapalat" w:cs="GHEA Grapalat"/>
          <w:sz w:val="22"/>
          <w:szCs w:val="22"/>
        </w:rPr>
        <w:t>ել</w:t>
      </w:r>
      <w:r w:rsidR="00911551" w:rsidRPr="00C921DE">
        <w:rPr>
          <w:rFonts w:ascii="GHEA Grapalat" w:hAnsi="GHEA Grapalat" w:cs="GHEA Grapalat"/>
          <w:sz w:val="22"/>
          <w:szCs w:val="22"/>
          <w:lang w:val="en-US"/>
        </w:rPr>
        <w:t xml:space="preserve"> է</w:t>
      </w:r>
      <w:r w:rsidRPr="00C921DE">
        <w:rPr>
          <w:rFonts w:ascii="GHEA Grapalat" w:hAnsi="GHEA Grapalat" w:cs="GHEA Grapalat"/>
          <w:sz w:val="22"/>
          <w:szCs w:val="22"/>
        </w:rPr>
        <w:t xml:space="preserve"> 5.8 մլն դրամ կամ նախատեսված միջոցների 42%</w:t>
      </w:r>
      <w:r w:rsidR="00911551" w:rsidRPr="00C921DE">
        <w:rPr>
          <w:rFonts w:ascii="GHEA Grapalat" w:hAnsi="GHEA Grapalat" w:cs="GHEA Grapalat"/>
          <w:sz w:val="22"/>
          <w:szCs w:val="22"/>
        </w:rPr>
        <w:t>-ը</w:t>
      </w:r>
      <w:r w:rsidR="00911551" w:rsidRPr="00C921DE">
        <w:rPr>
          <w:rFonts w:ascii="GHEA Grapalat" w:hAnsi="GHEA Grapalat" w:cs="GHEA Grapalat"/>
          <w:sz w:val="22"/>
          <w:szCs w:val="22"/>
          <w:lang w:val="en-US"/>
        </w:rPr>
        <w:t>, որը նույնպես</w:t>
      </w:r>
      <w:r w:rsidRPr="00C921DE">
        <w:rPr>
          <w:rFonts w:ascii="GHEA Grapalat" w:hAnsi="GHEA Grapalat" w:cs="GHEA Grapalat"/>
          <w:sz w:val="22"/>
          <w:szCs w:val="22"/>
        </w:rPr>
        <w:t xml:space="preserve"> պայմանավորված է </w:t>
      </w:r>
      <w:r w:rsidR="00911551" w:rsidRPr="00C921DE">
        <w:rPr>
          <w:rFonts w:ascii="GHEA Grapalat" w:hAnsi="GHEA Grapalat" w:cs="GHEA Grapalat"/>
          <w:sz w:val="22"/>
          <w:szCs w:val="22"/>
          <w:lang w:val="en-US"/>
        </w:rPr>
        <w:t>տնտեսումներով</w:t>
      </w:r>
      <w:r w:rsidRPr="00C921DE">
        <w:rPr>
          <w:rFonts w:ascii="GHEA Grapalat" w:hAnsi="GHEA Grapalat" w:cs="GHEA Grapalat"/>
          <w:sz w:val="22"/>
          <w:szCs w:val="22"/>
        </w:rPr>
        <w:t>:</w:t>
      </w:r>
    </w:p>
    <w:p w14:paraId="0D3C1BB3" w14:textId="0F8C4D8F" w:rsidR="00CD04D2" w:rsidRPr="00C921DE" w:rsidRDefault="00CD04D2" w:rsidP="00CD04D2">
      <w:pPr>
        <w:autoSpaceDE w:val="0"/>
        <w:autoSpaceDN w:val="0"/>
        <w:adjustRightInd w:val="0"/>
        <w:spacing w:line="360" w:lineRule="auto"/>
        <w:ind w:firstLine="567"/>
        <w:jc w:val="both"/>
        <w:rPr>
          <w:rFonts w:ascii="GHEA Grapalat" w:hAnsi="GHEA Grapalat" w:cs="Sylfaen"/>
          <w:sz w:val="22"/>
        </w:rPr>
      </w:pPr>
      <w:r w:rsidRPr="00C921DE">
        <w:rPr>
          <w:rFonts w:ascii="GHEA Grapalat" w:hAnsi="GHEA Grapalat" w:cs="GHEA Grapalat"/>
          <w:sz w:val="22"/>
          <w:szCs w:val="22"/>
        </w:rPr>
        <w:lastRenderedPageBreak/>
        <w:t xml:space="preserve">2023 թվականի ընթացքում ՀՀ ՆԳՆ պատասխանատվությամբ իրականացվող այլ ծրագրերից </w:t>
      </w:r>
      <w:r w:rsidRPr="00C921DE">
        <w:rPr>
          <w:rFonts w:ascii="GHEA Grapalat" w:hAnsi="GHEA Grapalat" w:cs="GHEA Grapalat"/>
          <w:i/>
          <w:sz w:val="22"/>
          <w:szCs w:val="22"/>
        </w:rPr>
        <w:t>Ս</w:t>
      </w:r>
      <w:r w:rsidRPr="00C921DE">
        <w:rPr>
          <w:rFonts w:ascii="GHEA Grapalat" w:hAnsi="GHEA Grapalat"/>
          <w:i/>
          <w:sz w:val="22"/>
          <w:szCs w:val="22"/>
        </w:rPr>
        <w:t>եյսմիկ պաշտպանության</w:t>
      </w:r>
      <w:r w:rsidRPr="00C921DE">
        <w:rPr>
          <w:rFonts w:ascii="GHEA Grapalat" w:hAnsi="GHEA Grapalat"/>
          <w:sz w:val="22"/>
          <w:szCs w:val="22"/>
        </w:rPr>
        <w:t xml:space="preserve"> ծրագրի շրջանակներում հատկացված միջոցներն ուղղվել են սեյսմիկ պաշտպանության ոլորտում ծառայությունների տրամադրմանը: Միջոցառման շրջանակներում</w:t>
      </w:r>
      <w:r w:rsidRPr="00C921DE">
        <w:rPr>
          <w:rFonts w:ascii="GHEA Grapalat" w:hAnsi="GHEA Grapalat" w:cs="GHEA Grapalat"/>
          <w:sz w:val="22"/>
          <w:szCs w:val="22"/>
        </w:rPr>
        <w:t xml:space="preserve"> «Սեյսմիկ պաշտպանության տարածքային ծառայություն» ՊՈԱԿ-ի կողմից իրականացվել են սեյսմիկ վտանգի մոնիտորինգի ապահովման, դրա հետ կապված այլ երկրորդային վտանգների գնահատման, ՀՀ տարածքում և տարածաշրջանում տեղի ունեցող երկրաշարժերի գրանցման, մշակման և դրանց մասին հաղորդագրությունների տրամադրման աշխատանքներ: Միջոցառման շրջանակներում երկրաֆիզիկական, երկրադինամիկական և այլ դաշտերի մոնիտորինգի, սեյսմիկ վտանգի, այդ թվում՝ ընթացիկ սեյսմիկ վտանգի գնահատման նպատակով իրականացվել են 501285 դիտարկումներ՝ կանխատեսված 515000-ի և նախորդ տարվա՝ 520508-ի փոխարեն, սեյսմիկ պաշտպանության տարրերի և վարքականոնների ուսուցման, ՏԻՄ</w:t>
      </w:r>
      <w:r w:rsidRPr="00C921DE">
        <w:rPr>
          <w:rFonts w:ascii="GHEA Grapalat" w:hAnsi="GHEA Grapalat" w:cs="GHEA Grapalat"/>
          <w:sz w:val="22"/>
          <w:szCs w:val="22"/>
        </w:rPr>
        <w:noBreakHyphen/>
        <w:t>երի աշխատողների նախապատրաստման նպատակով կազմակերպվել է 574 միջոցառում՝ նախատեսված 440-ի և նախորդ տարվա՝ 517-ի փոխարեն: Հատկացված միջոցներն օգտագործվել են նախատեսված միջոցների 97.7%-ով՝ կազմելով 735.9 մլն դրամ: Նախորդ տարվա համեմատ Սեյսմիկ պաշտպանության ծրագրի շրջանակներում կատարված ծախսերը նվազել են 2.3%-ով կամ 16.9 մլն դրամով:</w:t>
      </w:r>
      <w:r w:rsidRPr="00C921DE">
        <w:rPr>
          <w:rFonts w:ascii="GHEA Grapalat" w:hAnsi="GHEA Grapalat" w:cs="Sylfaen"/>
          <w:sz w:val="22"/>
        </w:rPr>
        <w:t xml:space="preserve"> Կանխատեսված և նախորդ տարվա </w:t>
      </w:r>
      <w:r w:rsidR="00C60780" w:rsidRPr="00C921DE">
        <w:rPr>
          <w:rFonts w:ascii="GHEA Grapalat" w:hAnsi="GHEA Grapalat" w:cs="Sylfaen"/>
          <w:sz w:val="22"/>
          <w:lang w:val="en-US"/>
        </w:rPr>
        <w:t xml:space="preserve">ցուցանիշներից շեղումները </w:t>
      </w:r>
      <w:r w:rsidRPr="00C921DE">
        <w:rPr>
          <w:rFonts w:ascii="GHEA Grapalat" w:hAnsi="GHEA Grapalat" w:cs="Sylfaen"/>
          <w:sz w:val="22"/>
        </w:rPr>
        <w:t xml:space="preserve">պայմանավորված </w:t>
      </w:r>
      <w:r w:rsidR="00C60780" w:rsidRPr="00C921DE">
        <w:rPr>
          <w:rFonts w:ascii="GHEA Grapalat" w:hAnsi="GHEA Grapalat" w:cs="Sylfaen"/>
          <w:sz w:val="22"/>
          <w:lang w:val="en-US"/>
        </w:rPr>
        <w:t>են</w:t>
      </w:r>
      <w:r w:rsidR="003D44FE" w:rsidRPr="00C921DE">
        <w:rPr>
          <w:rFonts w:ascii="GHEA Grapalat" w:hAnsi="GHEA Grapalat" w:cs="Sylfaen"/>
          <w:sz w:val="22"/>
        </w:rPr>
        <w:t xml:space="preserve"> 2023 թվականի սեպտեմբեր ամսից </w:t>
      </w:r>
      <w:r w:rsidR="003D44FE" w:rsidRPr="00C921DE">
        <w:rPr>
          <w:rFonts w:ascii="GHEA Grapalat" w:hAnsi="GHEA Grapalat" w:cs="Sylfaen"/>
          <w:sz w:val="22"/>
          <w:lang w:val="en-US"/>
        </w:rPr>
        <w:t>Լեռնային Ղարաբաղ</w:t>
      </w:r>
      <w:r w:rsidRPr="00C921DE">
        <w:rPr>
          <w:rFonts w:ascii="GHEA Grapalat" w:hAnsi="GHEA Grapalat" w:cs="Sylfaen"/>
          <w:sz w:val="22"/>
        </w:rPr>
        <w:t xml:space="preserve">ում գտնվող Արևելյան սեյսմիկ ծառայության գործունեության </w:t>
      </w:r>
      <w:r w:rsidR="00C60780" w:rsidRPr="00C921DE">
        <w:rPr>
          <w:rFonts w:ascii="GHEA Grapalat" w:hAnsi="GHEA Grapalat" w:cs="Sylfaen"/>
          <w:sz w:val="22"/>
          <w:lang w:val="en-US"/>
        </w:rPr>
        <w:t>դադարեցմամբ</w:t>
      </w:r>
      <w:r w:rsidRPr="00C921DE">
        <w:rPr>
          <w:rFonts w:ascii="GHEA Grapalat" w:hAnsi="GHEA Grapalat" w:cs="Sylfaen"/>
          <w:sz w:val="22"/>
        </w:rPr>
        <w:t>:</w:t>
      </w:r>
    </w:p>
    <w:p w14:paraId="55FF6097" w14:textId="1D9F8FAA" w:rsidR="00CD04D2" w:rsidRPr="00C921DE" w:rsidRDefault="00CD04D2" w:rsidP="00CD04D2">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i/>
          <w:sz w:val="22"/>
          <w:szCs w:val="22"/>
        </w:rPr>
        <w:t xml:space="preserve">Փախստականների ինտեգրմանն աջակցության </w:t>
      </w:r>
      <w:r w:rsidRPr="00C921DE">
        <w:rPr>
          <w:rFonts w:ascii="GHEA Grapalat" w:hAnsi="GHEA Grapalat"/>
          <w:sz w:val="22"/>
          <w:szCs w:val="22"/>
        </w:rPr>
        <w:t xml:space="preserve">ծրագրի շրջանակներում </w:t>
      </w:r>
      <w:r w:rsidRPr="00C921DE">
        <w:rPr>
          <w:rFonts w:ascii="GHEA Grapalat" w:hAnsi="GHEA Grapalat" w:cs="Sylfaen"/>
          <w:sz w:val="22"/>
          <w:szCs w:val="22"/>
        </w:rPr>
        <w:t xml:space="preserve">օգտագործվել է </w:t>
      </w:r>
      <w:r w:rsidRPr="00C921DE">
        <w:rPr>
          <w:rFonts w:ascii="GHEA Grapalat" w:hAnsi="GHEA Grapalat" w:cs="GHEA Grapalat"/>
          <w:sz w:val="22"/>
          <w:szCs w:val="22"/>
        </w:rPr>
        <w:t>115.6</w:t>
      </w:r>
      <w:r w:rsidR="00C60780" w:rsidRPr="00C921DE">
        <w:rPr>
          <w:rFonts w:ascii="Calibri" w:hAnsi="Calibri" w:cs="Calibri"/>
          <w:sz w:val="22"/>
          <w:szCs w:val="22"/>
          <w:lang w:val="en-US"/>
        </w:rPr>
        <w:t> </w:t>
      </w:r>
      <w:r w:rsidRPr="00C921DE">
        <w:rPr>
          <w:rFonts w:ascii="GHEA Grapalat" w:hAnsi="GHEA Grapalat" w:cs="Sylfaen"/>
          <w:sz w:val="22"/>
          <w:szCs w:val="22"/>
        </w:rPr>
        <w:t>մլն դրամ</w:t>
      </w:r>
      <w:r w:rsidRPr="00C921DE">
        <w:rPr>
          <w:rFonts w:ascii="GHEA Grapalat" w:hAnsi="GHEA Grapalat"/>
          <w:sz w:val="22"/>
          <w:szCs w:val="22"/>
        </w:rPr>
        <w:t xml:space="preserve"> կամ նախատեսված միջոցների </w:t>
      </w:r>
      <w:r w:rsidRPr="00C921DE">
        <w:rPr>
          <w:rFonts w:ascii="GHEA Grapalat" w:hAnsi="GHEA Grapalat" w:cs="GHEA Grapalat"/>
          <w:sz w:val="22"/>
          <w:szCs w:val="22"/>
        </w:rPr>
        <w:t>76.3</w:t>
      </w:r>
      <w:r w:rsidRPr="00C921DE">
        <w:rPr>
          <w:rFonts w:ascii="GHEA Grapalat" w:hAnsi="GHEA Grapalat"/>
          <w:sz w:val="22"/>
          <w:szCs w:val="22"/>
        </w:rPr>
        <w:t xml:space="preserve">%-ը: </w:t>
      </w:r>
      <w:r w:rsidRPr="00C921DE">
        <w:rPr>
          <w:rFonts w:ascii="GHEA Grapalat" w:hAnsi="GHEA Grapalat" w:cs="Sylfaen"/>
          <w:sz w:val="22"/>
          <w:szCs w:val="22"/>
        </w:rPr>
        <w:t>Ծրագրի շրջանակներում իրականացվել են վեց միջոցառումներ, որոնցից 2-ի գծով արձանագրվել է 100% կատարողական: Շեղումը հիմնականում պայմանավորված է</w:t>
      </w:r>
      <w:r w:rsidRPr="00C921DE">
        <w:rPr>
          <w:rFonts w:ascii="GHEA Grapalat" w:hAnsi="GHEA Grapalat"/>
          <w:sz w:val="22"/>
          <w:szCs w:val="22"/>
        </w:rPr>
        <w:t xml:space="preserve"> «</w:t>
      </w:r>
      <w:r w:rsidRPr="00C921DE">
        <w:rPr>
          <w:rFonts w:ascii="GHEA Grapalat" w:hAnsi="GHEA Grapalat" w:cs="Sylfaen"/>
          <w:sz w:val="22"/>
          <w:szCs w:val="22"/>
        </w:rPr>
        <w:t>Ապաստան հայցողների կեցության խնդիրների լուծման միջոցառումների իրականացում» միջոցառման</w:t>
      </w:r>
      <w:r w:rsidRPr="00C921DE">
        <w:rPr>
          <w:rFonts w:ascii="GHEA Grapalat" w:hAnsi="GHEA Grapalat"/>
          <w:sz w:val="22"/>
          <w:szCs w:val="22"/>
        </w:rPr>
        <w:t xml:space="preserve"> կատարողականով:</w:t>
      </w:r>
      <w:r w:rsidRPr="00C921DE">
        <w:rPr>
          <w:rFonts w:ascii="GHEA Grapalat" w:hAnsi="GHEA Grapalat" w:cs="Sylfaen"/>
          <w:sz w:val="22"/>
          <w:szCs w:val="22"/>
        </w:rPr>
        <w:t xml:space="preserve"> Նախորդ տարվա համեմատ Փախստականների ինտեգրմանն աջակցության ծրագրի ծախսերը նվազել են 87.8%-ով կամ շուրջ 834.1 մլն դրամով, ինչը հիմնականում պայմանավորված է նրանով, որ 2022 թվականին 1988-1992 </w:t>
      </w:r>
      <w:r w:rsidR="00A66918" w:rsidRPr="00C921DE">
        <w:rPr>
          <w:rFonts w:ascii="GHEA Grapalat" w:hAnsi="GHEA Grapalat" w:cs="Sylfaen"/>
          <w:sz w:val="22"/>
          <w:szCs w:val="22"/>
        </w:rPr>
        <w:t>թվականներին Ադրբեջանից բռնագաղթ</w:t>
      </w:r>
      <w:r w:rsidRPr="00C921DE">
        <w:rPr>
          <w:rFonts w:ascii="GHEA Grapalat" w:hAnsi="GHEA Grapalat" w:cs="Sylfaen"/>
          <w:sz w:val="22"/>
          <w:szCs w:val="22"/>
        </w:rPr>
        <w:t xml:space="preserve">ած և Հայաստանի Հանրապետությունում ապաստանած փախստական ընտանիքների բնակարանային ապահովման նպատակով </w:t>
      </w:r>
      <w:r w:rsidRPr="00C921DE">
        <w:rPr>
          <w:rFonts w:ascii="GHEA Grapalat" w:hAnsi="GHEA Grapalat"/>
          <w:sz w:val="22"/>
          <w:szCs w:val="22"/>
        </w:rPr>
        <w:t xml:space="preserve">հատկացվել էր </w:t>
      </w:r>
      <w:r w:rsidRPr="00C921DE">
        <w:rPr>
          <w:rFonts w:ascii="GHEA Grapalat" w:hAnsi="GHEA Grapalat" w:cs="Sylfaen"/>
          <w:sz w:val="22"/>
          <w:szCs w:val="22"/>
        </w:rPr>
        <w:t xml:space="preserve">շուրջ 825 մլն </w:t>
      </w:r>
      <w:r w:rsidRPr="00C921DE">
        <w:rPr>
          <w:rFonts w:ascii="GHEA Grapalat" w:hAnsi="GHEA Grapalat"/>
          <w:sz w:val="22"/>
          <w:szCs w:val="22"/>
        </w:rPr>
        <w:t>դրամ</w:t>
      </w:r>
      <w:r w:rsidRPr="00C921DE">
        <w:rPr>
          <w:rFonts w:ascii="GHEA Grapalat" w:hAnsi="GHEA Grapalat" w:cs="GHEA Grapalat"/>
          <w:sz w:val="22"/>
          <w:szCs w:val="22"/>
        </w:rPr>
        <w:t>, իսկ 2023 թվականին պետական բյուջեում նշված նպատակով միջոցներ չեն նախատեսվել:</w:t>
      </w:r>
    </w:p>
    <w:p w14:paraId="41297465" w14:textId="5E97BEAE" w:rsidR="00CD04D2" w:rsidRPr="00C921DE" w:rsidRDefault="00CD04D2" w:rsidP="00CD04D2">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sz w:val="22"/>
          <w:szCs w:val="22"/>
        </w:rPr>
        <w:t>«</w:t>
      </w:r>
      <w:r w:rsidRPr="00C921DE">
        <w:rPr>
          <w:rFonts w:ascii="GHEA Grapalat" w:hAnsi="GHEA Grapalat" w:cs="Sylfaen"/>
          <w:sz w:val="22"/>
          <w:szCs w:val="22"/>
        </w:rPr>
        <w:t>Ապաստան հայցողների կեցության խնդիրների լուծման միջոցառումների իրականացում» միջոցառման շրջանակներում կացարանում ապրող ապաստան հայցողների թիվը կազմել է 51 մարդ</w:t>
      </w:r>
      <w:r w:rsidR="00A66918" w:rsidRPr="00C921DE">
        <w:rPr>
          <w:rFonts w:ascii="GHEA Grapalat" w:hAnsi="GHEA Grapalat" w:cs="Sylfaen"/>
          <w:sz w:val="22"/>
          <w:szCs w:val="22"/>
          <w:lang w:val="en-US"/>
        </w:rPr>
        <w:t>՝</w:t>
      </w:r>
      <w:r w:rsidRPr="00C921DE">
        <w:rPr>
          <w:rFonts w:ascii="GHEA Grapalat" w:hAnsi="GHEA Grapalat" w:cs="Sylfaen"/>
          <w:sz w:val="22"/>
          <w:szCs w:val="22"/>
        </w:rPr>
        <w:t xml:space="preserve"> նախատեսված 100-ի և նախորդ տարվա 50-ի դիմաց: Ծախսերը կազմել են 54 մլն դրամ կամ ծրագրված ցուցանիշի 61.6%-ը` հիմնականում պայմանավորված միջազգային կազմակերպության </w:t>
      </w:r>
      <w:r w:rsidRPr="00C921DE">
        <w:rPr>
          <w:rFonts w:ascii="GHEA Grapalat" w:hAnsi="GHEA Grapalat" w:cs="Sylfaen"/>
          <w:sz w:val="22"/>
          <w:szCs w:val="22"/>
        </w:rPr>
        <w:lastRenderedPageBreak/>
        <w:t>կողմից հատուկ կացարանի նոր շենքի կառուցման</w:t>
      </w:r>
      <w:r w:rsidR="00BD17B0" w:rsidRPr="00C921DE">
        <w:rPr>
          <w:rFonts w:ascii="GHEA Grapalat" w:hAnsi="GHEA Grapalat" w:cs="Sylfaen"/>
          <w:sz w:val="22"/>
          <w:szCs w:val="22"/>
        </w:rPr>
        <w:t xml:space="preserve"> աշխատանքների հետաձգմամբ</w:t>
      </w:r>
      <w:r w:rsidR="00BD17B0" w:rsidRPr="00C921DE">
        <w:rPr>
          <w:rFonts w:ascii="GHEA Grapalat" w:hAnsi="GHEA Grapalat" w:cs="Sylfaen"/>
          <w:sz w:val="22"/>
          <w:szCs w:val="22"/>
          <w:lang w:val="en-US"/>
        </w:rPr>
        <w:t>, որի</w:t>
      </w:r>
      <w:r w:rsidRPr="00C921DE">
        <w:rPr>
          <w:rFonts w:ascii="GHEA Grapalat" w:hAnsi="GHEA Grapalat" w:cs="Sylfaen"/>
          <w:sz w:val="22"/>
          <w:szCs w:val="22"/>
        </w:rPr>
        <w:t xml:space="preserve"> հետևանքով նախատեսված միջոցներ</w:t>
      </w:r>
      <w:r w:rsidR="00500BE5" w:rsidRPr="00C921DE">
        <w:rPr>
          <w:rFonts w:ascii="GHEA Grapalat" w:hAnsi="GHEA Grapalat" w:cs="Sylfaen"/>
          <w:sz w:val="22"/>
          <w:szCs w:val="22"/>
          <w:lang w:val="en-US"/>
        </w:rPr>
        <w:t>ն</w:t>
      </w:r>
      <w:r w:rsidR="00BD17B0" w:rsidRPr="00C921DE">
        <w:rPr>
          <w:rFonts w:ascii="GHEA Grapalat" w:hAnsi="GHEA Grapalat" w:cs="Sylfaen"/>
          <w:sz w:val="22"/>
          <w:szCs w:val="22"/>
          <w:lang w:val="en-US"/>
        </w:rPr>
        <w:t xml:space="preserve"> ամբողջությամբ չեն</w:t>
      </w:r>
      <w:r w:rsidR="00BD17B0" w:rsidRPr="00C921DE">
        <w:rPr>
          <w:rFonts w:ascii="GHEA Grapalat" w:hAnsi="GHEA Grapalat" w:cs="Sylfaen"/>
          <w:sz w:val="22"/>
          <w:szCs w:val="22"/>
        </w:rPr>
        <w:t xml:space="preserve"> օգտագործ</w:t>
      </w:r>
      <w:r w:rsidR="00BD17B0" w:rsidRPr="00C921DE">
        <w:rPr>
          <w:rFonts w:ascii="GHEA Grapalat" w:hAnsi="GHEA Grapalat" w:cs="Sylfaen"/>
          <w:sz w:val="22"/>
          <w:szCs w:val="22"/>
          <w:lang w:val="en-US"/>
        </w:rPr>
        <w:t>վել</w:t>
      </w:r>
      <w:r w:rsidRPr="00C921DE">
        <w:rPr>
          <w:rFonts w:ascii="GHEA Grapalat" w:hAnsi="GHEA Grapalat" w:cs="Sylfaen"/>
          <w:sz w:val="22"/>
          <w:szCs w:val="22"/>
        </w:rPr>
        <w:t>: Նախորդ տարվա համեմատ նշված միջոցառման ծախսերը նվազել են 18.4%-ով կամ 12.2 մլն դրամով՝ պայմանավորված 2022 թվականի</w:t>
      </w:r>
      <w:r w:rsidR="00887C25" w:rsidRPr="00C921DE">
        <w:rPr>
          <w:rFonts w:ascii="GHEA Grapalat" w:hAnsi="GHEA Grapalat" w:cs="Sylfaen"/>
          <w:sz w:val="22"/>
          <w:szCs w:val="22"/>
          <w:lang w:val="en-US"/>
        </w:rPr>
        <w:t>ն</w:t>
      </w:r>
      <w:r w:rsidRPr="00C921DE">
        <w:rPr>
          <w:rFonts w:ascii="GHEA Grapalat" w:hAnsi="GHEA Grapalat" w:cs="Sylfaen"/>
          <w:sz w:val="22"/>
          <w:szCs w:val="22"/>
        </w:rPr>
        <w:t xml:space="preserve"> շենքային պայմանների բարելավման նպատակով կատարված նորոգման աշխատանքներով և գույքի ձեռքբերմամբ:</w:t>
      </w:r>
    </w:p>
    <w:p w14:paraId="692A623A" w14:textId="77777777" w:rsidR="00C56BD7" w:rsidRPr="00C921DE" w:rsidRDefault="00C56BD7" w:rsidP="00C56BD7">
      <w:pPr>
        <w:autoSpaceDE w:val="0"/>
        <w:autoSpaceDN w:val="0"/>
        <w:adjustRightInd w:val="0"/>
        <w:spacing w:line="360" w:lineRule="auto"/>
        <w:ind w:firstLine="567"/>
        <w:jc w:val="both"/>
        <w:rPr>
          <w:rFonts w:ascii="GHEA Grapalat" w:hAnsi="GHEA Grapalat" w:cs="GHEA Grapalat"/>
          <w:sz w:val="22"/>
          <w:szCs w:val="22"/>
        </w:rPr>
      </w:pPr>
    </w:p>
    <w:p w14:paraId="1A07461B" w14:textId="13FE32D5" w:rsidR="008E1D08" w:rsidRPr="00C921DE" w:rsidRDefault="00C56BD7" w:rsidP="008E1D08">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u w:val="single"/>
        </w:rPr>
        <w:t>ՀՀ վիճակագրական կոմիտեի</w:t>
      </w:r>
      <w:r w:rsidRPr="00C921DE">
        <w:rPr>
          <w:rFonts w:ascii="GHEA Grapalat" w:hAnsi="GHEA Grapalat" w:cs="GHEA Grapalat"/>
          <w:sz w:val="22"/>
          <w:szCs w:val="22"/>
        </w:rPr>
        <w:t xml:space="preserve"> </w:t>
      </w:r>
      <w:r w:rsidR="008E1D08" w:rsidRPr="00C921DE">
        <w:rPr>
          <w:rFonts w:ascii="GHEA Grapalat" w:hAnsi="GHEA Grapalat" w:cs="Sylfaen"/>
          <w:sz w:val="22"/>
          <w:szCs w:val="22"/>
        </w:rPr>
        <w:t xml:space="preserve">պատասխանատվությամբ 2023 թվականի ընթացքում կատարվել է </w:t>
      </w:r>
      <w:bookmarkStart w:id="241" w:name="_Hlk95470837"/>
      <w:r w:rsidR="008E1D08" w:rsidRPr="00C921DE">
        <w:rPr>
          <w:rFonts w:ascii="GHEA Grapalat" w:hAnsi="GHEA Grapalat" w:cs="Sylfaen"/>
          <w:sz w:val="22"/>
          <w:szCs w:val="22"/>
        </w:rPr>
        <w:t>պետական բյուջեի 2 ծրագիր, որոնց գծով ծախսերը կազմել են շուրջ 2.2 մլրդ դրամ կամ ծրագրված ցուցանիշի 98.5%</w:t>
      </w:r>
      <w:r w:rsidR="008E1D08" w:rsidRPr="00C921DE">
        <w:rPr>
          <w:rFonts w:ascii="GHEA Grapalat" w:hAnsi="GHEA Grapalat" w:cs="Sylfaen"/>
          <w:sz w:val="22"/>
          <w:szCs w:val="22"/>
        </w:rPr>
        <w:noBreakHyphen/>
        <w:t>ը: Նախորդ տարվա համեմատ կոմիտեի ծախսերը նվազել են 33.1%</w:t>
      </w:r>
      <w:r w:rsidR="008E1D08" w:rsidRPr="00C921DE">
        <w:rPr>
          <w:rFonts w:ascii="GHEA Grapalat" w:hAnsi="GHEA Grapalat" w:cs="Sylfaen"/>
          <w:sz w:val="22"/>
          <w:szCs w:val="22"/>
        </w:rPr>
        <w:noBreakHyphen/>
        <w:t>ով (1.1 մլրդ դրամով)</w:t>
      </w:r>
      <w:r w:rsidR="00985D8C" w:rsidRPr="00C921DE">
        <w:rPr>
          <w:rFonts w:ascii="GHEA Grapalat" w:hAnsi="GHEA Grapalat" w:cs="Sylfaen"/>
          <w:sz w:val="22"/>
          <w:szCs w:val="22"/>
        </w:rPr>
        <w:t>,</w:t>
      </w:r>
      <w:r w:rsidR="008E1D08" w:rsidRPr="00C921DE">
        <w:rPr>
          <w:rFonts w:ascii="GHEA Grapalat" w:hAnsi="GHEA Grapalat" w:cs="Sylfaen"/>
          <w:sz w:val="22"/>
          <w:szCs w:val="22"/>
        </w:rPr>
        <w:t xml:space="preserve"> ընդ որում</w:t>
      </w:r>
      <w:r w:rsidR="00985D8C" w:rsidRPr="00C921DE">
        <w:rPr>
          <w:rFonts w:ascii="GHEA Grapalat" w:hAnsi="GHEA Grapalat" w:cs="Sylfaen"/>
          <w:sz w:val="22"/>
          <w:szCs w:val="22"/>
          <w:lang w:val="en-US"/>
        </w:rPr>
        <w:t>,</w:t>
      </w:r>
      <w:r w:rsidR="008E1D08" w:rsidRPr="00C921DE">
        <w:rPr>
          <w:rFonts w:ascii="GHEA Grapalat" w:hAnsi="GHEA Grapalat" w:cs="Sylfaen"/>
          <w:sz w:val="22"/>
          <w:szCs w:val="22"/>
        </w:rPr>
        <w:t xml:space="preserve"> եր</w:t>
      </w:r>
      <w:r w:rsidR="00985D8C" w:rsidRPr="00C921DE">
        <w:rPr>
          <w:rFonts w:ascii="GHEA Grapalat" w:hAnsi="GHEA Grapalat" w:cs="Sylfaen"/>
          <w:sz w:val="22"/>
          <w:szCs w:val="22"/>
        </w:rPr>
        <w:t xml:space="preserve">կու ծրագրերում էլ արձանագրվել </w:t>
      </w:r>
      <w:r w:rsidR="00985D8C" w:rsidRPr="00C921DE">
        <w:rPr>
          <w:rFonts w:ascii="GHEA Grapalat" w:hAnsi="GHEA Grapalat" w:cs="Sylfaen"/>
          <w:sz w:val="22"/>
          <w:szCs w:val="22"/>
          <w:lang w:val="en-US"/>
        </w:rPr>
        <w:t>է ծախսերի</w:t>
      </w:r>
      <w:r w:rsidR="008E1D08" w:rsidRPr="00C921DE">
        <w:rPr>
          <w:rFonts w:ascii="GHEA Grapalat" w:hAnsi="GHEA Grapalat" w:cs="Sylfaen"/>
          <w:sz w:val="22"/>
          <w:szCs w:val="22"/>
        </w:rPr>
        <w:t xml:space="preserve"> </w:t>
      </w:r>
      <w:r w:rsidR="00985D8C" w:rsidRPr="00C921DE">
        <w:rPr>
          <w:rFonts w:ascii="GHEA Grapalat" w:hAnsi="GHEA Grapalat" w:cs="Sylfaen"/>
          <w:sz w:val="22"/>
          <w:szCs w:val="22"/>
        </w:rPr>
        <w:t>նվազում</w:t>
      </w:r>
      <w:r w:rsidR="008E1D08" w:rsidRPr="00C921DE">
        <w:rPr>
          <w:rFonts w:ascii="GHEA Grapalat" w:hAnsi="GHEA Grapalat" w:cs="Sylfaen"/>
          <w:sz w:val="22"/>
          <w:szCs w:val="22"/>
        </w:rPr>
        <w:t>:</w:t>
      </w:r>
    </w:p>
    <w:p w14:paraId="24193707" w14:textId="321117A3" w:rsidR="008E1D08" w:rsidRPr="00C921DE" w:rsidRDefault="008E1D08" w:rsidP="008E1D08">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i/>
          <w:sz w:val="22"/>
          <w:szCs w:val="22"/>
        </w:rPr>
        <w:t>Ազգային պաշտոնական վիճակագրության արտադրության և տարածման</w:t>
      </w:r>
      <w:r w:rsidRPr="00C921DE">
        <w:rPr>
          <w:rFonts w:ascii="GHEA Grapalat" w:hAnsi="GHEA Grapalat" w:cs="Sylfaen"/>
          <w:sz w:val="22"/>
          <w:szCs w:val="22"/>
        </w:rPr>
        <w:t xml:space="preserve"> ծրագրի շրջանակներում օգտագործվել է հատկացված միջոցների 98.8%-ը՝ 2.1 մլրդ դրամ: Մասնավորապես՝ 1.4 մլրդ դրամ (կատարողականը՝ 98.6%) է տրամադրվել «Վիճակագրության քաղաքականության մշակում և իրականացում, պաշտոնական վիճակագրական տեղեկատվության մշակում, արտադրում և տարածում» միջոցառմանը, 586.4 մլն դրամ (կատարողականը՝ 99.7%)՝ «Վիճակագրական տեղեկ</w:t>
      </w:r>
      <w:r w:rsidR="00707E6B" w:rsidRPr="00C921DE">
        <w:rPr>
          <w:rFonts w:ascii="GHEA Grapalat" w:hAnsi="GHEA Grapalat" w:cs="Sylfaen"/>
          <w:sz w:val="22"/>
          <w:szCs w:val="22"/>
        </w:rPr>
        <w:t>ատվության հավաքում» միջոցառմանը:</w:t>
      </w:r>
    </w:p>
    <w:p w14:paraId="7660CA60" w14:textId="688931B5" w:rsidR="008E1D08" w:rsidRPr="00C921DE" w:rsidRDefault="008E1D08" w:rsidP="008E1D08">
      <w:pPr>
        <w:autoSpaceDE w:val="0"/>
        <w:autoSpaceDN w:val="0"/>
        <w:adjustRightInd w:val="0"/>
        <w:spacing w:line="360" w:lineRule="auto"/>
        <w:ind w:firstLine="567"/>
        <w:jc w:val="both"/>
        <w:rPr>
          <w:rFonts w:ascii="GHEA Grapalat" w:hAnsi="GHEA Grapalat" w:cs="Sylfaen"/>
          <w:sz w:val="22"/>
          <w:szCs w:val="22"/>
          <w:lang w:val="en-US"/>
        </w:rPr>
      </w:pPr>
      <w:r w:rsidRPr="00C921DE">
        <w:rPr>
          <w:rFonts w:ascii="GHEA Grapalat" w:hAnsi="GHEA Grapalat" w:cs="Sylfaen"/>
          <w:sz w:val="22"/>
          <w:szCs w:val="22"/>
        </w:rPr>
        <w:t>2022 թվականի համեմատ Ազգային պաշտոնական վիճակագրության արտադրության և տարածման ծրագրի գծով ծախսերը նվազել են 21.4%</w:t>
      </w:r>
      <w:r w:rsidRPr="00C921DE">
        <w:rPr>
          <w:rFonts w:ascii="GHEA Grapalat" w:hAnsi="GHEA Grapalat" w:cs="Sylfaen"/>
          <w:sz w:val="22"/>
          <w:szCs w:val="22"/>
        </w:rPr>
        <w:noBreakHyphen/>
        <w:t>ով (580.6 մլն դրամով</w:t>
      </w:r>
      <w:bookmarkStart w:id="242" w:name="_Hlk95468744"/>
      <w:r w:rsidRPr="00C921DE">
        <w:rPr>
          <w:rFonts w:ascii="GHEA Grapalat" w:hAnsi="GHEA Grapalat" w:cs="Sylfaen"/>
          <w:sz w:val="22"/>
          <w:szCs w:val="22"/>
        </w:rPr>
        <w:t xml:space="preserve">)՝ հիմնականում պայմանավորված հերթական մարդահամարի </w:t>
      </w:r>
      <w:r w:rsidR="006916A5" w:rsidRPr="00C921DE">
        <w:rPr>
          <w:rFonts w:ascii="GHEA Grapalat" w:hAnsi="GHEA Grapalat" w:cs="Sylfaen"/>
          <w:sz w:val="22"/>
          <w:szCs w:val="22"/>
        </w:rPr>
        <w:t>դաշտային աշխատանքների ավարտ</w:t>
      </w:r>
      <w:r w:rsidR="006916A5" w:rsidRPr="00C921DE">
        <w:rPr>
          <w:rFonts w:ascii="GHEA Grapalat" w:hAnsi="GHEA Grapalat" w:cs="Sylfaen"/>
          <w:sz w:val="22"/>
          <w:szCs w:val="22"/>
          <w:lang w:val="en-US"/>
        </w:rPr>
        <w:t xml:space="preserve">ով, որի արդյունքում </w:t>
      </w:r>
      <w:r w:rsidR="00707E6B" w:rsidRPr="00C921DE">
        <w:rPr>
          <w:rFonts w:ascii="GHEA Grapalat" w:hAnsi="GHEA Grapalat" w:cs="Sylfaen"/>
          <w:sz w:val="22"/>
          <w:szCs w:val="22"/>
          <w:lang w:val="en-US"/>
        </w:rPr>
        <w:t xml:space="preserve">2023 թվականին </w:t>
      </w:r>
      <w:r w:rsidR="005236E8" w:rsidRPr="00C921DE">
        <w:rPr>
          <w:rFonts w:ascii="GHEA Grapalat" w:hAnsi="GHEA Grapalat" w:cs="Sylfaen"/>
          <w:sz w:val="22"/>
          <w:szCs w:val="22"/>
          <w:lang w:val="en-US"/>
        </w:rPr>
        <w:t>կրճատվ</w:t>
      </w:r>
      <w:r w:rsidRPr="00C921DE">
        <w:rPr>
          <w:rFonts w:ascii="GHEA Grapalat" w:hAnsi="GHEA Grapalat" w:cs="Sylfaen"/>
          <w:sz w:val="22"/>
          <w:szCs w:val="22"/>
        </w:rPr>
        <w:t>ել է մարդահամարի դաշտային աշխատանքներում ներգրավվող աշխատողների (պայմանագրային հարցազրուցավարներ) աշխատավարձի ֆոնդը, կապի, տպագրական ծառա</w:t>
      </w:r>
      <w:r w:rsidRPr="00C921DE">
        <w:rPr>
          <w:rFonts w:ascii="GHEA Grapalat" w:hAnsi="GHEA Grapalat" w:cs="Sylfaen"/>
          <w:sz w:val="22"/>
          <w:szCs w:val="22"/>
        </w:rPr>
        <w:softHyphen/>
        <w:t>յու</w:t>
      </w:r>
      <w:r w:rsidRPr="00C921DE">
        <w:rPr>
          <w:rFonts w:ascii="GHEA Grapalat" w:hAnsi="GHEA Grapalat" w:cs="Sylfaen"/>
          <w:sz w:val="22"/>
          <w:szCs w:val="22"/>
        </w:rPr>
        <w:softHyphen/>
        <w:t>թյուն</w:t>
      </w:r>
      <w:r w:rsidRPr="00C921DE">
        <w:rPr>
          <w:rFonts w:ascii="GHEA Grapalat" w:hAnsi="GHEA Grapalat" w:cs="Sylfaen"/>
          <w:sz w:val="22"/>
          <w:szCs w:val="22"/>
        </w:rPr>
        <w:softHyphen/>
        <w:t>ների համար հատկացված միջոցները:</w:t>
      </w:r>
      <w:bookmarkEnd w:id="242"/>
      <w:r w:rsidR="008C16A1" w:rsidRPr="00C921DE">
        <w:rPr>
          <w:rFonts w:ascii="GHEA Grapalat" w:hAnsi="GHEA Grapalat" w:cs="Sylfaen"/>
          <w:sz w:val="22"/>
          <w:szCs w:val="22"/>
          <w:lang w:val="en-US"/>
        </w:rPr>
        <w:t xml:space="preserve"> Հերթական մարդահամարի նախապատրաստման և անցկացման միջոցառումների իրականացման ծախսերը հաշվետու տարում կազմել են 73 մլն դրամ կամ ծրագրված ցուցանիշի 94.6%-ը:</w:t>
      </w:r>
    </w:p>
    <w:bookmarkEnd w:id="241"/>
    <w:p w14:paraId="7A40C5F9" w14:textId="5A8769A1" w:rsidR="008E1D08" w:rsidRPr="00C921DE" w:rsidRDefault="008E1D08" w:rsidP="008E1D08">
      <w:pPr>
        <w:spacing w:line="360" w:lineRule="auto"/>
        <w:ind w:firstLine="567"/>
        <w:jc w:val="both"/>
        <w:rPr>
          <w:rFonts w:ascii="GHEA Grapalat" w:hAnsi="GHEA Grapalat" w:cs="Sylfaen"/>
          <w:sz w:val="22"/>
          <w:szCs w:val="22"/>
        </w:rPr>
      </w:pPr>
      <w:r w:rsidRPr="00C921DE">
        <w:rPr>
          <w:rFonts w:ascii="GHEA Grapalat" w:hAnsi="GHEA Grapalat" w:cs="Sylfaen"/>
          <w:i/>
          <w:iCs/>
          <w:sz w:val="22"/>
          <w:szCs w:val="22"/>
        </w:rPr>
        <w:t>Վիճակագրական համակարգի ամրապնդման ազգային ռազմավարական</w:t>
      </w:r>
      <w:r w:rsidRPr="00C921DE">
        <w:rPr>
          <w:rFonts w:ascii="GHEA Grapalat" w:hAnsi="GHEA Grapalat" w:cs="Sylfaen"/>
          <w:sz w:val="22"/>
          <w:szCs w:val="22"/>
        </w:rPr>
        <w:t xml:space="preserve"> ծրագրի շրջանակներում </w:t>
      </w:r>
      <w:r w:rsidR="003B6533" w:rsidRPr="00C921DE">
        <w:rPr>
          <w:rFonts w:ascii="GHEA Grapalat" w:hAnsi="GHEA Grapalat" w:cs="Sylfaen"/>
          <w:sz w:val="22"/>
          <w:szCs w:val="22"/>
          <w:lang w:val="en-US"/>
        </w:rPr>
        <w:t>«</w:t>
      </w:r>
      <w:r w:rsidR="003B6533" w:rsidRPr="00C921DE">
        <w:rPr>
          <w:rFonts w:ascii="GHEA Grapalat" w:hAnsi="GHEA Grapalat" w:cs="Sylfaen"/>
          <w:sz w:val="22"/>
          <w:szCs w:val="22"/>
          <w:lang w:val="af-ZA"/>
        </w:rPr>
        <w:t xml:space="preserve">ՄԱԿ Կանայք-ի օժանդակությամբ (Շվեյցարիայի Զարգացման և Համագործակցության Գործակալության ու Ավստրիական Զարգացման Գործակալության </w:t>
      </w:r>
      <w:bookmarkStart w:id="243" w:name="_Hlk155965148"/>
      <w:r w:rsidR="003B6533" w:rsidRPr="00C921DE">
        <w:rPr>
          <w:rFonts w:ascii="GHEA Grapalat" w:hAnsi="GHEA Grapalat" w:cs="Sylfaen"/>
          <w:sz w:val="22"/>
          <w:szCs w:val="22"/>
          <w:lang w:val="af-ZA"/>
        </w:rPr>
        <w:t>ֆինանսավորմամբ</w:t>
      </w:r>
      <w:bookmarkEnd w:id="243"/>
      <w:r w:rsidR="003B6533" w:rsidRPr="00C921DE">
        <w:rPr>
          <w:rFonts w:ascii="GHEA Grapalat" w:hAnsi="GHEA Grapalat" w:cs="Sylfaen"/>
          <w:sz w:val="22"/>
          <w:szCs w:val="22"/>
          <w:lang w:val="af-ZA"/>
        </w:rPr>
        <w:t>)</w:t>
      </w:r>
      <w:r w:rsidR="00407687" w:rsidRPr="00C921DE">
        <w:rPr>
          <w:rFonts w:ascii="GHEA Grapalat" w:hAnsi="GHEA Grapalat" w:cs="Sylfaen"/>
          <w:sz w:val="22"/>
          <w:szCs w:val="22"/>
          <w:lang w:val="en-US"/>
        </w:rPr>
        <w:t xml:space="preserve"> </w:t>
      </w:r>
      <w:r w:rsidR="00164C90" w:rsidRPr="00C921DE">
        <w:rPr>
          <w:rFonts w:ascii="GHEA Grapalat" w:hAnsi="GHEA Grapalat" w:cs="Sylfaen"/>
          <w:sz w:val="22"/>
          <w:szCs w:val="22"/>
          <w:lang w:val="en-US"/>
        </w:rPr>
        <w:t xml:space="preserve">2023 թվականին մեկնարկել է </w:t>
      </w:r>
      <w:r w:rsidRPr="00C921DE">
        <w:rPr>
          <w:rFonts w:ascii="GHEA Grapalat" w:hAnsi="GHEA Grapalat" w:cs="Sylfaen"/>
          <w:sz w:val="22"/>
          <w:szCs w:val="22"/>
          <w:lang w:val="af-ZA"/>
        </w:rPr>
        <w:t xml:space="preserve">«Կանանց տնտեսական հզորացումը Հարավային Կովկասում (WEESC)» ծրագրի շրջանակում </w:t>
      </w:r>
      <w:r w:rsidRPr="00C921DE">
        <w:rPr>
          <w:rFonts w:ascii="GHEA Grapalat" w:hAnsi="GHEA Grapalat" w:cs="Sylfaen"/>
          <w:sz w:val="22"/>
          <w:szCs w:val="22"/>
        </w:rPr>
        <w:t>Ժամանակի</w:t>
      </w:r>
      <w:r w:rsidRPr="00C921DE">
        <w:rPr>
          <w:rFonts w:ascii="GHEA Grapalat" w:hAnsi="GHEA Grapalat" w:cs="Sylfaen"/>
          <w:sz w:val="22"/>
          <w:szCs w:val="22"/>
          <w:lang w:val="fr-FR"/>
        </w:rPr>
        <w:t xml:space="preserve"> </w:t>
      </w:r>
      <w:r w:rsidRPr="00C921DE">
        <w:rPr>
          <w:rFonts w:ascii="GHEA Grapalat" w:hAnsi="GHEA Grapalat" w:cs="Sylfaen"/>
          <w:sz w:val="22"/>
          <w:szCs w:val="22"/>
        </w:rPr>
        <w:t>օգտագործման</w:t>
      </w:r>
      <w:r w:rsidRPr="00C921DE">
        <w:rPr>
          <w:rFonts w:ascii="GHEA Grapalat" w:hAnsi="GHEA Grapalat" w:cs="Sylfaen"/>
          <w:sz w:val="22"/>
          <w:szCs w:val="22"/>
          <w:lang w:val="fr-FR"/>
        </w:rPr>
        <w:t xml:space="preserve"> </w:t>
      </w:r>
      <w:r w:rsidRPr="00C921DE">
        <w:rPr>
          <w:rFonts w:ascii="GHEA Grapalat" w:hAnsi="GHEA Grapalat" w:cs="Sylfaen"/>
          <w:sz w:val="22"/>
          <w:szCs w:val="22"/>
        </w:rPr>
        <w:t>ազգային</w:t>
      </w:r>
      <w:r w:rsidRPr="00C921DE">
        <w:rPr>
          <w:rFonts w:ascii="GHEA Grapalat" w:hAnsi="GHEA Grapalat" w:cs="Sylfaen"/>
          <w:sz w:val="22"/>
          <w:szCs w:val="22"/>
          <w:lang w:val="fr-FR"/>
        </w:rPr>
        <w:t xml:space="preserve"> (</w:t>
      </w:r>
      <w:r w:rsidRPr="00C921DE">
        <w:rPr>
          <w:rFonts w:ascii="GHEA Grapalat" w:hAnsi="GHEA Grapalat" w:cs="Sylfaen"/>
          <w:sz w:val="22"/>
          <w:szCs w:val="22"/>
        </w:rPr>
        <w:t>համապետական</w:t>
      </w:r>
      <w:r w:rsidR="00164C90" w:rsidRPr="00C921DE">
        <w:rPr>
          <w:rFonts w:ascii="GHEA Grapalat" w:hAnsi="GHEA Grapalat" w:cs="Sylfaen"/>
          <w:sz w:val="22"/>
          <w:szCs w:val="22"/>
          <w:lang w:val="fr-FR"/>
        </w:rPr>
        <w:t>)</w:t>
      </w:r>
      <w:r w:rsidRPr="00C921DE">
        <w:rPr>
          <w:rFonts w:ascii="GHEA Grapalat" w:hAnsi="GHEA Grapalat" w:cs="Sylfaen"/>
          <w:sz w:val="22"/>
          <w:szCs w:val="22"/>
          <w:lang w:val="fr-FR"/>
        </w:rPr>
        <w:t xml:space="preserve"> </w:t>
      </w:r>
      <w:r w:rsidRPr="00C921DE">
        <w:rPr>
          <w:rFonts w:ascii="GHEA Grapalat" w:hAnsi="GHEA Grapalat" w:cs="Sylfaen"/>
          <w:sz w:val="22"/>
          <w:szCs w:val="22"/>
        </w:rPr>
        <w:t>լայնամասշտաբ</w:t>
      </w:r>
      <w:r w:rsidRPr="00C921DE">
        <w:rPr>
          <w:rFonts w:ascii="GHEA Grapalat" w:hAnsi="GHEA Grapalat" w:cs="Sylfaen"/>
          <w:sz w:val="22"/>
          <w:szCs w:val="22"/>
          <w:lang w:val="fr-FR"/>
        </w:rPr>
        <w:t xml:space="preserve"> </w:t>
      </w:r>
      <w:r w:rsidRPr="00C921DE">
        <w:rPr>
          <w:rFonts w:ascii="GHEA Grapalat" w:hAnsi="GHEA Grapalat" w:cs="Sylfaen"/>
          <w:sz w:val="22"/>
          <w:szCs w:val="22"/>
          <w:lang w:val="af-ZA"/>
        </w:rPr>
        <w:t>հետազոտությ</w:t>
      </w:r>
      <w:r w:rsidR="00164C90" w:rsidRPr="00C921DE">
        <w:rPr>
          <w:rFonts w:ascii="GHEA Grapalat" w:hAnsi="GHEA Grapalat" w:cs="Sylfaen"/>
          <w:sz w:val="22"/>
          <w:szCs w:val="22"/>
          <w:lang w:val="af-ZA"/>
        </w:rPr>
        <w:t>ան իրականացումը</w:t>
      </w:r>
      <w:r w:rsidRPr="00C921DE">
        <w:rPr>
          <w:rFonts w:ascii="GHEA Grapalat" w:hAnsi="GHEA Grapalat" w:cs="Sylfaen"/>
          <w:sz w:val="22"/>
          <w:szCs w:val="22"/>
        </w:rPr>
        <w:t>:</w:t>
      </w:r>
      <w:r w:rsidRPr="00C921DE">
        <w:rPr>
          <w:rFonts w:ascii="GHEA Grapalat" w:hAnsi="GHEA Grapalat" w:cs="Sylfaen"/>
          <w:iCs/>
          <w:sz w:val="22"/>
          <w:szCs w:val="22"/>
        </w:rPr>
        <w:t xml:space="preserve"> </w:t>
      </w:r>
      <w:r w:rsidRPr="00C921DE">
        <w:rPr>
          <w:rFonts w:ascii="GHEA Grapalat" w:hAnsi="GHEA Grapalat" w:cs="Sylfaen"/>
          <w:sz w:val="22"/>
          <w:szCs w:val="22"/>
        </w:rPr>
        <w:t xml:space="preserve">Ժամանակի օգտագործման հետազոտության շրջանակում իրականացվել է </w:t>
      </w:r>
      <w:r w:rsidR="00EA2616" w:rsidRPr="00C921DE">
        <w:rPr>
          <w:rFonts w:ascii="GHEA Grapalat" w:hAnsi="GHEA Grapalat" w:cs="Sylfaen"/>
          <w:sz w:val="22"/>
          <w:szCs w:val="22"/>
          <w:lang w:val="en-US"/>
        </w:rPr>
        <w:t xml:space="preserve">1200 </w:t>
      </w:r>
      <w:r w:rsidRPr="00C921DE">
        <w:rPr>
          <w:rFonts w:ascii="GHEA Grapalat" w:hAnsi="GHEA Grapalat" w:cs="Sylfaen"/>
          <w:sz w:val="22"/>
          <w:szCs w:val="22"/>
        </w:rPr>
        <w:t>տնային տնտեսությունների</w:t>
      </w:r>
      <w:r w:rsidR="00EA2616" w:rsidRPr="00C921DE">
        <w:rPr>
          <w:rFonts w:ascii="GHEA Grapalat" w:hAnsi="GHEA Grapalat" w:cs="Sylfaen"/>
          <w:sz w:val="22"/>
          <w:szCs w:val="22"/>
          <w:lang w:val="en-US"/>
        </w:rPr>
        <w:t xml:space="preserve"> վերաբերյալ տեղեկատվության հավաքում, որոնց հիման վրա ստեղծվել է տվյալների բազա</w:t>
      </w:r>
      <w:r w:rsidRPr="00C921DE">
        <w:rPr>
          <w:rFonts w:ascii="GHEA Grapalat" w:hAnsi="GHEA Grapalat" w:cs="Sylfaen"/>
          <w:sz w:val="22"/>
          <w:szCs w:val="22"/>
        </w:rPr>
        <w:t xml:space="preserve">: Վիճակագրական կոմիտեի </w:t>
      </w:r>
      <w:r w:rsidRPr="00C921DE">
        <w:rPr>
          <w:rFonts w:ascii="GHEA Grapalat" w:hAnsi="GHEA Grapalat" w:cs="Sylfaen"/>
          <w:sz w:val="22"/>
          <w:szCs w:val="22"/>
        </w:rPr>
        <w:lastRenderedPageBreak/>
        <w:t xml:space="preserve">տեխնիկական հագեցվածության բարելավման բաղադրիչի շրջանակներում ձեռք են բերվել 2 </w:t>
      </w:r>
      <w:r w:rsidRPr="00C921DE">
        <w:rPr>
          <w:rFonts w:ascii="GHEA Grapalat" w:hAnsi="GHEA Grapalat" w:cs="Sylfaen"/>
          <w:sz w:val="22"/>
          <w:szCs w:val="22"/>
          <w:lang w:val="af-ZA"/>
        </w:rPr>
        <w:t>դյուրակիր համակարգիչ</w:t>
      </w:r>
      <w:r w:rsidRPr="00C921DE">
        <w:rPr>
          <w:rFonts w:ascii="GHEA Grapalat" w:hAnsi="GHEA Grapalat" w:cs="Sylfaen"/>
          <w:sz w:val="22"/>
          <w:szCs w:val="22"/>
        </w:rPr>
        <w:t>:</w:t>
      </w:r>
      <w:r w:rsidRPr="00C921DE">
        <w:rPr>
          <w:rFonts w:ascii="GHEA Grapalat" w:hAnsi="GHEA Grapalat"/>
          <w:sz w:val="22"/>
          <w:szCs w:val="22"/>
        </w:rPr>
        <w:t xml:space="preserve"> Ծրագրի շրջանակներում օգտագործվել է 31.6 մլն դրամ կամ նախատեսված միջոցների 84.3%-ը՝ հիմնականում</w:t>
      </w:r>
      <w:r w:rsidR="0065124F" w:rsidRPr="00C921DE">
        <w:rPr>
          <w:rFonts w:ascii="GHEA Grapalat" w:hAnsi="GHEA Grapalat"/>
          <w:sz w:val="22"/>
          <w:szCs w:val="22"/>
          <w:lang w:val="en-US"/>
        </w:rPr>
        <w:t xml:space="preserve"> </w:t>
      </w:r>
      <w:r w:rsidR="0065124F" w:rsidRPr="00C921DE">
        <w:rPr>
          <w:rFonts w:ascii="GHEA Grapalat" w:hAnsi="GHEA Grapalat"/>
          <w:sz w:val="22"/>
          <w:szCs w:val="22"/>
        </w:rPr>
        <w:t>պայմանավորված</w:t>
      </w:r>
      <w:r w:rsidRPr="00C921DE">
        <w:rPr>
          <w:rFonts w:ascii="GHEA Grapalat" w:hAnsi="GHEA Grapalat"/>
          <w:sz w:val="22"/>
          <w:szCs w:val="22"/>
        </w:rPr>
        <w:t xml:space="preserve"> </w:t>
      </w:r>
      <w:r w:rsidR="0065124F" w:rsidRPr="00C921DE">
        <w:rPr>
          <w:rFonts w:ascii="GHEA Grapalat" w:hAnsi="GHEA Grapalat"/>
          <w:sz w:val="22"/>
          <w:szCs w:val="22"/>
        </w:rPr>
        <w:t>չօգտագործված արձակուրդ</w:t>
      </w:r>
      <w:r w:rsidR="0065124F" w:rsidRPr="00C921DE">
        <w:rPr>
          <w:rFonts w:ascii="GHEA Grapalat" w:hAnsi="GHEA Grapalat"/>
          <w:sz w:val="22"/>
          <w:szCs w:val="22"/>
          <w:lang w:val="en-US"/>
        </w:rPr>
        <w:t>ի հետ կապված խնայողություններով</w:t>
      </w:r>
      <w:r w:rsidRPr="00C921DE">
        <w:rPr>
          <w:rFonts w:ascii="GHEA Grapalat" w:hAnsi="GHEA Grapalat" w:cs="Sylfaen"/>
          <w:sz w:val="22"/>
          <w:szCs w:val="22"/>
        </w:rPr>
        <w:t>:</w:t>
      </w:r>
    </w:p>
    <w:p w14:paraId="21F7E076" w14:textId="77777777" w:rsidR="008E1D08" w:rsidRPr="00C921DE" w:rsidRDefault="008E1D08" w:rsidP="008E1D08">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Նախորդ տարվա համեմատ Վիճակագրական համակարգի ամրապնդման ազգային ռազմավարական ծրագրի ծախսերը նվազել են 94%-ով (491.2 մլն դրամով):</w:t>
      </w:r>
    </w:p>
    <w:p w14:paraId="3D6AE436" w14:textId="77777777" w:rsidR="00C56BD7" w:rsidRPr="00C921DE" w:rsidRDefault="00C56BD7" w:rsidP="00C56BD7">
      <w:pPr>
        <w:autoSpaceDE w:val="0"/>
        <w:autoSpaceDN w:val="0"/>
        <w:adjustRightInd w:val="0"/>
        <w:spacing w:line="360" w:lineRule="auto"/>
        <w:ind w:firstLine="567"/>
        <w:jc w:val="both"/>
        <w:rPr>
          <w:rFonts w:ascii="GHEA Grapalat" w:hAnsi="GHEA Grapalat" w:cs="GHEA Grapalat"/>
          <w:sz w:val="22"/>
          <w:szCs w:val="22"/>
        </w:rPr>
      </w:pPr>
    </w:p>
    <w:p w14:paraId="6AB6CC46" w14:textId="3053AE16" w:rsidR="000A1950" w:rsidRPr="00C921DE" w:rsidRDefault="00C56BD7"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i/>
          <w:sz w:val="22"/>
          <w:szCs w:val="22"/>
          <w:u w:val="single"/>
        </w:rPr>
        <w:t>ՀՀ հանրային ծառայությունները կարգավորող հանձնաժողովին</w:t>
      </w:r>
      <w:r w:rsidRPr="00C921DE">
        <w:rPr>
          <w:rFonts w:ascii="GHEA Grapalat" w:hAnsi="GHEA Grapalat" w:cs="Sylfaen"/>
          <w:sz w:val="22"/>
          <w:szCs w:val="22"/>
        </w:rPr>
        <w:t xml:space="preserve"> </w:t>
      </w:r>
      <w:r w:rsidR="000A1950" w:rsidRPr="00C921DE">
        <w:rPr>
          <w:rFonts w:ascii="GHEA Grapalat" w:hAnsi="GHEA Grapalat" w:cs="Sylfaen"/>
          <w:i/>
          <w:sz w:val="22"/>
          <w:szCs w:val="22"/>
        </w:rPr>
        <w:t xml:space="preserve">Հանրային ծառայությունների ոլորտի </w:t>
      </w:r>
      <w:r w:rsidR="000A1950" w:rsidRPr="00C921DE">
        <w:rPr>
          <w:rFonts w:ascii="GHEA Grapalat" w:hAnsi="GHEA Grapalat" w:cs="Sylfaen"/>
          <w:sz w:val="22"/>
          <w:szCs w:val="22"/>
        </w:rPr>
        <w:t>կարգավորման ծրագրի շրջանակներում 202</w:t>
      </w:r>
      <w:r w:rsidR="000A1950" w:rsidRPr="00C921DE">
        <w:rPr>
          <w:rFonts w:ascii="GHEA Grapalat" w:hAnsi="GHEA Grapalat" w:cs="Sylfaen"/>
          <w:sz w:val="22"/>
          <w:szCs w:val="22"/>
          <w:lang w:val="en-US"/>
        </w:rPr>
        <w:t>3</w:t>
      </w:r>
      <w:r w:rsidR="000A1950" w:rsidRPr="00C921DE">
        <w:rPr>
          <w:rFonts w:ascii="GHEA Grapalat" w:hAnsi="GHEA Grapalat" w:cs="Sylfaen"/>
          <w:sz w:val="22"/>
          <w:szCs w:val="22"/>
        </w:rPr>
        <w:t xml:space="preserve"> թվականին</w:t>
      </w:r>
      <w:r w:rsidR="000A1950" w:rsidRPr="00C921DE">
        <w:rPr>
          <w:rFonts w:ascii="GHEA Grapalat" w:hAnsi="GHEA Grapalat" w:cs="GHEA Grapalat"/>
          <w:sz w:val="22"/>
          <w:szCs w:val="22"/>
        </w:rPr>
        <w:t xml:space="preserve"> </w:t>
      </w:r>
      <w:r w:rsidR="000A1950" w:rsidRPr="00C921DE">
        <w:rPr>
          <w:rFonts w:ascii="GHEA Grapalat" w:hAnsi="GHEA Grapalat" w:cs="Sylfaen"/>
          <w:sz w:val="22"/>
          <w:szCs w:val="22"/>
        </w:rPr>
        <w:t xml:space="preserve">տրամադրվել է </w:t>
      </w:r>
      <w:r w:rsidR="000A1950" w:rsidRPr="00C921DE">
        <w:rPr>
          <w:rFonts w:ascii="GHEA Grapalat" w:hAnsi="GHEA Grapalat" w:cs="Sylfaen"/>
          <w:sz w:val="22"/>
          <w:szCs w:val="22"/>
          <w:lang w:val="en-US"/>
        </w:rPr>
        <w:t>1.1</w:t>
      </w:r>
      <w:r w:rsidR="000A1950" w:rsidRPr="00C921DE">
        <w:rPr>
          <w:rFonts w:ascii="GHEA Grapalat" w:hAnsi="GHEA Grapalat" w:cs="Sylfaen"/>
          <w:sz w:val="22"/>
          <w:szCs w:val="22"/>
        </w:rPr>
        <w:t xml:space="preserve"> մլ</w:t>
      </w:r>
      <w:r w:rsidR="000A1950" w:rsidRPr="00C921DE">
        <w:rPr>
          <w:rFonts w:ascii="GHEA Grapalat" w:hAnsi="GHEA Grapalat" w:cs="Sylfaen"/>
          <w:sz w:val="22"/>
          <w:szCs w:val="22"/>
          <w:lang w:val="en-US"/>
        </w:rPr>
        <w:t>րդ</w:t>
      </w:r>
      <w:r w:rsidR="000A1950" w:rsidRPr="00C921DE">
        <w:rPr>
          <w:rFonts w:ascii="GHEA Grapalat" w:hAnsi="GHEA Grapalat" w:cs="Sylfaen"/>
          <w:sz w:val="22"/>
          <w:szCs w:val="22"/>
        </w:rPr>
        <w:t xml:space="preserve"> դրամ, որը կազմել է ծրագրված ցուցանիշի 9</w:t>
      </w:r>
      <w:r w:rsidR="000A1950" w:rsidRPr="00C921DE">
        <w:rPr>
          <w:rFonts w:ascii="GHEA Grapalat" w:hAnsi="GHEA Grapalat" w:cs="Sylfaen"/>
          <w:sz w:val="22"/>
          <w:szCs w:val="22"/>
          <w:lang w:val="en-US"/>
        </w:rPr>
        <w:t>6.7</w:t>
      </w:r>
      <w:r w:rsidR="000A1950" w:rsidRPr="00C921DE">
        <w:rPr>
          <w:rFonts w:ascii="GHEA Grapalat" w:hAnsi="GHEA Grapalat" w:cs="Sylfaen"/>
          <w:sz w:val="22"/>
          <w:szCs w:val="22"/>
        </w:rPr>
        <w:t>%</w:t>
      </w:r>
      <w:r w:rsidR="000A1950" w:rsidRPr="00C921DE">
        <w:rPr>
          <w:rFonts w:ascii="GHEA Grapalat" w:hAnsi="GHEA Grapalat" w:cs="Sylfaen"/>
          <w:sz w:val="22"/>
          <w:szCs w:val="22"/>
        </w:rPr>
        <w:noBreakHyphen/>
        <w:t>ը՝ հիմնականում պայմանավորված ապրանքների և ծառայությունների ձեռ</w:t>
      </w:r>
      <w:r w:rsidR="005753E5" w:rsidRPr="00C921DE">
        <w:rPr>
          <w:rFonts w:ascii="GHEA Grapalat" w:hAnsi="GHEA Grapalat" w:cs="Sylfaen"/>
          <w:sz w:val="22"/>
          <w:szCs w:val="22"/>
          <w:lang w:val="en-US"/>
        </w:rPr>
        <w:t>ք</w:t>
      </w:r>
      <w:r w:rsidR="000A1950" w:rsidRPr="00C921DE">
        <w:rPr>
          <w:rFonts w:ascii="GHEA Grapalat" w:hAnsi="GHEA Grapalat" w:cs="Sylfaen"/>
          <w:sz w:val="22"/>
          <w:szCs w:val="22"/>
        </w:rPr>
        <w:t>բերման</w:t>
      </w:r>
      <w:r w:rsidR="005753E5" w:rsidRPr="00C921DE">
        <w:rPr>
          <w:rFonts w:ascii="GHEA Grapalat" w:hAnsi="GHEA Grapalat" w:cs="Sylfaen"/>
          <w:sz w:val="22"/>
          <w:szCs w:val="22"/>
          <w:lang w:val="en-US"/>
        </w:rPr>
        <w:t xml:space="preserve"> ծախսերի տնտեսմամբ</w:t>
      </w:r>
      <w:r w:rsidR="000A1950" w:rsidRPr="00C921DE">
        <w:rPr>
          <w:rFonts w:ascii="GHEA Grapalat" w:hAnsi="GHEA Grapalat" w:cs="Sylfaen"/>
          <w:sz w:val="22"/>
          <w:szCs w:val="22"/>
        </w:rPr>
        <w:t>:</w:t>
      </w:r>
    </w:p>
    <w:p w14:paraId="15CED7D4" w14:textId="06A0824F" w:rsidR="001C36A4"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Միջոցների հիմնական մասն ուղղվել է հանրային ծառայությունների ոլորտում կարգավորման միջոցառմանը, որի շրջանակներում օգտագործվել է նախատեսված միջոցների 97.6%-ը՝ 1 մլրդ դրամ: Հանրային ծառայությունների ոլորտում կարգավորման միջոցառման շրջանակներում 2023 թվականին տրամադրվել է 55 լիցենզիա՝ կանխատեսված 22-ի փոխարեն, իրականացվել է հանրային ծառայությունների կարգավորվող ոլորտում 222 սակագների սահմանում և վերանայում՝ կանխատեսված 245-ի փոխարեն:</w:t>
      </w:r>
    </w:p>
    <w:p w14:paraId="01C7901F" w14:textId="28408F4F"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Նախորդ տարվա համեմատ ՀՀ հանրային ծառայությունները կարգավորող հանձնաժողովի ծախսերն աճել են 19%</w:t>
      </w:r>
      <w:r w:rsidRPr="00C921DE">
        <w:rPr>
          <w:rFonts w:ascii="GHEA Grapalat" w:hAnsi="GHEA Grapalat" w:cs="Sylfaen"/>
          <w:sz w:val="22"/>
          <w:szCs w:val="22"/>
        </w:rPr>
        <w:noBreakHyphen/>
        <w:t>ով կամ 173 մլն դրամով, հիմնականում պայմանավորված</w:t>
      </w:r>
      <w:r w:rsidR="00BC06CF" w:rsidRPr="00C921DE">
        <w:rPr>
          <w:rFonts w:ascii="GHEA Grapalat" w:hAnsi="GHEA Grapalat" w:cs="Sylfaen"/>
          <w:sz w:val="22"/>
          <w:szCs w:val="22"/>
          <w:lang w:val="en-US"/>
        </w:rPr>
        <w:t xml:space="preserve"> </w:t>
      </w:r>
      <w:r w:rsidR="00C359AF" w:rsidRPr="00C921DE">
        <w:rPr>
          <w:rFonts w:ascii="GHEA Grapalat" w:hAnsi="GHEA Grapalat" w:cs="Sylfaen"/>
          <w:sz w:val="22"/>
          <w:szCs w:val="22"/>
        </w:rPr>
        <w:t>պետական պաշտոն և պետական ծառայության պաշտոն զբաղեցնող անձանց</w:t>
      </w:r>
      <w:r w:rsidR="00BC06CF" w:rsidRPr="00C921DE">
        <w:rPr>
          <w:rFonts w:ascii="GHEA Grapalat" w:hAnsi="GHEA Grapalat" w:cs="Sylfaen"/>
          <w:sz w:val="22"/>
          <w:szCs w:val="22"/>
        </w:rPr>
        <w:t xml:space="preserve"> </w:t>
      </w:r>
      <w:r w:rsidR="00BC06CF" w:rsidRPr="00C921DE">
        <w:rPr>
          <w:rFonts w:ascii="GHEA Grapalat" w:hAnsi="GHEA Grapalat" w:cs="Sylfaen"/>
          <w:sz w:val="22"/>
          <w:szCs w:val="22"/>
          <w:lang w:val="en-US"/>
        </w:rPr>
        <w:t xml:space="preserve">բազային </w:t>
      </w:r>
      <w:r w:rsidR="00BC06CF" w:rsidRPr="00C921DE">
        <w:rPr>
          <w:rFonts w:ascii="GHEA Grapalat" w:hAnsi="GHEA Grapalat" w:cs="Sylfaen"/>
          <w:sz w:val="22"/>
          <w:szCs w:val="22"/>
        </w:rPr>
        <w:t>աշխատավարձի</w:t>
      </w:r>
      <w:r w:rsidR="00BC06CF" w:rsidRPr="00C921DE">
        <w:rPr>
          <w:rFonts w:ascii="GHEA Grapalat" w:hAnsi="GHEA Grapalat" w:cs="Sylfaen"/>
          <w:sz w:val="22"/>
          <w:szCs w:val="22"/>
          <w:lang w:val="en-US"/>
        </w:rPr>
        <w:t xml:space="preserve"> աճով</w:t>
      </w:r>
      <w:r w:rsidRPr="00C921DE">
        <w:rPr>
          <w:rFonts w:ascii="GHEA Grapalat" w:hAnsi="GHEA Grapalat" w:cs="Sylfaen"/>
          <w:sz w:val="22"/>
          <w:szCs w:val="22"/>
        </w:rPr>
        <w:t>, որ</w:t>
      </w:r>
      <w:r w:rsidR="00BC06CF" w:rsidRPr="00C921DE">
        <w:rPr>
          <w:rFonts w:ascii="GHEA Grapalat" w:hAnsi="GHEA Grapalat" w:cs="Sylfaen"/>
          <w:sz w:val="22"/>
          <w:szCs w:val="22"/>
          <w:lang w:val="en-US"/>
        </w:rPr>
        <w:t xml:space="preserve">ի արդյունքում ավելացել են </w:t>
      </w:r>
      <w:r w:rsidRPr="00C921DE">
        <w:rPr>
          <w:rFonts w:ascii="GHEA Grapalat" w:hAnsi="GHEA Grapalat" w:cs="Sylfaen"/>
          <w:sz w:val="22"/>
          <w:szCs w:val="22"/>
        </w:rPr>
        <w:t xml:space="preserve">հանձնաժողովի պահպանման ծախսերը </w:t>
      </w:r>
      <w:r w:rsidR="00BC06CF" w:rsidRPr="00C921DE">
        <w:rPr>
          <w:rFonts w:ascii="GHEA Grapalat" w:hAnsi="GHEA Grapalat" w:cs="Sylfaen"/>
          <w:sz w:val="22"/>
          <w:szCs w:val="22"/>
          <w:lang w:val="en-US"/>
        </w:rPr>
        <w:t>(</w:t>
      </w:r>
      <w:r w:rsidRPr="00C921DE">
        <w:rPr>
          <w:rFonts w:ascii="GHEA Grapalat" w:hAnsi="GHEA Grapalat" w:cs="Sylfaen"/>
          <w:sz w:val="22"/>
          <w:szCs w:val="22"/>
        </w:rPr>
        <w:t xml:space="preserve">հաշվարկվում </w:t>
      </w:r>
      <w:r w:rsidR="00BC06CF" w:rsidRPr="00C921DE">
        <w:rPr>
          <w:rFonts w:ascii="GHEA Grapalat" w:hAnsi="GHEA Grapalat" w:cs="Sylfaen"/>
          <w:sz w:val="22"/>
          <w:szCs w:val="22"/>
          <w:lang w:val="en-US"/>
        </w:rPr>
        <w:t>են</w:t>
      </w:r>
      <w:r w:rsidR="00387E9F" w:rsidRPr="00C921DE">
        <w:rPr>
          <w:rFonts w:ascii="GHEA Grapalat" w:hAnsi="GHEA Grapalat" w:cs="Sylfaen"/>
          <w:sz w:val="22"/>
          <w:szCs w:val="22"/>
        </w:rPr>
        <w:t xml:space="preserve"> </w:t>
      </w:r>
      <w:r w:rsidRPr="00C921DE">
        <w:rPr>
          <w:rFonts w:ascii="GHEA Grapalat" w:hAnsi="GHEA Grapalat" w:cs="Sylfaen"/>
          <w:sz w:val="22"/>
          <w:szCs w:val="22"/>
        </w:rPr>
        <w:t>«Պետական պաշտոններ և պետական ծառայության պաշտոններ զբաղեցնող անձանց վարձատրության մասին» օրենքի համաձայն ձևավորված հանձնաժողովի աշխատավարձի տարեկան ֆոնդը 1.75 գործակցով բազմապատկելու միջոցով</w:t>
      </w:r>
      <w:r w:rsidR="00BC06CF" w:rsidRPr="00C921DE">
        <w:rPr>
          <w:rFonts w:ascii="GHEA Grapalat" w:hAnsi="GHEA Grapalat" w:cs="Sylfaen"/>
          <w:sz w:val="22"/>
          <w:szCs w:val="22"/>
          <w:lang w:val="en-US"/>
        </w:rPr>
        <w:t>)</w:t>
      </w:r>
      <w:r w:rsidRPr="00C921DE">
        <w:rPr>
          <w:rFonts w:ascii="GHEA Grapalat" w:hAnsi="GHEA Grapalat" w:cs="Sylfaen"/>
          <w:sz w:val="22"/>
          <w:szCs w:val="22"/>
        </w:rPr>
        <w:t>:</w:t>
      </w:r>
    </w:p>
    <w:p w14:paraId="5FF09DF2" w14:textId="77777777"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p>
    <w:p w14:paraId="2CE83EF5" w14:textId="1252F1AA"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i/>
          <w:sz w:val="22"/>
          <w:szCs w:val="22"/>
          <w:u w:val="single"/>
        </w:rPr>
        <w:t>ՀՀ կենտրոնական ընտրական հանձնաժողովի</w:t>
      </w:r>
      <w:r w:rsidRPr="00C921DE">
        <w:rPr>
          <w:rFonts w:ascii="GHEA Grapalat" w:hAnsi="GHEA Grapalat" w:cs="Sylfaen"/>
          <w:sz w:val="22"/>
          <w:szCs w:val="22"/>
          <w:lang w:val="en-US"/>
        </w:rPr>
        <w:t xml:space="preserve"> </w:t>
      </w:r>
      <w:r w:rsidRPr="00C921DE">
        <w:rPr>
          <w:rFonts w:ascii="GHEA Grapalat" w:hAnsi="GHEA Grapalat" w:cs="Sylfaen"/>
          <w:sz w:val="22"/>
          <w:szCs w:val="22"/>
        </w:rPr>
        <w:t>կողմից 202</w:t>
      </w:r>
      <w:r w:rsidRPr="00C921DE">
        <w:rPr>
          <w:rFonts w:ascii="GHEA Grapalat" w:hAnsi="GHEA Grapalat" w:cs="Sylfaen"/>
          <w:sz w:val="22"/>
          <w:szCs w:val="22"/>
          <w:lang w:val="en-US"/>
        </w:rPr>
        <w:t>3</w:t>
      </w:r>
      <w:r w:rsidRPr="00C921DE">
        <w:rPr>
          <w:rFonts w:ascii="GHEA Grapalat" w:hAnsi="GHEA Grapalat" w:cs="Sylfaen"/>
          <w:sz w:val="22"/>
          <w:szCs w:val="22"/>
        </w:rPr>
        <w:t xml:space="preserve"> թվականին </w:t>
      </w:r>
      <w:r w:rsidRPr="00C921DE">
        <w:rPr>
          <w:rFonts w:ascii="GHEA Grapalat" w:hAnsi="GHEA Grapalat" w:cs="Sylfaen"/>
          <w:i/>
          <w:sz w:val="22"/>
          <w:szCs w:val="22"/>
        </w:rPr>
        <w:t>Ընտրական գործընթացների համակարգման, կանոնակարգման և տեղեկատվության տրամադրման</w:t>
      </w:r>
      <w:r w:rsidRPr="00C921DE">
        <w:rPr>
          <w:rFonts w:ascii="GHEA Grapalat" w:hAnsi="GHEA Grapalat" w:cs="Sylfaen"/>
          <w:sz w:val="22"/>
          <w:szCs w:val="22"/>
        </w:rPr>
        <w:t xml:space="preserve"> ծրագրի </w:t>
      </w:r>
      <w:r w:rsidRPr="00C921DE">
        <w:rPr>
          <w:rFonts w:ascii="GHEA Grapalat" w:hAnsi="GHEA Grapalat" w:cs="Times Armenian"/>
          <w:sz w:val="22"/>
          <w:szCs w:val="22"/>
          <w:lang w:val="en-US"/>
        </w:rPr>
        <w:t>շրջանակներում օգտագործվել է նախատեսված միջոցների 97%-ը՝ 1.8</w:t>
      </w:r>
      <w:r w:rsidRPr="00C921DE">
        <w:rPr>
          <w:rFonts w:ascii="Calibri" w:hAnsi="Calibri" w:cs="Calibri"/>
          <w:sz w:val="22"/>
          <w:szCs w:val="22"/>
          <w:lang w:val="en-US"/>
        </w:rPr>
        <w:t> </w:t>
      </w:r>
      <w:r w:rsidRPr="00C921DE">
        <w:rPr>
          <w:rFonts w:ascii="GHEA Grapalat" w:hAnsi="GHEA Grapalat" w:cs="GHEA Grapalat"/>
          <w:sz w:val="22"/>
          <w:szCs w:val="22"/>
          <w:lang w:val="en-US"/>
        </w:rPr>
        <w:t>մլ</w:t>
      </w:r>
      <w:r w:rsidRPr="00C921DE">
        <w:rPr>
          <w:rFonts w:ascii="GHEA Grapalat" w:hAnsi="GHEA Grapalat" w:cs="Times Armenian"/>
          <w:sz w:val="22"/>
          <w:szCs w:val="22"/>
          <w:lang w:val="en-US"/>
        </w:rPr>
        <w:t xml:space="preserve">րդ դրամ: </w:t>
      </w:r>
      <w:r w:rsidR="007E1CD7" w:rsidRPr="00C921DE">
        <w:rPr>
          <w:rFonts w:ascii="GHEA Grapalat" w:hAnsi="GHEA Grapalat" w:cs="Times Armenian"/>
          <w:sz w:val="22"/>
          <w:szCs w:val="22"/>
          <w:lang w:val="en-US"/>
        </w:rPr>
        <w:t>Միջոցների</w:t>
      </w:r>
      <w:r w:rsidRPr="00C921DE">
        <w:rPr>
          <w:rFonts w:ascii="GHEA Grapalat" w:hAnsi="GHEA Grapalat" w:cs="Times Armenian"/>
          <w:sz w:val="22"/>
          <w:szCs w:val="22"/>
          <w:lang w:val="en-US"/>
        </w:rPr>
        <w:t xml:space="preserve"> գերակշիռ մասը</w:t>
      </w:r>
      <w:r w:rsidR="007E1CD7" w:rsidRPr="00C921DE">
        <w:rPr>
          <w:rFonts w:ascii="GHEA Grapalat" w:hAnsi="GHEA Grapalat" w:cs="Times Armenian"/>
          <w:sz w:val="22"/>
          <w:szCs w:val="22"/>
          <w:lang w:val="en-US"/>
        </w:rPr>
        <w:t>՝</w:t>
      </w:r>
      <w:r w:rsidRPr="00C921DE">
        <w:rPr>
          <w:rFonts w:ascii="GHEA Grapalat" w:hAnsi="GHEA Grapalat" w:cs="Times Armenian"/>
          <w:sz w:val="22"/>
          <w:szCs w:val="22"/>
          <w:lang w:val="en-US"/>
        </w:rPr>
        <w:t xml:space="preserve"> 1.1 մլրդ դրամ</w:t>
      </w:r>
      <w:r w:rsidR="007E1CD7" w:rsidRPr="00C921DE">
        <w:rPr>
          <w:rFonts w:ascii="GHEA Grapalat" w:hAnsi="GHEA Grapalat" w:cs="Times Armenian"/>
          <w:sz w:val="22"/>
          <w:szCs w:val="22"/>
          <w:lang w:val="en-US"/>
        </w:rPr>
        <w:t>ը</w:t>
      </w:r>
      <w:r w:rsidRPr="00C921DE">
        <w:rPr>
          <w:rFonts w:ascii="GHEA Grapalat" w:hAnsi="GHEA Grapalat" w:cs="Times Armenian"/>
          <w:sz w:val="22"/>
          <w:szCs w:val="22"/>
          <w:lang w:val="en-US"/>
        </w:rPr>
        <w:t xml:space="preserve"> տրամադրվել է Երևանի ավագանու ընտրությունների </w:t>
      </w:r>
      <w:r w:rsidRPr="00C921DE">
        <w:rPr>
          <w:rFonts w:ascii="GHEA Grapalat" w:hAnsi="GHEA Grapalat" w:cs="Sylfaen"/>
          <w:sz w:val="22"/>
          <w:szCs w:val="22"/>
        </w:rPr>
        <w:t>կազմակերպմանը</w:t>
      </w:r>
      <w:r w:rsidR="007E1CD7" w:rsidRPr="00C921DE">
        <w:rPr>
          <w:rFonts w:ascii="GHEA Grapalat" w:hAnsi="GHEA Grapalat" w:cs="Sylfaen"/>
          <w:sz w:val="22"/>
          <w:szCs w:val="22"/>
          <w:lang w:val="en-US"/>
        </w:rPr>
        <w:t>՝</w:t>
      </w:r>
      <w:r w:rsidRPr="00C921DE">
        <w:rPr>
          <w:rFonts w:ascii="GHEA Grapalat" w:hAnsi="GHEA Grapalat" w:cs="Sylfaen"/>
          <w:sz w:val="22"/>
          <w:szCs w:val="22"/>
        </w:rPr>
        <w:t xml:space="preserve"> կազմելով </w:t>
      </w:r>
      <w:r w:rsidR="007E1CD7" w:rsidRPr="00C921DE">
        <w:rPr>
          <w:rFonts w:ascii="GHEA Grapalat" w:hAnsi="GHEA Grapalat" w:cs="Sylfaen"/>
          <w:sz w:val="22"/>
          <w:szCs w:val="22"/>
          <w:lang w:val="en-US"/>
        </w:rPr>
        <w:t xml:space="preserve">ծրագրային ցուցանիշի </w:t>
      </w:r>
      <w:r w:rsidRPr="00C921DE">
        <w:rPr>
          <w:rFonts w:ascii="GHEA Grapalat" w:hAnsi="GHEA Grapalat" w:cs="Sylfaen"/>
          <w:sz w:val="22"/>
          <w:szCs w:val="22"/>
        </w:rPr>
        <w:t>96.3%</w:t>
      </w:r>
      <w:r w:rsidR="007E1CD7" w:rsidRPr="00C921DE">
        <w:rPr>
          <w:rFonts w:ascii="GHEA Grapalat" w:hAnsi="GHEA Grapalat" w:cs="Sylfaen"/>
          <w:sz w:val="22"/>
          <w:szCs w:val="22"/>
          <w:lang w:val="en-US"/>
        </w:rPr>
        <w:t>-ը, որը պայմանավորված է</w:t>
      </w:r>
      <w:r w:rsidRPr="00C921DE">
        <w:rPr>
          <w:rFonts w:ascii="GHEA Grapalat" w:hAnsi="GHEA Grapalat" w:cs="Sylfaen"/>
          <w:sz w:val="22"/>
          <w:szCs w:val="22"/>
        </w:rPr>
        <w:t xml:space="preserve"> </w:t>
      </w:r>
      <w:r w:rsidR="009C3F4D" w:rsidRPr="00C921DE">
        <w:rPr>
          <w:rFonts w:ascii="GHEA Grapalat" w:hAnsi="GHEA Grapalat" w:cs="Sylfaen"/>
          <w:sz w:val="22"/>
          <w:szCs w:val="22"/>
          <w:lang w:val="en-US"/>
        </w:rPr>
        <w:t>տ</w:t>
      </w:r>
      <w:r w:rsidRPr="00C921DE">
        <w:rPr>
          <w:rFonts w:ascii="GHEA Grapalat" w:hAnsi="GHEA Grapalat" w:cs="Sylfaen"/>
          <w:sz w:val="22"/>
          <w:szCs w:val="22"/>
        </w:rPr>
        <w:t>եղամասային ընտրական հանձնաժողովների</w:t>
      </w:r>
      <w:r w:rsidR="00387E9F" w:rsidRPr="00C921DE">
        <w:rPr>
          <w:rFonts w:ascii="GHEA Grapalat" w:hAnsi="GHEA Grapalat" w:cs="Sylfaen"/>
          <w:sz w:val="22"/>
          <w:szCs w:val="22"/>
        </w:rPr>
        <w:t xml:space="preserve"> </w:t>
      </w:r>
      <w:r w:rsidRPr="00C921DE">
        <w:rPr>
          <w:rFonts w:ascii="GHEA Grapalat" w:hAnsi="GHEA Grapalat" w:cs="Sylfaen"/>
          <w:sz w:val="22"/>
          <w:szCs w:val="22"/>
        </w:rPr>
        <w:t>անդամների աշխատավարձերի</w:t>
      </w:r>
      <w:r w:rsidR="009C3F4D" w:rsidRPr="00C921DE">
        <w:rPr>
          <w:rFonts w:ascii="GHEA Grapalat" w:hAnsi="GHEA Grapalat" w:cs="Sylfaen"/>
          <w:sz w:val="22"/>
          <w:szCs w:val="22"/>
        </w:rPr>
        <w:t xml:space="preserve">, ինչպես նաև </w:t>
      </w:r>
      <w:r w:rsidRPr="00C921DE">
        <w:rPr>
          <w:rFonts w:ascii="GHEA Grapalat" w:hAnsi="GHEA Grapalat" w:cs="Sylfaen"/>
          <w:sz w:val="22"/>
          <w:szCs w:val="22"/>
        </w:rPr>
        <w:t xml:space="preserve">փոստային ծառայությունների և գրասենյակային նյութերի </w:t>
      </w:r>
      <w:r w:rsidR="009C3F4D" w:rsidRPr="00C921DE">
        <w:rPr>
          <w:rFonts w:ascii="GHEA Grapalat" w:hAnsi="GHEA Grapalat" w:cs="Sylfaen"/>
          <w:sz w:val="22"/>
          <w:szCs w:val="22"/>
          <w:lang w:val="en-US"/>
        </w:rPr>
        <w:t>համար նախատեսված</w:t>
      </w:r>
      <w:r w:rsidR="009C3F4D" w:rsidRPr="00C921DE">
        <w:rPr>
          <w:rFonts w:ascii="GHEA Grapalat" w:hAnsi="GHEA Grapalat" w:cs="Sylfaen"/>
          <w:sz w:val="22"/>
          <w:szCs w:val="22"/>
        </w:rPr>
        <w:t xml:space="preserve"> գումարների</w:t>
      </w:r>
      <w:r w:rsidR="009C3F4D" w:rsidRPr="00C921DE">
        <w:rPr>
          <w:rFonts w:ascii="GHEA Grapalat" w:hAnsi="GHEA Grapalat" w:cs="Sylfaen"/>
          <w:sz w:val="22"/>
          <w:szCs w:val="22"/>
          <w:lang w:val="en-US"/>
        </w:rPr>
        <w:t xml:space="preserve"> տնտեսմամբ</w:t>
      </w:r>
      <w:r w:rsidRPr="00C921DE">
        <w:rPr>
          <w:rFonts w:ascii="GHEA Grapalat" w:hAnsi="GHEA Grapalat" w:cs="Sylfaen"/>
          <w:sz w:val="22"/>
          <w:szCs w:val="22"/>
        </w:rPr>
        <w:t>:</w:t>
      </w:r>
    </w:p>
    <w:p w14:paraId="64C41904" w14:textId="5077F987"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lang w:val="en-US"/>
        </w:rPr>
      </w:pPr>
      <w:r w:rsidRPr="00C921DE">
        <w:rPr>
          <w:rFonts w:ascii="GHEA Grapalat" w:hAnsi="GHEA Grapalat" w:cs="Sylfaen"/>
          <w:sz w:val="22"/>
          <w:szCs w:val="22"/>
        </w:rPr>
        <w:lastRenderedPageBreak/>
        <w:t>Ընտրական հանձնաժողովների անդամների մասնագիտական դասընթացների կազմակերպման ծախսերը կազմել են 81.9</w:t>
      </w:r>
      <w:r w:rsidRPr="00C921DE">
        <w:rPr>
          <w:rFonts w:ascii="Calibri" w:hAnsi="Calibri" w:cs="Calibri"/>
          <w:sz w:val="22"/>
          <w:szCs w:val="22"/>
        </w:rPr>
        <w:t> </w:t>
      </w:r>
      <w:r w:rsidRPr="00C921DE">
        <w:rPr>
          <w:rFonts w:ascii="GHEA Grapalat" w:hAnsi="GHEA Grapalat" w:cs="Sylfaen"/>
          <w:sz w:val="22"/>
          <w:szCs w:val="22"/>
        </w:rPr>
        <w:t>մլն դրամ</w:t>
      </w:r>
      <w:r w:rsidR="009C3F4D" w:rsidRPr="00C921DE">
        <w:rPr>
          <w:rFonts w:ascii="GHEA Grapalat" w:hAnsi="GHEA Grapalat" w:cs="Sylfaen"/>
          <w:sz w:val="22"/>
          <w:szCs w:val="22"/>
          <w:lang w:val="en-US"/>
        </w:rPr>
        <w:t>, որոնք կատարվել են</w:t>
      </w:r>
      <w:r w:rsidRPr="00C921DE">
        <w:rPr>
          <w:rFonts w:ascii="GHEA Grapalat" w:hAnsi="GHEA Grapalat" w:cs="Sylfaen"/>
          <w:sz w:val="22"/>
          <w:szCs w:val="22"/>
        </w:rPr>
        <w:t xml:space="preserve"> 99.2%</w:t>
      </w:r>
      <w:r w:rsidR="009C3F4D" w:rsidRPr="00C921DE">
        <w:rPr>
          <w:rFonts w:ascii="GHEA Grapalat" w:hAnsi="GHEA Grapalat" w:cs="Sylfaen"/>
          <w:sz w:val="22"/>
          <w:szCs w:val="22"/>
          <w:lang w:val="en-US"/>
        </w:rPr>
        <w:t>-ով</w:t>
      </w:r>
      <w:r w:rsidRPr="00C921DE">
        <w:rPr>
          <w:rFonts w:ascii="GHEA Grapalat" w:hAnsi="GHEA Grapalat" w:cs="Sylfaen"/>
          <w:sz w:val="22"/>
          <w:szCs w:val="22"/>
        </w:rPr>
        <w:t>: 2023 թվականին վերապատրաստվել է ընտրական հանձնաժողովների 19929 անդամ՝ կանխատեսված 22500-ի և նախորդ տարվա 3577-ի փոխարեն:</w:t>
      </w:r>
      <w:r w:rsidR="0085699D" w:rsidRPr="00C921DE">
        <w:rPr>
          <w:rFonts w:ascii="GHEA Grapalat" w:hAnsi="GHEA Grapalat" w:cs="Sylfaen"/>
          <w:sz w:val="22"/>
          <w:szCs w:val="22"/>
          <w:lang w:val="en-US"/>
        </w:rPr>
        <w:t xml:space="preserve"> Նշենք, որ միջոցառման ծախսերը 2022 թվականին կազմել էին 11.8 մլն դրամ:</w:t>
      </w:r>
    </w:p>
    <w:p w14:paraId="52008A64" w14:textId="7D447917"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Տեղական ինքնակառավարման մարմինների ընտրությունների կազմակերպման</w:t>
      </w:r>
      <w:r w:rsidR="008F15D7" w:rsidRPr="00C921DE">
        <w:rPr>
          <w:rFonts w:ascii="GHEA Grapalat" w:hAnsi="GHEA Grapalat" w:cs="Sylfaen"/>
          <w:sz w:val="22"/>
          <w:szCs w:val="22"/>
          <w:lang w:val="en-US"/>
        </w:rPr>
        <w:t xml:space="preserve"> միջոցառման</w:t>
      </w:r>
      <w:r w:rsidR="00387E9F" w:rsidRPr="00C921DE">
        <w:rPr>
          <w:rFonts w:ascii="GHEA Grapalat" w:hAnsi="GHEA Grapalat" w:cs="Sylfaen"/>
          <w:sz w:val="22"/>
          <w:szCs w:val="22"/>
        </w:rPr>
        <w:t xml:space="preserve"> </w:t>
      </w:r>
      <w:r w:rsidRPr="00C921DE">
        <w:rPr>
          <w:rFonts w:ascii="GHEA Grapalat" w:hAnsi="GHEA Grapalat" w:cs="Sylfaen"/>
          <w:sz w:val="22"/>
          <w:szCs w:val="22"/>
        </w:rPr>
        <w:t>ծախսերը կազմել են 154.3 մլն դրամ կամ 99.9%, որ</w:t>
      </w:r>
      <w:r w:rsidR="008F15D7" w:rsidRPr="00C921DE">
        <w:rPr>
          <w:rFonts w:ascii="GHEA Grapalat" w:hAnsi="GHEA Grapalat" w:cs="Sylfaen"/>
          <w:sz w:val="22"/>
          <w:szCs w:val="22"/>
          <w:lang w:val="en-US"/>
        </w:rPr>
        <w:t>ն</w:t>
      </w:r>
      <w:r w:rsidRPr="00C921DE">
        <w:rPr>
          <w:rFonts w:ascii="GHEA Grapalat" w:hAnsi="GHEA Grapalat" w:cs="Sylfaen"/>
          <w:sz w:val="22"/>
          <w:szCs w:val="22"/>
        </w:rPr>
        <w:t xml:space="preserve"> ուղղվել </w:t>
      </w:r>
      <w:r w:rsidR="008F15D7" w:rsidRPr="00C921DE">
        <w:rPr>
          <w:rFonts w:ascii="GHEA Grapalat" w:hAnsi="GHEA Grapalat" w:cs="Sylfaen"/>
          <w:sz w:val="22"/>
          <w:szCs w:val="22"/>
          <w:lang w:val="en-US"/>
        </w:rPr>
        <w:t>է</w:t>
      </w:r>
      <w:r w:rsidRPr="00C921DE">
        <w:rPr>
          <w:rFonts w:ascii="GHEA Grapalat" w:hAnsi="GHEA Grapalat" w:cs="Sylfaen"/>
          <w:sz w:val="22"/>
          <w:szCs w:val="22"/>
        </w:rPr>
        <w:t xml:space="preserve"> 2023 թվականի մարտի 26-ին և հոկտեմբերի 29-ին կայացած ՏԻՄ ընտրությունների ծախսերի ֆինանսավորմանը։ </w:t>
      </w:r>
    </w:p>
    <w:p w14:paraId="538783B3" w14:textId="44B28833" w:rsidR="000A1950" w:rsidRPr="00C921DE" w:rsidRDefault="000A1950" w:rsidP="000A195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2022 թվականի համեմատ ՀՀ կենտրոնական ընտրական հանձնաժողովի ծախսեր</w:t>
      </w:r>
      <w:r w:rsidR="008F15D7" w:rsidRPr="00C921DE">
        <w:rPr>
          <w:rFonts w:ascii="GHEA Grapalat" w:hAnsi="GHEA Grapalat" w:cs="Sylfaen"/>
          <w:sz w:val="22"/>
          <w:szCs w:val="22"/>
          <w:lang w:val="en-US"/>
        </w:rPr>
        <w:t>ն</w:t>
      </w:r>
      <w:r w:rsidRPr="00C921DE">
        <w:rPr>
          <w:rFonts w:ascii="GHEA Grapalat" w:hAnsi="GHEA Grapalat" w:cs="Sylfaen"/>
          <w:sz w:val="22"/>
          <w:szCs w:val="22"/>
        </w:rPr>
        <w:t xml:space="preserve"> աճել են 93.2%-ով (872.8 մլն դրամով)՝ հիմնականում պայմանավորված 2023 թվականին Երևանի ավագանու ընտրությունների </w:t>
      </w:r>
      <w:r w:rsidR="008F15D7" w:rsidRPr="00C921DE">
        <w:rPr>
          <w:rFonts w:ascii="GHEA Grapalat" w:hAnsi="GHEA Grapalat" w:cs="Sylfaen"/>
          <w:sz w:val="22"/>
          <w:szCs w:val="22"/>
          <w:lang w:val="en-US"/>
        </w:rPr>
        <w:t>անցկացմամբ</w:t>
      </w:r>
      <w:r w:rsidRPr="00C921DE">
        <w:rPr>
          <w:rFonts w:ascii="GHEA Grapalat" w:hAnsi="GHEA Grapalat" w:cs="Sylfaen"/>
          <w:sz w:val="22"/>
          <w:szCs w:val="22"/>
        </w:rPr>
        <w:t>:</w:t>
      </w:r>
    </w:p>
    <w:p w14:paraId="48C1C12F" w14:textId="77777777" w:rsidR="00C56BD7" w:rsidRPr="00C921DE" w:rsidRDefault="00C56BD7" w:rsidP="00C56BD7">
      <w:pPr>
        <w:autoSpaceDE w:val="0"/>
        <w:autoSpaceDN w:val="0"/>
        <w:adjustRightInd w:val="0"/>
        <w:spacing w:line="360" w:lineRule="auto"/>
        <w:ind w:firstLine="567"/>
        <w:jc w:val="both"/>
        <w:rPr>
          <w:rFonts w:ascii="GHEA Grapalat" w:hAnsi="GHEA Grapalat" w:cs="Sylfaen"/>
          <w:sz w:val="22"/>
          <w:szCs w:val="22"/>
        </w:rPr>
      </w:pPr>
    </w:p>
    <w:p w14:paraId="5DB0483D" w14:textId="56B3B989" w:rsidR="00BF1BB9" w:rsidRPr="00C921DE" w:rsidRDefault="00C56BD7" w:rsidP="00BF1BB9">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u w:val="single"/>
        </w:rPr>
        <w:t>Մրցակցության պաշտպանության հանձնաժողովին</w:t>
      </w:r>
      <w:r w:rsidRPr="00C921DE">
        <w:rPr>
          <w:rFonts w:ascii="GHEA Grapalat" w:hAnsi="GHEA Grapalat" w:cs="GHEA Grapalat"/>
          <w:sz w:val="22"/>
          <w:szCs w:val="22"/>
        </w:rPr>
        <w:t xml:space="preserve"> </w:t>
      </w:r>
      <w:r w:rsidR="00BF1BB9" w:rsidRPr="00C921DE">
        <w:rPr>
          <w:rFonts w:ascii="GHEA Grapalat" w:hAnsi="GHEA Grapalat" w:cs="GHEA Grapalat"/>
          <w:sz w:val="22"/>
          <w:szCs w:val="22"/>
        </w:rPr>
        <w:t xml:space="preserve">2023 թվականին </w:t>
      </w:r>
      <w:r w:rsidR="00BF1BB9" w:rsidRPr="00C921DE">
        <w:rPr>
          <w:rFonts w:ascii="GHEA Grapalat" w:hAnsi="GHEA Grapalat" w:cs="GHEA Grapalat"/>
          <w:i/>
          <w:sz w:val="22"/>
          <w:szCs w:val="22"/>
        </w:rPr>
        <w:t xml:space="preserve">«Տնտեսական մրցակցության պաշտպանություն» </w:t>
      </w:r>
      <w:r w:rsidR="00BF1BB9" w:rsidRPr="00C921DE">
        <w:rPr>
          <w:rFonts w:ascii="GHEA Grapalat" w:hAnsi="GHEA Grapalat" w:cs="GHEA Grapalat"/>
          <w:sz w:val="22"/>
          <w:szCs w:val="22"/>
        </w:rPr>
        <w:t>ծրագրի իրականացման համար տրամադրվել է 592.8 մլն դրամ, որը կազմել է ծրագրված ցուցանիշի 97.6%</w:t>
      </w:r>
      <w:r w:rsidR="00BF1BB9" w:rsidRPr="00C921DE">
        <w:rPr>
          <w:rFonts w:ascii="GHEA Grapalat" w:hAnsi="GHEA Grapalat" w:cs="GHEA Grapalat"/>
          <w:sz w:val="22"/>
          <w:szCs w:val="22"/>
        </w:rPr>
        <w:noBreakHyphen/>
        <w:t xml:space="preserve">ը: </w:t>
      </w:r>
      <w:r w:rsidR="00BF1BB9" w:rsidRPr="00C921DE">
        <w:rPr>
          <w:rFonts w:ascii="GHEA Grapalat" w:hAnsi="GHEA Grapalat" w:cs="Sylfaen"/>
          <w:sz w:val="22"/>
          <w:szCs w:val="22"/>
        </w:rPr>
        <w:t xml:space="preserve">Շեղումը հիմնականում պայմանավորված է </w:t>
      </w:r>
      <w:r w:rsidR="00BF1BB9" w:rsidRPr="00C921DE">
        <w:rPr>
          <w:rFonts w:ascii="GHEA Grapalat" w:hAnsi="GHEA Grapalat"/>
          <w:sz w:val="22"/>
          <w:szCs w:val="22"/>
        </w:rPr>
        <w:t xml:space="preserve">Հայաստանի Հանրապետությունում տնտեսական մրցակցության պաշտպանության </w:t>
      </w:r>
      <w:r w:rsidR="00BF1BB9" w:rsidRPr="00C921DE">
        <w:rPr>
          <w:rFonts w:ascii="GHEA Grapalat" w:hAnsi="GHEA Grapalat" w:cs="GHEA Grapalat"/>
          <w:sz w:val="22"/>
          <w:szCs w:val="22"/>
        </w:rPr>
        <w:t>բնագավառում քաղաքականության մշակման և վերահսկողության միջոցառման</w:t>
      </w:r>
      <w:r w:rsidR="00BF1BB9" w:rsidRPr="00C921DE">
        <w:rPr>
          <w:rFonts w:ascii="GHEA Grapalat" w:hAnsi="GHEA Grapalat" w:cs="Sylfaen"/>
          <w:sz w:val="22"/>
          <w:szCs w:val="22"/>
        </w:rPr>
        <w:t xml:space="preserve"> կատարողականով: </w:t>
      </w:r>
      <w:r w:rsidR="00BF1BB9" w:rsidRPr="00C921DE">
        <w:rPr>
          <w:rFonts w:ascii="GHEA Grapalat" w:hAnsi="GHEA Grapalat" w:cs="GHEA Grapalat"/>
          <w:sz w:val="22"/>
          <w:szCs w:val="22"/>
        </w:rPr>
        <w:t xml:space="preserve">Հիմնականում նշված ծախսերով է պայմանավորված նաև </w:t>
      </w:r>
      <w:r w:rsidR="00BF1BB9" w:rsidRPr="00C921DE">
        <w:rPr>
          <w:rFonts w:ascii="GHEA Grapalat" w:hAnsi="GHEA Grapalat" w:cs="Sylfaen"/>
          <w:sz w:val="22"/>
          <w:szCs w:val="22"/>
        </w:rPr>
        <w:t>նախորդ տարվա համեմատ</w:t>
      </w:r>
      <w:r w:rsidR="00BF1BB9" w:rsidRPr="00C921DE">
        <w:rPr>
          <w:rFonts w:ascii="GHEA Grapalat" w:hAnsi="GHEA Grapalat" w:cs="GHEA Grapalat"/>
          <w:sz w:val="22"/>
          <w:szCs w:val="22"/>
        </w:rPr>
        <w:t xml:space="preserve"> Մրցակցության պաշտպանության հանձնաժողովի պատախսանատվությամբ իրականացվող ծախսերի 11.2%</w:t>
      </w:r>
      <w:r w:rsidR="002E4BD4" w:rsidRPr="00C921DE">
        <w:rPr>
          <w:rFonts w:ascii="GHEA Grapalat" w:hAnsi="GHEA Grapalat" w:cs="GHEA Grapalat"/>
          <w:sz w:val="22"/>
          <w:szCs w:val="22"/>
        </w:rPr>
        <w:t xml:space="preserve"> (59.7</w:t>
      </w:r>
      <w:r w:rsidR="002E4BD4" w:rsidRPr="00C921DE">
        <w:rPr>
          <w:rFonts w:ascii="Calibri" w:hAnsi="Calibri" w:cs="Calibri"/>
          <w:sz w:val="22"/>
          <w:szCs w:val="22"/>
          <w:lang w:val="en-US"/>
        </w:rPr>
        <w:t> </w:t>
      </w:r>
      <w:r w:rsidR="00BF1BB9" w:rsidRPr="00C921DE">
        <w:rPr>
          <w:rFonts w:ascii="GHEA Grapalat" w:hAnsi="GHEA Grapalat" w:cs="GHEA Grapalat"/>
          <w:sz w:val="22"/>
          <w:szCs w:val="22"/>
        </w:rPr>
        <w:t xml:space="preserve">մլն դրամ) </w:t>
      </w:r>
      <w:r w:rsidR="00BF1BB9" w:rsidRPr="00C921DE">
        <w:rPr>
          <w:rFonts w:ascii="GHEA Grapalat" w:hAnsi="GHEA Grapalat" w:cs="Sylfaen"/>
          <w:sz w:val="22"/>
          <w:szCs w:val="22"/>
        </w:rPr>
        <w:t>աճը:</w:t>
      </w:r>
    </w:p>
    <w:p w14:paraId="4ED0319D" w14:textId="47E19662" w:rsidR="00BF1BB9" w:rsidRPr="00C921DE" w:rsidRDefault="004D12AE" w:rsidP="00BF1BB9">
      <w:pPr>
        <w:spacing w:line="360" w:lineRule="auto"/>
        <w:ind w:firstLine="561"/>
        <w:jc w:val="both"/>
        <w:rPr>
          <w:rFonts w:ascii="GHEA Grapalat" w:hAnsi="GHEA Grapalat" w:cs="Sylfaen"/>
          <w:sz w:val="22"/>
          <w:szCs w:val="22"/>
        </w:rPr>
      </w:pPr>
      <w:r w:rsidRPr="00C921DE">
        <w:rPr>
          <w:rFonts w:ascii="GHEA Grapalat" w:hAnsi="GHEA Grapalat"/>
          <w:sz w:val="22"/>
          <w:szCs w:val="22"/>
          <w:lang w:val="en-US"/>
        </w:rPr>
        <w:t>ՀՀ-</w:t>
      </w:r>
      <w:r w:rsidR="00BF1BB9" w:rsidRPr="00C921DE">
        <w:rPr>
          <w:rFonts w:ascii="GHEA Grapalat" w:hAnsi="GHEA Grapalat"/>
          <w:sz w:val="22"/>
          <w:szCs w:val="22"/>
        </w:rPr>
        <w:t xml:space="preserve">ում տնտեսական մրցակցության պաշտպանության </w:t>
      </w:r>
      <w:r w:rsidR="00BF1BB9" w:rsidRPr="00C921DE">
        <w:rPr>
          <w:rFonts w:ascii="GHEA Grapalat" w:hAnsi="GHEA Grapalat" w:cs="GHEA Grapalat"/>
          <w:sz w:val="22"/>
          <w:szCs w:val="22"/>
        </w:rPr>
        <w:t>բնագավառում քաղաքականության մշակման և վերահսկողության միջոցառման նպատակն է</w:t>
      </w:r>
      <w:r w:rsidR="002E4BD4" w:rsidRPr="00C921DE">
        <w:rPr>
          <w:rFonts w:ascii="GHEA Grapalat" w:hAnsi="GHEA Grapalat" w:cs="GHEA Grapalat"/>
          <w:sz w:val="22"/>
          <w:szCs w:val="22"/>
          <w:lang w:val="en-US"/>
        </w:rPr>
        <w:t>՝</w:t>
      </w:r>
      <w:r w:rsidR="00BF1BB9" w:rsidRPr="00C921DE">
        <w:rPr>
          <w:rFonts w:ascii="GHEA Grapalat" w:hAnsi="GHEA Grapalat" w:cs="GHEA Grapalat"/>
          <w:sz w:val="22"/>
          <w:szCs w:val="22"/>
        </w:rPr>
        <w:t xml:space="preserve"> պաշտպանել և խրախուսել ազատ տնտեսական մրցակցությունը, ապահովել բարեխիղճ մրցակցության համար անհրաժեշտ միջավայր, նպաստել ձեռնարկատիրության զարգացմանը և սպառողների շահերի պաշտպանությանը </w:t>
      </w:r>
      <w:r w:rsidRPr="00C921DE">
        <w:rPr>
          <w:rFonts w:ascii="GHEA Grapalat" w:hAnsi="GHEA Grapalat" w:cs="GHEA Grapalat"/>
          <w:sz w:val="22"/>
          <w:szCs w:val="22"/>
          <w:lang w:val="en-US"/>
        </w:rPr>
        <w:t>ՀՀ-</w:t>
      </w:r>
      <w:r w:rsidR="00BF1BB9" w:rsidRPr="00C921DE">
        <w:rPr>
          <w:rFonts w:ascii="GHEA Grapalat" w:hAnsi="GHEA Grapalat" w:cs="GHEA Grapalat"/>
          <w:sz w:val="22"/>
          <w:szCs w:val="22"/>
        </w:rPr>
        <w:t>ում: Հաշվետու տարվա ընթացքում</w:t>
      </w:r>
      <w:r w:rsidRPr="00C921DE">
        <w:rPr>
          <w:rFonts w:ascii="GHEA Grapalat" w:hAnsi="GHEA Grapalat" w:cs="GHEA Grapalat"/>
          <w:sz w:val="22"/>
          <w:szCs w:val="22"/>
          <w:lang w:val="en-US"/>
        </w:rPr>
        <w:t xml:space="preserve"> նշված</w:t>
      </w:r>
      <w:r w:rsidR="00BF1BB9" w:rsidRPr="00C921DE">
        <w:rPr>
          <w:rFonts w:ascii="GHEA Grapalat" w:hAnsi="GHEA Grapalat" w:cs="GHEA Grapalat"/>
          <w:sz w:val="22"/>
          <w:szCs w:val="22"/>
        </w:rPr>
        <w:t xml:space="preserve"> միջոցառման շրջանակներում տարբեր ապրանքային շուկաներում իրականացվել են ուսումնասիրություններ, գործարար համայնքի և սպառողների շահերը պաշտպանող հասարակական կազմակերպությունների հետ կազմակերպվել են բազմաթիվ քննարկումներ՝ նպատակ ունենալով բացահայտել տնտեսական մրցակցության բնագավառում երկրում առկա խնդիրները: 2023 թվականին տնտեսական մրցակցության իրավիճակը գնահատելու համար կատարվել են 104 ուսումնասիրություններ՝ նախատեսված 100-ի փոխարեն՝ պայմանավորված անբարեխիղճ մրցակցության դեպքերի բացահայտման աճով: Միջոցառման ծախսերը կազմել են 586.6 մլն դրամ, որոնք կատարվել են 98.6%</w:t>
      </w:r>
      <w:r w:rsidR="00BF1BB9" w:rsidRPr="00C921DE">
        <w:rPr>
          <w:rFonts w:ascii="GHEA Grapalat" w:hAnsi="GHEA Grapalat" w:cs="GHEA Grapalat"/>
          <w:sz w:val="22"/>
          <w:szCs w:val="22"/>
        </w:rPr>
        <w:noBreakHyphen/>
        <w:t>ով: Շեղումը հիմնականում պայմանավորված</w:t>
      </w:r>
      <w:r w:rsidR="00BF1BB9" w:rsidRPr="00C921DE">
        <w:rPr>
          <w:rFonts w:ascii="GHEA Grapalat" w:hAnsi="GHEA Grapalat" w:cs="Sylfaen"/>
          <w:sz w:val="22"/>
          <w:szCs w:val="22"/>
        </w:rPr>
        <w:t xml:space="preserve"> է նրանով, </w:t>
      </w:r>
      <w:r w:rsidR="00BF1BB9" w:rsidRPr="00C921DE">
        <w:rPr>
          <w:rFonts w:ascii="GHEA Grapalat" w:hAnsi="GHEA Grapalat" w:cs="Sylfaen"/>
          <w:sz w:val="22"/>
          <w:szCs w:val="22"/>
        </w:rPr>
        <w:lastRenderedPageBreak/>
        <w:t>որ ծրագրային ապահովման սպասարկման ծառայությունների մատուցման նպատակով կնքված պայմանագրի կետերը կատարողի կողմից էականորեն խախտվել են, ինչի հետևանքով էլեկտրոնային համակարգի սպասարկման համար նախատեսված միջոցներ</w:t>
      </w:r>
      <w:r w:rsidR="00693ACD" w:rsidRPr="00C921DE">
        <w:rPr>
          <w:rFonts w:ascii="GHEA Grapalat" w:hAnsi="GHEA Grapalat" w:cs="Sylfaen"/>
          <w:sz w:val="22"/>
          <w:szCs w:val="22"/>
          <w:lang w:val="en-US"/>
        </w:rPr>
        <w:t>ը</w:t>
      </w:r>
      <w:r w:rsidR="00693ACD" w:rsidRPr="00C921DE">
        <w:rPr>
          <w:rFonts w:ascii="GHEA Grapalat" w:hAnsi="GHEA Grapalat" w:cs="Sylfaen"/>
          <w:sz w:val="22"/>
          <w:szCs w:val="22"/>
        </w:rPr>
        <w:t xml:space="preserve"> չեն օգտագործվել, բացի այդ, տնտեսվել են</w:t>
      </w:r>
      <w:r w:rsidR="00BF1BB9" w:rsidRPr="00C921DE">
        <w:rPr>
          <w:rFonts w:ascii="GHEA Grapalat" w:hAnsi="GHEA Grapalat" w:cs="Sylfaen"/>
          <w:sz w:val="22"/>
          <w:szCs w:val="22"/>
        </w:rPr>
        <w:t xml:space="preserve"> ուսումնասիրվող ապրանքների լաբորատոր փորձարկումներ անցկացնելու նպատակով հատկացված միջոցները, որը կախված է քաղաքացիների դիմում-բողոքների և հարուցված վարույթների բնույթից և քանակից: Նախորդ տարվա համեմատ նշված միջոցառման ծախսերն աճել են 10.1%-ով կամ 53.</w:t>
      </w:r>
      <w:r w:rsidR="00693ACD" w:rsidRPr="00C921DE">
        <w:rPr>
          <w:rFonts w:ascii="GHEA Grapalat" w:hAnsi="GHEA Grapalat" w:cs="Sylfaen"/>
          <w:sz w:val="22"/>
          <w:szCs w:val="22"/>
        </w:rPr>
        <w:t>7</w:t>
      </w:r>
      <w:r w:rsidR="00693ACD" w:rsidRPr="00C921DE">
        <w:rPr>
          <w:rFonts w:ascii="Calibri" w:hAnsi="Calibri" w:cs="Calibri"/>
          <w:sz w:val="22"/>
          <w:szCs w:val="22"/>
        </w:rPr>
        <w:t> </w:t>
      </w:r>
      <w:r w:rsidR="00BF1BB9" w:rsidRPr="00C921DE">
        <w:rPr>
          <w:rFonts w:ascii="GHEA Grapalat" w:hAnsi="GHEA Grapalat" w:cs="Sylfaen"/>
          <w:sz w:val="22"/>
          <w:szCs w:val="22"/>
        </w:rPr>
        <w:t xml:space="preserve">մլն դրամով՝ հիմնականում պայմանավորված </w:t>
      </w:r>
      <w:r w:rsidR="002150A7" w:rsidRPr="00C921DE">
        <w:rPr>
          <w:rFonts w:ascii="GHEA Grapalat" w:hAnsi="GHEA Grapalat" w:cs="Sylfaen"/>
          <w:sz w:val="22"/>
          <w:szCs w:val="22"/>
        </w:rPr>
        <w:t xml:space="preserve">պետական պաշտոն և պետական ծառայության պաշտոն զբաղեցնող անձանց </w:t>
      </w:r>
      <w:r w:rsidR="00BF1BB9" w:rsidRPr="00C921DE">
        <w:rPr>
          <w:rFonts w:ascii="GHEA Grapalat" w:hAnsi="GHEA Grapalat" w:cs="Sylfaen"/>
          <w:sz w:val="22"/>
          <w:szCs w:val="22"/>
        </w:rPr>
        <w:t>բազային աշխատավարձի բա</w:t>
      </w:r>
      <w:r w:rsidR="00F91940" w:rsidRPr="00C921DE">
        <w:rPr>
          <w:rFonts w:ascii="GHEA Grapalat" w:hAnsi="GHEA Grapalat" w:cs="Sylfaen"/>
          <w:sz w:val="22"/>
          <w:szCs w:val="22"/>
          <w:lang w:val="en-US"/>
        </w:rPr>
        <w:t>ր</w:t>
      </w:r>
      <w:r w:rsidR="00BF1BB9" w:rsidRPr="00C921DE">
        <w:rPr>
          <w:rFonts w:ascii="GHEA Grapalat" w:hAnsi="GHEA Grapalat" w:cs="Sylfaen"/>
          <w:sz w:val="22"/>
          <w:szCs w:val="22"/>
        </w:rPr>
        <w:t>ձրացմա</w:t>
      </w:r>
      <w:r w:rsidR="00693ACD" w:rsidRPr="00C921DE">
        <w:rPr>
          <w:rFonts w:ascii="GHEA Grapalat" w:hAnsi="GHEA Grapalat" w:cs="Sylfaen"/>
          <w:sz w:val="22"/>
          <w:szCs w:val="22"/>
        </w:rPr>
        <w:t>մբ</w:t>
      </w:r>
      <w:r w:rsidR="00BF1BB9" w:rsidRPr="00C921DE">
        <w:rPr>
          <w:rFonts w:ascii="GHEA Grapalat" w:hAnsi="GHEA Grapalat" w:cs="Sylfaen"/>
          <w:sz w:val="22"/>
          <w:szCs w:val="22"/>
        </w:rPr>
        <w:t>:</w:t>
      </w:r>
    </w:p>
    <w:p w14:paraId="5182C8A7" w14:textId="77777777" w:rsidR="00C56BD7" w:rsidRPr="00C921DE" w:rsidRDefault="00C56BD7" w:rsidP="00C56BD7">
      <w:pPr>
        <w:autoSpaceDE w:val="0"/>
        <w:autoSpaceDN w:val="0"/>
        <w:adjustRightInd w:val="0"/>
        <w:spacing w:line="360" w:lineRule="auto"/>
        <w:ind w:firstLine="567"/>
        <w:jc w:val="both"/>
        <w:rPr>
          <w:rFonts w:ascii="GHEA Grapalat" w:hAnsi="GHEA Grapalat" w:cs="GHEA Grapalat"/>
          <w:sz w:val="22"/>
          <w:szCs w:val="22"/>
        </w:rPr>
      </w:pPr>
    </w:p>
    <w:p w14:paraId="2DF718CC" w14:textId="6B00137F" w:rsidR="00BF1BB9" w:rsidRPr="00C921DE" w:rsidRDefault="00C56BD7" w:rsidP="007C34E6">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i/>
          <w:sz w:val="22"/>
          <w:szCs w:val="22"/>
          <w:u w:val="single"/>
        </w:rPr>
        <w:t>ՀՀ կադաստրի կոմիտեի</w:t>
      </w:r>
      <w:r w:rsidRPr="00C921DE">
        <w:rPr>
          <w:rFonts w:ascii="GHEA Grapalat" w:hAnsi="GHEA Grapalat" w:cs="GHEA Grapalat"/>
          <w:sz w:val="22"/>
          <w:szCs w:val="22"/>
        </w:rPr>
        <w:t xml:space="preserve"> </w:t>
      </w:r>
      <w:r w:rsidR="00BF1BB9" w:rsidRPr="00C921DE">
        <w:rPr>
          <w:rFonts w:ascii="GHEA Grapalat" w:hAnsi="GHEA Grapalat" w:cs="GHEA Grapalat"/>
          <w:sz w:val="22"/>
          <w:szCs w:val="22"/>
        </w:rPr>
        <w:t xml:space="preserve">պատասխանատվությամբ 2023 թվականի ընթացքում կատարվել է </w:t>
      </w:r>
      <w:r w:rsidR="00BF1BB9" w:rsidRPr="00C921DE">
        <w:rPr>
          <w:rFonts w:ascii="GHEA Grapalat" w:hAnsi="GHEA Grapalat" w:cs="GHEA Grapalat"/>
          <w:i/>
          <w:sz w:val="22"/>
          <w:szCs w:val="22"/>
        </w:rPr>
        <w:t>Անշարժ գույքի կադաստրի վարման բնագավառում պետական քաղաքականության իրականացման</w:t>
      </w:r>
      <w:r w:rsidR="00BF1BB9" w:rsidRPr="00C921DE">
        <w:rPr>
          <w:rFonts w:ascii="GHEA Grapalat" w:hAnsi="GHEA Grapalat" w:cs="GHEA Grapalat"/>
          <w:sz w:val="22"/>
          <w:szCs w:val="22"/>
        </w:rPr>
        <w:t xml:space="preserve"> ծրագիրը, որի գծով ծախսերը կազմել են ավելի քան 4.3 մլրդ դրամ կամ նախատեսվածի 98.9%</w:t>
      </w:r>
      <w:r w:rsidR="00BF1BB9" w:rsidRPr="00C921DE">
        <w:rPr>
          <w:rFonts w:ascii="GHEA Grapalat" w:hAnsi="GHEA Grapalat" w:cs="GHEA Grapalat"/>
          <w:sz w:val="22"/>
          <w:szCs w:val="22"/>
        </w:rPr>
        <w:noBreakHyphen/>
        <w:t>ը: Շեղումը հիմնականում պայմանավորված է գույքի նկատմամբ իրավունքների պետական գրանցման, գույքի և դրա նկատմամբ գրանցված իրավունքների և սահմանափակումների վերաբերյալ տեղեկատվության տրամադրման միջոցառման կատարողականով: Նախորդ տարվա համեմատ ՀՀ կադաստրի կոմիտեի պատասխանատվությամբ իրականացված ծախսերը նվազել են 10.1%</w:t>
      </w:r>
      <w:r w:rsidR="00BF1BB9" w:rsidRPr="00C921DE">
        <w:rPr>
          <w:rFonts w:ascii="GHEA Grapalat" w:hAnsi="GHEA Grapalat" w:cs="GHEA Grapalat"/>
          <w:sz w:val="22"/>
          <w:szCs w:val="22"/>
        </w:rPr>
        <w:noBreakHyphen/>
        <w:t>ով կամ 491 մլն դրամով, ինչը հիմնականում պայմանավորված է 2022 թվականին ՀՀ տարածքի օդալուսանկարահանման, օրթոֆոտոհատակագծերի և թվայ</w:t>
      </w:r>
      <w:r w:rsidR="004D14D4" w:rsidRPr="00C921DE">
        <w:rPr>
          <w:rFonts w:ascii="GHEA Grapalat" w:hAnsi="GHEA Grapalat" w:cs="GHEA Grapalat"/>
          <w:sz w:val="22"/>
          <w:szCs w:val="22"/>
        </w:rPr>
        <w:t>ին բարձունքային մոդելի ստեղծման,</w:t>
      </w:r>
      <w:r w:rsidR="00BF1BB9" w:rsidRPr="00C921DE">
        <w:rPr>
          <w:rFonts w:ascii="GHEA Grapalat" w:hAnsi="GHEA Grapalat" w:cs="GHEA Grapalat"/>
          <w:sz w:val="22"/>
          <w:szCs w:val="22"/>
        </w:rPr>
        <w:t xml:space="preserve"> ռեֆերենց կայանների կառուցման, դիտարկման և կայանների ցանցի հավասարակշռման աշխատանքների</w:t>
      </w:r>
      <w:r w:rsidR="004D14D4" w:rsidRPr="00C921DE">
        <w:rPr>
          <w:rFonts w:ascii="GHEA Grapalat" w:hAnsi="GHEA Grapalat" w:cs="GHEA Grapalat"/>
          <w:sz w:val="22"/>
          <w:szCs w:val="22"/>
          <w:lang w:val="en-US"/>
        </w:rPr>
        <w:t xml:space="preserve">, ՀՀ կադաստրի կոմիտեի շենքային ապահովվածության բարելավման և </w:t>
      </w:r>
      <w:r w:rsidR="007C34E6" w:rsidRPr="00C921DE">
        <w:rPr>
          <w:rFonts w:ascii="GHEA Grapalat" w:hAnsi="GHEA Grapalat" w:cs="GHEA Grapalat"/>
          <w:sz w:val="22"/>
          <w:szCs w:val="22"/>
          <w:lang w:val="en-US"/>
        </w:rPr>
        <w:t>պետական</w:t>
      </w:r>
      <w:r w:rsidR="004D14D4" w:rsidRPr="00C921DE">
        <w:rPr>
          <w:rFonts w:ascii="GHEA Grapalat" w:hAnsi="GHEA Grapalat" w:cs="GHEA Grapalat"/>
          <w:sz w:val="22"/>
          <w:szCs w:val="22"/>
          <w:lang w:val="en-US"/>
        </w:rPr>
        <w:t xml:space="preserve"> մաս</w:t>
      </w:r>
      <w:r w:rsidR="007C34E6" w:rsidRPr="00C921DE">
        <w:rPr>
          <w:rFonts w:ascii="GHEA Grapalat" w:hAnsi="GHEA Grapalat" w:cs="GHEA Grapalat"/>
          <w:sz w:val="22"/>
          <w:szCs w:val="22"/>
          <w:lang w:val="en-US"/>
        </w:rPr>
        <w:t>նակցությամբ առևտրային կազմակերպությունների</w:t>
      </w:r>
      <w:r w:rsidR="004D14D4" w:rsidRPr="00C921DE">
        <w:rPr>
          <w:rFonts w:ascii="GHEA Grapalat" w:hAnsi="GHEA Grapalat" w:cs="GHEA Grapalat"/>
          <w:sz w:val="22"/>
          <w:szCs w:val="22"/>
          <w:lang w:val="en-US"/>
        </w:rPr>
        <w:t xml:space="preserve"> կանոնադր</w:t>
      </w:r>
      <w:r w:rsidR="007C34E6" w:rsidRPr="00C921DE">
        <w:rPr>
          <w:rFonts w:ascii="GHEA Grapalat" w:hAnsi="GHEA Grapalat" w:cs="GHEA Grapalat"/>
          <w:sz w:val="22"/>
          <w:szCs w:val="22"/>
          <w:lang w:val="en-US"/>
        </w:rPr>
        <w:t>ական</w:t>
      </w:r>
      <w:r w:rsidR="004D14D4" w:rsidRPr="00C921DE">
        <w:rPr>
          <w:rFonts w:ascii="GHEA Grapalat" w:hAnsi="GHEA Grapalat" w:cs="GHEA Grapalat"/>
          <w:sz w:val="22"/>
          <w:szCs w:val="22"/>
          <w:lang w:val="en-US"/>
        </w:rPr>
        <w:t xml:space="preserve"> կապիտալում պետ</w:t>
      </w:r>
      <w:r w:rsidR="007C34E6" w:rsidRPr="00C921DE">
        <w:rPr>
          <w:rFonts w:ascii="GHEA Grapalat" w:hAnsi="GHEA Grapalat" w:cs="GHEA Grapalat"/>
          <w:sz w:val="22"/>
          <w:szCs w:val="22"/>
          <w:lang w:val="en-US"/>
        </w:rPr>
        <w:t xml:space="preserve">ական մասնակցության նվազեցման </w:t>
      </w:r>
      <w:r w:rsidR="004D14D4" w:rsidRPr="00C921DE">
        <w:rPr>
          <w:rFonts w:ascii="GHEA Grapalat" w:hAnsi="GHEA Grapalat" w:cs="GHEA Grapalat"/>
          <w:sz w:val="22"/>
          <w:szCs w:val="22"/>
          <w:lang w:val="en-US"/>
        </w:rPr>
        <w:t>ճանապարհով ակտիվների կազմից գույք առանձնացնելիս գույքն ստացող պետ</w:t>
      </w:r>
      <w:r w:rsidR="007C34E6" w:rsidRPr="00C921DE">
        <w:rPr>
          <w:rFonts w:ascii="GHEA Grapalat" w:hAnsi="GHEA Grapalat" w:cs="GHEA Grapalat"/>
          <w:sz w:val="22"/>
          <w:szCs w:val="22"/>
          <w:lang w:val="en-US"/>
        </w:rPr>
        <w:t>ական կառավարչական</w:t>
      </w:r>
      <w:r w:rsidR="004D14D4" w:rsidRPr="00C921DE">
        <w:rPr>
          <w:rFonts w:ascii="GHEA Grapalat" w:hAnsi="GHEA Grapalat" w:cs="GHEA Grapalat"/>
          <w:sz w:val="22"/>
          <w:szCs w:val="22"/>
          <w:lang w:val="en-US"/>
        </w:rPr>
        <w:t xml:space="preserve"> հիմնարկի կողմից մատակարարին վ</w:t>
      </w:r>
      <w:r w:rsidR="007C34E6" w:rsidRPr="00C921DE">
        <w:rPr>
          <w:rFonts w:ascii="GHEA Grapalat" w:hAnsi="GHEA Grapalat" w:cs="GHEA Grapalat"/>
          <w:sz w:val="22"/>
          <w:szCs w:val="22"/>
          <w:lang w:val="en-US"/>
        </w:rPr>
        <w:t>ճարման ենթակա ԱԱՀ-ի պարտավորությունների</w:t>
      </w:r>
      <w:r w:rsidR="004D14D4" w:rsidRPr="00C921DE">
        <w:rPr>
          <w:rFonts w:ascii="GHEA Grapalat" w:hAnsi="GHEA Grapalat" w:cs="GHEA Grapalat"/>
          <w:sz w:val="22"/>
          <w:szCs w:val="22"/>
          <w:lang w:val="en-US"/>
        </w:rPr>
        <w:t xml:space="preserve"> կատարման գծով </w:t>
      </w:r>
      <w:r w:rsidR="007C34E6" w:rsidRPr="00C921DE">
        <w:rPr>
          <w:rFonts w:ascii="GHEA Grapalat" w:hAnsi="GHEA Grapalat" w:cs="GHEA Grapalat"/>
          <w:sz w:val="22"/>
          <w:szCs w:val="22"/>
          <w:lang w:val="en-US"/>
        </w:rPr>
        <w:t>հատկացումներով, որոնք 2023 թվականին չեն նախատեսվել</w:t>
      </w:r>
      <w:r w:rsidR="00BF1BB9" w:rsidRPr="00C921DE">
        <w:rPr>
          <w:rFonts w:ascii="GHEA Grapalat" w:hAnsi="GHEA Grapalat" w:cs="GHEA Grapalat"/>
          <w:sz w:val="22"/>
          <w:szCs w:val="22"/>
        </w:rPr>
        <w:t>:</w:t>
      </w:r>
    </w:p>
    <w:p w14:paraId="7B7F199B" w14:textId="6E22F079"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Հաշվետու տարում Գույքի նկատմամբ իրավունքների պետական գրանցման, գույքի և դրա նկատմամբ գրանցված իրավունքների և սահմանափակումների վերաբերյալ տեղեկատվության տրամադրման միջոցառման շրջանակներում սահմանված գրեթե բոլոր արդյունքային չափորոշիչների գծով արձանագրվել են գերակատարումներ: Միջոցառման շրջանակներում օգտագործվել է շուրջ 4.2 մլրդ դրամ՝ ապահովելով 99% կատարողական: Նախորդ տարվա համեմատ նշված միջոցառման ծախսերն աճել են 4.1%-ով կամ 165.4 մլն դրամով, որը պայմանավորված է </w:t>
      </w:r>
      <w:r w:rsidR="0043490D" w:rsidRPr="00C921DE">
        <w:rPr>
          <w:rFonts w:ascii="GHEA Grapalat" w:hAnsi="GHEA Grapalat" w:cs="Sylfaen"/>
          <w:sz w:val="22"/>
          <w:szCs w:val="22"/>
        </w:rPr>
        <w:t>պետական պաշտոն և պետական ծառայության պաշտոն զբաղեցնող անձանց</w:t>
      </w:r>
      <w:r w:rsidR="0043490D"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բազային </w:t>
      </w:r>
      <w:r w:rsidRPr="00C921DE">
        <w:rPr>
          <w:rFonts w:ascii="GHEA Grapalat" w:hAnsi="GHEA Grapalat" w:cs="GHEA Grapalat"/>
          <w:sz w:val="22"/>
          <w:szCs w:val="22"/>
        </w:rPr>
        <w:lastRenderedPageBreak/>
        <w:t>աշխատավարձի բարձրացման, ինչպես նաև աշխատավարձի բնականոն աճի արդյունքում աշխատանքի վարձատրության ծախսերի աճով:</w:t>
      </w:r>
    </w:p>
    <w:p w14:paraId="560644CC" w14:textId="55E522C9"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Հաշվետու տարում ՀՀ կադաստրի կոմիտեի տեխնիկական հագեցվածության բարելավման միջոցառման շրջանակներում ձեռք են բերվել</w:t>
      </w:r>
      <w:r w:rsidR="00C879CF" w:rsidRPr="00C921DE">
        <w:rPr>
          <w:rFonts w:ascii="GHEA Grapalat" w:hAnsi="GHEA Grapalat" w:cs="GHEA Grapalat"/>
          <w:sz w:val="22"/>
          <w:szCs w:val="22"/>
          <w:lang w:val="en-US"/>
        </w:rPr>
        <w:t xml:space="preserve"> 1564 հատ</w:t>
      </w:r>
      <w:r w:rsidRPr="00C921DE">
        <w:rPr>
          <w:rFonts w:ascii="GHEA Grapalat" w:hAnsi="GHEA Grapalat" w:cs="GHEA Grapalat"/>
          <w:sz w:val="22"/>
          <w:szCs w:val="22"/>
        </w:rPr>
        <w:t xml:space="preserve"> համա</w:t>
      </w:r>
      <w:r w:rsidR="00635F53" w:rsidRPr="00C921DE">
        <w:rPr>
          <w:rFonts w:ascii="GHEA Grapalat" w:hAnsi="GHEA Grapalat" w:cs="GHEA Grapalat"/>
          <w:sz w:val="22"/>
          <w:szCs w:val="22"/>
        </w:rPr>
        <w:t>կարգչային և</w:t>
      </w:r>
      <w:r w:rsidR="00C879CF" w:rsidRPr="00C921DE">
        <w:rPr>
          <w:rFonts w:ascii="GHEA Grapalat" w:hAnsi="GHEA Grapalat" w:cs="GHEA Grapalat"/>
          <w:sz w:val="22"/>
          <w:szCs w:val="22"/>
          <w:lang w:val="en-US"/>
        </w:rPr>
        <w:t xml:space="preserve"> 311 հատ</w:t>
      </w:r>
      <w:r w:rsidR="00635F53" w:rsidRPr="00C921DE">
        <w:rPr>
          <w:rFonts w:ascii="GHEA Grapalat" w:hAnsi="GHEA Grapalat" w:cs="GHEA Grapalat"/>
          <w:sz w:val="22"/>
          <w:szCs w:val="22"/>
        </w:rPr>
        <w:t xml:space="preserve"> այլ սարքավորումներ ու</w:t>
      </w:r>
      <w:r w:rsidRPr="00C921DE">
        <w:rPr>
          <w:rFonts w:ascii="GHEA Grapalat" w:hAnsi="GHEA Grapalat" w:cs="GHEA Grapalat"/>
          <w:sz w:val="22"/>
          <w:szCs w:val="22"/>
        </w:rPr>
        <w:t xml:space="preserve"> </w:t>
      </w:r>
      <w:r w:rsidR="00C879CF" w:rsidRPr="00C921DE">
        <w:rPr>
          <w:rFonts w:ascii="GHEA Grapalat" w:hAnsi="GHEA Grapalat" w:cs="GHEA Grapalat"/>
          <w:sz w:val="22"/>
          <w:szCs w:val="22"/>
          <w:lang w:val="en-US"/>
        </w:rPr>
        <w:t xml:space="preserve">50 միավոր </w:t>
      </w:r>
      <w:r w:rsidRPr="00C921DE">
        <w:rPr>
          <w:rFonts w:ascii="GHEA Grapalat" w:hAnsi="GHEA Grapalat" w:cs="GHEA Grapalat"/>
          <w:sz w:val="22"/>
          <w:szCs w:val="22"/>
        </w:rPr>
        <w:t>գրասենյակային կահույք</w:t>
      </w:r>
      <w:r w:rsidR="00C879CF" w:rsidRPr="00C921DE">
        <w:rPr>
          <w:rFonts w:ascii="GHEA Grapalat" w:hAnsi="GHEA Grapalat" w:cs="GHEA Grapalat"/>
          <w:sz w:val="22"/>
          <w:szCs w:val="22"/>
          <w:lang w:val="en-US"/>
        </w:rPr>
        <w:t>՝ նախատեսված համապատասխանաբար 550-ի, 51-ի և 138-ի փոխարեն</w:t>
      </w:r>
      <w:r w:rsidRPr="00C921DE">
        <w:rPr>
          <w:rFonts w:ascii="GHEA Grapalat" w:hAnsi="GHEA Grapalat" w:cs="GHEA Grapalat"/>
          <w:sz w:val="22"/>
          <w:szCs w:val="22"/>
        </w:rPr>
        <w:t>: Միջոցառման ծախսերը կազմել են 146.4 մլն դրամ կամ ծրագրված ցուցանիշի 99.7%-ը: Նախորդ տարվա համեմատ նշված միջոցառման ծախսերը նվազել են 24.4%-ով կամ 47.2 մլն դրամով, որը պայմանավորված է տվյալ տարվա կարիքներով:</w:t>
      </w:r>
    </w:p>
    <w:p w14:paraId="5EC6FA63" w14:textId="77777777" w:rsidR="00C56BD7" w:rsidRPr="00C921DE" w:rsidRDefault="00C56BD7" w:rsidP="00C56BD7">
      <w:pPr>
        <w:autoSpaceDE w:val="0"/>
        <w:autoSpaceDN w:val="0"/>
        <w:adjustRightInd w:val="0"/>
        <w:spacing w:line="360" w:lineRule="auto"/>
        <w:ind w:firstLine="567"/>
        <w:jc w:val="both"/>
        <w:rPr>
          <w:rFonts w:ascii="GHEA Grapalat" w:hAnsi="GHEA Grapalat" w:cs="Sylfaen"/>
          <w:sz w:val="22"/>
          <w:szCs w:val="22"/>
        </w:rPr>
      </w:pPr>
    </w:p>
    <w:p w14:paraId="26396D5B" w14:textId="19FC73EA" w:rsidR="004704E0" w:rsidRPr="00C921DE" w:rsidRDefault="00C56BD7" w:rsidP="004704E0">
      <w:pPr>
        <w:spacing w:line="360" w:lineRule="auto"/>
        <w:ind w:left="142" w:right="141" w:firstLine="540"/>
        <w:jc w:val="both"/>
        <w:rPr>
          <w:rFonts w:ascii="GHEA Grapalat" w:hAnsi="GHEA Grapalat" w:cs="GHEA Grapalat"/>
          <w:sz w:val="22"/>
          <w:szCs w:val="22"/>
        </w:rPr>
      </w:pPr>
      <w:r w:rsidRPr="00C921DE">
        <w:rPr>
          <w:rFonts w:ascii="GHEA Grapalat" w:hAnsi="GHEA Grapalat" w:cs="Sylfaen"/>
          <w:i/>
          <w:sz w:val="22"/>
          <w:szCs w:val="22"/>
          <w:u w:val="single"/>
        </w:rPr>
        <w:t>Հեռուստատեսության և ռադիոյի հանձնաժողովի</w:t>
      </w:r>
      <w:r w:rsidR="004704E0" w:rsidRPr="00C921DE">
        <w:rPr>
          <w:rFonts w:ascii="GHEA Grapalat" w:hAnsi="GHEA Grapalat" w:cs="GHEA Grapalat"/>
          <w:sz w:val="22"/>
          <w:szCs w:val="22"/>
        </w:rPr>
        <w:t xml:space="preserve"> պատասխանատվությամբ 202</w:t>
      </w:r>
      <w:r w:rsidR="004704E0" w:rsidRPr="00C921DE">
        <w:rPr>
          <w:rFonts w:ascii="GHEA Grapalat" w:hAnsi="GHEA Grapalat" w:cs="GHEA Grapalat"/>
          <w:sz w:val="22"/>
          <w:szCs w:val="22"/>
          <w:lang w:val="en-US"/>
        </w:rPr>
        <w:t xml:space="preserve">3 </w:t>
      </w:r>
      <w:r w:rsidR="004704E0" w:rsidRPr="00C921DE">
        <w:rPr>
          <w:rFonts w:ascii="GHEA Grapalat" w:hAnsi="GHEA Grapalat" w:cs="GHEA Grapalat"/>
          <w:sz w:val="22"/>
          <w:szCs w:val="22"/>
        </w:rPr>
        <w:t xml:space="preserve">թվականին </w:t>
      </w:r>
      <w:r w:rsidR="004704E0" w:rsidRPr="00C921DE">
        <w:rPr>
          <w:rFonts w:ascii="GHEA Grapalat" w:hAnsi="GHEA Grapalat" w:cs="GHEA Grapalat"/>
          <w:i/>
          <w:sz w:val="22"/>
          <w:szCs w:val="22"/>
        </w:rPr>
        <w:t>Տեսալսողական մեդիայի ոլորտի կանոնակարգման</w:t>
      </w:r>
      <w:r w:rsidR="004704E0" w:rsidRPr="00C921DE">
        <w:rPr>
          <w:rFonts w:ascii="GHEA Grapalat" w:hAnsi="GHEA Grapalat" w:cs="GHEA Grapalat"/>
          <w:sz w:val="22"/>
          <w:szCs w:val="22"/>
        </w:rPr>
        <w:t xml:space="preserve"> ծրագրի շրջանակներում պետական բյուջեից տրամադրվել է 3</w:t>
      </w:r>
      <w:r w:rsidR="004704E0" w:rsidRPr="00C921DE">
        <w:rPr>
          <w:rFonts w:ascii="GHEA Grapalat" w:hAnsi="GHEA Grapalat" w:cs="GHEA Grapalat"/>
          <w:sz w:val="22"/>
          <w:szCs w:val="22"/>
          <w:lang w:val="en-US"/>
        </w:rPr>
        <w:t xml:space="preserve">68 </w:t>
      </w:r>
      <w:r w:rsidR="004704E0" w:rsidRPr="00C921DE">
        <w:rPr>
          <w:rFonts w:ascii="GHEA Grapalat" w:hAnsi="GHEA Grapalat" w:cs="GHEA Grapalat"/>
          <w:sz w:val="22"/>
          <w:szCs w:val="22"/>
        </w:rPr>
        <w:t>մլն դրամ՝ ապահովելով 99.</w:t>
      </w:r>
      <w:r w:rsidR="004704E0" w:rsidRPr="00C921DE">
        <w:rPr>
          <w:rFonts w:ascii="GHEA Grapalat" w:hAnsi="GHEA Grapalat" w:cs="GHEA Grapalat"/>
          <w:sz w:val="22"/>
          <w:szCs w:val="22"/>
          <w:lang w:val="en-US"/>
        </w:rPr>
        <w:t>5</w:t>
      </w:r>
      <w:r w:rsidR="004704E0" w:rsidRPr="00C921DE">
        <w:rPr>
          <w:rFonts w:ascii="GHEA Grapalat" w:hAnsi="GHEA Grapalat" w:cs="GHEA Grapalat"/>
          <w:sz w:val="22"/>
          <w:szCs w:val="22"/>
        </w:rPr>
        <w:t>% կատարողական: Նախորդ տարվա համեմատ հանձնաժողովի ծախսեր</w:t>
      </w:r>
      <w:r w:rsidR="004704E0" w:rsidRPr="00C921DE">
        <w:rPr>
          <w:rFonts w:ascii="GHEA Grapalat" w:hAnsi="GHEA Grapalat" w:cs="GHEA Grapalat"/>
          <w:sz w:val="22"/>
          <w:szCs w:val="22"/>
          <w:lang w:val="en-US"/>
        </w:rPr>
        <w:t>ն</w:t>
      </w:r>
      <w:r w:rsidR="004704E0" w:rsidRPr="00C921DE">
        <w:rPr>
          <w:rFonts w:ascii="GHEA Grapalat" w:hAnsi="GHEA Grapalat" w:cs="GHEA Grapalat"/>
          <w:sz w:val="22"/>
          <w:szCs w:val="22"/>
        </w:rPr>
        <w:t xml:space="preserve"> աճել են </w:t>
      </w:r>
      <w:r w:rsidR="004704E0" w:rsidRPr="00C921DE">
        <w:rPr>
          <w:rFonts w:ascii="GHEA Grapalat" w:hAnsi="GHEA Grapalat" w:cs="GHEA Grapalat"/>
          <w:sz w:val="22"/>
          <w:szCs w:val="22"/>
          <w:lang w:val="en-US"/>
        </w:rPr>
        <w:t>13.5</w:t>
      </w:r>
      <w:r w:rsidR="004704E0" w:rsidRPr="00C921DE">
        <w:rPr>
          <w:rFonts w:ascii="GHEA Grapalat" w:hAnsi="GHEA Grapalat" w:cs="GHEA Grapalat"/>
          <w:sz w:val="22"/>
          <w:szCs w:val="22"/>
        </w:rPr>
        <w:t xml:space="preserve">%-ով կամ </w:t>
      </w:r>
      <w:r w:rsidR="004704E0" w:rsidRPr="00C921DE">
        <w:rPr>
          <w:rFonts w:ascii="GHEA Grapalat" w:hAnsi="GHEA Grapalat" w:cs="GHEA Grapalat"/>
          <w:sz w:val="22"/>
          <w:szCs w:val="22"/>
          <w:lang w:val="en-US"/>
        </w:rPr>
        <w:t>43.9</w:t>
      </w:r>
      <w:r w:rsidR="004704E0" w:rsidRPr="00C921DE">
        <w:rPr>
          <w:rFonts w:ascii="GHEA Grapalat" w:hAnsi="GHEA Grapalat" w:cs="GHEA Grapalat"/>
          <w:sz w:val="22"/>
          <w:szCs w:val="22"/>
        </w:rPr>
        <w:t xml:space="preserve"> մլն դրամով</w:t>
      </w:r>
      <w:r w:rsidR="004704E0" w:rsidRPr="00C921DE">
        <w:rPr>
          <w:rFonts w:ascii="GHEA Grapalat" w:hAnsi="GHEA Grapalat" w:cs="GHEA Grapalat"/>
          <w:sz w:val="22"/>
          <w:szCs w:val="22"/>
          <w:lang w:val="en-US"/>
        </w:rPr>
        <w:t>, որը</w:t>
      </w:r>
      <w:r w:rsidR="004704E0" w:rsidRPr="00C921DE">
        <w:rPr>
          <w:rFonts w:ascii="GHEA Grapalat" w:hAnsi="GHEA Grapalat" w:cs="GHEA Grapalat"/>
          <w:sz w:val="22"/>
          <w:szCs w:val="22"/>
        </w:rPr>
        <w:t xml:space="preserve"> հիմնականում պայմանավորված է </w:t>
      </w:r>
      <w:r w:rsidR="00337FF9" w:rsidRPr="00C921DE">
        <w:rPr>
          <w:rFonts w:ascii="GHEA Grapalat" w:hAnsi="GHEA Grapalat" w:cs="Sylfaen"/>
          <w:sz w:val="22"/>
          <w:szCs w:val="22"/>
        </w:rPr>
        <w:t>պետական պաշտոն և պետական ծառայության պաշտոն զբաղեցնող անձանց</w:t>
      </w:r>
      <w:r w:rsidR="00337FF9" w:rsidRPr="00C921DE">
        <w:rPr>
          <w:rFonts w:ascii="GHEA Grapalat" w:hAnsi="GHEA Grapalat" w:cs="GHEA Grapalat"/>
          <w:sz w:val="22"/>
          <w:szCs w:val="22"/>
        </w:rPr>
        <w:t xml:space="preserve"> բազային </w:t>
      </w:r>
      <w:r w:rsidR="005F5209" w:rsidRPr="00C921DE">
        <w:rPr>
          <w:rFonts w:ascii="GHEA Grapalat" w:hAnsi="GHEA Grapalat" w:cs="GHEA Grapalat"/>
          <w:sz w:val="22"/>
          <w:szCs w:val="22"/>
        </w:rPr>
        <w:t>աշխատավարձի բարձրացմամբ</w:t>
      </w:r>
      <w:r w:rsidR="004704E0" w:rsidRPr="00C921DE">
        <w:rPr>
          <w:rFonts w:ascii="GHEA Grapalat" w:hAnsi="GHEA Grapalat" w:cs="GHEA Grapalat"/>
          <w:sz w:val="22"/>
          <w:szCs w:val="22"/>
        </w:rPr>
        <w:t xml:space="preserve">: </w:t>
      </w:r>
    </w:p>
    <w:p w14:paraId="0424F23C" w14:textId="05BB23E9" w:rsidR="004704E0" w:rsidRPr="00C921DE" w:rsidRDefault="004704E0" w:rsidP="004704E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Տեսալսողական մեդիայի ոլորտի կա</w:t>
      </w:r>
      <w:r w:rsidR="00C268C1" w:rsidRPr="00C921DE">
        <w:rPr>
          <w:rFonts w:ascii="GHEA Grapalat" w:hAnsi="GHEA Grapalat" w:cs="GHEA Grapalat"/>
          <w:sz w:val="22"/>
          <w:szCs w:val="22"/>
          <w:lang w:val="en-US"/>
        </w:rPr>
        <w:t>րգավոր</w:t>
      </w:r>
      <w:r w:rsidRPr="00C921DE">
        <w:rPr>
          <w:rFonts w:ascii="GHEA Grapalat" w:hAnsi="GHEA Grapalat" w:cs="GHEA Grapalat"/>
          <w:sz w:val="22"/>
          <w:szCs w:val="22"/>
        </w:rPr>
        <w:t>ման ծառայությունների միջոցառման շրջանակներում իրականացվել է տեսալսողական հաղորդումների պատրաստման և հեռարձակման՝ օրենսդրության պահանջների և լիցենզիայի պայմանների պահպանման նկատմամբ մշտադիտարկում և վերահսկողություն (3960 եթերային օր), անցկացվել է սլոթի օգտագործման, լսողական ծրագրի հաճախականության օգտագործման և մասնավոր մուլտիպլեքս օպերատորի գործունեության լիցենզավորման 1 մրցույթ</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 xml:space="preserve">տրամադրվել </w:t>
      </w:r>
      <w:r w:rsidR="00C268C1" w:rsidRPr="00C921DE">
        <w:rPr>
          <w:rFonts w:ascii="GHEA Grapalat" w:hAnsi="GHEA Grapalat" w:cs="GHEA Grapalat"/>
          <w:sz w:val="22"/>
          <w:szCs w:val="22"/>
          <w:lang w:val="en-US"/>
        </w:rPr>
        <w:t>է</w:t>
      </w:r>
      <w:r w:rsidRPr="00C921DE">
        <w:rPr>
          <w:rFonts w:ascii="GHEA Grapalat" w:hAnsi="GHEA Grapalat" w:cs="GHEA Grapalat"/>
          <w:sz w:val="22"/>
          <w:szCs w:val="22"/>
        </w:rPr>
        <w:t xml:space="preserve"> սլոթի օգտագործման, լսողական ծրագրերի հեռարձակման և մասնավոր մուլտիպլեքս օպերատորի գործունեության </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լիցենզիա, ցանցային օպերատորի գործունեության </w:t>
      </w:r>
      <w:r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լիցենզիա, տեսալսողական մեդիածառայություն մատուցողի կարգավիճակի </w:t>
      </w:r>
      <w:r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հեղինակազորման վկայագ</w:t>
      </w:r>
      <w:r w:rsidR="009046C2" w:rsidRPr="00C921DE">
        <w:rPr>
          <w:rFonts w:ascii="GHEA Grapalat" w:hAnsi="GHEA Grapalat" w:cs="GHEA Grapalat"/>
          <w:sz w:val="22"/>
          <w:szCs w:val="22"/>
          <w:lang w:val="en-US"/>
        </w:rPr>
        <w:t>ի</w:t>
      </w:r>
      <w:r w:rsidRPr="00C921DE">
        <w:rPr>
          <w:rFonts w:ascii="GHEA Grapalat" w:hAnsi="GHEA Grapalat" w:cs="GHEA Grapalat"/>
          <w:sz w:val="22"/>
          <w:szCs w:val="22"/>
        </w:rPr>
        <w:t>ր:</w:t>
      </w:r>
    </w:p>
    <w:p w14:paraId="66CFAFB4" w14:textId="77777777" w:rsidR="00C56BD7" w:rsidRPr="00C921DE" w:rsidRDefault="00C56BD7" w:rsidP="00C56BD7">
      <w:pPr>
        <w:spacing w:line="360" w:lineRule="auto"/>
        <w:ind w:firstLine="561"/>
        <w:jc w:val="both"/>
        <w:rPr>
          <w:rFonts w:ascii="GHEA Grapalat" w:hAnsi="GHEA Grapalat"/>
          <w:sz w:val="22"/>
          <w:szCs w:val="22"/>
        </w:rPr>
      </w:pPr>
    </w:p>
    <w:p w14:paraId="18E29A10" w14:textId="700CB088" w:rsidR="00BF1BB9" w:rsidRPr="00C921DE" w:rsidRDefault="00C56BD7"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պետական եկամուտների կոմիտեի</w:t>
      </w:r>
      <w:r w:rsidR="00BF1BB9" w:rsidRPr="00C921DE">
        <w:rPr>
          <w:rFonts w:ascii="GHEA Grapalat" w:hAnsi="GHEA Grapalat" w:cs="GHEA Grapalat"/>
          <w:sz w:val="22"/>
          <w:szCs w:val="22"/>
          <w:lang w:val="en-US"/>
        </w:rPr>
        <w:t xml:space="preserve"> </w:t>
      </w:r>
      <w:r w:rsidR="00BF1BB9" w:rsidRPr="00C921DE">
        <w:rPr>
          <w:rFonts w:ascii="GHEA Grapalat" w:hAnsi="GHEA Grapalat" w:cs="GHEA Grapalat"/>
          <w:sz w:val="22"/>
          <w:szCs w:val="22"/>
        </w:rPr>
        <w:t>պատասխանատվությամբ 2023 թվականին իրականացվել է «Հարկային և մաքսային ծառայություններ» ծրագիրը, որի շրջանակներում օգտագործվել է 38.2 մլրդ դրամ կամ նախատեսված միջոցների 94.9%</w:t>
      </w:r>
      <w:r w:rsidR="00BF1BB9" w:rsidRPr="00C921DE">
        <w:rPr>
          <w:rFonts w:ascii="GHEA Grapalat" w:hAnsi="GHEA Grapalat" w:cs="GHEA Grapalat"/>
          <w:sz w:val="22"/>
          <w:szCs w:val="22"/>
        </w:rPr>
        <w:noBreakHyphen/>
        <w:t>ը: Ծրագրված ցուցանիշից շեղումը հիմնականում պայմանավորված է «Հարկային և մաքսային ծառայություններ» և «ՀՀ պետական եկամուտների կոմիտեի շենքային ապահովվածության բարելավում» միջոցառումների կատարողականով: Նախորդ տարվա համեմատ ՀՀ պետական եկամուտների կոմիտեի պատասխանատվությամբ իրականացված ծախսերն աճել են 35%</w:t>
      </w:r>
      <w:r w:rsidR="00BF1BB9" w:rsidRPr="00C921DE">
        <w:rPr>
          <w:rFonts w:ascii="GHEA Grapalat" w:hAnsi="GHEA Grapalat" w:cs="GHEA Grapalat"/>
          <w:sz w:val="22"/>
          <w:szCs w:val="22"/>
        </w:rPr>
        <w:noBreakHyphen/>
        <w:t xml:space="preserve">ով կամ 9.9 մլրդ դրամով, որը </w:t>
      </w:r>
      <w:r w:rsidR="00BF1BB9" w:rsidRPr="00C921DE">
        <w:rPr>
          <w:rFonts w:ascii="GHEA Grapalat" w:hAnsi="GHEA Grapalat" w:cs="GHEA Grapalat"/>
          <w:sz w:val="22"/>
          <w:szCs w:val="22"/>
        </w:rPr>
        <w:lastRenderedPageBreak/>
        <w:t>հիմնականում պայմանավորված է 2023 թվականին ԵՏՄ անդամ չհանդիսացող պետություններից ՀՀ ֆիզիկական անձանց</w:t>
      </w:r>
      <w:r w:rsidR="00387E9F" w:rsidRPr="00C921DE">
        <w:rPr>
          <w:rFonts w:ascii="GHEA Grapalat" w:hAnsi="GHEA Grapalat" w:cs="GHEA Grapalat"/>
          <w:sz w:val="22"/>
          <w:szCs w:val="22"/>
        </w:rPr>
        <w:t xml:space="preserve"> </w:t>
      </w:r>
      <w:r w:rsidR="00BF1BB9" w:rsidRPr="00C921DE">
        <w:rPr>
          <w:rFonts w:ascii="GHEA Grapalat" w:hAnsi="GHEA Grapalat" w:cs="GHEA Grapalat"/>
          <w:sz w:val="22"/>
          <w:szCs w:val="22"/>
        </w:rPr>
        <w:t>կողմից անձնական օգտագործման համար ներմուծման դեպքում պետական աջակցության տրամադրման համար միջոցների հատկացմամբ, ինչպես նաև «Հարկային և մաքսային ծառայություններ» միջոցառման ծախսերի աճով:</w:t>
      </w:r>
    </w:p>
    <w:p w14:paraId="483D08BE" w14:textId="2F18C690"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«Հարկային և մաքսային ծառայություններ» միջոցառման շրջանակներում օգտագործվել է 21.2</w:t>
      </w:r>
      <w:r w:rsidR="0041000D" w:rsidRPr="00C921DE">
        <w:rPr>
          <w:rFonts w:ascii="Calibri" w:hAnsi="Calibri" w:cs="Calibri"/>
          <w:sz w:val="22"/>
          <w:szCs w:val="22"/>
          <w:lang w:val="en-US"/>
        </w:rPr>
        <w:t> </w:t>
      </w:r>
      <w:r w:rsidRPr="00C921DE">
        <w:rPr>
          <w:rFonts w:ascii="GHEA Grapalat" w:hAnsi="GHEA Grapalat" w:cs="GHEA Grapalat"/>
          <w:sz w:val="22"/>
          <w:szCs w:val="22"/>
        </w:rPr>
        <w:t>մլրդ դրամ, որը կազմել է ծրագրային ցուցանիշի 96.3%-ը՝ պայմանավորված մրցույթների արդյունքում ապրանքների և ծառայությունների՝ նախատեսվածից ցածր գներով ձեռքբերմամբ: Նախորդ տարվա համեմատ նշված միջոցառման ծախսերն աճել են 6.1%-ով կամ 1.2 մլրդ դրամով, որը պայմանավորված է</w:t>
      </w:r>
      <w:r w:rsidR="0043490D" w:rsidRPr="00C921DE">
        <w:rPr>
          <w:rFonts w:ascii="GHEA Grapalat" w:hAnsi="GHEA Grapalat" w:cs="GHEA Grapalat"/>
          <w:sz w:val="22"/>
          <w:szCs w:val="22"/>
          <w:lang w:val="en-US"/>
        </w:rPr>
        <w:t xml:space="preserve"> </w:t>
      </w:r>
      <w:r w:rsidR="0043490D" w:rsidRPr="00C921DE">
        <w:rPr>
          <w:rFonts w:ascii="GHEA Grapalat" w:hAnsi="GHEA Grapalat" w:cs="Sylfaen"/>
          <w:sz w:val="22"/>
          <w:szCs w:val="22"/>
        </w:rPr>
        <w:t>պետական պաշտոն և պետական ծառայության պաշտոն զբաղեցնող անձանց</w:t>
      </w:r>
      <w:r w:rsidRPr="00C921DE">
        <w:rPr>
          <w:rFonts w:ascii="GHEA Grapalat" w:hAnsi="GHEA Grapalat" w:cs="GHEA Grapalat"/>
          <w:sz w:val="22"/>
          <w:szCs w:val="22"/>
        </w:rPr>
        <w:t xml:space="preserve"> բազային աշխատավարձի բարձրացման</w:t>
      </w:r>
      <w:r w:rsidR="00544A66" w:rsidRPr="00C921DE">
        <w:rPr>
          <w:rFonts w:ascii="GHEA Grapalat" w:hAnsi="GHEA Grapalat" w:cs="GHEA Grapalat"/>
          <w:sz w:val="22"/>
          <w:szCs w:val="22"/>
          <w:lang w:val="en-US"/>
        </w:rPr>
        <w:t xml:space="preserve"> </w:t>
      </w:r>
      <w:r w:rsidRPr="00C921DE">
        <w:rPr>
          <w:rFonts w:ascii="GHEA Grapalat" w:hAnsi="GHEA Grapalat" w:cs="GHEA Grapalat"/>
          <w:sz w:val="22"/>
          <w:szCs w:val="22"/>
        </w:rPr>
        <w:t>և աշխատավարձի բնականոն աճի արդյունքում աշխատանքի վարձատրության ծախսերի աճով:</w:t>
      </w:r>
    </w:p>
    <w:p w14:paraId="68852BF3" w14:textId="77777777"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Դրոշմապիտակների ձեռքբերման միջոցառման շրջանակներում հաշվետու տարվա ընթացքում ձեռք են բերվել 1400000 հազար հատ դրոշմապիտակներ՝ 2022 թվականի 1380000 հազարի դիմաց: Միջոցառմանը հատկացված միջոցներն օգտագործվել են ամբողջությամբ՝ կազմելով շուրջ 5.3 մլրդ դրամ: Նախորդ տարվա համեմատ նշված միջոցառման ծախսերն աճել են 1.4%</w:t>
      </w:r>
      <w:r w:rsidRPr="00C921DE">
        <w:rPr>
          <w:rFonts w:ascii="GHEA Grapalat" w:hAnsi="GHEA Grapalat" w:cs="GHEA Grapalat"/>
          <w:sz w:val="22"/>
          <w:szCs w:val="22"/>
        </w:rPr>
        <w:noBreakHyphen/>
        <w:t xml:space="preserve">ով կամ 75.6 մլն դրամով: </w:t>
      </w:r>
    </w:p>
    <w:p w14:paraId="57F3FBB1" w14:textId="63EE1C09"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ԵՏՄ անդամ չհանդիսացող պետություններից ՀՀ ֆիզիկական անձանց կողմից անձնական օգտագործման համար ներմուծման դեպքում պետական</w:t>
      </w:r>
      <w:r w:rsidR="00387E9F"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աջակցության միջոցառման շրջանակներում </w:t>
      </w:r>
      <w:r w:rsidR="00D149AC" w:rsidRPr="00C921DE">
        <w:rPr>
          <w:rFonts w:ascii="GHEA Grapalat" w:hAnsi="GHEA Grapalat" w:cs="GHEA Grapalat"/>
          <w:sz w:val="22"/>
          <w:szCs w:val="22"/>
          <w:lang w:val="en-US"/>
        </w:rPr>
        <w:t>Կ</w:t>
      </w:r>
      <w:r w:rsidRPr="00C921DE">
        <w:rPr>
          <w:rFonts w:ascii="GHEA Grapalat" w:hAnsi="GHEA Grapalat" w:cs="GHEA Grapalat"/>
          <w:sz w:val="22"/>
          <w:szCs w:val="22"/>
        </w:rPr>
        <w:t>առավարության որոշմամբ սահմանված ՀՀ ֆիզիկական անձ</w:t>
      </w:r>
      <w:r w:rsidR="00585D22" w:rsidRPr="00C921DE">
        <w:rPr>
          <w:rFonts w:ascii="GHEA Grapalat" w:hAnsi="GHEA Grapalat" w:cs="GHEA Grapalat"/>
          <w:sz w:val="22"/>
          <w:szCs w:val="22"/>
          <w:lang w:val="en-US"/>
        </w:rPr>
        <w:t xml:space="preserve">անց տրամադրվել է </w:t>
      </w:r>
      <w:r w:rsidRPr="00C921DE">
        <w:rPr>
          <w:rFonts w:ascii="GHEA Grapalat" w:hAnsi="GHEA Grapalat" w:cs="GHEA Grapalat"/>
          <w:sz w:val="22"/>
          <w:szCs w:val="22"/>
        </w:rPr>
        <w:t>ԵՏՄ անդամ չհանդիսացող պետություններից ՀՀ ժամանակավոր ներմուծված և չվերաարտահանված 2488 հատ թեթև մարդատար տրանսպորտային միջոցների մաքսային ձևակերպումների մասնակի փոխհատուցում: Միջոցառման շրջանակներում օգտագործվել է 7 մլրդ դրամ՝ ապահովելով 100% կատարողական: 202</w:t>
      </w:r>
      <w:r w:rsidR="004D6D05" w:rsidRPr="00C921DE">
        <w:rPr>
          <w:rFonts w:ascii="GHEA Grapalat" w:hAnsi="GHEA Grapalat" w:cs="GHEA Grapalat"/>
          <w:sz w:val="22"/>
          <w:szCs w:val="22"/>
          <w:lang w:val="en-US"/>
        </w:rPr>
        <w:t>2</w:t>
      </w:r>
      <w:r w:rsidRPr="00C921DE">
        <w:rPr>
          <w:rFonts w:ascii="GHEA Grapalat" w:hAnsi="GHEA Grapalat" w:cs="GHEA Grapalat"/>
          <w:sz w:val="22"/>
          <w:szCs w:val="22"/>
        </w:rPr>
        <w:t xml:space="preserve"> թվականին</w:t>
      </w:r>
      <w:r w:rsidR="004D6D05" w:rsidRPr="00C921DE">
        <w:rPr>
          <w:rFonts w:ascii="GHEA Grapalat" w:hAnsi="GHEA Grapalat" w:cs="GHEA Grapalat"/>
          <w:sz w:val="22"/>
          <w:szCs w:val="22"/>
          <w:lang w:val="en-US"/>
        </w:rPr>
        <w:t xml:space="preserve"> նշված նպատակով միջոցներ չէին հատկացվել</w:t>
      </w:r>
      <w:r w:rsidRPr="00C921DE">
        <w:rPr>
          <w:rFonts w:ascii="GHEA Grapalat" w:hAnsi="GHEA Grapalat" w:cs="GHEA Grapalat"/>
          <w:sz w:val="22"/>
          <w:szCs w:val="22"/>
        </w:rPr>
        <w:t>:</w:t>
      </w:r>
    </w:p>
    <w:p w14:paraId="460B9D27" w14:textId="5BE4804E"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 ՀՀ պետական եկամուտների կոմիտեի տեխնիկական հագեցվածության բարելա</w:t>
      </w:r>
      <w:r w:rsidR="004D6D05" w:rsidRPr="00C921DE">
        <w:rPr>
          <w:rFonts w:ascii="GHEA Grapalat" w:hAnsi="GHEA Grapalat" w:cs="GHEA Grapalat"/>
          <w:sz w:val="22"/>
          <w:szCs w:val="22"/>
        </w:rPr>
        <w:t>վման համար հատկացված միջոցներն ուղղ</w:t>
      </w:r>
      <w:r w:rsidRPr="00C921DE">
        <w:rPr>
          <w:rFonts w:ascii="GHEA Grapalat" w:hAnsi="GHEA Grapalat" w:cs="GHEA Grapalat"/>
          <w:sz w:val="22"/>
          <w:szCs w:val="22"/>
        </w:rPr>
        <w:t>վել են ռենտգենյան սարքավորումների տեխնիկական սպասարկման ծառայությունների, ոչ նյութական հիմնական միջոցների, գրասենյակային գույքի, համակարգչային և այլ սարքավորումների ձեռքբերման</w:t>
      </w:r>
      <w:r w:rsidR="004D6D05" w:rsidRPr="00C921DE">
        <w:rPr>
          <w:rFonts w:ascii="GHEA Grapalat" w:hAnsi="GHEA Grapalat" w:cs="GHEA Grapalat"/>
          <w:sz w:val="22"/>
          <w:szCs w:val="22"/>
          <w:lang w:val="en-US"/>
        </w:rPr>
        <w:t>ը</w:t>
      </w:r>
      <w:r w:rsidRPr="00C921DE">
        <w:rPr>
          <w:rFonts w:ascii="GHEA Grapalat" w:hAnsi="GHEA Grapalat" w:cs="GHEA Grapalat"/>
          <w:sz w:val="22"/>
          <w:szCs w:val="22"/>
        </w:rPr>
        <w:t>: Միջոցառման ծախսերը կազմել են շուրջ 1.7 մլրդ դրամ՝ ապահովելով 88% կատարողական: Շեղումը պայմանավորված է արտարժույթի՝ կանխատեսված և փաստացի փոխարժեքների տարբերությամբ, ինչպես նաև մրցույթների արդյունքում ապրանքների և ծառայությունների՝ նախատեսվածից ցածր գներով ձեռքբերմամբ: Նախորդ տարվա համեմատ նշված միջոցառման ծախսերը նվազել են 28.1%</w:t>
      </w:r>
      <w:r w:rsidRPr="00C921DE">
        <w:rPr>
          <w:rFonts w:ascii="GHEA Grapalat" w:hAnsi="GHEA Grapalat" w:cs="GHEA Grapalat"/>
          <w:sz w:val="22"/>
          <w:szCs w:val="22"/>
        </w:rPr>
        <w:noBreakHyphen/>
        <w:t>ով կամ 664.4 մլն դրամով՝ պայմանավորված հաշվետու տարվա կարիքներով:</w:t>
      </w:r>
    </w:p>
    <w:p w14:paraId="4698B191" w14:textId="40B68207" w:rsidR="00BF1BB9" w:rsidRPr="00C921DE" w:rsidRDefault="00BF1BB9"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ՀՀ պետական եկամուտների կոմիտեի</w:t>
      </w:r>
      <w:r w:rsidR="00387E9F"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շենքային ապահովվածության բարելավման միջոցառման շրջանակներում 2 շինարարական օբյեկտներում իրականացվել են 988 քառ. մ. մակերեսով կառուցապատման աշխատանքներ՝ </w:t>
      </w:r>
      <w:r w:rsidR="004D6D05" w:rsidRPr="00C921DE">
        <w:rPr>
          <w:rFonts w:ascii="GHEA Grapalat" w:hAnsi="GHEA Grapalat" w:cs="GHEA Grapalat"/>
          <w:sz w:val="22"/>
          <w:szCs w:val="22"/>
        </w:rPr>
        <w:t>նախատեսված 1159.4-ի դիմաց</w:t>
      </w:r>
      <w:r w:rsidR="004D6D05" w:rsidRPr="00C921DE">
        <w:rPr>
          <w:rFonts w:ascii="GHEA Grapalat" w:hAnsi="GHEA Grapalat" w:cs="GHEA Grapalat"/>
          <w:sz w:val="22"/>
          <w:szCs w:val="22"/>
          <w:lang w:val="en-US"/>
        </w:rPr>
        <w:t>, որը</w:t>
      </w:r>
      <w:r w:rsidR="004D6D05" w:rsidRPr="00C921DE">
        <w:rPr>
          <w:rFonts w:ascii="GHEA Grapalat" w:hAnsi="GHEA Grapalat" w:cs="GHEA Grapalat"/>
          <w:sz w:val="22"/>
          <w:szCs w:val="22"/>
        </w:rPr>
        <w:t xml:space="preserve"> </w:t>
      </w:r>
      <w:r w:rsidRPr="00C921DE">
        <w:rPr>
          <w:rFonts w:ascii="GHEA Grapalat" w:hAnsi="GHEA Grapalat" w:cs="GHEA Grapalat"/>
          <w:sz w:val="22"/>
          <w:szCs w:val="22"/>
        </w:rPr>
        <w:t>պայմանավորված</w:t>
      </w:r>
      <w:r w:rsidR="00742201" w:rsidRPr="00C921DE">
        <w:rPr>
          <w:rFonts w:ascii="GHEA Grapalat" w:hAnsi="GHEA Grapalat" w:cs="GHEA Grapalat"/>
          <w:sz w:val="22"/>
          <w:szCs w:val="22"/>
          <w:lang w:val="en-US"/>
        </w:rPr>
        <w:t xml:space="preserve"> է</w:t>
      </w:r>
      <w:r w:rsidRPr="00C921DE">
        <w:rPr>
          <w:rFonts w:ascii="GHEA Grapalat" w:hAnsi="GHEA Grapalat" w:cs="GHEA Grapalat"/>
          <w:sz w:val="22"/>
          <w:szCs w:val="22"/>
        </w:rPr>
        <w:t xml:space="preserve"> նրանով, որ ՀՀ ՊԵԿ Արևելյան մաքսատուն-վարչության «Բագրատաշեն» մաքսակետի վերակառուցման աշխատանքների իրականացման համար 4 անգամ մրցույթ է հայտարարվել, հաղթող ճանաչված մասնակցի հետ պայմա</w:t>
      </w:r>
      <w:r w:rsidR="00742201" w:rsidRPr="00C921DE">
        <w:rPr>
          <w:rFonts w:ascii="GHEA Grapalat" w:hAnsi="GHEA Grapalat" w:cs="GHEA Grapalat"/>
          <w:sz w:val="22"/>
          <w:szCs w:val="22"/>
          <w:lang w:val="en-US"/>
        </w:rPr>
        <w:t>նա</w:t>
      </w:r>
      <w:r w:rsidRPr="00C921DE">
        <w:rPr>
          <w:rFonts w:ascii="GHEA Grapalat" w:hAnsi="GHEA Grapalat" w:cs="GHEA Grapalat"/>
          <w:sz w:val="22"/>
          <w:szCs w:val="22"/>
        </w:rPr>
        <w:t>գիրը կնքվել է 2023 թվականի հոկտեմբերի 13-ին, որից հետո առաջացած խնդիրների պատճառով անհրաժեշտություն է առաջացել կատարելու հատակագծային փոփոխություններ: Իրականացվել են նաև 2 հատ նախագծահետազոտական փաստաթղթերի</w:t>
      </w:r>
      <w:r w:rsidR="00742201" w:rsidRPr="00C921DE">
        <w:rPr>
          <w:rFonts w:ascii="GHEA Grapalat" w:hAnsi="GHEA Grapalat" w:cs="GHEA Grapalat"/>
          <w:sz w:val="22"/>
          <w:szCs w:val="22"/>
          <w:lang w:val="en-US"/>
        </w:rPr>
        <w:t xml:space="preserve"> կազմում՝ </w:t>
      </w:r>
      <w:r w:rsidR="00742201" w:rsidRPr="00C921DE">
        <w:rPr>
          <w:rFonts w:ascii="GHEA Grapalat" w:hAnsi="GHEA Grapalat" w:cs="GHEA Grapalat"/>
          <w:sz w:val="22"/>
          <w:szCs w:val="22"/>
        </w:rPr>
        <w:t>նախատեսված 3-ի փոխարեն</w:t>
      </w:r>
      <w:r w:rsidR="00742201" w:rsidRPr="00C921DE">
        <w:rPr>
          <w:rFonts w:ascii="GHEA Grapalat" w:hAnsi="GHEA Grapalat" w:cs="GHEA Grapalat"/>
          <w:sz w:val="22"/>
          <w:szCs w:val="22"/>
          <w:lang w:val="en-US"/>
        </w:rPr>
        <w:t>,</w:t>
      </w:r>
      <w:r w:rsidRPr="00C921DE">
        <w:rPr>
          <w:rFonts w:ascii="GHEA Grapalat" w:hAnsi="GHEA Grapalat" w:cs="GHEA Grapalat"/>
          <w:sz w:val="22"/>
          <w:szCs w:val="22"/>
        </w:rPr>
        <w:t xml:space="preserve"> և 2288 քառ. մ. մակերեսով </w:t>
      </w:r>
      <w:r w:rsidR="000B0C69" w:rsidRPr="00C921DE">
        <w:rPr>
          <w:rFonts w:ascii="GHEA Grapalat" w:hAnsi="GHEA Grapalat" w:cs="GHEA Grapalat"/>
          <w:sz w:val="22"/>
          <w:szCs w:val="22"/>
        </w:rPr>
        <w:t xml:space="preserve">նախագծման </w:t>
      </w:r>
      <w:r w:rsidRPr="00C921DE">
        <w:rPr>
          <w:rFonts w:ascii="GHEA Grapalat" w:hAnsi="GHEA Grapalat" w:cs="GHEA Grapalat"/>
          <w:sz w:val="22"/>
          <w:szCs w:val="22"/>
        </w:rPr>
        <w:t>աշխատանքներ</w:t>
      </w:r>
      <w:r w:rsidR="00742201" w:rsidRPr="00C921DE">
        <w:rPr>
          <w:rFonts w:ascii="GHEA Grapalat" w:hAnsi="GHEA Grapalat" w:cs="GHEA Grapalat"/>
          <w:sz w:val="22"/>
          <w:szCs w:val="22"/>
          <w:lang w:val="en-US"/>
        </w:rPr>
        <w:t xml:space="preserve">՝ </w:t>
      </w:r>
      <w:r w:rsidR="00742201" w:rsidRPr="00C921DE">
        <w:rPr>
          <w:rFonts w:ascii="GHEA Grapalat" w:hAnsi="GHEA Grapalat" w:cs="GHEA Grapalat"/>
          <w:sz w:val="22"/>
          <w:szCs w:val="22"/>
        </w:rPr>
        <w:t>նախատեսված 38416</w:t>
      </w:r>
      <w:r w:rsidR="00742201" w:rsidRPr="00C921DE">
        <w:rPr>
          <w:rFonts w:ascii="GHEA Grapalat" w:hAnsi="GHEA Grapalat" w:cs="GHEA Grapalat"/>
          <w:sz w:val="22"/>
          <w:szCs w:val="22"/>
          <w:lang w:val="en-US"/>
        </w:rPr>
        <w:t xml:space="preserve"> քառ. մ</w:t>
      </w:r>
      <w:r w:rsidR="00C4463E" w:rsidRPr="00C921DE">
        <w:rPr>
          <w:rFonts w:ascii="GHEA Grapalat" w:hAnsi="GHEA Grapalat" w:cs="GHEA Grapalat"/>
          <w:sz w:val="22"/>
          <w:szCs w:val="22"/>
          <w:lang w:val="en-US"/>
        </w:rPr>
        <w:t>.</w:t>
      </w:r>
      <w:r w:rsidR="00742201" w:rsidRPr="00C921DE">
        <w:rPr>
          <w:rFonts w:ascii="GHEA Grapalat" w:hAnsi="GHEA Grapalat" w:cs="GHEA Grapalat"/>
          <w:sz w:val="22"/>
          <w:szCs w:val="22"/>
          <w:lang w:val="en-US"/>
        </w:rPr>
        <w:t>-</w:t>
      </w:r>
      <w:r w:rsidR="00742201" w:rsidRPr="00C921DE">
        <w:rPr>
          <w:rFonts w:ascii="GHEA Grapalat" w:hAnsi="GHEA Grapalat" w:cs="GHEA Grapalat"/>
          <w:sz w:val="22"/>
          <w:szCs w:val="22"/>
        </w:rPr>
        <w:t>ի դիմաց</w:t>
      </w:r>
      <w:r w:rsidRPr="00C921DE">
        <w:rPr>
          <w:rFonts w:ascii="GHEA Grapalat" w:hAnsi="GHEA Grapalat" w:cs="GHEA Grapalat"/>
          <w:sz w:val="22"/>
          <w:szCs w:val="22"/>
        </w:rPr>
        <w:t xml:space="preserve">: Վերջինս պայմանավորված է նրանով, որ Երևանի ԱՏԳ կենտրոնի քանդման աշխատանքների իրականացման համար կազմակերպված գնման գործընթացի մրցույթի արդյունքները վիճարկվել են մասնակցի կողմից դատական հայցով, որի արդյունքում աշխատանքները հետաձգվել են: Արդյունքում նշված միջոցառման շրջանակներում օգտագործվել է նախատեսված միջոցների 62.6%-ը՝ 1.1 մլրդ դրամ: Նախորդ տարվա համեմատ </w:t>
      </w:r>
      <w:r w:rsidR="008E5973" w:rsidRPr="00C921DE">
        <w:rPr>
          <w:rFonts w:ascii="GHEA Grapalat" w:hAnsi="GHEA Grapalat" w:cs="GHEA Grapalat"/>
          <w:sz w:val="22"/>
          <w:szCs w:val="22"/>
        </w:rPr>
        <w:t>ՀՀ պետական եկամուտների կոմիտեի շենքային ապահովվածության բարելավման</w:t>
      </w:r>
      <w:r w:rsidRPr="00C921DE">
        <w:rPr>
          <w:rFonts w:ascii="GHEA Grapalat" w:hAnsi="GHEA Grapalat" w:cs="GHEA Grapalat"/>
          <w:sz w:val="22"/>
          <w:szCs w:val="22"/>
        </w:rPr>
        <w:t xml:space="preserve"> միջոցառման ծախսերն աճել են 924 անգամ կամ 1.1 մլրդ դրամով, որը պայմանավորված է կապիտալ շինարարության ծավալ</w:t>
      </w:r>
      <w:r w:rsidR="00A24660" w:rsidRPr="00C921DE">
        <w:rPr>
          <w:rFonts w:ascii="GHEA Grapalat" w:hAnsi="GHEA Grapalat" w:cs="GHEA Grapalat"/>
          <w:sz w:val="22"/>
          <w:szCs w:val="22"/>
          <w:lang w:val="en-US"/>
        </w:rPr>
        <w:t>ներով</w:t>
      </w:r>
      <w:r w:rsidRPr="00C921DE">
        <w:rPr>
          <w:rFonts w:ascii="GHEA Grapalat" w:hAnsi="GHEA Grapalat" w:cs="GHEA Grapalat"/>
          <w:sz w:val="22"/>
          <w:szCs w:val="22"/>
        </w:rPr>
        <w:t xml:space="preserve">: </w:t>
      </w:r>
    </w:p>
    <w:p w14:paraId="6AE0DDB1" w14:textId="0DD1CAFE" w:rsidR="00BF1BB9" w:rsidRPr="00C921DE" w:rsidRDefault="00A24660" w:rsidP="00BF1BB9">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ՎԶԵԲ</w:t>
      </w:r>
      <w:r w:rsidR="00BF1BB9" w:rsidRPr="00C921DE">
        <w:rPr>
          <w:rFonts w:ascii="GHEA Grapalat" w:hAnsi="GHEA Grapalat" w:cs="GHEA Grapalat"/>
          <w:sz w:val="22"/>
          <w:szCs w:val="22"/>
        </w:rPr>
        <w:t xml:space="preserve"> աջակցությամբ իրականացվող Մեղրիի սահմանային անցակետի վարկային ծրագրի</w:t>
      </w:r>
      <w:r w:rsidR="006A156C" w:rsidRPr="00C921DE">
        <w:rPr>
          <w:rFonts w:ascii="GHEA Grapalat" w:hAnsi="GHEA Grapalat" w:cs="GHEA Grapalat"/>
          <w:sz w:val="22"/>
          <w:szCs w:val="22"/>
          <w:lang w:val="en-US"/>
        </w:rPr>
        <w:t>՝</w:t>
      </w:r>
      <w:r w:rsidR="00BF1BB9" w:rsidRPr="00C921DE">
        <w:rPr>
          <w:rFonts w:ascii="GHEA Grapalat" w:hAnsi="GHEA Grapalat" w:cs="GHEA Grapalat"/>
          <w:sz w:val="22"/>
          <w:szCs w:val="22"/>
        </w:rPr>
        <w:t xml:space="preserve"> ՀՀ պետական եկամուտների կոմիտեի նոր շենքային պայմանների ապահովման միջոցառման շր</w:t>
      </w:r>
      <w:r w:rsidR="006A156C" w:rsidRPr="00C921DE">
        <w:rPr>
          <w:rFonts w:ascii="GHEA Grapalat" w:hAnsi="GHEA Grapalat" w:cs="GHEA Grapalat"/>
          <w:sz w:val="22"/>
          <w:szCs w:val="22"/>
          <w:lang w:val="en-US"/>
        </w:rPr>
        <w:t>ջ</w:t>
      </w:r>
      <w:r w:rsidR="00BF1BB9" w:rsidRPr="00C921DE">
        <w:rPr>
          <w:rFonts w:ascii="GHEA Grapalat" w:hAnsi="GHEA Grapalat" w:cs="GHEA Grapalat"/>
          <w:sz w:val="22"/>
          <w:szCs w:val="22"/>
        </w:rPr>
        <w:t xml:space="preserve">անակներում Մեղրիի սահմանային անցակետի տարածքում հողային և քանդման աշխատանքներն իրականացվել են 34.6%-ով՝ նախատեսված 44.5%-ի փոխարեն: Միջոցառման շրջանակներում օգտագործվել է 1.1 մլրդ դրամ կամ նախատեսված միջոցների 77.8%-ը: Վերջինս պայմանավորված է նրանով, որ հայտարարված միջազգային մրցույթի արդյունքում հաղթող է ճանաչվել օտարերկրյա կազմակերպություն, որին քաղաքաշինական գործունեության թույլտվությունը տրամադրվել է երկրորդ եռամսյակում, արդյունքում աշխատանքները սկսվել են նախատեսված ժամկետից ուշ: </w:t>
      </w:r>
    </w:p>
    <w:p w14:paraId="04D1612E" w14:textId="77777777" w:rsidR="00C56BD7" w:rsidRPr="00C921DE" w:rsidRDefault="00C56BD7" w:rsidP="00C56BD7">
      <w:pPr>
        <w:spacing w:line="360" w:lineRule="auto"/>
        <w:ind w:firstLine="561"/>
        <w:jc w:val="both"/>
        <w:rPr>
          <w:rFonts w:ascii="GHEA Grapalat" w:hAnsi="GHEA Grapalat" w:cs="GHEA Grapalat"/>
          <w:sz w:val="22"/>
          <w:szCs w:val="22"/>
        </w:rPr>
      </w:pPr>
    </w:p>
    <w:p w14:paraId="40B086EF" w14:textId="3044A3FB" w:rsidR="00BC1A2F" w:rsidRPr="00C921DE" w:rsidRDefault="00C56BD7"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i/>
          <w:sz w:val="22"/>
          <w:szCs w:val="22"/>
          <w:u w:val="single"/>
        </w:rPr>
        <w:t>ՀՀ ազգային անվտանգության ծառայության</w:t>
      </w:r>
      <w:r w:rsidRPr="00C921DE">
        <w:rPr>
          <w:rFonts w:ascii="GHEA Grapalat" w:hAnsi="GHEA Grapalat"/>
          <w:sz w:val="22"/>
          <w:szCs w:val="22"/>
        </w:rPr>
        <w:t xml:space="preserve"> </w:t>
      </w:r>
      <w:r w:rsidR="00BC1A2F" w:rsidRPr="00C921DE">
        <w:rPr>
          <w:rFonts w:ascii="GHEA Grapalat" w:hAnsi="GHEA Grapalat"/>
          <w:sz w:val="22"/>
          <w:szCs w:val="22"/>
        </w:rPr>
        <w:t>պատասխանատվությամբ</w:t>
      </w:r>
      <w:r w:rsidR="00BC1A2F" w:rsidRPr="00C921DE">
        <w:rPr>
          <w:rFonts w:ascii="GHEA Grapalat" w:hAnsi="GHEA Grapalat" w:cs="GHEA Grapalat"/>
          <w:sz w:val="22"/>
          <w:szCs w:val="22"/>
        </w:rPr>
        <w:t xml:space="preserve"> 2023 թվականին կատարվել են 47.6</w:t>
      </w:r>
      <w:r w:rsidR="00BC1A2F" w:rsidRPr="00C921DE">
        <w:rPr>
          <w:rFonts w:ascii="Courier New" w:hAnsi="Courier New" w:cs="Courier New"/>
          <w:sz w:val="22"/>
          <w:szCs w:val="22"/>
        </w:rPr>
        <w:t> </w:t>
      </w:r>
      <w:r w:rsidR="00BC1A2F" w:rsidRPr="00C921DE">
        <w:rPr>
          <w:rFonts w:ascii="GHEA Grapalat" w:hAnsi="GHEA Grapalat" w:cs="GHEA Grapalat"/>
          <w:sz w:val="22"/>
          <w:szCs w:val="22"/>
        </w:rPr>
        <w:t xml:space="preserve">մլրդ դրամ ծախսեր՝ ապահովելով ծրագրված ցուցանիշի 96.1%-ը: Հատկացված միջոցներով իրականացվել են </w:t>
      </w:r>
      <w:r w:rsidR="00BC1A2F" w:rsidRPr="00C921DE">
        <w:rPr>
          <w:rFonts w:ascii="GHEA Grapalat" w:hAnsi="GHEA Grapalat"/>
          <w:sz w:val="22"/>
          <w:szCs w:val="22"/>
        </w:rPr>
        <w:t xml:space="preserve">երկու ծրագրեր՝ «Պետական պահպանության ապահովում» և «Ազգային </w:t>
      </w:r>
      <w:r w:rsidR="00BC1A2F" w:rsidRPr="00C921DE">
        <w:rPr>
          <w:rFonts w:ascii="GHEA Grapalat" w:hAnsi="GHEA Grapalat" w:cs="GHEA Grapalat"/>
          <w:sz w:val="22"/>
          <w:szCs w:val="22"/>
        </w:rPr>
        <w:t>անվտանգություն</w:t>
      </w:r>
      <w:r w:rsidR="00BC1A2F" w:rsidRPr="00C921DE">
        <w:rPr>
          <w:rFonts w:ascii="GHEA Grapalat" w:hAnsi="GHEA Grapalat"/>
          <w:sz w:val="22"/>
          <w:szCs w:val="22"/>
        </w:rPr>
        <w:t xml:space="preserve">»։ Շեղումը, ինչպես նաև նախորդ տարվա համեմատ </w:t>
      </w:r>
      <w:r w:rsidR="00BC1A2F" w:rsidRPr="00C921DE">
        <w:rPr>
          <w:rFonts w:ascii="GHEA Grapalat" w:hAnsi="GHEA Grapalat" w:cs="GHEA Grapalat"/>
          <w:sz w:val="22"/>
          <w:szCs w:val="22"/>
        </w:rPr>
        <w:t>5.2% (</w:t>
      </w:r>
      <w:r w:rsidR="00BC1A2F" w:rsidRPr="00C921DE">
        <w:rPr>
          <w:rFonts w:ascii="GHEA Grapalat" w:hAnsi="GHEA Grapalat" w:cs="Calibri"/>
          <w:sz w:val="22"/>
          <w:szCs w:val="22"/>
        </w:rPr>
        <w:t xml:space="preserve">կամ </w:t>
      </w:r>
      <w:r w:rsidR="00BC1A2F" w:rsidRPr="00C921DE">
        <w:rPr>
          <w:rFonts w:ascii="GHEA Grapalat" w:hAnsi="GHEA Grapalat"/>
          <w:sz w:val="22"/>
          <w:szCs w:val="22"/>
        </w:rPr>
        <w:t xml:space="preserve">2.6 մլրդ դրամ) </w:t>
      </w:r>
      <w:r w:rsidR="00BC1A2F" w:rsidRPr="00C921DE">
        <w:rPr>
          <w:rFonts w:ascii="GHEA Grapalat" w:hAnsi="GHEA Grapalat" w:cs="GHEA Grapalat"/>
          <w:sz w:val="22"/>
          <w:szCs w:val="22"/>
        </w:rPr>
        <w:t xml:space="preserve">նվազումը հիմնականում պայմանավորված են Ազգային անվտանգության ծրագրի </w:t>
      </w:r>
      <w:r w:rsidR="00FB1135" w:rsidRPr="00C921DE">
        <w:rPr>
          <w:rFonts w:ascii="GHEA Grapalat" w:hAnsi="GHEA Grapalat" w:cs="GHEA Grapalat"/>
          <w:sz w:val="22"/>
          <w:szCs w:val="22"/>
          <w:lang w:val="en-US"/>
        </w:rPr>
        <w:t>կատարողական</w:t>
      </w:r>
      <w:r w:rsidR="00BC1A2F" w:rsidRPr="00C921DE">
        <w:rPr>
          <w:rFonts w:ascii="GHEA Grapalat" w:hAnsi="GHEA Grapalat" w:cs="GHEA Grapalat"/>
          <w:sz w:val="22"/>
          <w:szCs w:val="22"/>
        </w:rPr>
        <w:t>ով:</w:t>
      </w:r>
    </w:p>
    <w:p w14:paraId="4F355331" w14:textId="4F31BEED"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 xml:space="preserve">2023 թվականի ընթացքում </w:t>
      </w:r>
      <w:r w:rsidRPr="00C921DE">
        <w:rPr>
          <w:rFonts w:ascii="GHEA Grapalat" w:hAnsi="GHEA Grapalat" w:cs="Sylfaen"/>
          <w:i/>
          <w:sz w:val="22"/>
          <w:szCs w:val="22"/>
        </w:rPr>
        <w:t>Ազգային</w:t>
      </w:r>
      <w:r w:rsidRPr="00C921DE">
        <w:rPr>
          <w:rFonts w:ascii="GHEA Grapalat" w:hAnsi="GHEA Grapalat" w:cs="Sylfaen"/>
          <w:i/>
          <w:sz w:val="22"/>
          <w:szCs w:val="22"/>
          <w:lang w:val="zu-ZA"/>
        </w:rPr>
        <w:t xml:space="preserve"> </w:t>
      </w:r>
      <w:r w:rsidRPr="00C921DE">
        <w:rPr>
          <w:rFonts w:ascii="GHEA Grapalat" w:hAnsi="GHEA Grapalat" w:cs="Sylfaen"/>
          <w:i/>
          <w:sz w:val="22"/>
          <w:szCs w:val="22"/>
        </w:rPr>
        <w:t>անվտանգության</w:t>
      </w:r>
      <w:r w:rsidRPr="00C921DE">
        <w:rPr>
          <w:rFonts w:ascii="GHEA Grapalat" w:hAnsi="GHEA Grapalat" w:cs="Sylfaen"/>
          <w:sz w:val="22"/>
          <w:szCs w:val="22"/>
          <w:lang w:val="zu-ZA"/>
        </w:rPr>
        <w:t xml:space="preserve"> </w:t>
      </w:r>
      <w:r w:rsidRPr="00C921DE">
        <w:rPr>
          <w:rFonts w:ascii="GHEA Grapalat" w:hAnsi="GHEA Grapalat" w:cs="GHEA Grapalat"/>
          <w:sz w:val="22"/>
          <w:szCs w:val="22"/>
        </w:rPr>
        <w:t>ծրագրի իրականացման նպատակով պետական բյուջեից ծախսվել է շուրջ 42.9 մլրդ դրամ` կազմելով ծրագրված ցուցանիշի 95.8%</w:t>
      </w:r>
      <w:r w:rsidRPr="00C921DE">
        <w:rPr>
          <w:rFonts w:ascii="GHEA Grapalat" w:hAnsi="GHEA Grapalat" w:cs="GHEA Grapalat"/>
          <w:sz w:val="22"/>
          <w:szCs w:val="22"/>
        </w:rPr>
        <w:noBreakHyphen/>
        <w:t xml:space="preserve">ը: Շեղումը հիմնականում պայմանավորված է </w:t>
      </w:r>
      <w:r w:rsidRPr="00C921DE">
        <w:rPr>
          <w:rFonts w:ascii="GHEA Grapalat" w:hAnsi="GHEA Grapalat"/>
          <w:sz w:val="22"/>
          <w:szCs w:val="22"/>
          <w:lang w:val="zu-ZA"/>
        </w:rPr>
        <w:t xml:space="preserve">հետախուզական, հակահետախուզական, ռազմական </w:t>
      </w:r>
      <w:r w:rsidRPr="00C921DE">
        <w:rPr>
          <w:rFonts w:ascii="GHEA Grapalat" w:hAnsi="GHEA Grapalat" w:cs="Sylfaen"/>
          <w:sz w:val="22"/>
          <w:szCs w:val="22"/>
        </w:rPr>
        <w:t>հակահետախուզության</w:t>
      </w:r>
      <w:r w:rsidR="00FB1135" w:rsidRPr="00C921DE">
        <w:rPr>
          <w:rFonts w:ascii="GHEA Grapalat" w:hAnsi="GHEA Grapalat"/>
          <w:sz w:val="22"/>
          <w:szCs w:val="22"/>
          <w:lang w:val="zu-ZA"/>
        </w:rPr>
        <w:t>, հանցագործություն</w:t>
      </w:r>
      <w:r w:rsidRPr="00C921DE">
        <w:rPr>
          <w:rFonts w:ascii="GHEA Grapalat" w:hAnsi="GHEA Grapalat"/>
          <w:sz w:val="22"/>
          <w:szCs w:val="22"/>
          <w:lang w:val="zu-ZA"/>
        </w:rPr>
        <w:t xml:space="preserve">ների դեմ պայքարի և պետական </w:t>
      </w:r>
      <w:r w:rsidRPr="00C921DE">
        <w:rPr>
          <w:rFonts w:ascii="GHEA Grapalat" w:hAnsi="GHEA Grapalat" w:cs="GHEA Grapalat"/>
          <w:sz w:val="22"/>
          <w:szCs w:val="22"/>
        </w:rPr>
        <w:t>սահմանի պահպանության գործունեության կազմակերպման միջոցառման կատարողականով: Նախորդ տարվա համեմատ ծրագրի ծախսերը նվազել են 5.1%-ով կամ շուրջ 2.3 մլրդ դրամով՝ հիմնականում պայմանավորված պաշտպանության բնագավառի այլ ծախսերի նվազմամբ։</w:t>
      </w:r>
    </w:p>
    <w:p w14:paraId="6FEE7A54" w14:textId="22426CC7"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Ծրագրի շրջանակներում իրականացվել են 5 միջոցառումներ:</w:t>
      </w:r>
      <w:r w:rsidR="00B07C1E" w:rsidRPr="00C921DE">
        <w:rPr>
          <w:rFonts w:ascii="GHEA Grapalat" w:hAnsi="GHEA Grapalat" w:cs="GHEA Grapalat"/>
          <w:sz w:val="22"/>
          <w:szCs w:val="22"/>
          <w:lang w:val="en-US"/>
        </w:rPr>
        <w:t xml:space="preserve"> Մասնավորապես՝</w:t>
      </w:r>
      <w:r w:rsidRPr="00C921DE">
        <w:rPr>
          <w:rFonts w:ascii="GHEA Grapalat" w:hAnsi="GHEA Grapalat" w:cs="GHEA Grapalat"/>
          <w:sz w:val="22"/>
          <w:szCs w:val="22"/>
        </w:rPr>
        <w:t xml:space="preserve"> 29.8 մլրդ դրամ է տրամադրվել հետախուզական, հակահետախուզական, ռազմական հակահետախուզության, հանցագործությունների դեմ պայքարի և պետական սահմանի պահպանության գործունեության կազմակերպման միջոցառմանը, որը կատարվել է 96.3%-ով: </w:t>
      </w:r>
      <w:r w:rsidRPr="00C921DE">
        <w:rPr>
          <w:rFonts w:ascii="GHEA Grapalat" w:hAnsi="GHEA Grapalat"/>
          <w:sz w:val="22"/>
          <w:szCs w:val="22"/>
          <w:lang w:val="zu-ZA"/>
        </w:rPr>
        <w:t>Վերջինս հիմնականում պայմանավորված է գնային առաջարկ չլինելու պատճառով մրցույթների չկայացմամբ, ինչպես նաև գնման գործընթացում առաջացած տնտեսումներով։</w:t>
      </w:r>
      <w:r w:rsidRPr="00C921DE">
        <w:rPr>
          <w:rFonts w:ascii="GHEA Grapalat" w:hAnsi="GHEA Grapalat" w:cs="GHEA Grapalat"/>
          <w:sz w:val="22"/>
          <w:szCs w:val="22"/>
        </w:rPr>
        <w:t xml:space="preserve"> Նախորդ տարվա համեմատ նշված ծախսերն աճել են 5.4%-ով կամ 1.5 մլրդ դրամով, որը պայմանավորված է զինծառայողների ատեստավորման </w:t>
      </w:r>
      <w:r w:rsidR="003E5F4B" w:rsidRPr="00C921DE">
        <w:rPr>
          <w:rFonts w:ascii="GHEA Grapalat" w:hAnsi="GHEA Grapalat" w:cs="GHEA Grapalat"/>
          <w:sz w:val="22"/>
          <w:szCs w:val="22"/>
          <w:lang w:val="en-US"/>
        </w:rPr>
        <w:t>արդյունքում</w:t>
      </w:r>
      <w:r w:rsidRPr="00C921DE">
        <w:rPr>
          <w:rFonts w:ascii="GHEA Grapalat" w:hAnsi="GHEA Grapalat" w:cs="GHEA Grapalat"/>
          <w:sz w:val="22"/>
          <w:szCs w:val="22"/>
        </w:rPr>
        <w:t xml:space="preserve"> աշխատավարձերի բարձրացմամբ և թոշակի գնացող զինծառայողների թվի ավելացման հետ կապված</w:t>
      </w:r>
      <w:r w:rsidR="003E5F4B"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վճարվող միանվագ նպաստների գումարի ավելացմամբ:</w:t>
      </w:r>
      <w:r w:rsidR="00387E9F" w:rsidRPr="00C921DE">
        <w:rPr>
          <w:rFonts w:ascii="GHEA Grapalat" w:hAnsi="GHEA Grapalat" w:cs="GHEA Grapalat"/>
          <w:sz w:val="22"/>
          <w:szCs w:val="22"/>
        </w:rPr>
        <w:t xml:space="preserve"> </w:t>
      </w:r>
    </w:p>
    <w:p w14:paraId="2AD7E81F" w14:textId="77777777"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Պաշտպանության բնագավառի այլ ծախսերին տրամադրվել է 10 մլրդ դրամ՝ ապահովելով 100% կատարողական: Նախորդ տարվա համեմատ տվյալ միջոցառման ծախսերը նվազել են 22.8%</w:t>
      </w:r>
      <w:r w:rsidRPr="00C921DE">
        <w:rPr>
          <w:rFonts w:ascii="GHEA Grapalat" w:hAnsi="GHEA Grapalat" w:cs="GHEA Grapalat"/>
          <w:sz w:val="22"/>
          <w:szCs w:val="22"/>
        </w:rPr>
        <w:noBreakHyphen/>
        <w:t>ով կամ 3 մլրդ դրամով:</w:t>
      </w:r>
    </w:p>
    <w:p w14:paraId="37F0ADA0" w14:textId="537573F1"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Ազգային անվտանգության համակարգի շենքային ապահովվածության բարելավման միջոցառման շրջանակներում կառուցվել են 3638 ք.մ. </w:t>
      </w:r>
      <w:r w:rsidR="003E5F4B" w:rsidRPr="00C921DE">
        <w:rPr>
          <w:rFonts w:ascii="GHEA Grapalat" w:hAnsi="GHEA Grapalat" w:cs="GHEA Grapalat"/>
          <w:sz w:val="22"/>
          <w:szCs w:val="22"/>
        </w:rPr>
        <w:t xml:space="preserve">ընդհանուր մակերեսով </w:t>
      </w:r>
      <w:r w:rsidRPr="00C921DE">
        <w:rPr>
          <w:rFonts w:ascii="GHEA Grapalat" w:hAnsi="GHEA Grapalat" w:cs="GHEA Grapalat"/>
          <w:sz w:val="22"/>
          <w:szCs w:val="22"/>
        </w:rPr>
        <w:t>շենքեր և շինություններ</w:t>
      </w:r>
      <w:r w:rsidR="003E5F4B" w:rsidRPr="00C921DE">
        <w:rPr>
          <w:rFonts w:ascii="GHEA Grapalat" w:hAnsi="GHEA Grapalat" w:cs="GHEA Grapalat"/>
          <w:sz w:val="22"/>
          <w:szCs w:val="22"/>
          <w:lang w:val="en-US"/>
        </w:rPr>
        <w:t xml:space="preserve">՝ </w:t>
      </w:r>
      <w:r w:rsidR="003E5F4B" w:rsidRPr="00C921DE">
        <w:rPr>
          <w:rFonts w:ascii="GHEA Grapalat" w:hAnsi="GHEA Grapalat" w:cs="GHEA Grapalat"/>
          <w:sz w:val="22"/>
          <w:szCs w:val="22"/>
        </w:rPr>
        <w:t>նախատեսված 4182</w:t>
      </w:r>
      <w:r w:rsidR="003E5F4B" w:rsidRPr="00C921DE">
        <w:rPr>
          <w:rFonts w:ascii="GHEA Grapalat" w:hAnsi="GHEA Grapalat" w:cs="GHEA Grapalat"/>
          <w:sz w:val="22"/>
          <w:szCs w:val="22"/>
          <w:lang w:val="en-US"/>
        </w:rPr>
        <w:t xml:space="preserve"> ք.մ.</w:t>
      </w:r>
      <w:r w:rsidR="003E5F4B" w:rsidRPr="00C921DE">
        <w:rPr>
          <w:rFonts w:ascii="GHEA Grapalat" w:hAnsi="GHEA Grapalat" w:cs="GHEA Grapalat"/>
          <w:sz w:val="22"/>
          <w:szCs w:val="22"/>
        </w:rPr>
        <w:t>-ի փոխարեն</w:t>
      </w:r>
      <w:r w:rsidRPr="00C921DE">
        <w:rPr>
          <w:rFonts w:ascii="GHEA Grapalat" w:hAnsi="GHEA Grapalat" w:cs="GHEA Grapalat"/>
          <w:sz w:val="22"/>
          <w:szCs w:val="22"/>
        </w:rPr>
        <w:t>: Միջոցառման ծախսերը կ</w:t>
      </w:r>
      <w:r w:rsidR="003E5F4B" w:rsidRPr="00C921DE">
        <w:rPr>
          <w:rFonts w:ascii="GHEA Grapalat" w:hAnsi="GHEA Grapalat" w:cs="GHEA Grapalat"/>
          <w:sz w:val="22"/>
          <w:szCs w:val="22"/>
        </w:rPr>
        <w:t>ատարվել են 88%-ով` կազմելով 1.7</w:t>
      </w:r>
      <w:r w:rsidR="003E5F4B" w:rsidRPr="00C921DE">
        <w:rPr>
          <w:rFonts w:ascii="Calibri" w:hAnsi="Calibri" w:cs="Calibri"/>
          <w:sz w:val="22"/>
          <w:szCs w:val="22"/>
          <w:lang w:val="en-US"/>
        </w:rPr>
        <w:t> </w:t>
      </w:r>
      <w:r w:rsidRPr="00C921DE">
        <w:rPr>
          <w:rFonts w:ascii="GHEA Grapalat" w:hAnsi="GHEA Grapalat" w:cs="GHEA Grapalat"/>
          <w:sz w:val="22"/>
          <w:szCs w:val="22"/>
        </w:rPr>
        <w:t>մլրդ դրամ: Ծրագրված ցուցանիշի նկատմամբ շեղումը պայմանավորված է մրցույթների արդյունքում առաջացած տնտեսումներով, ինչպես նաև եղանակային պայմաններ</w:t>
      </w:r>
      <w:r w:rsidR="001F0DC2" w:rsidRPr="00C921DE">
        <w:rPr>
          <w:rFonts w:ascii="GHEA Grapalat" w:hAnsi="GHEA Grapalat" w:cs="GHEA Grapalat"/>
          <w:sz w:val="22"/>
          <w:szCs w:val="22"/>
          <w:lang w:val="en-US"/>
        </w:rPr>
        <w:t>ով</w:t>
      </w:r>
      <w:r w:rsidRPr="00C921DE">
        <w:rPr>
          <w:rFonts w:ascii="GHEA Grapalat" w:hAnsi="GHEA Grapalat" w:cs="GHEA Grapalat"/>
          <w:sz w:val="22"/>
          <w:szCs w:val="22"/>
        </w:rPr>
        <w:t xml:space="preserve"> և ՀՀ սահմանին ստեղծված իրավիճակով, որոնց հետևանքով հնարավոր չի եղել ամբողջ ծավալով իրականացնել նախատեսված շինարարական աշխատանքները: Նախորդ տարվա համեմատ տվյալ միջոցառման ծախսերը նվազել են 25.1%-ով կամ 577.3 մլն դրամով՝ պայմանավորված հաշվետու տարում կառուցվող ուղեկալների պակաս թվով:</w:t>
      </w:r>
    </w:p>
    <w:p w14:paraId="2741AE17" w14:textId="77777777"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 2023 թվականի ընթացքում Ազգային անվտանգության համակարգի տեխնիկական հագեցվածության բարելավման միջոցառման շրջանակներում ձեռք են բերվել համակարգչային տեխնիկա, գրասենյակային գույք և այլ սարքավորումներ: Միջոցառման ծախսերը կազմել են շուրջ 1.3 մլրդ դրամ կամ ծրագրված ցուցանիշի 71.5%-ը: Շեղումը պայմանավորված է գնային առաջարկ </w:t>
      </w:r>
      <w:r w:rsidRPr="00C921DE">
        <w:rPr>
          <w:rFonts w:ascii="GHEA Grapalat" w:hAnsi="GHEA Grapalat" w:cs="GHEA Grapalat"/>
          <w:sz w:val="22"/>
          <w:szCs w:val="22"/>
        </w:rPr>
        <w:lastRenderedPageBreak/>
        <w:t>չներկայացնելու պատճառով որոշ մրցույթների չկայացմամբ, մատակարարման ժամկետների ուշացմամբ, ինչպես նաև գնման գործընթացում առաջացած տնտեսումներով: Նախորդ տարվա համեմատ տվյալ միջոցառման ծախսերն աճել են 48.9</w:t>
      </w:r>
      <w:r w:rsidRPr="00C921DE">
        <w:rPr>
          <w:rFonts w:ascii="GHEA Grapalat" w:hAnsi="GHEA Grapalat" w:cs="Sylfaen"/>
          <w:sz w:val="22"/>
          <w:szCs w:val="22"/>
        </w:rPr>
        <w:t xml:space="preserve">%-ով </w:t>
      </w:r>
      <w:r w:rsidRPr="00C921DE">
        <w:rPr>
          <w:rFonts w:ascii="GHEA Grapalat" w:hAnsi="GHEA Grapalat" w:cs="GHEA Grapalat"/>
          <w:sz w:val="22"/>
          <w:szCs w:val="22"/>
        </w:rPr>
        <w:t>կամ 413 մլն դրամով՝ պայմանավորված տեխնիկական միջոցներով համակարգի համալրման անհրաժեշտությամբ:</w:t>
      </w:r>
    </w:p>
    <w:p w14:paraId="1DC06F77" w14:textId="77777777"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rPr>
        <w:t>Պետական պահպանության ապահովման</w:t>
      </w:r>
      <w:r w:rsidRPr="00C921DE">
        <w:rPr>
          <w:rFonts w:ascii="GHEA Grapalat" w:hAnsi="GHEA Grapalat" w:cs="GHEA Grapalat"/>
          <w:sz w:val="22"/>
          <w:szCs w:val="22"/>
        </w:rPr>
        <w:t xml:space="preserve"> ծրագրի շրջանակներում հաշվետու տարում օգտագործվել է շուրջ 4.8 մլրդ դրամ՝ կազմելով ծրագրային ցուցանիշի 99.2%-ը: Նախորդ տարվա համեմատ պետական պահպանության ապահովման ծախսերը նվազել են 6.4%-ով կամ 327.8 մլն դրամով՝ հիմնականում պայմանավորված ՊՊԾ տրանսպորտային միջոցներով ապահովվածության բարելավման ծախսերի նվազմամբ։</w:t>
      </w:r>
    </w:p>
    <w:p w14:paraId="7A80EA2A" w14:textId="77777777" w:rsidR="00BC1A2F" w:rsidRPr="00C921DE" w:rsidRDefault="00BC1A2F"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Հաշվետու տարում «Պետական պահպանության ծառայություններ» միջոցառման շրջանակներում ապահովվել</w:t>
      </w:r>
      <w:r w:rsidRPr="00C921DE">
        <w:rPr>
          <w:rFonts w:ascii="GHEA Grapalat" w:hAnsi="GHEA Grapalat"/>
          <w:sz w:val="22"/>
          <w:szCs w:val="22"/>
          <w:lang w:val="zu-ZA"/>
        </w:rPr>
        <w:t xml:space="preserve"> է մշտապես պահպանվող 10 օբյեկտների 24-ժամյա անվտանգությունը: Միջոցառման </w:t>
      </w:r>
      <w:r w:rsidRPr="00C921DE">
        <w:rPr>
          <w:rFonts w:ascii="GHEA Grapalat" w:hAnsi="GHEA Grapalat" w:cs="GHEA Grapalat"/>
          <w:sz w:val="22"/>
          <w:szCs w:val="22"/>
        </w:rPr>
        <w:t>շրջանակներում</w:t>
      </w:r>
      <w:r w:rsidRPr="00C921DE">
        <w:rPr>
          <w:rFonts w:ascii="GHEA Grapalat" w:hAnsi="GHEA Grapalat"/>
          <w:sz w:val="22"/>
          <w:szCs w:val="22"/>
          <w:lang w:val="zu-ZA"/>
        </w:rPr>
        <w:t xml:space="preserve"> ծախսերը կազմել են </w:t>
      </w:r>
      <w:r w:rsidRPr="00C921DE">
        <w:rPr>
          <w:rFonts w:ascii="GHEA Grapalat" w:hAnsi="GHEA Grapalat" w:cs="GHEA Grapalat"/>
          <w:sz w:val="22"/>
          <w:szCs w:val="22"/>
        </w:rPr>
        <w:t>շուրջ 4.6 մլրդ դրամ կամ ծրագրված ցուցանիշի 99.5%-ը: Նախորդ տարվա համեմատ պետական պահպանության ծառայության ծախսերն աճել են 0.5%-ով կամ 24.8 մլն դրամով:</w:t>
      </w:r>
    </w:p>
    <w:p w14:paraId="16E0F74F" w14:textId="77777777" w:rsidR="00C56BD7" w:rsidRPr="00C921DE" w:rsidRDefault="00C56BD7" w:rsidP="00C56BD7">
      <w:pPr>
        <w:spacing w:line="360" w:lineRule="auto"/>
        <w:ind w:firstLine="561"/>
        <w:jc w:val="both"/>
        <w:rPr>
          <w:rFonts w:ascii="GHEA Grapalat" w:hAnsi="GHEA Grapalat" w:cs="GHEA Grapalat"/>
          <w:sz w:val="22"/>
          <w:szCs w:val="22"/>
        </w:rPr>
      </w:pPr>
    </w:p>
    <w:p w14:paraId="645D2210" w14:textId="121A6A49" w:rsidR="00667348" w:rsidRPr="00C921DE" w:rsidRDefault="00C56BD7"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Sylfaen"/>
          <w:i/>
          <w:sz w:val="22"/>
          <w:szCs w:val="22"/>
          <w:u w:val="single"/>
        </w:rPr>
        <w:t>ՀՀ ոստիկանության</w:t>
      </w:r>
      <w:r w:rsidRPr="00C921DE">
        <w:rPr>
          <w:rFonts w:ascii="GHEA Grapalat" w:hAnsi="GHEA Grapalat" w:cs="Sylfaen"/>
          <w:sz w:val="22"/>
          <w:szCs w:val="22"/>
        </w:rPr>
        <w:t xml:space="preserve"> </w:t>
      </w:r>
      <w:r w:rsidR="00667348" w:rsidRPr="00C921DE">
        <w:rPr>
          <w:rFonts w:ascii="GHEA Grapalat" w:hAnsi="GHEA Grapalat" w:cs="Sylfaen"/>
          <w:sz w:val="22"/>
          <w:szCs w:val="22"/>
        </w:rPr>
        <w:t>պատասխանատվությամբ հաշվետու</w:t>
      </w:r>
      <w:r w:rsidR="00667348" w:rsidRPr="00C921DE">
        <w:rPr>
          <w:rFonts w:ascii="GHEA Grapalat" w:hAnsi="GHEA Grapalat" w:cs="Times Armenian"/>
          <w:sz w:val="22"/>
          <w:szCs w:val="22"/>
        </w:rPr>
        <w:t xml:space="preserve"> տարու</w:t>
      </w:r>
      <w:r w:rsidR="00667348" w:rsidRPr="00C921DE">
        <w:rPr>
          <w:rFonts w:ascii="GHEA Grapalat" w:hAnsi="GHEA Grapalat" w:cs="Sylfaen"/>
          <w:sz w:val="22"/>
          <w:szCs w:val="22"/>
        </w:rPr>
        <w:t>մ իրականացվել են երկու ծրագրեր, որոնց տրամադրվել է</w:t>
      </w:r>
      <w:r w:rsidR="00667348" w:rsidRPr="00C921DE">
        <w:rPr>
          <w:rFonts w:ascii="GHEA Grapalat" w:hAnsi="GHEA Grapalat" w:cs="Times Armenian"/>
          <w:sz w:val="22"/>
          <w:szCs w:val="22"/>
        </w:rPr>
        <w:t xml:space="preserve"> 77.5 </w:t>
      </w:r>
      <w:r w:rsidR="00667348" w:rsidRPr="00C921DE">
        <w:rPr>
          <w:rFonts w:ascii="GHEA Grapalat" w:hAnsi="GHEA Grapalat" w:cs="Sylfaen"/>
          <w:sz w:val="22"/>
          <w:szCs w:val="22"/>
        </w:rPr>
        <w:t>մլրդ</w:t>
      </w:r>
      <w:r w:rsidR="00667348" w:rsidRPr="00C921DE">
        <w:rPr>
          <w:rFonts w:ascii="GHEA Grapalat" w:hAnsi="GHEA Grapalat" w:cs="Times Armenian"/>
          <w:sz w:val="22"/>
          <w:szCs w:val="22"/>
        </w:rPr>
        <w:t xml:space="preserve"> </w:t>
      </w:r>
      <w:r w:rsidR="00667348" w:rsidRPr="00C921DE">
        <w:rPr>
          <w:rFonts w:ascii="GHEA Grapalat" w:hAnsi="GHEA Grapalat" w:cs="Sylfaen"/>
          <w:sz w:val="22"/>
          <w:szCs w:val="22"/>
        </w:rPr>
        <w:t xml:space="preserve">դրամ՝ </w:t>
      </w:r>
      <w:r w:rsidR="00667348" w:rsidRPr="00C921DE">
        <w:rPr>
          <w:rFonts w:ascii="GHEA Grapalat" w:hAnsi="GHEA Grapalat" w:cs="Times Armenian"/>
          <w:sz w:val="22"/>
          <w:szCs w:val="22"/>
        </w:rPr>
        <w:t>կազմելով ծրագրված ցուցանիշի</w:t>
      </w:r>
      <w:r w:rsidR="00667348" w:rsidRPr="00C921DE">
        <w:rPr>
          <w:rFonts w:ascii="GHEA Grapalat" w:hAnsi="GHEA Grapalat" w:cs="Sylfaen"/>
          <w:sz w:val="22"/>
          <w:szCs w:val="22"/>
        </w:rPr>
        <w:t xml:space="preserve"> 99.1</w:t>
      </w:r>
      <w:r w:rsidR="00667348" w:rsidRPr="00C921DE">
        <w:rPr>
          <w:rFonts w:ascii="GHEA Grapalat" w:hAnsi="GHEA Grapalat" w:cs="Times Armenian"/>
          <w:sz w:val="22"/>
          <w:szCs w:val="22"/>
        </w:rPr>
        <w:t xml:space="preserve">%-ը: 2022 թվականի համեմատ ՀՀ ոստիկանության ծախսերը նվազել են 3.1%-ով կամ 2.5 մլրդ դրամով՝ պայմանավորված </w:t>
      </w:r>
      <w:r w:rsidR="00667348" w:rsidRPr="00C921DE">
        <w:rPr>
          <w:rFonts w:ascii="GHEA Grapalat" w:hAnsi="GHEA Grapalat" w:cs="GHEA Grapalat"/>
          <w:sz w:val="22"/>
          <w:szCs w:val="22"/>
        </w:rPr>
        <w:t>Ոստիկանության</w:t>
      </w:r>
      <w:r w:rsidR="00667348" w:rsidRPr="00C921DE">
        <w:rPr>
          <w:rFonts w:ascii="GHEA Grapalat" w:hAnsi="GHEA Grapalat" w:cs="Times Armenian"/>
          <w:sz w:val="22"/>
          <w:szCs w:val="22"/>
        </w:rPr>
        <w:t xml:space="preserve"> ոլորտի քաղաքականության մշակման, կառավարման, կենտրոնացված միջոցառումների, մոնիտորինգի և վերահսկողության ծրագրի շրջանակներում կատարված ծախսերի նվազմամբ:</w:t>
      </w:r>
    </w:p>
    <w:p w14:paraId="63F0B560" w14:textId="41585E90"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i/>
          <w:sz w:val="22"/>
          <w:szCs w:val="22"/>
        </w:rPr>
        <w:t>Ոստիկանության ոլորտի քաղաքականության մշակման, կառավարման, կենտրոնացված միջոցառումների, մոնիտորինգի ու վերահսկողության</w:t>
      </w:r>
      <w:r w:rsidRPr="00C921DE">
        <w:rPr>
          <w:rFonts w:ascii="GHEA Grapalat" w:hAnsi="GHEA Grapalat" w:cs="Times Armenian"/>
          <w:sz w:val="22"/>
          <w:szCs w:val="22"/>
        </w:rPr>
        <w:t xml:space="preserve"> ծրագրի շրջանակներում օգտագործվել է ավելի քան 75.9</w:t>
      </w:r>
      <w:r w:rsidRPr="00C921DE">
        <w:rPr>
          <w:rFonts w:ascii="Calibri" w:hAnsi="Calibri" w:cs="Calibri"/>
          <w:sz w:val="22"/>
          <w:szCs w:val="22"/>
        </w:rPr>
        <w:t> </w:t>
      </w:r>
      <w:r w:rsidRPr="00C921DE">
        <w:rPr>
          <w:rFonts w:ascii="GHEA Grapalat" w:hAnsi="GHEA Grapalat" w:cs="Times Armenian"/>
          <w:sz w:val="22"/>
          <w:szCs w:val="22"/>
        </w:rPr>
        <w:t>մլրդ դրամ կամ նախատեսված միջոցների 99.1%-ը: Նախորդ տարվա համեմատ ծրագրի ծախսերը նվազել են 3.1%-ով կամ շուրջ 2.5</w:t>
      </w:r>
      <w:r w:rsidRPr="00C921DE">
        <w:rPr>
          <w:rFonts w:ascii="Calibri" w:hAnsi="Calibri" w:cs="Calibri"/>
          <w:sz w:val="22"/>
          <w:szCs w:val="22"/>
        </w:rPr>
        <w:t> </w:t>
      </w:r>
      <w:r w:rsidRPr="00C921DE">
        <w:rPr>
          <w:rFonts w:ascii="GHEA Grapalat" w:hAnsi="GHEA Grapalat" w:cs="Times Armenian"/>
          <w:sz w:val="22"/>
          <w:szCs w:val="22"/>
        </w:rPr>
        <w:t xml:space="preserve">մլրդ դրամով, որը հիմնականում արձանագրվել է կապիտալ ծախսերի գծով՝ պայմանավորված </w:t>
      </w:r>
      <w:r w:rsidR="00D21CAA" w:rsidRPr="00C921DE">
        <w:rPr>
          <w:rFonts w:ascii="GHEA Grapalat" w:hAnsi="GHEA Grapalat" w:cs="Times Armenian"/>
          <w:sz w:val="22"/>
          <w:szCs w:val="22"/>
        </w:rPr>
        <w:t xml:space="preserve">2022 թվականին </w:t>
      </w:r>
      <w:r w:rsidRPr="00C921DE">
        <w:rPr>
          <w:rFonts w:ascii="GHEA Grapalat" w:hAnsi="GHEA Grapalat" w:cs="Times Armenian"/>
          <w:sz w:val="22"/>
          <w:szCs w:val="22"/>
        </w:rPr>
        <w:t>պարեկային ծառայության և օպերատիվ կառավարման կենտրոնի ստեղծմամբ: Ծրագրի առանձին միջոցառումների գծով ծախսերի համեմատություն նախորդ տարվա ցուցանիշների հետ չի ներկայացվել՝ պայմանավորված Ոստիկանության կառուցվածքային փոփոխությունների արդյունքում միջոցառումների միջև միջոցների վերաբաշխմամբ:</w:t>
      </w:r>
    </w:p>
    <w:p w14:paraId="246AFD7E" w14:textId="2C79FDB8"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 xml:space="preserve">Հաշվետու տարում 26.7 մլրդ դրամ ուղղվել է Ոստիկանության ոլորտի քաղաքականության մշակման, </w:t>
      </w:r>
      <w:r w:rsidRPr="00C921DE">
        <w:rPr>
          <w:rFonts w:ascii="GHEA Grapalat" w:hAnsi="GHEA Grapalat" w:cs="GHEA Grapalat"/>
          <w:sz w:val="22"/>
          <w:szCs w:val="22"/>
        </w:rPr>
        <w:t>կառավարման</w:t>
      </w:r>
      <w:r w:rsidRPr="00C921DE">
        <w:rPr>
          <w:rFonts w:ascii="GHEA Grapalat" w:hAnsi="GHEA Grapalat" w:cs="Times Armenian"/>
          <w:sz w:val="22"/>
          <w:szCs w:val="22"/>
        </w:rPr>
        <w:t xml:space="preserve">, կենտրոնացված միջոցառումների, մոնիտորինգի և վերահսկողության </w:t>
      </w:r>
      <w:r w:rsidRPr="00C921DE">
        <w:rPr>
          <w:rFonts w:ascii="GHEA Grapalat" w:hAnsi="GHEA Grapalat" w:cs="Times Armenian"/>
          <w:sz w:val="22"/>
          <w:szCs w:val="22"/>
        </w:rPr>
        <w:lastRenderedPageBreak/>
        <w:t xml:space="preserve">միջոցառմանը, որը կատարվել է 98.3%-ով: </w:t>
      </w:r>
      <w:r w:rsidRPr="00C921DE">
        <w:rPr>
          <w:rFonts w:ascii="GHEA Grapalat" w:hAnsi="GHEA Grapalat" w:cs="GHEA Grapalat"/>
          <w:sz w:val="22"/>
          <w:szCs w:val="22"/>
        </w:rPr>
        <w:t xml:space="preserve">Շեղումը </w:t>
      </w:r>
      <w:r w:rsidRPr="00C921DE">
        <w:rPr>
          <w:rFonts w:ascii="GHEA Grapalat" w:hAnsi="GHEA Grapalat" w:cs="Times Armenian"/>
          <w:sz w:val="22"/>
          <w:szCs w:val="22"/>
        </w:rPr>
        <w:t>հիմնականում պայմանավորված է ելնելով անհրաժեշտությունից ապրանքների և ծառայությունների համար հատկացված միջոցների՝ նախատեսվածից պակաս օգտագործմամբ:</w:t>
      </w:r>
    </w:p>
    <w:p w14:paraId="378B878B" w14:textId="1082D07F"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 xml:space="preserve">Պետական պահպանության ծառայությունների կազմակերպման և իրականացման միջոցառման շրջանակներում պետական պահպանության ծառայությունների կողմից պահպանվող օբյեկտների թիվը կազմել է 3161՝ նախատեսված 3600-ի դիմաց, </w:t>
      </w:r>
      <w:r w:rsidR="00F31022" w:rsidRPr="00C921DE">
        <w:rPr>
          <w:rFonts w:ascii="GHEA Grapalat" w:hAnsi="GHEA Grapalat" w:cs="Times Armenian"/>
          <w:sz w:val="22"/>
          <w:szCs w:val="22"/>
          <w:lang w:val="en-US"/>
        </w:rPr>
        <w:t>քանի որ ՀՀ ՆԳՆ ոստիկանության ՊՊԳՎ ծառայողների կողմից</w:t>
      </w:r>
      <w:r w:rsidR="00387E9F" w:rsidRPr="00C921DE">
        <w:rPr>
          <w:rFonts w:ascii="GHEA Grapalat" w:hAnsi="GHEA Grapalat" w:cs="Times Armenian"/>
          <w:sz w:val="22"/>
          <w:szCs w:val="22"/>
          <w:lang w:val="en-US"/>
        </w:rPr>
        <w:t xml:space="preserve"> </w:t>
      </w:r>
      <w:r w:rsidR="00F31022" w:rsidRPr="00C921DE">
        <w:rPr>
          <w:rFonts w:ascii="GHEA Grapalat" w:hAnsi="GHEA Grapalat" w:cs="Times Armenian"/>
          <w:sz w:val="22"/>
          <w:szCs w:val="22"/>
          <w:lang w:val="en-US"/>
        </w:rPr>
        <w:t>իրականացվում է հատուկ կարևորագույն օբյեկտների պահպանությունը, իսկ մասնավոր հիմնարկների պահպանության իրականացումն ազատականացվել է, որի արդյունքում պահպանվող օբյեկտների քանակն ունի նվազման միտում</w:t>
      </w:r>
      <w:r w:rsidRPr="00C921DE">
        <w:rPr>
          <w:rFonts w:ascii="GHEA Grapalat" w:hAnsi="GHEA Grapalat" w:cs="Times Armenian"/>
          <w:sz w:val="22"/>
          <w:szCs w:val="22"/>
        </w:rPr>
        <w:t xml:space="preserve">: Միջոցառման ծախսերը կազմել են 8 մլրդ դրամ կամ ծրագրված ցուցանիշի 99.9%-ը: </w:t>
      </w:r>
    </w:p>
    <w:p w14:paraId="7EDB9EE2" w14:textId="3EAB94FF"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Հասարակական կարգի պահպանության, անվտանգության ապահովման և հանցագործությունների դեմ պայքարի միջոցառման շրջանակներում իրականացվել են հասարակական կարգի պահպանության և հասարակական անվտանգության ապահովման, հանցագործությունների և այլ իրավախախտումների նախականխման, կանխման, խափանման, հայտնաբերման և բացահայտման ծառայություններ: Միջոց</w:t>
      </w:r>
      <w:r w:rsidR="00D21CAA" w:rsidRPr="00C921DE">
        <w:rPr>
          <w:rFonts w:ascii="GHEA Grapalat" w:hAnsi="GHEA Grapalat" w:cs="Times Armenian"/>
          <w:sz w:val="22"/>
          <w:szCs w:val="22"/>
        </w:rPr>
        <w:t>առման ծախսերը կատարվել են 99.8%</w:t>
      </w:r>
      <w:r w:rsidR="00D21CAA" w:rsidRPr="00C921DE">
        <w:rPr>
          <w:rFonts w:ascii="Calibri" w:hAnsi="Calibri" w:cs="Calibri"/>
          <w:sz w:val="22"/>
          <w:szCs w:val="22"/>
          <w:lang w:val="en-US"/>
        </w:rPr>
        <w:noBreakHyphen/>
      </w:r>
      <w:r w:rsidRPr="00C921DE">
        <w:rPr>
          <w:rFonts w:ascii="GHEA Grapalat" w:hAnsi="GHEA Grapalat" w:cs="Times Armenian"/>
          <w:sz w:val="22"/>
          <w:szCs w:val="22"/>
        </w:rPr>
        <w:t xml:space="preserve">ով՝ կազմելով </w:t>
      </w:r>
      <w:r w:rsidR="00C41F30" w:rsidRPr="00C921DE">
        <w:rPr>
          <w:rFonts w:ascii="GHEA Grapalat" w:hAnsi="GHEA Grapalat" w:cs="Times Armenian"/>
          <w:sz w:val="22"/>
          <w:szCs w:val="22"/>
          <w:lang w:val="en-US"/>
        </w:rPr>
        <w:t>16</w:t>
      </w:r>
      <w:r w:rsidRPr="00C921DE">
        <w:rPr>
          <w:rFonts w:ascii="GHEA Grapalat" w:hAnsi="GHEA Grapalat" w:cs="Times Armenian"/>
          <w:sz w:val="22"/>
          <w:szCs w:val="22"/>
        </w:rPr>
        <w:t>.6 մլրդ դրամ:</w:t>
      </w:r>
    </w:p>
    <w:p w14:paraId="4A6B3791" w14:textId="0A0E49ED"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Ճանապարհային երթևեկության անվտանգության ապահովման և ճանապարհատրանս</w:t>
      </w:r>
      <w:r w:rsidR="00C41F30" w:rsidRPr="00C921DE">
        <w:rPr>
          <w:rFonts w:ascii="GHEA Grapalat" w:hAnsi="GHEA Grapalat" w:cs="Times Armenian"/>
          <w:sz w:val="22"/>
          <w:szCs w:val="22"/>
          <w:lang w:val="en-US"/>
        </w:rPr>
        <w:t>-</w:t>
      </w:r>
      <w:r w:rsidRPr="00C921DE">
        <w:rPr>
          <w:rFonts w:ascii="GHEA Grapalat" w:hAnsi="GHEA Grapalat" w:cs="Times Armenian"/>
          <w:sz w:val="22"/>
          <w:szCs w:val="22"/>
        </w:rPr>
        <w:t>պորտային պատահարների կանխարգելման միջոցառման շրջանակներում իրականացվել են ճանապարհային երթևեկության կարգավորման, անվտանգության ապահովման, ճանապարհապարեկային ծառայության իրականացման, ճանապարհատրանսպորտային պատահարների և տվյալ բնագավառում վարչական իրավախախտումների պետական հաշվառման, վարորդական վկայականների տրամադրման աշխատանք</w:t>
      </w:r>
      <w:r w:rsidR="00F91940" w:rsidRPr="00C921DE">
        <w:rPr>
          <w:rFonts w:ascii="GHEA Grapalat" w:hAnsi="GHEA Grapalat" w:cs="Times Armenian"/>
          <w:sz w:val="22"/>
          <w:szCs w:val="22"/>
          <w:lang w:val="en-US"/>
        </w:rPr>
        <w:t>ն</w:t>
      </w:r>
      <w:r w:rsidRPr="00C921DE">
        <w:rPr>
          <w:rFonts w:ascii="GHEA Grapalat" w:hAnsi="GHEA Grapalat" w:cs="Times Armenian"/>
          <w:sz w:val="22"/>
          <w:szCs w:val="22"/>
        </w:rPr>
        <w:t>եր: Միջոցառման շրջանակներում ծախսերը կատարվել են 99.4%-ով՝</w:t>
      </w:r>
      <w:r w:rsidR="00C41F30" w:rsidRPr="00C921DE">
        <w:rPr>
          <w:rFonts w:ascii="GHEA Grapalat" w:hAnsi="GHEA Grapalat" w:cs="Times Armenian"/>
          <w:sz w:val="22"/>
          <w:szCs w:val="22"/>
          <w:lang w:val="en-US"/>
        </w:rPr>
        <w:t xml:space="preserve"> կազմելով</w:t>
      </w:r>
      <w:r w:rsidR="00C41F30" w:rsidRPr="00C921DE">
        <w:rPr>
          <w:rFonts w:ascii="GHEA Grapalat" w:hAnsi="GHEA Grapalat" w:cs="Times Armenian"/>
          <w:sz w:val="22"/>
          <w:szCs w:val="22"/>
        </w:rPr>
        <w:t xml:space="preserve"> 6.5 մլրդ դրամ:</w:t>
      </w:r>
    </w:p>
    <w:p w14:paraId="0E3F8C12" w14:textId="77777777"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Անձի անհատական տվյալների, քաղաքացիության և հաշվառման վերաբերյալ տեղեկությունների ստացման, տրամադրման և փոխանակման ծառայությունների մատուցման, ճամփորդական փաստաթղթերում կենսաչափական տեխնոլոգիաների ներդրման նպատակով օգտագործվել է շուրջ 2.9 մլրդ դրամ՝ ապահովելով 100% կատարողական: Միջոցառման շրջանակներում սահմանված արդյունքային չափորոշիչների գծով արձանագրվել են ինչպես գերակատարումներ, այնպես էլ թերակատարումներ՝ պայմանավորված քաղաքացիների դիմելիությամբ:</w:t>
      </w:r>
    </w:p>
    <w:p w14:paraId="36ED5293" w14:textId="014DEFD2"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ՀՀ ոստիկանության</w:t>
      </w:r>
      <w:r w:rsidRPr="00C921DE">
        <w:rPr>
          <w:rFonts w:ascii="GHEA Grapalat" w:hAnsi="GHEA Grapalat" w:cs="Times Armenian"/>
          <w:sz w:val="22"/>
          <w:szCs w:val="22"/>
          <w:lang w:val="zu-ZA"/>
        </w:rPr>
        <w:t xml:space="preserve"> կարիքի բավարարման շրջանակներում միջոցներն ուղղվել են ՀՀ ոստիկանության նյութատեխնիկական բազայով ապահովմանը, Երևան քաղաքի պարեկային </w:t>
      </w:r>
      <w:r w:rsidRPr="00C921DE">
        <w:rPr>
          <w:rFonts w:ascii="GHEA Grapalat" w:hAnsi="GHEA Grapalat" w:cs="Times Armenian"/>
          <w:sz w:val="22"/>
          <w:szCs w:val="22"/>
          <w:lang w:val="zu-ZA"/>
        </w:rPr>
        <w:lastRenderedPageBreak/>
        <w:t>ծառայության և օպերատիվ կառավարման կենտրոնի շենքերի շարունակական կապիտալ վերանորոգմանը (կառուցման</w:t>
      </w:r>
      <w:r w:rsidR="00500CF0" w:rsidRPr="00C921DE">
        <w:rPr>
          <w:rFonts w:ascii="GHEA Grapalat" w:hAnsi="GHEA Grapalat" w:cs="Times Armenian"/>
          <w:sz w:val="22"/>
          <w:szCs w:val="22"/>
          <w:lang w:val="zu-ZA"/>
        </w:rPr>
        <w:t>ը</w:t>
      </w:r>
      <w:r w:rsidRPr="00C921DE">
        <w:rPr>
          <w:rFonts w:ascii="GHEA Grapalat" w:hAnsi="GHEA Grapalat" w:cs="Times Armenian"/>
          <w:sz w:val="22"/>
          <w:szCs w:val="22"/>
          <w:lang w:val="zu-ZA"/>
        </w:rPr>
        <w:t xml:space="preserve">), ինչպես նաև Շիրակի, Լոռու, Կոտայքի, Գեղարքունիքի, Արագածոտնի և Տավուշի մարզերի պարեկային ծառայության և օպերատիվ կառավարման կենտրոնների կարիքների </w:t>
      </w:r>
      <w:r w:rsidRPr="00C921DE">
        <w:rPr>
          <w:rFonts w:ascii="GHEA Grapalat" w:hAnsi="GHEA Grapalat" w:cs="Times Armenian"/>
          <w:sz w:val="22"/>
          <w:szCs w:val="22"/>
        </w:rPr>
        <w:t>համար սպառազինության, սարքերի և սարքավոր</w:t>
      </w:r>
      <w:r w:rsidR="00500CF0" w:rsidRPr="00C921DE">
        <w:rPr>
          <w:rFonts w:ascii="GHEA Grapalat" w:hAnsi="GHEA Grapalat" w:cs="Times Armenian"/>
          <w:sz w:val="22"/>
          <w:szCs w:val="22"/>
        </w:rPr>
        <w:t>ումների ձեռքբերմանը</w:t>
      </w:r>
      <w:r w:rsidRPr="00C921DE">
        <w:rPr>
          <w:rFonts w:ascii="GHEA Grapalat" w:hAnsi="GHEA Grapalat" w:cs="Times Armenian"/>
          <w:sz w:val="22"/>
          <w:szCs w:val="22"/>
        </w:rPr>
        <w:t xml:space="preserve">: Միջոցառմանը տրամադրվել է 6.7 մլրդ դրամ, որը կազմել է ծրագրված ցուցանիշի 98.6%-ը: Վերջինս հիմնականում պայմանավորված է գնման գործընթացում առաջացած տնտեսումներով: Նախորդ տարվա համեմատ նշված ծախսերի 39.8% (4.4 մլրդ դրամ) նվազումը հիմնականում պայմանավորված է </w:t>
      </w:r>
      <w:r w:rsidR="0014161C" w:rsidRPr="00C921DE">
        <w:rPr>
          <w:rFonts w:ascii="GHEA Grapalat" w:hAnsi="GHEA Grapalat" w:cs="Times Armenian"/>
          <w:sz w:val="22"/>
          <w:szCs w:val="22"/>
          <w:lang w:val="en-US"/>
        </w:rPr>
        <w:t>2022 թվականին Երևան քաղաքի</w:t>
      </w:r>
      <w:r w:rsidRPr="00C921DE">
        <w:rPr>
          <w:rFonts w:ascii="GHEA Grapalat" w:hAnsi="GHEA Grapalat" w:cs="Times Armenian"/>
          <w:sz w:val="22"/>
          <w:szCs w:val="22"/>
        </w:rPr>
        <w:t xml:space="preserve"> պարեկային ծառայության և օպերատիվ կառավարման կենտրոնի ստեղծման </w:t>
      </w:r>
      <w:r w:rsidR="0014161C" w:rsidRPr="00C921DE">
        <w:rPr>
          <w:rFonts w:ascii="GHEA Grapalat" w:hAnsi="GHEA Grapalat" w:cs="Times Armenian"/>
          <w:sz w:val="22"/>
          <w:szCs w:val="22"/>
          <w:lang w:val="en-US"/>
        </w:rPr>
        <w:t>հետ կապված ծախսերով</w:t>
      </w:r>
      <w:r w:rsidRPr="00C921DE">
        <w:rPr>
          <w:rFonts w:ascii="GHEA Grapalat" w:hAnsi="GHEA Grapalat" w:cs="Times Armenian"/>
          <w:sz w:val="22"/>
          <w:szCs w:val="22"/>
        </w:rPr>
        <w:t xml:space="preserve">: </w:t>
      </w:r>
    </w:p>
    <w:p w14:paraId="4985A88B" w14:textId="2AC152E4" w:rsidR="00667348" w:rsidRPr="00C921DE" w:rsidRDefault="00667348" w:rsidP="00667348">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2023 թվականի ընթացքում</w:t>
      </w:r>
      <w:r w:rsidRPr="00C921DE">
        <w:rPr>
          <w:rFonts w:ascii="GHEA Grapalat" w:hAnsi="GHEA Grapalat" w:cs="Times Armenian"/>
          <w:sz w:val="22"/>
          <w:szCs w:val="22"/>
          <w:lang w:val="zu-ZA"/>
        </w:rPr>
        <w:t xml:space="preserve"> </w:t>
      </w:r>
      <w:r w:rsidRPr="00C921DE">
        <w:rPr>
          <w:rFonts w:ascii="GHEA Grapalat" w:hAnsi="GHEA Grapalat" w:cs="Sylfaen"/>
          <w:i/>
          <w:sz w:val="22"/>
          <w:szCs w:val="22"/>
        </w:rPr>
        <w:t>Ոստիկանության</w:t>
      </w:r>
      <w:r w:rsidRPr="00C921DE">
        <w:rPr>
          <w:rFonts w:ascii="GHEA Grapalat" w:hAnsi="GHEA Grapalat" w:cs="Sylfaen"/>
          <w:i/>
          <w:sz w:val="22"/>
          <w:szCs w:val="22"/>
          <w:lang w:val="zu-ZA"/>
        </w:rPr>
        <w:t xml:space="preserve"> </w:t>
      </w:r>
      <w:r w:rsidRPr="00C921DE">
        <w:rPr>
          <w:rFonts w:ascii="GHEA Grapalat" w:hAnsi="GHEA Grapalat" w:cs="Sylfaen"/>
          <w:i/>
          <w:sz w:val="22"/>
          <w:szCs w:val="22"/>
        </w:rPr>
        <w:t>կրթական</w:t>
      </w:r>
      <w:r w:rsidRPr="00C921DE">
        <w:rPr>
          <w:rFonts w:ascii="GHEA Grapalat" w:hAnsi="GHEA Grapalat" w:cs="Sylfaen"/>
          <w:i/>
          <w:sz w:val="22"/>
          <w:szCs w:val="22"/>
          <w:lang w:val="zu-ZA"/>
        </w:rPr>
        <w:t xml:space="preserve"> </w:t>
      </w:r>
      <w:r w:rsidRPr="00C921DE">
        <w:rPr>
          <w:rFonts w:ascii="GHEA Grapalat" w:hAnsi="GHEA Grapalat" w:cs="Sylfaen"/>
          <w:i/>
          <w:sz w:val="22"/>
          <w:szCs w:val="22"/>
        </w:rPr>
        <w:t>ծառայությունների</w:t>
      </w:r>
      <w:r w:rsidRPr="00C921DE">
        <w:rPr>
          <w:rFonts w:ascii="GHEA Grapalat" w:hAnsi="GHEA Grapalat" w:cs="Sylfaen"/>
          <w:sz w:val="22"/>
          <w:szCs w:val="22"/>
          <w:lang w:val="zu-ZA"/>
        </w:rPr>
        <w:t xml:space="preserve"> </w:t>
      </w:r>
      <w:r w:rsidRPr="00C921DE">
        <w:rPr>
          <w:rFonts w:ascii="GHEA Grapalat" w:hAnsi="GHEA Grapalat" w:cs="Times Armenian"/>
          <w:sz w:val="22"/>
          <w:szCs w:val="22"/>
        </w:rPr>
        <w:t>ծրագրին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հատկացված</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միջոցներն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ուղղվել</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են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Ոստիկանության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ծառայողներին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նախնական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միջին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և</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բարձրագույն</w:t>
      </w:r>
      <w:r w:rsidRPr="00C921DE">
        <w:rPr>
          <w:rFonts w:ascii="GHEA Grapalat" w:hAnsi="GHEA Grapalat" w:cs="Times Armenian"/>
          <w:sz w:val="22"/>
          <w:szCs w:val="22"/>
          <w:lang w:val="zu-ZA"/>
        </w:rPr>
        <w:t xml:space="preserve"> </w:t>
      </w:r>
      <w:r w:rsidRPr="00C921DE">
        <w:rPr>
          <w:rFonts w:ascii="GHEA Grapalat" w:hAnsi="GHEA Grapalat" w:cs="Sylfaen"/>
          <w:sz w:val="22"/>
          <w:szCs w:val="22"/>
        </w:rPr>
        <w:t>կրթական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ծառայությունների</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մատուցմանը: Ծրագրի շրջանակներում բակալավրիատի կրթական ծրագրով առկա ուսուցում է ստացել ՀՀ ոստիկանության 99 ծառայող՝ նախատեսված 212</w:t>
      </w:r>
      <w:r w:rsidR="00044426" w:rsidRPr="00C921DE">
        <w:rPr>
          <w:rFonts w:ascii="GHEA Grapalat" w:hAnsi="GHEA Grapalat" w:cs="Times Armenian"/>
          <w:sz w:val="22"/>
          <w:szCs w:val="22"/>
        </w:rPr>
        <w:noBreakHyphen/>
        <w:t xml:space="preserve">ի </w:t>
      </w:r>
      <w:r w:rsidR="00044426" w:rsidRPr="00C921DE">
        <w:rPr>
          <w:rFonts w:ascii="GHEA Grapalat" w:hAnsi="GHEA Grapalat" w:cs="Times Armenian"/>
          <w:sz w:val="22"/>
          <w:szCs w:val="22"/>
          <w:lang w:val="en-US"/>
        </w:rPr>
        <w:t>փոխարեն</w:t>
      </w:r>
      <w:r w:rsidRPr="00C921DE">
        <w:rPr>
          <w:rFonts w:ascii="GHEA Grapalat" w:hAnsi="GHEA Grapalat" w:cs="Times Armenian"/>
          <w:sz w:val="22"/>
          <w:szCs w:val="22"/>
        </w:rPr>
        <w:t xml:space="preserve">, մագիստրատուրայի կրթական ծրագրով առկա ուսուցում է ստացել 3 ծառայող՝ նախատեսված 20-ի </w:t>
      </w:r>
      <w:r w:rsidR="00044426" w:rsidRPr="00C921DE">
        <w:rPr>
          <w:rFonts w:ascii="GHEA Grapalat" w:hAnsi="GHEA Grapalat" w:cs="Times Armenian"/>
          <w:sz w:val="22"/>
          <w:szCs w:val="22"/>
          <w:lang w:val="en-US"/>
        </w:rPr>
        <w:t>փոխարեն</w:t>
      </w:r>
      <w:r w:rsidRPr="00C921DE">
        <w:rPr>
          <w:rFonts w:ascii="GHEA Grapalat" w:hAnsi="GHEA Grapalat" w:cs="Times Armenian"/>
          <w:sz w:val="22"/>
          <w:szCs w:val="22"/>
        </w:rPr>
        <w:t>, միջին մասնագիտական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կրթական</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ծրագրով</w:t>
      </w:r>
      <w:r w:rsidRPr="00C921DE">
        <w:rPr>
          <w:rFonts w:ascii="GHEA Grapalat" w:hAnsi="GHEA Grapalat" w:cs="Times Armenian"/>
          <w:sz w:val="22"/>
          <w:szCs w:val="22"/>
          <w:lang w:val="zu-ZA"/>
        </w:rPr>
        <w:t xml:space="preserve"> </w:t>
      </w:r>
      <w:r w:rsidRPr="00C921DE">
        <w:rPr>
          <w:rFonts w:ascii="GHEA Grapalat" w:hAnsi="GHEA Grapalat" w:cs="Times Armenian"/>
          <w:sz w:val="22"/>
          <w:szCs w:val="22"/>
        </w:rPr>
        <w:t xml:space="preserve">ուսուցում է ստացել ՀՀ ոստիկանության 53 ծառայող՝ նախատեսված 130-ի </w:t>
      </w:r>
      <w:r w:rsidR="00044426" w:rsidRPr="00C921DE">
        <w:rPr>
          <w:rFonts w:ascii="GHEA Grapalat" w:hAnsi="GHEA Grapalat" w:cs="Times Armenian"/>
          <w:sz w:val="22"/>
          <w:szCs w:val="22"/>
          <w:lang w:val="en-US"/>
        </w:rPr>
        <w:t>փոխարեն</w:t>
      </w:r>
      <w:r w:rsidRPr="00C921DE">
        <w:rPr>
          <w:rFonts w:ascii="GHEA Grapalat" w:hAnsi="GHEA Grapalat" w:cs="Times Armenian"/>
          <w:sz w:val="22"/>
          <w:szCs w:val="22"/>
        </w:rPr>
        <w:t>: Փաստացի ցածր արդյունքային ցուցանիշները պայմանավորված են դիմորդների թվի նվազմամբ և անբավարար առաջադիմության արդյունքում դուրս մնացած սովորողների թվով: Ծրագրի</w:t>
      </w:r>
      <w:r w:rsidR="00044426" w:rsidRPr="00C921DE">
        <w:rPr>
          <w:rFonts w:ascii="GHEA Grapalat" w:hAnsi="GHEA Grapalat" w:cs="Times Armenian"/>
          <w:sz w:val="22"/>
          <w:szCs w:val="22"/>
          <w:lang w:val="en-US"/>
        </w:rPr>
        <w:t>ն հատկացված 1.6 մլրդ դրամն</w:t>
      </w:r>
      <w:r w:rsidRPr="00C921DE">
        <w:rPr>
          <w:rFonts w:ascii="GHEA Grapalat" w:hAnsi="GHEA Grapalat" w:cs="Times Armenian"/>
          <w:sz w:val="22"/>
          <w:szCs w:val="22"/>
        </w:rPr>
        <w:t xml:space="preserve"> ամբողջությամբ օգտագործվել է, որից 922.4</w:t>
      </w:r>
      <w:r w:rsidRPr="00C921DE">
        <w:rPr>
          <w:rFonts w:ascii="Calibri" w:hAnsi="Calibri" w:cs="Calibri"/>
          <w:sz w:val="22"/>
          <w:szCs w:val="22"/>
        </w:rPr>
        <w:t> </w:t>
      </w:r>
      <w:r w:rsidRPr="00C921DE">
        <w:rPr>
          <w:rFonts w:ascii="GHEA Grapalat" w:hAnsi="GHEA Grapalat" w:cs="Times Armenian"/>
          <w:sz w:val="22"/>
          <w:szCs w:val="22"/>
        </w:rPr>
        <w:t xml:space="preserve">մլն դրամն </w:t>
      </w:r>
      <w:r w:rsidR="0006582B" w:rsidRPr="00C921DE">
        <w:rPr>
          <w:rFonts w:ascii="GHEA Grapalat" w:hAnsi="GHEA Grapalat" w:cs="Times Armenian"/>
          <w:sz w:val="22"/>
          <w:szCs w:val="22"/>
          <w:lang w:val="en-US"/>
        </w:rPr>
        <w:t>ուղղ</w:t>
      </w:r>
      <w:r w:rsidRPr="00C921DE">
        <w:rPr>
          <w:rFonts w:ascii="GHEA Grapalat" w:hAnsi="GHEA Grapalat" w:cs="Times Armenian"/>
          <w:sz w:val="22"/>
          <w:szCs w:val="22"/>
        </w:rPr>
        <w:t xml:space="preserve">վել է բարձրագույն մասնագիտական կրթության, 387.5 մլն դրամը՝ միջին մասնագիտական կրթության, 261.8 </w:t>
      </w:r>
      <w:r w:rsidRPr="00C921DE">
        <w:rPr>
          <w:rFonts w:ascii="GHEA Grapalat" w:hAnsi="GHEA Grapalat" w:cs="GHEA Grapalat"/>
          <w:sz w:val="22"/>
          <w:szCs w:val="22"/>
        </w:rPr>
        <w:t>մլն</w:t>
      </w:r>
      <w:r w:rsidRPr="00C921DE">
        <w:rPr>
          <w:rFonts w:ascii="GHEA Grapalat" w:hAnsi="GHEA Grapalat" w:cs="Times Armenian"/>
          <w:sz w:val="22"/>
          <w:szCs w:val="22"/>
        </w:rPr>
        <w:t xml:space="preserve"> </w:t>
      </w:r>
      <w:r w:rsidRPr="00C921DE">
        <w:rPr>
          <w:rFonts w:ascii="GHEA Grapalat" w:hAnsi="GHEA Grapalat" w:cs="GHEA Grapalat"/>
          <w:sz w:val="22"/>
          <w:szCs w:val="22"/>
        </w:rPr>
        <w:t>դրամը</w:t>
      </w:r>
      <w:r w:rsidR="00AE360B" w:rsidRPr="00C921DE">
        <w:rPr>
          <w:rFonts w:ascii="GHEA Grapalat" w:hAnsi="GHEA Grapalat" w:cs="GHEA Grapalat"/>
          <w:sz w:val="22"/>
          <w:szCs w:val="22"/>
          <w:lang w:val="en-US"/>
        </w:rPr>
        <w:t>՝ նախնական մասնագիտական կրթության ծառայություններին</w:t>
      </w:r>
      <w:r w:rsidRPr="00C921DE">
        <w:rPr>
          <w:rFonts w:ascii="GHEA Grapalat" w:hAnsi="GHEA Grapalat" w:cs="Times Armenian"/>
          <w:sz w:val="22"/>
          <w:szCs w:val="22"/>
        </w:rPr>
        <w:t xml:space="preserve">: Նախորդ տարվա համեմատ ծրագրի ծախսերն էական փոփոխություն չեն կրել: </w:t>
      </w:r>
    </w:p>
    <w:p w14:paraId="6F81C97B" w14:textId="77777777" w:rsidR="00C56BD7" w:rsidRPr="00C921DE" w:rsidRDefault="00C56BD7" w:rsidP="00C56BD7">
      <w:pPr>
        <w:spacing w:line="360" w:lineRule="auto"/>
        <w:ind w:firstLine="561"/>
        <w:jc w:val="both"/>
        <w:rPr>
          <w:rFonts w:ascii="GHEA Grapalat" w:hAnsi="GHEA Grapalat" w:cs="Times Armenian"/>
          <w:sz w:val="22"/>
          <w:szCs w:val="22"/>
        </w:rPr>
      </w:pPr>
    </w:p>
    <w:p w14:paraId="54A447F8" w14:textId="1B8E3240" w:rsidR="004704E0" w:rsidRPr="00C921DE" w:rsidRDefault="00C56BD7" w:rsidP="004704E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u w:val="single"/>
        </w:rPr>
        <w:t>Հանրային հեռարձակողի խորհրդին</w:t>
      </w:r>
      <w:r w:rsidR="004704E0" w:rsidRPr="00C921DE">
        <w:rPr>
          <w:rFonts w:ascii="GHEA Grapalat" w:hAnsi="GHEA Grapalat" w:cs="GHEA Grapalat"/>
          <w:sz w:val="22"/>
          <w:szCs w:val="22"/>
          <w:lang w:val="en-US"/>
        </w:rPr>
        <w:t xml:space="preserve"> </w:t>
      </w:r>
      <w:r w:rsidR="004704E0" w:rsidRPr="00C921DE">
        <w:rPr>
          <w:rFonts w:ascii="GHEA Grapalat" w:hAnsi="GHEA Grapalat" w:cs="Sylfaen"/>
          <w:i/>
          <w:sz w:val="22"/>
          <w:szCs w:val="22"/>
        </w:rPr>
        <w:t xml:space="preserve">Ռադիո և հեռուստահաղորդումների հեռարձակման </w:t>
      </w:r>
      <w:r w:rsidR="004704E0" w:rsidRPr="00C921DE">
        <w:rPr>
          <w:rFonts w:ascii="GHEA Grapalat" w:hAnsi="GHEA Grapalat" w:cs="Sylfaen"/>
          <w:sz w:val="22"/>
          <w:szCs w:val="22"/>
        </w:rPr>
        <w:t>ծրագրի շրջանակներում 202</w:t>
      </w:r>
      <w:r w:rsidR="004704E0" w:rsidRPr="00C921DE">
        <w:rPr>
          <w:rFonts w:ascii="GHEA Grapalat" w:hAnsi="GHEA Grapalat" w:cs="Sylfaen"/>
          <w:sz w:val="22"/>
          <w:szCs w:val="22"/>
          <w:lang w:val="en-US"/>
        </w:rPr>
        <w:t>3</w:t>
      </w:r>
      <w:r w:rsidR="004704E0" w:rsidRPr="00C921DE">
        <w:rPr>
          <w:rFonts w:ascii="GHEA Grapalat" w:hAnsi="GHEA Grapalat" w:cs="Sylfaen"/>
          <w:sz w:val="22"/>
          <w:szCs w:val="22"/>
        </w:rPr>
        <w:t xml:space="preserve"> թվականի</w:t>
      </w:r>
      <w:r w:rsidR="004704E0" w:rsidRPr="00C921DE">
        <w:rPr>
          <w:rFonts w:ascii="GHEA Grapalat" w:hAnsi="GHEA Grapalat" w:cs="GHEA Grapalat"/>
          <w:sz w:val="22"/>
          <w:szCs w:val="22"/>
        </w:rPr>
        <w:t xml:space="preserve">ն </w:t>
      </w:r>
      <w:r w:rsidR="005C48F5" w:rsidRPr="00C921DE">
        <w:rPr>
          <w:rFonts w:ascii="GHEA Grapalat" w:hAnsi="GHEA Grapalat" w:cs="Sylfaen"/>
          <w:sz w:val="22"/>
          <w:szCs w:val="22"/>
        </w:rPr>
        <w:t xml:space="preserve">ՀՀ պետական բյուջեից </w:t>
      </w:r>
      <w:r w:rsidR="005C48F5" w:rsidRPr="00C921DE">
        <w:rPr>
          <w:rFonts w:ascii="GHEA Grapalat" w:hAnsi="GHEA Grapalat" w:cs="Sylfaen"/>
          <w:sz w:val="22"/>
          <w:szCs w:val="22"/>
          <w:lang w:val="en-US"/>
        </w:rPr>
        <w:t>տրամադր</w:t>
      </w:r>
      <w:r w:rsidR="004704E0" w:rsidRPr="00C921DE">
        <w:rPr>
          <w:rFonts w:ascii="GHEA Grapalat" w:hAnsi="GHEA Grapalat" w:cs="Sylfaen"/>
          <w:sz w:val="22"/>
          <w:szCs w:val="22"/>
        </w:rPr>
        <w:t xml:space="preserve">վել է </w:t>
      </w:r>
      <w:r w:rsidR="004704E0" w:rsidRPr="00C921DE">
        <w:rPr>
          <w:rFonts w:ascii="GHEA Grapalat" w:hAnsi="GHEA Grapalat" w:cs="Sylfaen"/>
          <w:sz w:val="22"/>
          <w:szCs w:val="22"/>
          <w:lang w:val="en-US"/>
        </w:rPr>
        <w:t>7.7</w:t>
      </w:r>
      <w:r w:rsidR="004704E0" w:rsidRPr="00C921DE">
        <w:rPr>
          <w:rFonts w:ascii="Courier New" w:hAnsi="Courier New" w:cs="Courier New"/>
          <w:sz w:val="22"/>
          <w:szCs w:val="22"/>
        </w:rPr>
        <w:t> </w:t>
      </w:r>
      <w:r w:rsidR="004704E0" w:rsidRPr="00C921DE">
        <w:rPr>
          <w:rFonts w:ascii="GHEA Grapalat" w:hAnsi="GHEA Grapalat" w:cs="Sylfaen"/>
          <w:sz w:val="22"/>
          <w:szCs w:val="22"/>
        </w:rPr>
        <w:t>մլրդ դրամ, որ</w:t>
      </w:r>
      <w:r w:rsidR="005C48F5" w:rsidRPr="00C921DE">
        <w:rPr>
          <w:rFonts w:ascii="GHEA Grapalat" w:hAnsi="GHEA Grapalat" w:cs="Sylfaen"/>
          <w:sz w:val="22"/>
          <w:szCs w:val="22"/>
          <w:lang w:val="en-US"/>
        </w:rPr>
        <w:t>ը կազմ</w:t>
      </w:r>
      <w:r w:rsidR="004704E0" w:rsidRPr="00C921DE">
        <w:rPr>
          <w:rFonts w:ascii="GHEA Grapalat" w:hAnsi="GHEA Grapalat" w:cs="Sylfaen"/>
          <w:sz w:val="22"/>
          <w:szCs w:val="22"/>
          <w:lang w:val="en-US"/>
        </w:rPr>
        <w:t>ել է</w:t>
      </w:r>
      <w:r w:rsidR="005C48F5" w:rsidRPr="00C921DE">
        <w:rPr>
          <w:rFonts w:ascii="GHEA Grapalat" w:hAnsi="GHEA Grapalat" w:cs="Sylfaen"/>
          <w:sz w:val="22"/>
          <w:szCs w:val="22"/>
          <w:lang w:val="en-US"/>
        </w:rPr>
        <w:t xml:space="preserve"> ծրագրված ցուցանիշի</w:t>
      </w:r>
      <w:r w:rsidR="004704E0" w:rsidRPr="00C921DE">
        <w:rPr>
          <w:rFonts w:ascii="GHEA Grapalat" w:hAnsi="GHEA Grapalat" w:cs="Sylfaen"/>
          <w:sz w:val="22"/>
          <w:szCs w:val="22"/>
          <w:lang w:val="en-US"/>
        </w:rPr>
        <w:t xml:space="preserve"> 92.3</w:t>
      </w:r>
      <w:r w:rsidR="004704E0" w:rsidRPr="00C921DE">
        <w:rPr>
          <w:rFonts w:ascii="GHEA Grapalat" w:hAnsi="GHEA Grapalat" w:cs="Sylfaen"/>
          <w:sz w:val="22"/>
          <w:szCs w:val="22"/>
        </w:rPr>
        <w:t>%</w:t>
      </w:r>
      <w:r w:rsidR="004704E0" w:rsidRPr="00C921DE">
        <w:rPr>
          <w:rFonts w:ascii="GHEA Grapalat" w:hAnsi="GHEA Grapalat" w:cs="Sylfaen"/>
          <w:sz w:val="22"/>
          <w:szCs w:val="22"/>
        </w:rPr>
        <w:noBreakHyphen/>
      </w:r>
      <w:r w:rsidR="005C48F5" w:rsidRPr="00C921DE">
        <w:rPr>
          <w:rFonts w:ascii="GHEA Grapalat" w:hAnsi="GHEA Grapalat" w:cs="Sylfaen"/>
          <w:sz w:val="22"/>
          <w:szCs w:val="22"/>
          <w:lang w:val="en-US"/>
        </w:rPr>
        <w:t>ը՝</w:t>
      </w:r>
      <w:r w:rsidR="004704E0" w:rsidRPr="00C921DE">
        <w:rPr>
          <w:rFonts w:ascii="GHEA Grapalat" w:hAnsi="GHEA Grapalat" w:cs="Sylfaen"/>
          <w:sz w:val="22"/>
          <w:szCs w:val="22"/>
          <w:lang w:val="en-US"/>
        </w:rPr>
        <w:t xml:space="preserve"> պայմանավորված</w:t>
      </w:r>
      <w:r w:rsidR="004704E0" w:rsidRPr="00C921DE">
        <w:t xml:space="preserve"> </w:t>
      </w:r>
      <w:r w:rsidR="004704E0" w:rsidRPr="00C921DE">
        <w:rPr>
          <w:rFonts w:ascii="GHEA Grapalat" w:hAnsi="GHEA Grapalat" w:cs="Sylfaen"/>
          <w:sz w:val="22"/>
          <w:szCs w:val="22"/>
        </w:rPr>
        <w:t>Չինաստանի ժողովրդական Հանրապետության հետ համատեղ Հայաստանի հանրային հեռուստաընկերության շեն</w:t>
      </w:r>
      <w:r w:rsidR="005C48F5" w:rsidRPr="00C921DE">
        <w:rPr>
          <w:rFonts w:ascii="GHEA Grapalat" w:hAnsi="GHEA Grapalat" w:cs="Sylfaen"/>
          <w:sz w:val="22"/>
          <w:szCs w:val="22"/>
        </w:rPr>
        <w:t>քային ապահովվածության բարելավման</w:t>
      </w:r>
      <w:r w:rsidR="004704E0" w:rsidRPr="00C921DE">
        <w:rPr>
          <w:rFonts w:ascii="GHEA Grapalat" w:hAnsi="GHEA Grapalat" w:cs="Sylfaen"/>
          <w:sz w:val="22"/>
          <w:szCs w:val="22"/>
          <w:lang w:val="en-US"/>
        </w:rPr>
        <w:t xml:space="preserve"> </w:t>
      </w:r>
      <w:r w:rsidR="004704E0" w:rsidRPr="00C921DE">
        <w:rPr>
          <w:rFonts w:ascii="GHEA Grapalat" w:hAnsi="GHEA Grapalat" w:cs="Times Armenian"/>
          <w:sz w:val="22"/>
          <w:szCs w:val="22"/>
        </w:rPr>
        <w:t>միջոցառման</w:t>
      </w:r>
      <w:r w:rsidR="004704E0" w:rsidRPr="00C921DE">
        <w:rPr>
          <w:rFonts w:ascii="GHEA Grapalat" w:hAnsi="GHEA Grapalat" w:cs="Sylfaen"/>
          <w:sz w:val="22"/>
          <w:szCs w:val="22"/>
          <w:lang w:val="en-US"/>
        </w:rPr>
        <w:t xml:space="preserve"> </w:t>
      </w:r>
      <w:r w:rsidR="004704E0" w:rsidRPr="00C921DE">
        <w:rPr>
          <w:rFonts w:ascii="GHEA Grapalat" w:hAnsi="GHEA Grapalat" w:cs="Sylfaen"/>
          <w:sz w:val="22"/>
          <w:szCs w:val="22"/>
        </w:rPr>
        <w:t>թերակատարմամբ:</w:t>
      </w:r>
      <w:r w:rsidR="00E17137" w:rsidRPr="00C921DE">
        <w:rPr>
          <w:rFonts w:ascii="GHEA Grapalat" w:hAnsi="GHEA Grapalat" w:cs="Sylfaen"/>
          <w:sz w:val="22"/>
          <w:szCs w:val="22"/>
          <w:lang w:val="en-US"/>
        </w:rPr>
        <w:t xml:space="preserve"> Նշված միջոցա</w:t>
      </w:r>
      <w:r w:rsidR="00F91940" w:rsidRPr="00C921DE">
        <w:rPr>
          <w:rFonts w:ascii="GHEA Grapalat" w:hAnsi="GHEA Grapalat" w:cs="Sylfaen"/>
          <w:sz w:val="22"/>
          <w:szCs w:val="22"/>
          <w:lang w:val="en-US"/>
        </w:rPr>
        <w:t>ռ</w:t>
      </w:r>
      <w:r w:rsidR="00E17137" w:rsidRPr="00C921DE">
        <w:rPr>
          <w:rFonts w:ascii="GHEA Grapalat" w:hAnsi="GHEA Grapalat" w:cs="Sylfaen"/>
          <w:sz w:val="22"/>
          <w:szCs w:val="22"/>
          <w:lang w:val="en-US"/>
        </w:rPr>
        <w:t>ման շրջանակներում օգտագործվել է նախատեսված միջոցների 7%-ը՝ 48.4 մլն դրամ, որ</w:t>
      </w:r>
      <w:r w:rsidR="004704E0" w:rsidRPr="00C921DE">
        <w:rPr>
          <w:rFonts w:ascii="GHEA Grapalat" w:hAnsi="GHEA Grapalat" w:cs="Sylfaen"/>
          <w:sz w:val="22"/>
          <w:szCs w:val="22"/>
        </w:rPr>
        <w:t>ը հիմնականում պայմանավորված է նրանով, որ</w:t>
      </w:r>
      <w:r w:rsidR="00387E9F" w:rsidRPr="00C921DE">
        <w:rPr>
          <w:rFonts w:ascii="GHEA Grapalat" w:hAnsi="GHEA Grapalat" w:cs="Sylfaen"/>
          <w:sz w:val="22"/>
          <w:szCs w:val="22"/>
        </w:rPr>
        <w:t xml:space="preserve"> </w:t>
      </w:r>
      <w:r w:rsidR="004704E0" w:rsidRPr="00C921DE">
        <w:rPr>
          <w:rFonts w:ascii="GHEA Grapalat" w:hAnsi="GHEA Grapalat" w:cs="Sylfaen"/>
          <w:sz w:val="22"/>
          <w:szCs w:val="22"/>
        </w:rPr>
        <w:t>մի շարք օբյեկտիվ հանգամանքներից ելնելով</w:t>
      </w:r>
      <w:r w:rsidR="005F19BC" w:rsidRPr="00C921DE">
        <w:rPr>
          <w:rFonts w:ascii="GHEA Grapalat" w:hAnsi="GHEA Grapalat" w:cs="Sylfaen"/>
          <w:sz w:val="22"/>
          <w:szCs w:val="22"/>
          <w:lang w:val="en-US"/>
        </w:rPr>
        <w:t>՝</w:t>
      </w:r>
      <w:r w:rsidR="004704E0" w:rsidRPr="00C921DE">
        <w:rPr>
          <w:rFonts w:ascii="GHEA Grapalat" w:hAnsi="GHEA Grapalat" w:cs="Sylfaen"/>
          <w:sz w:val="22"/>
          <w:szCs w:val="22"/>
        </w:rPr>
        <w:t xml:space="preserve"> նախատեսված աշխատանքների իրականացման ժամանակացույցը տարվա ընթացքում ենթարկվել է փոփոխությունների, որոնք հիմնականում կապված են եղել չինական կողմի գործողությունների գծով </w:t>
      </w:r>
      <w:r w:rsidR="004704E0" w:rsidRPr="00C921DE">
        <w:rPr>
          <w:rFonts w:ascii="GHEA Grapalat" w:hAnsi="GHEA Grapalat" w:cs="Sylfaen"/>
          <w:sz w:val="22"/>
          <w:szCs w:val="22"/>
        </w:rPr>
        <w:lastRenderedPageBreak/>
        <w:t xml:space="preserve">սահմանված ժամկետների հետաձգմամբ, ինչի արդյունքում փոփոխվել </w:t>
      </w:r>
      <w:r w:rsidR="005F19BC" w:rsidRPr="00C921DE">
        <w:rPr>
          <w:rFonts w:ascii="GHEA Grapalat" w:hAnsi="GHEA Grapalat" w:cs="Sylfaen"/>
          <w:sz w:val="22"/>
          <w:szCs w:val="22"/>
          <w:lang w:val="en-US"/>
        </w:rPr>
        <w:t>է</w:t>
      </w:r>
      <w:r w:rsidR="004704E0" w:rsidRPr="00C921DE">
        <w:rPr>
          <w:rFonts w:ascii="GHEA Grapalat" w:hAnsi="GHEA Grapalat" w:cs="Sylfaen"/>
          <w:sz w:val="22"/>
          <w:szCs w:val="22"/>
        </w:rPr>
        <w:t xml:space="preserve"> </w:t>
      </w:r>
      <w:r w:rsidR="005F19BC" w:rsidRPr="00C921DE">
        <w:rPr>
          <w:rFonts w:ascii="GHEA Grapalat" w:hAnsi="GHEA Grapalat" w:cs="Sylfaen"/>
          <w:sz w:val="22"/>
          <w:szCs w:val="22"/>
        </w:rPr>
        <w:t xml:space="preserve">նաև </w:t>
      </w:r>
      <w:r w:rsidR="004704E0" w:rsidRPr="00C921DE">
        <w:rPr>
          <w:rFonts w:ascii="GHEA Grapalat" w:hAnsi="GHEA Grapalat" w:cs="Sylfaen"/>
          <w:sz w:val="22"/>
          <w:szCs w:val="22"/>
        </w:rPr>
        <w:t>հայկական կողմի պարտավորությունների իրականացման գրաֆիկը:</w:t>
      </w:r>
    </w:p>
    <w:p w14:paraId="3D69D96C" w14:textId="11A9035C" w:rsidR="004704E0" w:rsidRPr="00C921DE" w:rsidRDefault="004704E0" w:rsidP="004704E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Ընդհանուր</w:t>
      </w:r>
      <w:r w:rsidRPr="00C921DE">
        <w:rPr>
          <w:rFonts w:ascii="GHEA Grapalat" w:hAnsi="GHEA Grapalat" w:cs="Sylfaen"/>
          <w:sz w:val="22"/>
          <w:szCs w:val="22"/>
        </w:rPr>
        <w:t xml:space="preserve"> ուղղվածության </w:t>
      </w:r>
      <w:r w:rsidRPr="00C921DE">
        <w:rPr>
          <w:rFonts w:ascii="GHEA Grapalat" w:hAnsi="GHEA Grapalat" w:cs="Sylfaen"/>
          <w:sz w:val="22"/>
          <w:szCs w:val="22"/>
          <w:lang w:val="en-US"/>
        </w:rPr>
        <w:t>հ</w:t>
      </w:r>
      <w:r w:rsidRPr="00C921DE">
        <w:rPr>
          <w:rFonts w:ascii="GHEA Grapalat" w:hAnsi="GHEA Grapalat" w:cs="Sylfaen"/>
          <w:sz w:val="22"/>
          <w:szCs w:val="22"/>
        </w:rPr>
        <w:t>եռուստատեսային ծառայությունների</w:t>
      </w:r>
      <w:r w:rsidRPr="00C921DE">
        <w:rPr>
          <w:rFonts w:ascii="GHEA Grapalat" w:hAnsi="GHEA Grapalat" w:cs="Sylfaen"/>
          <w:sz w:val="22"/>
          <w:szCs w:val="22"/>
          <w:lang w:val="en-US"/>
        </w:rPr>
        <w:t xml:space="preserve"> միջոցառման</w:t>
      </w:r>
      <w:r w:rsidRPr="00C921DE">
        <w:rPr>
          <w:rFonts w:ascii="GHEA Grapalat" w:hAnsi="GHEA Grapalat" w:cs="Sylfaen"/>
          <w:sz w:val="22"/>
          <w:szCs w:val="22"/>
        </w:rPr>
        <w:t xml:space="preserve"> շրջանակներում իրականացվել է «Տեսալսողական մեդիայի մասին» ՀՀ օրենքի պահանջներին </w:t>
      </w:r>
      <w:r w:rsidRPr="00C921DE">
        <w:rPr>
          <w:rFonts w:ascii="GHEA Grapalat" w:hAnsi="GHEA Grapalat" w:cs="Times Armenian"/>
          <w:sz w:val="22"/>
          <w:szCs w:val="22"/>
        </w:rPr>
        <w:t>համապատասխան</w:t>
      </w:r>
      <w:r w:rsidRPr="00C921DE">
        <w:rPr>
          <w:rFonts w:ascii="GHEA Grapalat" w:hAnsi="GHEA Grapalat" w:cs="Sylfaen"/>
          <w:sz w:val="22"/>
          <w:szCs w:val="22"/>
        </w:rPr>
        <w:t xml:space="preserve"> տարբեր թեմատիկ ուղղվածության հեռուստահաղորդումների պատրաստում և հեռարձակում Հանրային հեռուստաընկերության Առաջին ալիքի եթերում՝ 874</w:t>
      </w:r>
      <w:r w:rsidRPr="00C921DE">
        <w:rPr>
          <w:rFonts w:ascii="GHEA Grapalat" w:hAnsi="GHEA Grapalat" w:cs="Sylfaen"/>
          <w:sz w:val="22"/>
          <w:szCs w:val="22"/>
          <w:lang w:val="en-US"/>
        </w:rPr>
        <w:t>2</w:t>
      </w:r>
      <w:r w:rsidRPr="00C921DE">
        <w:rPr>
          <w:rFonts w:ascii="GHEA Grapalat" w:hAnsi="GHEA Grapalat" w:cs="Sylfaen"/>
          <w:sz w:val="22"/>
          <w:szCs w:val="22"/>
        </w:rPr>
        <w:t xml:space="preserve"> ժամ տևողությամբ</w:t>
      </w:r>
      <w:r w:rsidRPr="00C921DE">
        <w:rPr>
          <w:rFonts w:ascii="GHEA Grapalat" w:hAnsi="GHEA Grapalat" w:cs="Sylfaen"/>
          <w:sz w:val="22"/>
          <w:szCs w:val="22"/>
          <w:lang w:val="en-US"/>
        </w:rPr>
        <w:t>,</w:t>
      </w:r>
      <w:r w:rsidRPr="00C921DE">
        <w:rPr>
          <w:rFonts w:ascii="GHEA Grapalat" w:hAnsi="GHEA Grapalat" w:cs="Sylfaen"/>
          <w:sz w:val="22"/>
          <w:szCs w:val="22"/>
        </w:rPr>
        <w:t xml:space="preserve"> Միջազգային ալիքի եթերում՝ 874</w:t>
      </w:r>
      <w:r w:rsidRPr="00C921DE">
        <w:rPr>
          <w:rFonts w:ascii="GHEA Grapalat" w:hAnsi="GHEA Grapalat" w:cs="Sylfaen"/>
          <w:sz w:val="22"/>
          <w:szCs w:val="22"/>
          <w:lang w:val="en-US"/>
        </w:rPr>
        <w:t>2</w:t>
      </w:r>
      <w:r w:rsidRPr="00C921DE">
        <w:rPr>
          <w:rFonts w:ascii="GHEA Grapalat" w:hAnsi="GHEA Grapalat" w:cs="Sylfaen"/>
          <w:sz w:val="22"/>
          <w:szCs w:val="22"/>
        </w:rPr>
        <w:t xml:space="preserve"> ժամ տևողությամբ, և Լրատվական ալիքի եթերում՝ 87</w:t>
      </w:r>
      <w:r w:rsidRPr="00C921DE">
        <w:rPr>
          <w:rFonts w:ascii="GHEA Grapalat" w:hAnsi="GHEA Grapalat" w:cs="Sylfaen"/>
          <w:sz w:val="22"/>
          <w:szCs w:val="22"/>
          <w:lang w:val="en-US"/>
        </w:rPr>
        <w:t>60</w:t>
      </w:r>
      <w:r w:rsidRPr="00C921DE">
        <w:rPr>
          <w:rFonts w:ascii="GHEA Grapalat" w:hAnsi="GHEA Grapalat" w:cs="Sylfaen"/>
          <w:sz w:val="22"/>
          <w:szCs w:val="22"/>
        </w:rPr>
        <w:t xml:space="preserve"> ժամ տևողությամբ՝ յուրաքանչյուր ալիքում նախատեսված 87</w:t>
      </w:r>
      <w:r w:rsidRPr="00C921DE">
        <w:rPr>
          <w:rFonts w:ascii="GHEA Grapalat" w:hAnsi="GHEA Grapalat" w:cs="Sylfaen"/>
          <w:sz w:val="22"/>
          <w:szCs w:val="22"/>
          <w:lang w:val="en-US"/>
        </w:rPr>
        <w:t>60</w:t>
      </w:r>
      <w:r w:rsidR="00C906A1" w:rsidRPr="00C921DE">
        <w:rPr>
          <w:rFonts w:ascii="GHEA Grapalat" w:hAnsi="GHEA Grapalat" w:cs="Sylfaen"/>
          <w:sz w:val="22"/>
          <w:szCs w:val="22"/>
          <w:lang w:val="en-US"/>
        </w:rPr>
        <w:t xml:space="preserve"> ժամ</w:t>
      </w:r>
      <w:r w:rsidRPr="00C921DE">
        <w:rPr>
          <w:rFonts w:ascii="GHEA Grapalat" w:hAnsi="GHEA Grapalat" w:cs="Sylfaen"/>
          <w:sz w:val="22"/>
          <w:szCs w:val="22"/>
        </w:rPr>
        <w:t xml:space="preserve">ի </w:t>
      </w:r>
      <w:r w:rsidRPr="00C921DE">
        <w:rPr>
          <w:rFonts w:ascii="GHEA Grapalat" w:hAnsi="GHEA Grapalat" w:cs="Sylfaen"/>
          <w:sz w:val="22"/>
          <w:szCs w:val="22"/>
          <w:lang w:val="en-US"/>
        </w:rPr>
        <w:t>դիմաց</w:t>
      </w:r>
      <w:r w:rsidRPr="00C921DE">
        <w:rPr>
          <w:rFonts w:ascii="GHEA Grapalat" w:hAnsi="GHEA Grapalat" w:cs="Sylfaen"/>
          <w:sz w:val="22"/>
          <w:szCs w:val="22"/>
        </w:rPr>
        <w:t>: Ծրագրային ցուցանիշներից շեղումները պայմանավորված են պրոֆիլակտիկ աշխատանքների իրականացմամբ: Միջոցառման ծախսերը կազմել են 6.3 մլրդ դրամ</w:t>
      </w:r>
      <w:r w:rsidR="0016621E" w:rsidRPr="00C921DE">
        <w:rPr>
          <w:rFonts w:ascii="GHEA Grapalat" w:hAnsi="GHEA Grapalat" w:cs="Sylfaen"/>
          <w:sz w:val="22"/>
          <w:szCs w:val="22"/>
          <w:lang w:val="en-US"/>
        </w:rPr>
        <w:t xml:space="preserve"> (100%)</w:t>
      </w:r>
      <w:r w:rsidRPr="00C921DE">
        <w:rPr>
          <w:rFonts w:ascii="GHEA Grapalat" w:hAnsi="GHEA Grapalat" w:cs="Sylfaen"/>
          <w:sz w:val="22"/>
          <w:szCs w:val="22"/>
          <w:lang w:val="en-US"/>
        </w:rPr>
        <w:t>, որոնք</w:t>
      </w:r>
      <w:r w:rsidRPr="00C921DE">
        <w:rPr>
          <w:rFonts w:ascii="GHEA Grapalat" w:hAnsi="GHEA Grapalat" w:cs="Sylfaen"/>
          <w:sz w:val="22"/>
          <w:szCs w:val="22"/>
        </w:rPr>
        <w:t xml:space="preserve"> նախորդ տարվա </w:t>
      </w:r>
      <w:r w:rsidR="00C906A1" w:rsidRPr="00C921DE">
        <w:rPr>
          <w:rFonts w:ascii="GHEA Grapalat" w:hAnsi="GHEA Grapalat" w:cs="Sylfaen"/>
          <w:sz w:val="22"/>
          <w:szCs w:val="22"/>
          <w:lang w:val="en-US"/>
        </w:rPr>
        <w:t xml:space="preserve">համեմատ </w:t>
      </w:r>
      <w:r w:rsidR="00CB356A" w:rsidRPr="00C921DE">
        <w:rPr>
          <w:rFonts w:ascii="GHEA Grapalat" w:hAnsi="GHEA Grapalat" w:cs="Sylfaen"/>
          <w:sz w:val="22"/>
          <w:szCs w:val="22"/>
          <w:lang w:val="en-US"/>
        </w:rPr>
        <w:t>էական փոփոխություն չեն կրել</w:t>
      </w:r>
      <w:r w:rsidRPr="00C921DE">
        <w:rPr>
          <w:rFonts w:ascii="GHEA Grapalat" w:hAnsi="GHEA Grapalat" w:cs="Sylfaen"/>
          <w:sz w:val="22"/>
          <w:szCs w:val="22"/>
        </w:rPr>
        <w:t>:</w:t>
      </w:r>
    </w:p>
    <w:p w14:paraId="20C6E665" w14:textId="12019A42" w:rsidR="004704E0" w:rsidRPr="00C921DE" w:rsidRDefault="004704E0" w:rsidP="004704E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Sylfaen"/>
          <w:sz w:val="22"/>
          <w:szCs w:val="22"/>
        </w:rPr>
        <w:t xml:space="preserve">Ռադիո ծառայությունների միջոցառման </w:t>
      </w:r>
      <w:r w:rsidRPr="00C921DE">
        <w:rPr>
          <w:rFonts w:ascii="GHEA Grapalat" w:hAnsi="GHEA Grapalat" w:cs="Times Armenian"/>
          <w:sz w:val="22"/>
          <w:szCs w:val="22"/>
        </w:rPr>
        <w:t>շրջանակներում</w:t>
      </w:r>
      <w:r w:rsidRPr="00C921DE">
        <w:rPr>
          <w:rFonts w:ascii="GHEA Grapalat" w:hAnsi="GHEA Grapalat" w:cs="Sylfaen"/>
          <w:sz w:val="22"/>
          <w:szCs w:val="22"/>
        </w:rPr>
        <w:t xml:space="preserve"> իրականացվել են «Տեսալսողական մեդիայի մասին» </w:t>
      </w:r>
      <w:r w:rsidRPr="00C921DE">
        <w:rPr>
          <w:rFonts w:ascii="GHEA Grapalat" w:hAnsi="GHEA Grapalat" w:cs="Times Armenian"/>
          <w:sz w:val="22"/>
          <w:szCs w:val="22"/>
        </w:rPr>
        <w:t xml:space="preserve">ՀՀ օրենքի </w:t>
      </w:r>
      <w:r w:rsidRPr="00C921DE">
        <w:rPr>
          <w:rFonts w:ascii="GHEA Grapalat" w:hAnsi="GHEA Grapalat" w:cs="Sylfaen"/>
          <w:sz w:val="22"/>
          <w:szCs w:val="22"/>
        </w:rPr>
        <w:t>պահանջներին</w:t>
      </w:r>
      <w:r w:rsidRPr="00C921DE">
        <w:rPr>
          <w:rFonts w:ascii="GHEA Grapalat" w:hAnsi="GHEA Grapalat" w:cs="Times Armenian"/>
          <w:sz w:val="22"/>
          <w:szCs w:val="22"/>
        </w:rPr>
        <w:t xml:space="preserve"> համապատասխան ռադիոհաղորդումների պատրաստում և հեռարձակում Հանրային ռադիոընկերության «Առաջին ծրագրի», «Երկրորդ ծրագրի»</w:t>
      </w:r>
      <w:r w:rsidRPr="00C921DE">
        <w:rPr>
          <w:rFonts w:ascii="GHEA Grapalat" w:hAnsi="GHEA Grapalat" w:cs="Times Armenian"/>
          <w:sz w:val="22"/>
          <w:szCs w:val="22"/>
          <w:lang w:val="en-US"/>
        </w:rPr>
        <w:t>,</w:t>
      </w:r>
      <w:r w:rsidRPr="00C921DE">
        <w:rPr>
          <w:rFonts w:ascii="GHEA Grapalat" w:hAnsi="GHEA Grapalat" w:cs="Times Armenian"/>
          <w:sz w:val="22"/>
          <w:szCs w:val="22"/>
        </w:rPr>
        <w:t xml:space="preserve"> «Հոգևոր-մշակութային»</w:t>
      </w:r>
      <w:r w:rsidRPr="00C921DE">
        <w:rPr>
          <w:rFonts w:ascii="GHEA Grapalat" w:hAnsi="GHEA Grapalat" w:cs="Times Armenian"/>
          <w:sz w:val="22"/>
          <w:szCs w:val="22"/>
          <w:lang w:val="en-US"/>
        </w:rPr>
        <w:t>,</w:t>
      </w:r>
      <w:r w:rsidRPr="00C921DE">
        <w:rPr>
          <w:rFonts w:ascii="GHEA Grapalat" w:hAnsi="GHEA Grapalat" w:cs="Times Armenian"/>
          <w:sz w:val="22"/>
          <w:szCs w:val="22"/>
        </w:rPr>
        <w:t xml:space="preserve"> «ԷյԷմ» լսողական ծրագրի եթերում, մայրաքաղաքային սփռման «Արևիկ» լսողական ծրագր</w:t>
      </w:r>
      <w:r w:rsidR="00734518" w:rsidRPr="00C921DE">
        <w:rPr>
          <w:rFonts w:ascii="GHEA Grapalat" w:hAnsi="GHEA Grapalat" w:cs="Times Armenian"/>
          <w:sz w:val="22"/>
          <w:szCs w:val="22"/>
          <w:lang w:val="en-US"/>
        </w:rPr>
        <w:t>եր</w:t>
      </w:r>
      <w:r w:rsidRPr="00C921DE">
        <w:rPr>
          <w:rFonts w:ascii="GHEA Grapalat" w:hAnsi="GHEA Grapalat" w:cs="Times Armenian"/>
          <w:sz w:val="22"/>
          <w:szCs w:val="22"/>
        </w:rPr>
        <w:t>ի եթերում</w:t>
      </w:r>
      <w:r w:rsidRPr="00C921DE">
        <w:rPr>
          <w:rFonts w:ascii="GHEA Grapalat" w:hAnsi="GHEA Grapalat" w:cs="Times Armenian"/>
          <w:sz w:val="22"/>
          <w:szCs w:val="22"/>
          <w:lang w:val="en-US"/>
        </w:rPr>
        <w:t xml:space="preserve"> և</w:t>
      </w:r>
      <w:r w:rsidRPr="00C921DE">
        <w:rPr>
          <w:rFonts w:ascii="GHEA Grapalat" w:hAnsi="GHEA Grapalat" w:cs="Times Armenian"/>
          <w:sz w:val="22"/>
          <w:szCs w:val="22"/>
        </w:rPr>
        <w:t xml:space="preserve"> համացանցային սփռման «Մշակույթ»</w:t>
      </w:r>
      <w:r w:rsidRPr="00C921DE">
        <w:rPr>
          <w:rFonts w:ascii="GHEA Grapalat" w:hAnsi="GHEA Grapalat" w:cs="Times Armenian"/>
          <w:sz w:val="22"/>
          <w:szCs w:val="22"/>
          <w:lang w:val="en-US"/>
        </w:rPr>
        <w:t xml:space="preserve"> </w:t>
      </w:r>
      <w:r w:rsidR="00734518" w:rsidRPr="00C921DE">
        <w:rPr>
          <w:rFonts w:ascii="GHEA Grapalat" w:hAnsi="GHEA Grapalat" w:cs="Times Armenian"/>
          <w:sz w:val="22"/>
          <w:szCs w:val="22"/>
        </w:rPr>
        <w:t>լսողական ծրագրի եթեր</w:t>
      </w:r>
      <w:r w:rsidRPr="00C921DE">
        <w:rPr>
          <w:rFonts w:ascii="GHEA Grapalat" w:hAnsi="GHEA Grapalat" w:cs="Times Armenian"/>
          <w:sz w:val="22"/>
          <w:szCs w:val="22"/>
        </w:rPr>
        <w:t xml:space="preserve">ում </w:t>
      </w:r>
      <w:r w:rsidRPr="00C921DE">
        <w:rPr>
          <w:rFonts w:ascii="GHEA Grapalat" w:hAnsi="GHEA Grapalat" w:cs="Times Armenian"/>
          <w:sz w:val="22"/>
          <w:szCs w:val="22"/>
          <w:lang w:val="en-US"/>
        </w:rPr>
        <w:t xml:space="preserve">նախատեսված ծավալով՝ </w:t>
      </w:r>
      <w:r w:rsidRPr="00C921DE">
        <w:rPr>
          <w:rFonts w:ascii="GHEA Grapalat" w:hAnsi="GHEA Grapalat" w:cs="Times Armenian"/>
          <w:sz w:val="22"/>
          <w:szCs w:val="22"/>
        </w:rPr>
        <w:t xml:space="preserve">յուրաքանչյուրում 8760 ժամ տևողությամբ, ինչպես նաև </w:t>
      </w:r>
      <w:r w:rsidR="00552BC2" w:rsidRPr="00C921DE">
        <w:rPr>
          <w:rFonts w:ascii="GHEA Grapalat" w:hAnsi="GHEA Grapalat" w:cs="Times Armenian"/>
          <w:sz w:val="22"/>
          <w:szCs w:val="22"/>
        </w:rPr>
        <w:t xml:space="preserve">Մերձավոր Արևելքի և հարևան երկրներում օտարալեզու լսողական ծրագրի եթերում՝ </w:t>
      </w:r>
      <w:r w:rsidR="00552BC2" w:rsidRPr="00C921DE">
        <w:rPr>
          <w:rFonts w:ascii="GHEA Grapalat" w:hAnsi="GHEA Grapalat" w:cs="Times Armenian"/>
          <w:sz w:val="22"/>
          <w:szCs w:val="22"/>
          <w:lang w:val="en-US"/>
        </w:rPr>
        <w:t xml:space="preserve">638.75 ժամ տևողությամբ և </w:t>
      </w:r>
      <w:r w:rsidRPr="00C921DE">
        <w:rPr>
          <w:rFonts w:ascii="GHEA Grapalat" w:hAnsi="GHEA Grapalat" w:cs="Times Armenian"/>
          <w:sz w:val="22"/>
          <w:szCs w:val="22"/>
        </w:rPr>
        <w:t>Հանրային ռադիոընկերության «ԷյԷմ» լսողական ծրագրի եթերում ազգային փոքրամասնությունների լեզուներով ռադիոհաղորդումներ</w:t>
      </w:r>
      <w:r w:rsidRPr="00C921DE">
        <w:rPr>
          <w:rFonts w:ascii="GHEA Grapalat" w:hAnsi="GHEA Grapalat" w:cs="Times Armenian"/>
          <w:sz w:val="22"/>
          <w:szCs w:val="22"/>
          <w:lang w:val="en-US"/>
        </w:rPr>
        <w:t>ի</w:t>
      </w:r>
      <w:r w:rsidRPr="00C921DE">
        <w:rPr>
          <w:rFonts w:ascii="GHEA Grapalat" w:hAnsi="GHEA Grapalat" w:cs="Times Armenian"/>
          <w:sz w:val="22"/>
          <w:szCs w:val="22"/>
        </w:rPr>
        <w:t xml:space="preserve"> հեռարձակում</w:t>
      </w:r>
      <w:r w:rsidRPr="00C921DE">
        <w:rPr>
          <w:rFonts w:ascii="GHEA Grapalat" w:hAnsi="GHEA Grapalat" w:cs="Times Armenian"/>
          <w:sz w:val="22"/>
          <w:szCs w:val="22"/>
          <w:lang w:val="en-US"/>
        </w:rPr>
        <w:t xml:space="preserve"> 730</w:t>
      </w:r>
      <w:r w:rsidRPr="00C921DE">
        <w:rPr>
          <w:rFonts w:ascii="GHEA Grapalat" w:hAnsi="GHEA Grapalat" w:cs="Times Armenian"/>
          <w:sz w:val="22"/>
          <w:szCs w:val="22"/>
        </w:rPr>
        <w:t xml:space="preserve"> ժամ տևողությամբ</w:t>
      </w:r>
      <w:r w:rsidRPr="00C921DE">
        <w:rPr>
          <w:rFonts w:ascii="GHEA Grapalat" w:hAnsi="GHEA Grapalat" w:cs="Times Armenian"/>
          <w:sz w:val="22"/>
          <w:szCs w:val="22"/>
          <w:lang w:val="en-US"/>
        </w:rPr>
        <w:t xml:space="preserve">: </w:t>
      </w:r>
      <w:r w:rsidRPr="00C921DE">
        <w:rPr>
          <w:rFonts w:ascii="GHEA Grapalat" w:hAnsi="GHEA Grapalat" w:cs="Times Armenian"/>
          <w:sz w:val="22"/>
          <w:szCs w:val="22"/>
        </w:rPr>
        <w:t>Միջոցառման ծախսերը հաշվետու ժամանակահատվածում կազմել են 9</w:t>
      </w:r>
      <w:r w:rsidRPr="00C921DE">
        <w:rPr>
          <w:rFonts w:ascii="GHEA Grapalat" w:hAnsi="GHEA Grapalat" w:cs="Times Armenian"/>
          <w:sz w:val="22"/>
          <w:szCs w:val="22"/>
          <w:lang w:val="en-US"/>
        </w:rPr>
        <w:t>56.1</w:t>
      </w:r>
      <w:r w:rsidRPr="00C921DE">
        <w:rPr>
          <w:rFonts w:ascii="GHEA Grapalat" w:hAnsi="GHEA Grapalat" w:cs="Times Armenian"/>
          <w:sz w:val="22"/>
          <w:szCs w:val="22"/>
        </w:rPr>
        <w:t xml:space="preserve"> մլն դրամ</w:t>
      </w:r>
      <w:r w:rsidR="0016621E" w:rsidRPr="00C921DE">
        <w:rPr>
          <w:rFonts w:ascii="GHEA Grapalat" w:hAnsi="GHEA Grapalat" w:cs="Times Armenian"/>
          <w:sz w:val="22"/>
          <w:szCs w:val="22"/>
          <w:lang w:val="en-US"/>
        </w:rPr>
        <w:t xml:space="preserve"> (100%)</w:t>
      </w:r>
      <w:r w:rsidRPr="00C921DE">
        <w:rPr>
          <w:rFonts w:ascii="GHEA Grapalat" w:hAnsi="GHEA Grapalat" w:cs="Times Armenian"/>
          <w:sz w:val="22"/>
          <w:szCs w:val="22"/>
          <w:lang w:val="en-US"/>
        </w:rPr>
        <w:t>, որոնք 3.4</w:t>
      </w:r>
      <w:r w:rsidRPr="00C921DE">
        <w:rPr>
          <w:rFonts w:ascii="GHEA Grapalat" w:hAnsi="GHEA Grapalat" w:cs="Times Armenian"/>
          <w:sz w:val="22"/>
          <w:szCs w:val="22"/>
        </w:rPr>
        <w:t>%-ով (</w:t>
      </w:r>
      <w:r w:rsidRPr="00C921DE">
        <w:rPr>
          <w:rFonts w:ascii="GHEA Grapalat" w:hAnsi="GHEA Grapalat" w:cs="Times Armenian"/>
          <w:sz w:val="22"/>
          <w:szCs w:val="22"/>
          <w:lang w:val="en-US"/>
        </w:rPr>
        <w:t>31.1</w:t>
      </w:r>
      <w:r w:rsidRPr="00C921DE">
        <w:rPr>
          <w:rFonts w:ascii="GHEA Grapalat" w:hAnsi="GHEA Grapalat" w:cs="Times Armenian"/>
          <w:sz w:val="22"/>
          <w:szCs w:val="22"/>
        </w:rPr>
        <w:t xml:space="preserve"> մլն դրամով) գերազանցել են նախորդ տարվա ցուցանիշը</w:t>
      </w:r>
      <w:r w:rsidRPr="00C921DE">
        <w:rPr>
          <w:rFonts w:ascii="GHEA Grapalat" w:hAnsi="GHEA Grapalat" w:cs="Sylfaen"/>
          <w:sz w:val="22"/>
          <w:szCs w:val="22"/>
        </w:rPr>
        <w:t>:</w:t>
      </w:r>
      <w:r w:rsidRPr="00C921DE">
        <w:rPr>
          <w:rFonts w:ascii="GHEA Grapalat" w:hAnsi="GHEA Grapalat" w:cs="GHEA Grapalat"/>
          <w:sz w:val="22"/>
          <w:szCs w:val="22"/>
        </w:rPr>
        <w:t xml:space="preserve"> </w:t>
      </w:r>
    </w:p>
    <w:p w14:paraId="09816239" w14:textId="21577AC5" w:rsidR="004704E0" w:rsidRPr="00C921DE" w:rsidRDefault="004704E0" w:rsidP="004704E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 xml:space="preserve">2022 թվականի համեմատ Ռադիո և հեռուստահաղորդումների հեռարձակման ծրագրի ծախսերը նվազել են </w:t>
      </w:r>
      <w:r w:rsidR="0016621E" w:rsidRPr="00C921DE">
        <w:rPr>
          <w:rFonts w:ascii="GHEA Grapalat" w:hAnsi="GHEA Grapalat" w:cs="Times Armenian"/>
          <w:sz w:val="22"/>
          <w:szCs w:val="22"/>
          <w:lang w:val="en-US"/>
        </w:rPr>
        <w:t>38.8</w:t>
      </w:r>
      <w:r w:rsidRPr="00C921DE">
        <w:rPr>
          <w:rFonts w:ascii="GHEA Grapalat" w:hAnsi="GHEA Grapalat" w:cs="Times Armenian"/>
          <w:sz w:val="22"/>
          <w:szCs w:val="22"/>
        </w:rPr>
        <w:t xml:space="preserve">%-ով կամ 4.9 մլրդ դրամով, որը պայմանավորված է </w:t>
      </w:r>
      <w:r w:rsidR="00923D99" w:rsidRPr="00C921DE">
        <w:rPr>
          <w:rFonts w:ascii="GHEA Grapalat" w:hAnsi="GHEA Grapalat" w:cs="Times Armenian"/>
          <w:sz w:val="22"/>
          <w:szCs w:val="22"/>
          <w:lang w:val="en-US"/>
        </w:rPr>
        <w:t xml:space="preserve">2022 թվականին </w:t>
      </w:r>
      <w:r w:rsidRPr="00C921DE">
        <w:rPr>
          <w:rFonts w:ascii="GHEA Grapalat" w:hAnsi="GHEA Grapalat" w:cs="Times Armenian"/>
          <w:sz w:val="22"/>
          <w:szCs w:val="22"/>
        </w:rPr>
        <w:t>«Մանկական Եվրատեսիլ 2022» երգի մրցույթի</w:t>
      </w:r>
      <w:r w:rsidR="00923D99" w:rsidRPr="00C921DE">
        <w:rPr>
          <w:rFonts w:ascii="GHEA Grapalat" w:hAnsi="GHEA Grapalat" w:cs="Times Armenian"/>
          <w:sz w:val="22"/>
          <w:szCs w:val="22"/>
          <w:lang w:val="en-US"/>
        </w:rPr>
        <w:t xml:space="preserve"> անցկացմամբ, որի</w:t>
      </w:r>
      <w:r w:rsidRPr="00C921DE">
        <w:rPr>
          <w:rFonts w:ascii="GHEA Grapalat" w:hAnsi="GHEA Grapalat" w:cs="Times Armenian"/>
          <w:sz w:val="22"/>
          <w:szCs w:val="22"/>
        </w:rPr>
        <w:t xml:space="preserve"> կազմակերպման նպատակով </w:t>
      </w:r>
      <w:r w:rsidR="00923D99" w:rsidRPr="00C921DE">
        <w:rPr>
          <w:rFonts w:ascii="GHEA Grapalat" w:hAnsi="GHEA Grapalat" w:cs="Times Armenian"/>
          <w:sz w:val="22"/>
          <w:szCs w:val="22"/>
          <w:lang w:val="en-US"/>
        </w:rPr>
        <w:t xml:space="preserve">հատկացվել էր </w:t>
      </w:r>
      <w:r w:rsidR="00923D99" w:rsidRPr="00C921DE">
        <w:rPr>
          <w:rFonts w:ascii="GHEA Grapalat" w:hAnsi="GHEA Grapalat" w:cs="Times Armenian"/>
          <w:sz w:val="22"/>
          <w:szCs w:val="22"/>
        </w:rPr>
        <w:t>շուրջ 5 մլրդ դրամ</w:t>
      </w:r>
      <w:r w:rsidRPr="00C921DE">
        <w:rPr>
          <w:rFonts w:ascii="GHEA Grapalat" w:hAnsi="GHEA Grapalat" w:cs="Times Armenian"/>
          <w:sz w:val="22"/>
          <w:szCs w:val="22"/>
        </w:rPr>
        <w:t xml:space="preserve">: </w:t>
      </w:r>
    </w:p>
    <w:p w14:paraId="71FDC274" w14:textId="77777777" w:rsidR="00C56BD7" w:rsidRPr="00C921DE" w:rsidRDefault="00C56BD7" w:rsidP="004704E0">
      <w:pPr>
        <w:autoSpaceDE w:val="0"/>
        <w:autoSpaceDN w:val="0"/>
        <w:adjustRightInd w:val="0"/>
        <w:spacing w:line="360" w:lineRule="auto"/>
        <w:ind w:firstLine="567"/>
        <w:jc w:val="both"/>
        <w:rPr>
          <w:rFonts w:ascii="GHEA Grapalat" w:hAnsi="GHEA Grapalat" w:cs="Times Armenian"/>
          <w:sz w:val="22"/>
          <w:szCs w:val="22"/>
        </w:rPr>
      </w:pPr>
    </w:p>
    <w:p w14:paraId="27C93E73" w14:textId="18C8739E" w:rsidR="004704E0" w:rsidRPr="00C921DE" w:rsidRDefault="00C56BD7" w:rsidP="004704E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i/>
          <w:sz w:val="22"/>
          <w:szCs w:val="22"/>
          <w:u w:val="single"/>
        </w:rPr>
        <w:t>ՀՀ հաշվեքննիչ պալատին</w:t>
      </w:r>
      <w:r w:rsidRPr="00C921DE">
        <w:rPr>
          <w:rFonts w:ascii="GHEA Grapalat" w:hAnsi="GHEA Grapalat" w:cs="Sylfaen"/>
          <w:sz w:val="22"/>
          <w:szCs w:val="22"/>
        </w:rPr>
        <w:t xml:space="preserve"> </w:t>
      </w:r>
      <w:r w:rsidR="004704E0" w:rsidRPr="00C921DE">
        <w:rPr>
          <w:rFonts w:ascii="GHEA Grapalat" w:hAnsi="GHEA Grapalat" w:cs="Sylfaen"/>
          <w:i/>
          <w:sz w:val="22"/>
          <w:szCs w:val="22"/>
        </w:rPr>
        <w:t>Հանրային ֆինանսների և սեփականության ոլորտում հաշվեքննության</w:t>
      </w:r>
      <w:r w:rsidR="004704E0" w:rsidRPr="00C921DE">
        <w:rPr>
          <w:rFonts w:ascii="GHEA Grapalat" w:hAnsi="GHEA Grapalat" w:cs="Sylfaen"/>
          <w:sz w:val="22"/>
          <w:szCs w:val="22"/>
        </w:rPr>
        <w:t xml:space="preserve"> ծրագրի շրջանակներում 202</w:t>
      </w:r>
      <w:r w:rsidR="004704E0" w:rsidRPr="00C921DE">
        <w:rPr>
          <w:rFonts w:ascii="GHEA Grapalat" w:hAnsi="GHEA Grapalat" w:cs="Sylfaen"/>
          <w:sz w:val="22"/>
          <w:szCs w:val="22"/>
          <w:lang w:val="en-US"/>
        </w:rPr>
        <w:t>3</w:t>
      </w:r>
      <w:r w:rsidR="004704E0" w:rsidRPr="00C921DE">
        <w:rPr>
          <w:rFonts w:ascii="GHEA Grapalat" w:hAnsi="GHEA Grapalat" w:cs="Sylfaen"/>
          <w:sz w:val="22"/>
          <w:szCs w:val="22"/>
        </w:rPr>
        <w:t xml:space="preserve"> թվականին ՀՀ պետական բյուջեից տրամադրվել է ավելի քան 1 մլրդ դրամ, որը կազմել է ծրագրված ցուցանիշի 93.4%-ը: Շեղումը հիմնականում պայմանավորված է գործուղումների և աշխատանքի </w:t>
      </w:r>
      <w:r w:rsidR="004704E0" w:rsidRPr="00C921DE">
        <w:rPr>
          <w:rFonts w:ascii="GHEA Grapalat" w:hAnsi="GHEA Grapalat" w:cs="Times Armenian"/>
          <w:sz w:val="22"/>
          <w:szCs w:val="22"/>
        </w:rPr>
        <w:t>վարձատրության</w:t>
      </w:r>
      <w:r w:rsidR="004704E0" w:rsidRPr="00C921DE">
        <w:rPr>
          <w:rFonts w:ascii="GHEA Grapalat" w:hAnsi="GHEA Grapalat" w:cs="Sylfaen"/>
          <w:sz w:val="22"/>
          <w:szCs w:val="22"/>
        </w:rPr>
        <w:t xml:space="preserve"> գծով ծախսերի տնտես</w:t>
      </w:r>
      <w:r w:rsidR="00333A66" w:rsidRPr="00C921DE">
        <w:rPr>
          <w:rFonts w:ascii="GHEA Grapalat" w:hAnsi="GHEA Grapalat" w:cs="Sylfaen"/>
          <w:sz w:val="22"/>
          <w:szCs w:val="22"/>
          <w:lang w:val="en-US"/>
        </w:rPr>
        <w:t>մամբ</w:t>
      </w:r>
      <w:r w:rsidR="004704E0" w:rsidRPr="00C921DE">
        <w:rPr>
          <w:rFonts w:ascii="GHEA Grapalat" w:hAnsi="GHEA Grapalat" w:cs="Sylfaen"/>
          <w:sz w:val="22"/>
          <w:szCs w:val="22"/>
        </w:rPr>
        <w:t xml:space="preserve">: Գործուղումների գծով ծախսերի տնտեսումն առաջացել է միջազգային համագործակցության </w:t>
      </w:r>
      <w:r w:rsidR="004704E0" w:rsidRPr="00C921DE">
        <w:rPr>
          <w:rFonts w:ascii="GHEA Grapalat" w:hAnsi="GHEA Grapalat" w:cs="Sylfaen"/>
          <w:sz w:val="22"/>
          <w:szCs w:val="22"/>
        </w:rPr>
        <w:lastRenderedPageBreak/>
        <w:t>շրջանակներում մի շարք միջոցառումների առցանց ձևաչափով անցկացման, ինչպես նաև</w:t>
      </w:r>
      <w:r w:rsidR="00333A66" w:rsidRPr="00C921DE">
        <w:rPr>
          <w:rFonts w:ascii="GHEA Grapalat" w:hAnsi="GHEA Grapalat" w:cs="Sylfaen"/>
          <w:sz w:val="22"/>
          <w:szCs w:val="22"/>
        </w:rPr>
        <w:t xml:space="preserve"> իրավական բարեփոխումների՝</w:t>
      </w:r>
      <w:r w:rsidR="004704E0" w:rsidRPr="00C921DE">
        <w:rPr>
          <w:rFonts w:ascii="GHEA Grapalat" w:hAnsi="GHEA Grapalat" w:cs="Sylfaen"/>
          <w:sz w:val="22"/>
          <w:szCs w:val="22"/>
        </w:rPr>
        <w:t xml:space="preserve"> նախատեսվածից դանդաղ ընթացքով պայմանավորված</w:t>
      </w:r>
      <w:r w:rsidR="00333A66" w:rsidRPr="00C921DE">
        <w:rPr>
          <w:rFonts w:ascii="GHEA Grapalat" w:hAnsi="GHEA Grapalat" w:cs="Sylfaen"/>
          <w:sz w:val="22"/>
          <w:szCs w:val="22"/>
          <w:lang w:val="en-US"/>
        </w:rPr>
        <w:t>՝</w:t>
      </w:r>
      <w:r w:rsidR="004704E0" w:rsidRPr="00C921DE">
        <w:rPr>
          <w:rFonts w:ascii="GHEA Grapalat" w:hAnsi="GHEA Grapalat" w:cs="Sylfaen"/>
          <w:sz w:val="22"/>
          <w:szCs w:val="22"/>
        </w:rPr>
        <w:t xml:space="preserve"> մասնագիտական կարողությունների զարգացման մի շարք հնարավորությունների</w:t>
      </w:r>
      <w:r w:rsidR="00333A66" w:rsidRPr="00C921DE">
        <w:rPr>
          <w:rFonts w:ascii="GHEA Grapalat" w:hAnsi="GHEA Grapalat" w:cs="Sylfaen"/>
          <w:sz w:val="22"/>
          <w:szCs w:val="22"/>
        </w:rPr>
        <w:t xml:space="preserve"> չիրացման արդյունքում։ Իրավական</w:t>
      </w:r>
      <w:r w:rsidR="004704E0" w:rsidRPr="00C921DE">
        <w:rPr>
          <w:rFonts w:ascii="GHEA Grapalat" w:hAnsi="GHEA Grapalat" w:cs="Sylfaen"/>
          <w:sz w:val="22"/>
          <w:szCs w:val="22"/>
        </w:rPr>
        <w:t>՝ մարդկային ռեսուրսների կառավարման ուղղությամբ</w:t>
      </w:r>
      <w:r w:rsidR="00333A66" w:rsidRPr="00C921DE">
        <w:rPr>
          <w:rFonts w:ascii="GHEA Grapalat" w:hAnsi="GHEA Grapalat" w:cs="Sylfaen"/>
          <w:sz w:val="22"/>
          <w:szCs w:val="22"/>
          <w:lang w:val="en-US"/>
        </w:rPr>
        <w:t xml:space="preserve"> </w:t>
      </w:r>
      <w:r w:rsidR="00333A66" w:rsidRPr="00C921DE">
        <w:rPr>
          <w:rFonts w:ascii="GHEA Grapalat" w:hAnsi="GHEA Grapalat" w:cs="Sylfaen"/>
          <w:sz w:val="22"/>
          <w:szCs w:val="22"/>
        </w:rPr>
        <w:t>բարեփոխումների դանդաղ ընթացք</w:t>
      </w:r>
      <w:r w:rsidR="009D302B" w:rsidRPr="00C921DE">
        <w:rPr>
          <w:rFonts w:ascii="GHEA Grapalat" w:hAnsi="GHEA Grapalat" w:cs="Sylfaen"/>
          <w:sz w:val="22"/>
          <w:szCs w:val="22"/>
          <w:lang w:val="en-US"/>
        </w:rPr>
        <w:t xml:space="preserve">ը հանգեցրել </w:t>
      </w:r>
      <w:r w:rsidR="004704E0" w:rsidRPr="00C921DE">
        <w:rPr>
          <w:rFonts w:ascii="GHEA Grapalat" w:hAnsi="GHEA Grapalat" w:cs="Sylfaen"/>
          <w:sz w:val="22"/>
          <w:szCs w:val="22"/>
        </w:rPr>
        <w:t>է մասնագիտական թերհամալրվածության ու դրանից բխող աշխատավարձի գծով տնտեսման։</w:t>
      </w:r>
    </w:p>
    <w:p w14:paraId="6E6D9279" w14:textId="72202215" w:rsidR="004704E0" w:rsidRPr="00C921DE" w:rsidRDefault="004704E0" w:rsidP="004704E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2022 թվականի համեմատ ծախսերի 4% (39.8 մլն դրամ) աճը հիմնականում պայմանավորված է դատարանի վճիռների բավարարման նպատակով աշխատանքի վարձատր</w:t>
      </w:r>
      <w:r w:rsidR="00BC754A" w:rsidRPr="00C921DE">
        <w:rPr>
          <w:rFonts w:ascii="GHEA Grapalat" w:hAnsi="GHEA Grapalat" w:cs="Times Armenian"/>
          <w:sz w:val="22"/>
          <w:szCs w:val="22"/>
          <w:lang w:val="en-US"/>
        </w:rPr>
        <w:t xml:space="preserve">ությանը </w:t>
      </w:r>
      <w:r w:rsidR="00BC754A" w:rsidRPr="00C921DE">
        <w:rPr>
          <w:rFonts w:ascii="GHEA Grapalat" w:hAnsi="GHEA Grapalat" w:cs="Times Armenian"/>
          <w:sz w:val="22"/>
          <w:szCs w:val="22"/>
        </w:rPr>
        <w:t xml:space="preserve">լրացուցիչ միջոցների </w:t>
      </w:r>
      <w:r w:rsidR="00BC754A" w:rsidRPr="00C921DE">
        <w:rPr>
          <w:rFonts w:ascii="GHEA Grapalat" w:hAnsi="GHEA Grapalat" w:cs="Times Armenian"/>
          <w:sz w:val="22"/>
          <w:szCs w:val="22"/>
          <w:lang w:val="en-US"/>
        </w:rPr>
        <w:t>հատկաց</w:t>
      </w:r>
      <w:r w:rsidRPr="00C921DE">
        <w:rPr>
          <w:rFonts w:ascii="GHEA Grapalat" w:hAnsi="GHEA Grapalat" w:cs="Times Armenian"/>
          <w:sz w:val="22"/>
          <w:szCs w:val="22"/>
        </w:rPr>
        <w:t>մամբ:</w:t>
      </w:r>
      <w:r w:rsidR="00387E9F" w:rsidRPr="00C921DE">
        <w:rPr>
          <w:rFonts w:ascii="GHEA Grapalat" w:hAnsi="GHEA Grapalat" w:cs="Times Armenian"/>
          <w:sz w:val="22"/>
          <w:szCs w:val="22"/>
        </w:rPr>
        <w:t xml:space="preserve"> </w:t>
      </w:r>
    </w:p>
    <w:p w14:paraId="7C991DD8" w14:textId="074DA6E9" w:rsidR="004704E0" w:rsidRPr="00C921DE" w:rsidRDefault="004704E0" w:rsidP="004704E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2023 թվականին ՀՀ հաշվեքննիչ պալատի կողմից իրականացվել են 52 հաշվեքննություններ՝ նախատեսված 55-ի փոխարեն՝ պայմանավորված</w:t>
      </w:r>
      <w:r w:rsidR="00BC754A" w:rsidRPr="00C921DE">
        <w:rPr>
          <w:rFonts w:ascii="GHEA Grapalat" w:hAnsi="GHEA Grapalat" w:cs="Times Armenian"/>
          <w:sz w:val="22"/>
          <w:szCs w:val="22"/>
          <w:lang w:val="en-US"/>
        </w:rPr>
        <w:t xml:space="preserve"> որոշ</w:t>
      </w:r>
      <w:r w:rsidRPr="00C921DE">
        <w:rPr>
          <w:rFonts w:ascii="GHEA Grapalat" w:hAnsi="GHEA Grapalat" w:cs="Times Armenian"/>
          <w:sz w:val="22"/>
          <w:szCs w:val="22"/>
        </w:rPr>
        <w:t xml:space="preserve"> հաշվեքննությունների առաջադրանքների ժամկետ</w:t>
      </w:r>
      <w:r w:rsidR="00BC754A" w:rsidRPr="00C921DE">
        <w:rPr>
          <w:rFonts w:ascii="GHEA Grapalat" w:hAnsi="GHEA Grapalat" w:cs="Times Armenian"/>
          <w:sz w:val="22"/>
          <w:szCs w:val="22"/>
          <w:lang w:val="en-US"/>
        </w:rPr>
        <w:t>ներ</w:t>
      </w:r>
      <w:r w:rsidRPr="00C921DE">
        <w:rPr>
          <w:rFonts w:ascii="GHEA Grapalat" w:hAnsi="GHEA Grapalat" w:cs="Times Armenian"/>
          <w:sz w:val="22"/>
          <w:szCs w:val="22"/>
        </w:rPr>
        <w:t>ի երկարաձգմամբ:</w:t>
      </w:r>
    </w:p>
    <w:p w14:paraId="0EC506AE" w14:textId="77777777" w:rsidR="00C56BD7" w:rsidRPr="00C921DE" w:rsidRDefault="00C56BD7" w:rsidP="004704E0">
      <w:pPr>
        <w:autoSpaceDE w:val="0"/>
        <w:autoSpaceDN w:val="0"/>
        <w:adjustRightInd w:val="0"/>
        <w:spacing w:line="360" w:lineRule="auto"/>
        <w:ind w:firstLine="567"/>
        <w:jc w:val="both"/>
        <w:rPr>
          <w:rFonts w:ascii="GHEA Grapalat" w:hAnsi="GHEA Grapalat" w:cs="Times Armenian"/>
          <w:sz w:val="22"/>
          <w:szCs w:val="22"/>
        </w:rPr>
      </w:pPr>
      <w:r w:rsidRPr="00C921DE">
        <w:rPr>
          <w:rFonts w:ascii="GHEA Grapalat" w:hAnsi="GHEA Grapalat" w:cs="Times Armenian"/>
          <w:sz w:val="22"/>
          <w:szCs w:val="22"/>
        </w:rPr>
        <w:t xml:space="preserve"> </w:t>
      </w:r>
    </w:p>
    <w:p w14:paraId="34FFB034" w14:textId="2A322B01" w:rsidR="00BC1A2F" w:rsidRPr="00C921DE" w:rsidRDefault="00C56BD7" w:rsidP="00BC1A2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i/>
          <w:sz w:val="22"/>
          <w:szCs w:val="22"/>
          <w:u w:val="single"/>
        </w:rPr>
        <w:t>Մարդու իրավունքների պաշտպանի աշխատակազմի</w:t>
      </w:r>
      <w:r w:rsidRPr="00C921DE">
        <w:rPr>
          <w:rFonts w:ascii="GHEA Grapalat" w:hAnsi="GHEA Grapalat"/>
          <w:sz w:val="22"/>
          <w:szCs w:val="22"/>
        </w:rPr>
        <w:t xml:space="preserve"> </w:t>
      </w:r>
      <w:r w:rsidR="00BC1A2F" w:rsidRPr="00C921DE">
        <w:rPr>
          <w:rFonts w:ascii="GHEA Grapalat" w:hAnsi="GHEA Grapalat"/>
          <w:sz w:val="22"/>
          <w:szCs w:val="22"/>
        </w:rPr>
        <w:t>պատասխանատվությամբ</w:t>
      </w:r>
      <w:r w:rsidR="00BC1A2F" w:rsidRPr="00C921DE">
        <w:rPr>
          <w:rFonts w:ascii="GHEA Grapalat" w:hAnsi="GHEA Grapalat"/>
          <w:sz w:val="22"/>
          <w:szCs w:val="22"/>
          <w:lang w:val="af-ZA"/>
        </w:rPr>
        <w:t xml:space="preserve"> </w:t>
      </w:r>
      <w:r w:rsidR="00BC1A2F" w:rsidRPr="00C921DE">
        <w:rPr>
          <w:rFonts w:ascii="GHEA Grapalat" w:hAnsi="GHEA Grapalat"/>
          <w:sz w:val="22"/>
          <w:szCs w:val="22"/>
        </w:rPr>
        <w:t xml:space="preserve">2023 թվականի ընթացքում կատարվել է </w:t>
      </w:r>
      <w:r w:rsidR="00BC1A2F" w:rsidRPr="00C921DE">
        <w:rPr>
          <w:rFonts w:ascii="GHEA Grapalat" w:hAnsi="GHEA Grapalat"/>
          <w:i/>
          <w:sz w:val="22"/>
          <w:szCs w:val="22"/>
        </w:rPr>
        <w:t>Մարդու իրավունքների պաշտպանության</w:t>
      </w:r>
      <w:r w:rsidR="00BC1A2F" w:rsidRPr="00C921DE">
        <w:rPr>
          <w:rFonts w:ascii="GHEA Grapalat" w:hAnsi="GHEA Grapalat"/>
          <w:sz w:val="22"/>
          <w:szCs w:val="22"/>
        </w:rPr>
        <w:t xml:space="preserve"> </w:t>
      </w:r>
      <w:r w:rsidR="00BC1A2F" w:rsidRPr="00C921DE">
        <w:rPr>
          <w:rFonts w:ascii="GHEA Grapalat" w:hAnsi="GHEA Grapalat" w:cs="GHEA Grapalat"/>
          <w:sz w:val="22"/>
          <w:szCs w:val="22"/>
        </w:rPr>
        <w:t>ծրագիրը, որի գծով ծախսերը կազմել են</w:t>
      </w:r>
      <w:r w:rsidR="00BC1A2F" w:rsidRPr="00C921DE">
        <w:rPr>
          <w:rFonts w:ascii="GHEA Grapalat" w:hAnsi="GHEA Grapalat"/>
          <w:sz w:val="22"/>
          <w:szCs w:val="22"/>
          <w:lang w:val="af-ZA"/>
        </w:rPr>
        <w:t xml:space="preserve"> շուրջ 5</w:t>
      </w:r>
      <w:r w:rsidR="00BC1A2F" w:rsidRPr="00C921DE">
        <w:rPr>
          <w:rFonts w:ascii="GHEA Grapalat" w:hAnsi="GHEA Grapalat"/>
          <w:sz w:val="22"/>
          <w:szCs w:val="22"/>
        </w:rPr>
        <w:t>57</w:t>
      </w:r>
      <w:r w:rsidR="00BC1A2F" w:rsidRPr="00C921DE">
        <w:rPr>
          <w:rFonts w:ascii="GHEA Grapalat" w:hAnsi="GHEA Grapalat"/>
          <w:sz w:val="22"/>
          <w:szCs w:val="22"/>
          <w:lang w:val="af-ZA"/>
        </w:rPr>
        <w:t>.</w:t>
      </w:r>
      <w:r w:rsidR="00BC1A2F" w:rsidRPr="00C921DE">
        <w:rPr>
          <w:rFonts w:ascii="GHEA Grapalat" w:hAnsi="GHEA Grapalat"/>
          <w:sz w:val="22"/>
          <w:szCs w:val="22"/>
        </w:rPr>
        <w:t>3</w:t>
      </w:r>
      <w:r w:rsidR="00BC1A2F" w:rsidRPr="00C921DE">
        <w:rPr>
          <w:rFonts w:ascii="GHEA Grapalat" w:hAnsi="GHEA Grapalat"/>
          <w:sz w:val="22"/>
          <w:szCs w:val="22"/>
          <w:lang w:val="af-ZA"/>
        </w:rPr>
        <w:t xml:space="preserve"> </w:t>
      </w:r>
      <w:r w:rsidR="00BC1A2F" w:rsidRPr="00C921DE">
        <w:rPr>
          <w:rFonts w:ascii="GHEA Grapalat" w:hAnsi="GHEA Grapalat"/>
          <w:sz w:val="22"/>
          <w:szCs w:val="22"/>
        </w:rPr>
        <w:t>մլն դրամ՝ ապահովելով ծրագրված ցուցանիշի 92.3%-ը: Շեղումը հիմնականում պայմանավորված է Մարդու իրավունքների և հիմնարար ազատությունների պաշտպանության ծառայությունների տրամադրման և Հայաստանի իրավապահ համակարգ</w:t>
      </w:r>
      <w:r w:rsidR="009D4C42" w:rsidRPr="00C921DE">
        <w:rPr>
          <w:rFonts w:ascii="GHEA Grapalat" w:hAnsi="GHEA Grapalat"/>
          <w:sz w:val="22"/>
          <w:szCs w:val="22"/>
          <w:lang w:val="en-US"/>
        </w:rPr>
        <w:t xml:space="preserve">ում </w:t>
      </w:r>
      <w:r w:rsidR="009D4C42" w:rsidRPr="00C921DE">
        <w:rPr>
          <w:rFonts w:ascii="GHEA Grapalat" w:hAnsi="GHEA Grapalat"/>
          <w:sz w:val="22"/>
          <w:szCs w:val="22"/>
        </w:rPr>
        <w:t>գենդերային հավասարության խթանման</w:t>
      </w:r>
      <w:r w:rsidR="00BC1A2F" w:rsidRPr="00C921DE">
        <w:rPr>
          <w:rFonts w:ascii="GHEA Grapalat" w:hAnsi="GHEA Grapalat"/>
          <w:sz w:val="22"/>
          <w:szCs w:val="22"/>
        </w:rPr>
        <w:t xml:space="preserve"> միջոցառումների կատարողա</w:t>
      </w:r>
      <w:r w:rsidR="00A50C41" w:rsidRPr="00C921DE">
        <w:rPr>
          <w:rFonts w:ascii="GHEA Grapalat" w:hAnsi="GHEA Grapalat"/>
          <w:sz w:val="22"/>
          <w:szCs w:val="22"/>
          <w:lang w:val="en-US"/>
        </w:rPr>
        <w:t>կա</w:t>
      </w:r>
      <w:r w:rsidR="00BC1A2F" w:rsidRPr="00C921DE">
        <w:rPr>
          <w:rFonts w:ascii="GHEA Grapalat" w:hAnsi="GHEA Grapalat"/>
          <w:sz w:val="22"/>
          <w:szCs w:val="22"/>
        </w:rPr>
        <w:t xml:space="preserve">նով: Նախորդ տարվա համեմատ </w:t>
      </w:r>
      <w:r w:rsidR="009D4C42" w:rsidRPr="00C921DE">
        <w:rPr>
          <w:rFonts w:ascii="GHEA Grapalat" w:hAnsi="GHEA Grapalat"/>
          <w:sz w:val="22"/>
          <w:szCs w:val="22"/>
          <w:lang w:val="en-US"/>
        </w:rPr>
        <w:t xml:space="preserve">ծրագրի </w:t>
      </w:r>
      <w:r w:rsidR="00BC1A2F" w:rsidRPr="00C921DE">
        <w:rPr>
          <w:rFonts w:ascii="GHEA Grapalat" w:hAnsi="GHEA Grapalat"/>
          <w:sz w:val="22"/>
          <w:szCs w:val="22"/>
        </w:rPr>
        <w:t>ծախսերն աճել են 6.1%-ով կամ 32.1 մլն դրամով, որը հիմնականում պայմանավորված է Մարդու իրավունքների և հիմնարար ազատությունների պաշտպանության ծառայությունների տրամադրման միջոցառման ծախսերի աճով:</w:t>
      </w:r>
    </w:p>
    <w:p w14:paraId="5017799B" w14:textId="35C750E4" w:rsidR="00BC1A2F" w:rsidRPr="00C921DE" w:rsidRDefault="00BC1A2F" w:rsidP="00BC1A2F">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sz w:val="22"/>
          <w:szCs w:val="22"/>
        </w:rPr>
        <w:t>Մարդու իրավունքների և հիմնարար ազատությունների պաշտպանության ծառայությունների տրամադրման միջոցառման շրջանակներում ստացվել է 15889 դիմում-բողոք, որոնցից դրական լուծում է ստացել 1922-ը՝ կանխատեսված համապատասխանաբար 15010-ի և 1990-ի դիմաց: Միջոցառման ծախսերը կազմել են 547.9</w:t>
      </w:r>
      <w:r w:rsidRPr="00C921DE">
        <w:rPr>
          <w:rFonts w:ascii="Calibri" w:hAnsi="Calibri" w:cs="Calibri"/>
          <w:sz w:val="22"/>
          <w:szCs w:val="22"/>
        </w:rPr>
        <w:t> </w:t>
      </w:r>
      <w:r w:rsidRPr="00C921DE">
        <w:rPr>
          <w:rFonts w:ascii="GHEA Grapalat" w:hAnsi="GHEA Grapalat"/>
          <w:sz w:val="22"/>
          <w:szCs w:val="22"/>
        </w:rPr>
        <w:t xml:space="preserve">մլն դրամ՝ ապահովելով 94.9% կատարողական, որը հիմնականում պայմանավորված է </w:t>
      </w:r>
      <w:r w:rsidRPr="00C921DE">
        <w:rPr>
          <w:rFonts w:ascii="GHEA Grapalat" w:hAnsi="GHEA Grapalat" w:cs="Sylfaen"/>
          <w:sz w:val="22"/>
          <w:szCs w:val="22"/>
        </w:rPr>
        <w:t xml:space="preserve">գործուղումների, գնման գործընթացի արդյունքում առաջացած տնտեսումներով, ինչպես նաև </w:t>
      </w:r>
      <w:r w:rsidRPr="00C921DE">
        <w:rPr>
          <w:rFonts w:ascii="GHEA Grapalat" w:hAnsi="GHEA Grapalat"/>
          <w:sz w:val="22"/>
          <w:szCs w:val="22"/>
        </w:rPr>
        <w:t xml:space="preserve">թափուր </w:t>
      </w:r>
      <w:r w:rsidRPr="00C921DE">
        <w:rPr>
          <w:rFonts w:ascii="GHEA Grapalat" w:hAnsi="GHEA Grapalat" w:cs="Sylfaen"/>
          <w:sz w:val="22"/>
          <w:szCs w:val="22"/>
        </w:rPr>
        <w:t>հաստիքների առկայության արդյունքում</w:t>
      </w:r>
      <w:r w:rsidR="009D4C42" w:rsidRPr="00C921DE">
        <w:rPr>
          <w:rFonts w:ascii="GHEA Grapalat" w:hAnsi="GHEA Grapalat" w:cs="Sylfaen"/>
          <w:sz w:val="22"/>
          <w:szCs w:val="22"/>
        </w:rPr>
        <w:t xml:space="preserve"> աշխատանքի վարձատրության </w:t>
      </w:r>
      <w:r w:rsidR="009D4C42" w:rsidRPr="00C921DE">
        <w:rPr>
          <w:rFonts w:ascii="GHEA Grapalat" w:hAnsi="GHEA Grapalat" w:cs="Sylfaen"/>
          <w:sz w:val="22"/>
          <w:szCs w:val="22"/>
          <w:lang w:val="en-US"/>
        </w:rPr>
        <w:t>համար նախատեսված միջոցների տնտեսմամբ</w:t>
      </w:r>
      <w:r w:rsidRPr="00C921DE">
        <w:rPr>
          <w:rFonts w:ascii="GHEA Grapalat" w:hAnsi="GHEA Grapalat" w:cs="Sylfaen"/>
          <w:sz w:val="22"/>
          <w:szCs w:val="22"/>
        </w:rPr>
        <w:t>: Նախորդ տարվա համեմատ նշված միջոցառման ծախսերն աճել են 6.3%</w:t>
      </w:r>
      <w:r w:rsidRPr="00C921DE">
        <w:rPr>
          <w:rFonts w:ascii="GHEA Grapalat" w:hAnsi="GHEA Grapalat" w:cs="Sylfaen"/>
          <w:sz w:val="22"/>
          <w:szCs w:val="22"/>
        </w:rPr>
        <w:noBreakHyphen/>
        <w:t xml:space="preserve">ով կամ 32.4 մլն դրամով, որը հիմնականում պայմանավորված է </w:t>
      </w:r>
      <w:r w:rsidR="00A57970" w:rsidRPr="00C921DE">
        <w:rPr>
          <w:rFonts w:ascii="GHEA Grapalat" w:hAnsi="GHEA Grapalat" w:cs="Sylfaen"/>
          <w:sz w:val="22"/>
          <w:szCs w:val="22"/>
        </w:rPr>
        <w:t>պետական պաշտոն և պետական ծառայության պաշտոն զբաղեցնող անձանց</w:t>
      </w:r>
      <w:r w:rsidR="00A57970" w:rsidRPr="00C921DE">
        <w:rPr>
          <w:rFonts w:ascii="GHEA Grapalat" w:hAnsi="GHEA Grapalat" w:cs="GHEA Grapalat"/>
          <w:sz w:val="22"/>
          <w:szCs w:val="22"/>
        </w:rPr>
        <w:t xml:space="preserve"> բազային աշխատավարձի </w:t>
      </w:r>
      <w:r w:rsidR="00A57970" w:rsidRPr="00C921DE">
        <w:rPr>
          <w:rFonts w:ascii="GHEA Grapalat" w:hAnsi="GHEA Grapalat" w:cs="GHEA Grapalat"/>
          <w:sz w:val="22"/>
          <w:szCs w:val="22"/>
          <w:lang w:val="en-US"/>
        </w:rPr>
        <w:t>բարձրացման</w:t>
      </w:r>
      <w:r w:rsidRPr="00C921DE">
        <w:rPr>
          <w:rFonts w:ascii="GHEA Grapalat" w:hAnsi="GHEA Grapalat" w:cs="Sylfaen"/>
          <w:sz w:val="22"/>
          <w:szCs w:val="22"/>
        </w:rPr>
        <w:t xml:space="preserve"> արդյունքում աշխատանքի վարձատրության ծախսերի աճով:</w:t>
      </w:r>
    </w:p>
    <w:p w14:paraId="2FA10A6C" w14:textId="1362E10E" w:rsidR="00BC1A2F" w:rsidRPr="00C921DE" w:rsidRDefault="00A57970" w:rsidP="00BC1A2F">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lastRenderedPageBreak/>
        <w:t>Հայաստանի իրավապահ համակարգում գենդերային հավասարության խթան</w:t>
      </w:r>
      <w:r w:rsidRPr="00C921DE">
        <w:rPr>
          <w:rFonts w:ascii="GHEA Grapalat" w:hAnsi="GHEA Grapalat" w:cs="Sylfaen"/>
          <w:sz w:val="22"/>
          <w:szCs w:val="22"/>
          <w:lang w:val="en-US"/>
        </w:rPr>
        <w:t xml:space="preserve">ման </w:t>
      </w:r>
      <w:r w:rsidR="00BC1A2F" w:rsidRPr="00C921DE">
        <w:rPr>
          <w:rFonts w:ascii="GHEA Grapalat" w:hAnsi="GHEA Grapalat" w:cs="Sylfaen"/>
          <w:sz w:val="22"/>
          <w:szCs w:val="22"/>
        </w:rPr>
        <w:t>միջոցառման շրջանակներում 2022 թվականի դեկտեմբերի 13-ին ՀՀ Մարդու իրավունքների պաշտպանը և Հայաստանի Հանրապետությունում Մեծ Բրիտանիայի և Հյուսիսային Իռլանդիայի Միացյալ Թագավորության արտակարգ և լիազոր դեսպանը ստորագրել են համա</w:t>
      </w:r>
      <w:r w:rsidR="005F7ECF" w:rsidRPr="00C921DE">
        <w:rPr>
          <w:rFonts w:ascii="GHEA Grapalat" w:hAnsi="GHEA Grapalat" w:cs="Sylfaen"/>
          <w:sz w:val="22"/>
          <w:szCs w:val="22"/>
        </w:rPr>
        <w:t>գործակցության հուշագիր, ըստ որի</w:t>
      </w:r>
      <w:r w:rsidR="00BC1A2F" w:rsidRPr="00C921DE">
        <w:rPr>
          <w:rFonts w:ascii="GHEA Grapalat" w:hAnsi="GHEA Grapalat" w:cs="Sylfaen"/>
          <w:sz w:val="22"/>
          <w:szCs w:val="22"/>
        </w:rPr>
        <w:t xml:space="preserve"> պայմանավորել են իրականացնել «Գենդերային հավասարության խթանում Հայաստանի իրավապահ համակարգում» ծրագիրը, որը ֆինանսավորվում է Միացյալ Թագավորության կառավարության Հակամարտությունների, կայունության և անվտանգության հիմնադրամի կողմից։ Դրամաշնորհային միջոցառման շրջանակներում ընտրվել են ծրագրի իրականացման համար պատասխանատուներ, ովքեր կազմակերպել են ծրագրով նախատեսված միջոցառումների նախա</w:t>
      </w:r>
      <w:r w:rsidR="005F7ECF" w:rsidRPr="00C921DE">
        <w:rPr>
          <w:rFonts w:ascii="GHEA Grapalat" w:hAnsi="GHEA Grapalat" w:cs="Sylfaen"/>
          <w:sz w:val="22"/>
          <w:szCs w:val="22"/>
        </w:rPr>
        <w:t>պատրաստական աշխատանքները, մրցու</w:t>
      </w:r>
      <w:r w:rsidR="00BC1A2F" w:rsidRPr="00C921DE">
        <w:rPr>
          <w:rFonts w:ascii="GHEA Grapalat" w:hAnsi="GHEA Grapalat" w:cs="Sylfaen"/>
          <w:sz w:val="22"/>
          <w:szCs w:val="22"/>
        </w:rPr>
        <w:t>թային կարգով ընտրվել են փորձագետներ, կազմակերպվել են գերատեսչությունների միջև խորհրդակցական հանդիպումներ, իրականացվել են իրազ</w:t>
      </w:r>
      <w:r w:rsidR="00AA186B" w:rsidRPr="00C921DE">
        <w:rPr>
          <w:rFonts w:ascii="GHEA Grapalat" w:hAnsi="GHEA Grapalat" w:cs="Sylfaen"/>
          <w:sz w:val="22"/>
          <w:szCs w:val="22"/>
        </w:rPr>
        <w:t>եկման բարձրացմանն ուղղված այցեր</w:t>
      </w:r>
      <w:r w:rsidR="00BC1A2F" w:rsidRPr="00C921DE">
        <w:rPr>
          <w:rFonts w:ascii="GHEA Grapalat" w:hAnsi="GHEA Grapalat" w:cs="Sylfaen"/>
          <w:sz w:val="22"/>
          <w:szCs w:val="22"/>
        </w:rPr>
        <w:t>։ 2023 թվականի ընթացքում իրականացվել է նաև պարեկային ծառայությունում կանանց ընդունելությանը խոչընդոտող օրենսդրության՝ ՀՀ կառավարության 2003 թվականի հունվարի 23-ի թիվ 175-Ն որոշման վերանայում և օրենսդրական փոփոխությունների նախագծի մշակում, ինչպես նաև քննարկումներ ՀՀ ներքին գործերի նախարարության ոստիկանության ներկայացուցիչների հետ։ Արդյունքում` հաշվի առնելով Մարդու իրավունքների պաշտպանի աշխատակազմի ներկայացրած առաջարկությունները՝ «2023 թվականի Հայաստանի Հանրապետության կառավարության 2003 թվականի հունվարի 23-ի N 175-Ն որոշման մեջ փոփոխություններ և լրացում կատարելու մասին» որոշմամբ վերանայվել է Հայաստանի Հանրապետության կառավարության 2003 թվականի հունվարի 27-ի «Ոստիկանության ծառայողին ներկայացվող ֆիզիկական պատրաստակամության, առողջական վիճակի հետ կապված պահանջները սահմանելու մասին» N 175-Ն որոշումը։ Նշված միջոցա</w:t>
      </w:r>
      <w:r w:rsidR="005F7ECF" w:rsidRPr="00C921DE">
        <w:rPr>
          <w:rFonts w:ascii="GHEA Grapalat" w:hAnsi="GHEA Grapalat" w:cs="Sylfaen"/>
          <w:sz w:val="22"/>
          <w:szCs w:val="22"/>
        </w:rPr>
        <w:t>ռման շրջանակներում օգտագործվել է</w:t>
      </w:r>
      <w:r w:rsidR="00BC1A2F" w:rsidRPr="00C921DE">
        <w:rPr>
          <w:rFonts w:ascii="GHEA Grapalat" w:hAnsi="GHEA Grapalat" w:cs="Sylfaen"/>
          <w:sz w:val="22"/>
          <w:szCs w:val="22"/>
        </w:rPr>
        <w:t xml:space="preserve"> 5.4 մլն դրամ</w:t>
      </w:r>
      <w:r w:rsidR="005F7ECF" w:rsidRPr="00C921DE">
        <w:rPr>
          <w:rFonts w:ascii="GHEA Grapalat" w:hAnsi="GHEA Grapalat" w:cs="Sylfaen"/>
          <w:sz w:val="22"/>
          <w:szCs w:val="22"/>
          <w:lang w:val="en-US"/>
        </w:rPr>
        <w:t xml:space="preserve"> կամ</w:t>
      </w:r>
      <w:r w:rsidR="00BC1A2F" w:rsidRPr="00C921DE">
        <w:rPr>
          <w:rFonts w:ascii="GHEA Grapalat" w:hAnsi="GHEA Grapalat" w:cs="Sylfaen"/>
          <w:sz w:val="22"/>
          <w:szCs w:val="22"/>
        </w:rPr>
        <w:t xml:space="preserve"> նախատեսված միջոցների 26</w:t>
      </w:r>
      <w:r w:rsidR="00BC1A2F" w:rsidRPr="00C921DE">
        <w:rPr>
          <w:rFonts w:ascii="GHEA Grapalat" w:hAnsi="GHEA Grapalat"/>
          <w:sz w:val="22"/>
          <w:szCs w:val="22"/>
        </w:rPr>
        <w:t>%-ը: Շեղումը հիմնականում պայմանավորված է մարդու իրավունքների պաշտպանին ապրիլ ամսին նշանակելու հետևանքով Մեծ Բրիտանիայի և Հյուսիսային Իռալանդիայի Միացյալ Թագավորության կառավարության կողմից ֆինանսական միջոցների նախատեսված ժամկետից ուշ (2023 թվականի հունիսի 29-ին) հատկաց</w:t>
      </w:r>
      <w:r w:rsidR="00786E0E" w:rsidRPr="00C921DE">
        <w:rPr>
          <w:rFonts w:ascii="GHEA Grapalat" w:hAnsi="GHEA Grapalat"/>
          <w:sz w:val="22"/>
          <w:szCs w:val="22"/>
          <w:lang w:val="en-US"/>
        </w:rPr>
        <w:t>նելու հանգամանքով</w:t>
      </w:r>
      <w:r w:rsidR="00BC1A2F" w:rsidRPr="00C921DE">
        <w:rPr>
          <w:rFonts w:ascii="GHEA Grapalat" w:hAnsi="GHEA Grapalat"/>
          <w:sz w:val="22"/>
          <w:szCs w:val="22"/>
        </w:rPr>
        <w:t>: Արդյունքում՝ ծրագրով նախատեսված գործողությունների իրականացումն ապահովելու համար անհրաժեշտություն էր առաջացել չորս անգամ երկարաձգել ծրագրի իրականացման համար նախատեսված ժամանակահատվածը, որի պատճառով ծրագիրը երկարաձգելու վերաբերյալ 2023 թվականի նոյեմբերի 17-ին կնքված համագործակցության հուշագրով ծրագրի իրականացման ժամկետ է սահմանվել 2024 թվականի մարտի 31-ը:</w:t>
      </w:r>
    </w:p>
    <w:p w14:paraId="444D5841" w14:textId="77777777" w:rsidR="00C56BD7" w:rsidRPr="00C921DE" w:rsidRDefault="00C56BD7" w:rsidP="00C56BD7">
      <w:pPr>
        <w:spacing w:line="360" w:lineRule="auto"/>
        <w:ind w:firstLine="561"/>
        <w:jc w:val="both"/>
        <w:rPr>
          <w:rFonts w:ascii="GHEA Grapalat" w:hAnsi="GHEA Grapalat" w:cs="Sylfaen"/>
          <w:sz w:val="22"/>
          <w:szCs w:val="22"/>
        </w:rPr>
      </w:pPr>
    </w:p>
    <w:p w14:paraId="663F803D" w14:textId="208C51B7" w:rsidR="007B7210" w:rsidRPr="00C921DE" w:rsidRDefault="00C56BD7" w:rsidP="007B721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u w:val="single"/>
        </w:rPr>
        <w:lastRenderedPageBreak/>
        <w:t>ՀՀ միջուկային անվտանգության կարգավորման կոմիտեին</w:t>
      </w:r>
      <w:r w:rsidRPr="00C921DE">
        <w:rPr>
          <w:rFonts w:ascii="GHEA Grapalat" w:hAnsi="GHEA Grapalat" w:cs="GHEA Grapalat"/>
          <w:sz w:val="22"/>
          <w:szCs w:val="22"/>
        </w:rPr>
        <w:t xml:space="preserve"> </w:t>
      </w:r>
      <w:r w:rsidR="007B7210" w:rsidRPr="00C921DE">
        <w:rPr>
          <w:rFonts w:ascii="GHEA Grapalat" w:hAnsi="GHEA Grapalat" w:cs="Sylfaen"/>
          <w:sz w:val="22"/>
          <w:szCs w:val="22"/>
        </w:rPr>
        <w:t xml:space="preserve">հատկացված միջոցներով 2023 թվականի ընթացքում իրականացվել է </w:t>
      </w:r>
      <w:r w:rsidR="007B7210" w:rsidRPr="00C921DE">
        <w:rPr>
          <w:rFonts w:ascii="GHEA Grapalat" w:hAnsi="GHEA Grapalat" w:cs="Sylfaen"/>
          <w:i/>
          <w:sz w:val="22"/>
          <w:szCs w:val="22"/>
        </w:rPr>
        <w:t>Միջուկային և ճառագայթային անվտանգության կարգավորման</w:t>
      </w:r>
      <w:r w:rsidR="007B7210" w:rsidRPr="00C921DE">
        <w:rPr>
          <w:rFonts w:ascii="GHEA Grapalat" w:hAnsi="GHEA Grapalat" w:cs="Sylfaen"/>
          <w:sz w:val="22"/>
          <w:szCs w:val="22"/>
        </w:rPr>
        <w:t xml:space="preserve"> </w:t>
      </w:r>
      <w:r w:rsidR="007B7210" w:rsidRPr="00C921DE">
        <w:rPr>
          <w:rFonts w:ascii="GHEA Grapalat" w:hAnsi="GHEA Grapalat"/>
          <w:sz w:val="22"/>
          <w:szCs w:val="22"/>
        </w:rPr>
        <w:t>ծրագիրը</w:t>
      </w:r>
      <w:r w:rsidR="007B7210" w:rsidRPr="00C921DE">
        <w:rPr>
          <w:rFonts w:ascii="GHEA Grapalat" w:hAnsi="GHEA Grapalat" w:cs="Sylfaen"/>
          <w:sz w:val="22"/>
          <w:szCs w:val="22"/>
        </w:rPr>
        <w:t>, որի կատարողականը կազմել է 98.6% կամ 355.1 մլն դրամ: Նախորդ տարվա համեմատ կոմիտեի ծախսերն աճել են 9.6%-ով (31.1 մլն դրամով)՝ հիմնականում պայմանավորված</w:t>
      </w:r>
      <w:r w:rsidR="007A4784" w:rsidRPr="00C921DE">
        <w:rPr>
          <w:rFonts w:ascii="GHEA Grapalat" w:hAnsi="GHEA Grapalat" w:cs="Sylfaen"/>
          <w:sz w:val="22"/>
          <w:szCs w:val="22"/>
          <w:lang w:val="en-US"/>
        </w:rPr>
        <w:t xml:space="preserve"> </w:t>
      </w:r>
      <w:r w:rsidR="007A4784" w:rsidRPr="00C921DE">
        <w:rPr>
          <w:rFonts w:ascii="GHEA Grapalat" w:hAnsi="GHEA Grapalat" w:cs="Sylfaen"/>
          <w:sz w:val="22"/>
          <w:szCs w:val="22"/>
        </w:rPr>
        <w:t>պետական պաշտոն և պետական ծառայության պաշտոն զբաղեցնող անձանց</w:t>
      </w:r>
      <w:r w:rsidR="007A4784" w:rsidRPr="00C921DE">
        <w:rPr>
          <w:rFonts w:ascii="GHEA Grapalat" w:hAnsi="GHEA Grapalat" w:cs="GHEA Grapalat"/>
          <w:sz w:val="22"/>
          <w:szCs w:val="22"/>
        </w:rPr>
        <w:t xml:space="preserve"> բազային աշխատավարձի </w:t>
      </w:r>
      <w:r w:rsidR="007A4784" w:rsidRPr="00C921DE">
        <w:rPr>
          <w:rFonts w:ascii="GHEA Grapalat" w:hAnsi="GHEA Grapalat" w:cs="GHEA Grapalat"/>
          <w:sz w:val="22"/>
          <w:szCs w:val="22"/>
          <w:lang w:val="en-US"/>
        </w:rPr>
        <w:t>բարձրացման</w:t>
      </w:r>
      <w:r w:rsidR="007A4784" w:rsidRPr="00C921DE">
        <w:rPr>
          <w:rFonts w:ascii="GHEA Grapalat" w:hAnsi="GHEA Grapalat" w:cs="Sylfaen"/>
          <w:sz w:val="22"/>
          <w:szCs w:val="22"/>
        </w:rPr>
        <w:t xml:space="preserve"> արդյունքում </w:t>
      </w:r>
      <w:r w:rsidR="007B7210" w:rsidRPr="00C921DE">
        <w:rPr>
          <w:rFonts w:ascii="GHEA Grapalat" w:hAnsi="GHEA Grapalat" w:cs="Sylfaen"/>
          <w:sz w:val="22"/>
          <w:szCs w:val="22"/>
          <w:lang w:val="af-ZA"/>
        </w:rPr>
        <w:t>աշխատանքի վարձատրության ծախսերի աճով: Ծրագրի շրջանակներում 2023 թվականին ՀՀ միջուկային անվտանգության կարգավորման կոմիտեի կողմից իրականացվել են միջուկային և ճառագայթային անվտանգության նորմերի ու կանոնների, լիցենզիայի պայմանների և պահանջների համապատասխանության 51 տեսչական ստուգումներ` կանխատեսված 45</w:t>
      </w:r>
      <w:r w:rsidR="007B7210" w:rsidRPr="00C921DE">
        <w:rPr>
          <w:rFonts w:ascii="GHEA Grapalat" w:hAnsi="GHEA Grapalat" w:cs="Sylfaen"/>
          <w:sz w:val="22"/>
          <w:szCs w:val="22"/>
          <w:lang w:val="af-ZA"/>
        </w:rPr>
        <w:noBreakHyphen/>
        <w:t>ի փոխարեն, տրամադրվել է ատոմային էներգիայի օգտագործման բնագավառում գործունեության իրականացման 833 լիցենզիա՝ կանխատեսված 739</w:t>
      </w:r>
      <w:r w:rsidR="007B7210" w:rsidRPr="00C921DE">
        <w:rPr>
          <w:rFonts w:ascii="GHEA Grapalat" w:hAnsi="GHEA Grapalat" w:cs="Sylfaen"/>
          <w:sz w:val="22"/>
          <w:szCs w:val="22"/>
          <w:lang w:val="af-ZA"/>
        </w:rPr>
        <w:noBreakHyphen/>
        <w:t>ի փոխարեն:</w:t>
      </w:r>
    </w:p>
    <w:p w14:paraId="2D27A111" w14:textId="77777777" w:rsidR="00C56BD7" w:rsidRPr="00C921DE" w:rsidRDefault="00C56BD7" w:rsidP="00882819">
      <w:pPr>
        <w:autoSpaceDE w:val="0"/>
        <w:autoSpaceDN w:val="0"/>
        <w:adjustRightInd w:val="0"/>
        <w:ind w:firstLine="567"/>
        <w:jc w:val="both"/>
        <w:rPr>
          <w:rFonts w:ascii="GHEA Grapalat" w:hAnsi="GHEA Grapalat" w:cs="GHEA Grapalat"/>
          <w:sz w:val="22"/>
          <w:szCs w:val="22"/>
        </w:rPr>
      </w:pPr>
    </w:p>
    <w:p w14:paraId="645ADB25" w14:textId="6BB9117B" w:rsidR="007B7210" w:rsidRPr="00C921DE" w:rsidRDefault="00C56BD7" w:rsidP="007B721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u w:val="single"/>
        </w:rPr>
        <w:t>ՀՀ քննչական կոմիտեի</w:t>
      </w:r>
      <w:r w:rsidR="007B7210" w:rsidRPr="00C921DE">
        <w:rPr>
          <w:rFonts w:ascii="GHEA Grapalat" w:hAnsi="GHEA Grapalat" w:cs="GHEA Grapalat"/>
          <w:sz w:val="22"/>
          <w:szCs w:val="22"/>
          <w:lang w:val="en-US"/>
        </w:rPr>
        <w:t xml:space="preserve"> </w:t>
      </w:r>
      <w:r w:rsidR="007B7210" w:rsidRPr="00C921DE">
        <w:rPr>
          <w:rFonts w:ascii="GHEA Grapalat" w:hAnsi="GHEA Grapalat" w:cs="Sylfaen"/>
          <w:sz w:val="22"/>
          <w:szCs w:val="22"/>
        </w:rPr>
        <w:t xml:space="preserve">կողմից իրականացված </w:t>
      </w:r>
      <w:r w:rsidR="007B7210" w:rsidRPr="00C921DE">
        <w:rPr>
          <w:rFonts w:ascii="GHEA Grapalat" w:hAnsi="GHEA Grapalat" w:cs="Sylfaen"/>
          <w:i/>
          <w:sz w:val="22"/>
          <w:szCs w:val="22"/>
        </w:rPr>
        <w:t>«ՀՀ քննչական ծառայություններ»</w:t>
      </w:r>
      <w:r w:rsidR="007B7210" w:rsidRPr="00C921DE">
        <w:rPr>
          <w:rFonts w:ascii="GHEA Grapalat" w:hAnsi="GHEA Grapalat" w:cs="Sylfaen"/>
          <w:sz w:val="22"/>
          <w:szCs w:val="22"/>
        </w:rPr>
        <w:t xml:space="preserve"> ծրագրի շրջանակներում 2023 թվականի ընթացքում կատարվել են 15.5 մլրդ դրամ</w:t>
      </w:r>
      <w:r w:rsidR="007A4784" w:rsidRPr="00C921DE">
        <w:rPr>
          <w:rFonts w:ascii="GHEA Grapalat" w:hAnsi="GHEA Grapalat" w:cs="Sylfaen"/>
          <w:sz w:val="22"/>
          <w:szCs w:val="22"/>
          <w:lang w:val="en-US"/>
        </w:rPr>
        <w:t>ի</w:t>
      </w:r>
      <w:r w:rsidR="007B7210" w:rsidRPr="00C921DE">
        <w:rPr>
          <w:rFonts w:ascii="GHEA Grapalat" w:hAnsi="GHEA Grapalat" w:cs="Sylfaen"/>
          <w:sz w:val="22"/>
          <w:szCs w:val="22"/>
        </w:rPr>
        <w:t xml:space="preserve"> ծախսեր՝ կազմելով ծրագրային ցուցանիշի 91.2%-ը: Միջոցների հիմնական մասը՝ 13.4 մլրդ դրամը, կազմել են քրեական գործերով վարույթի իրականացման ծախսերը, որոնք կատարվել են 90.1%-ով: Ծրագրից շեղումը հիմնականում պայմանավորված է</w:t>
      </w:r>
      <w:r w:rsidR="007B7210" w:rsidRPr="00C921DE">
        <w:rPr>
          <w:rFonts w:ascii="GHEA Grapalat" w:eastAsiaTheme="minorHAnsi" w:hAnsi="GHEA Grapalat" w:cstheme="minorBidi"/>
          <w:noProof w:val="0"/>
        </w:rPr>
        <w:t xml:space="preserve"> </w:t>
      </w:r>
      <w:r w:rsidR="007B7210" w:rsidRPr="00C921DE">
        <w:rPr>
          <w:rFonts w:ascii="GHEA Grapalat" w:hAnsi="GHEA Grapalat" w:cs="Sylfaen"/>
          <w:sz w:val="22"/>
          <w:szCs w:val="22"/>
        </w:rPr>
        <w:t>աշխատավարձի ֆոնդի տնտես</w:t>
      </w:r>
      <w:r w:rsidR="00E35258" w:rsidRPr="00C921DE">
        <w:rPr>
          <w:rFonts w:ascii="GHEA Grapalat" w:hAnsi="GHEA Grapalat" w:cs="Sylfaen"/>
          <w:sz w:val="22"/>
          <w:szCs w:val="22"/>
          <w:lang w:val="en-US"/>
        </w:rPr>
        <w:t>մամբ</w:t>
      </w:r>
      <w:r w:rsidR="007B7210" w:rsidRPr="00C921DE">
        <w:rPr>
          <w:rFonts w:ascii="GHEA Grapalat" w:hAnsi="GHEA Grapalat" w:cs="Sylfaen"/>
          <w:sz w:val="22"/>
          <w:szCs w:val="22"/>
        </w:rPr>
        <w:t>՝ թափուր հաստիքներով պայմանավորված:</w:t>
      </w:r>
      <w:r w:rsidR="009674E8" w:rsidRPr="00C921DE">
        <w:rPr>
          <w:rFonts w:ascii="GHEA Grapalat" w:hAnsi="GHEA Grapalat" w:cs="Sylfaen"/>
          <w:sz w:val="22"/>
          <w:szCs w:val="22"/>
        </w:rPr>
        <w:t xml:space="preserve"> </w:t>
      </w:r>
      <w:r w:rsidR="007B7210" w:rsidRPr="00C921DE">
        <w:rPr>
          <w:rFonts w:ascii="GHEA Grapalat" w:hAnsi="GHEA Grapalat" w:cs="Sylfaen"/>
          <w:sz w:val="22"/>
          <w:szCs w:val="22"/>
        </w:rPr>
        <w:t>Հաշվետու տարում ավարտվել է 148 սպանության և 2306 գողության դեպքով քրեական գործ` կանխատեսված համապատասխանաբար 87-ի և 1680-ի դիմաց, կարճվել է սպանության դեպքերով 42 գործ և գողության դեպքերով 1710 քրեական գործ՝ կանխատեսված համապատասխանաբար 19-ի և 1100-ի դիմաց: Նախորդ տարվա համեմատ կոմիտեի ծախսերն աճել են 60.6%-ով կամ 5.8 մլրդ դրամով՝ հիմնականում պայմանավորված քննչական կոմիտեի ինքնավար պաշտոն զբաղեցնող անձանց պաշտոնային դրույքաչափի 92 տոկոսի չափով հավել</w:t>
      </w:r>
      <w:r w:rsidR="00E35258" w:rsidRPr="00C921DE">
        <w:rPr>
          <w:rFonts w:ascii="GHEA Grapalat" w:hAnsi="GHEA Grapalat" w:cs="Sylfaen"/>
          <w:sz w:val="22"/>
          <w:szCs w:val="22"/>
          <w:lang w:val="en-US"/>
        </w:rPr>
        <w:t>ման տրամադրմամբ</w:t>
      </w:r>
      <w:r w:rsidR="007B7210" w:rsidRPr="00C921DE">
        <w:rPr>
          <w:rFonts w:ascii="GHEA Grapalat" w:hAnsi="GHEA Grapalat" w:cs="Sylfaen"/>
          <w:sz w:val="22"/>
          <w:szCs w:val="22"/>
        </w:rPr>
        <w:t xml:space="preserve"> և</w:t>
      </w:r>
      <w:r w:rsidR="00E35258" w:rsidRPr="00C921DE">
        <w:rPr>
          <w:rFonts w:ascii="GHEA Grapalat" w:hAnsi="GHEA Grapalat" w:cs="Sylfaen"/>
          <w:sz w:val="22"/>
          <w:szCs w:val="22"/>
        </w:rPr>
        <w:t xml:space="preserve"> նոր վարչական շենքի ձեռքբեր</w:t>
      </w:r>
      <w:r w:rsidR="00E35258" w:rsidRPr="00C921DE">
        <w:rPr>
          <w:rFonts w:ascii="GHEA Grapalat" w:hAnsi="GHEA Grapalat" w:cs="Sylfaen"/>
          <w:sz w:val="22"/>
          <w:szCs w:val="22"/>
          <w:lang w:val="en-US"/>
        </w:rPr>
        <w:t>մամբ</w:t>
      </w:r>
      <w:r w:rsidR="007B7210" w:rsidRPr="00C921DE">
        <w:rPr>
          <w:rFonts w:ascii="GHEA Grapalat" w:hAnsi="GHEA Grapalat" w:cs="Sylfaen"/>
          <w:sz w:val="22"/>
          <w:szCs w:val="22"/>
        </w:rPr>
        <w:t>։</w:t>
      </w:r>
    </w:p>
    <w:p w14:paraId="0C960FB5" w14:textId="77777777" w:rsidR="00C56BD7" w:rsidRPr="00C921DE" w:rsidRDefault="00C56BD7" w:rsidP="00882819">
      <w:pPr>
        <w:autoSpaceDE w:val="0"/>
        <w:autoSpaceDN w:val="0"/>
        <w:adjustRightInd w:val="0"/>
        <w:ind w:firstLine="567"/>
        <w:jc w:val="both"/>
        <w:rPr>
          <w:rFonts w:ascii="GHEA Grapalat" w:hAnsi="GHEA Grapalat" w:cs="GHEA Grapalat"/>
          <w:sz w:val="22"/>
          <w:szCs w:val="22"/>
        </w:rPr>
      </w:pPr>
    </w:p>
    <w:p w14:paraId="3F4DE563" w14:textId="703AD9F4" w:rsidR="007B7210" w:rsidRPr="00C921DE" w:rsidRDefault="00C56BD7" w:rsidP="007B721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GHEA Grapalat"/>
          <w:i/>
          <w:sz w:val="22"/>
          <w:szCs w:val="22"/>
          <w:u w:val="single"/>
        </w:rPr>
        <w:t>ՀՀ քաղաքաշինության կոմիտեի</w:t>
      </w:r>
      <w:r w:rsidRPr="00C921DE">
        <w:rPr>
          <w:rFonts w:ascii="GHEA Grapalat" w:hAnsi="GHEA Grapalat" w:cs="Sylfaen"/>
          <w:sz w:val="22"/>
          <w:szCs w:val="22"/>
        </w:rPr>
        <w:t xml:space="preserve"> </w:t>
      </w:r>
      <w:r w:rsidR="007B7210" w:rsidRPr="00C921DE">
        <w:rPr>
          <w:rFonts w:ascii="GHEA Grapalat" w:hAnsi="GHEA Grapalat" w:cs="Sylfaen"/>
          <w:sz w:val="22"/>
          <w:szCs w:val="22"/>
        </w:rPr>
        <w:t>պատասխանատվությամբ 2023 թվականի</w:t>
      </w:r>
      <w:r w:rsidR="005A5208" w:rsidRPr="00C921DE">
        <w:rPr>
          <w:rFonts w:ascii="GHEA Grapalat" w:hAnsi="GHEA Grapalat" w:cs="Sylfaen"/>
          <w:sz w:val="22"/>
          <w:szCs w:val="22"/>
          <w:lang w:val="en-US"/>
        </w:rPr>
        <w:t xml:space="preserve">ն </w:t>
      </w:r>
      <w:r w:rsidR="007B7210" w:rsidRPr="00C921DE">
        <w:rPr>
          <w:rFonts w:ascii="GHEA Grapalat" w:hAnsi="GHEA Grapalat" w:cs="Sylfaen"/>
          <w:sz w:val="22"/>
          <w:szCs w:val="22"/>
        </w:rPr>
        <w:t xml:space="preserve">կատարվել է </w:t>
      </w:r>
      <w:r w:rsidR="007B7210" w:rsidRPr="00C921DE">
        <w:rPr>
          <w:rFonts w:ascii="GHEA Grapalat" w:hAnsi="GHEA Grapalat" w:cs="Sylfaen"/>
          <w:i/>
          <w:iCs/>
          <w:sz w:val="22"/>
          <w:szCs w:val="22"/>
        </w:rPr>
        <w:t>Քաղաքաշինության և ճարտարապետության բնագավառում պետական քաղաքականության իրականացման և կանոնակարգման</w:t>
      </w:r>
      <w:r w:rsidR="007B7210" w:rsidRPr="00C921DE">
        <w:rPr>
          <w:rFonts w:ascii="GHEA Grapalat" w:hAnsi="GHEA Grapalat" w:cs="Sylfaen"/>
          <w:sz w:val="22"/>
          <w:szCs w:val="22"/>
        </w:rPr>
        <w:t xml:space="preserve"> ծրագիրը, որի գծով ծախսերը կազմել են </w:t>
      </w:r>
      <w:r w:rsidR="007B7210" w:rsidRPr="00C921DE">
        <w:rPr>
          <w:rFonts w:ascii="GHEA Grapalat" w:hAnsi="GHEA Grapalat" w:cs="Sylfaen"/>
          <w:bCs/>
          <w:sz w:val="22"/>
          <w:szCs w:val="22"/>
        </w:rPr>
        <w:t>շուրջ 1.9 մլրդ դրամ կամ ծրագրված ցուցանիշի 86.9%</w:t>
      </w:r>
      <w:r w:rsidR="007B7210" w:rsidRPr="00C921DE">
        <w:rPr>
          <w:rFonts w:ascii="GHEA Grapalat" w:hAnsi="GHEA Grapalat" w:cs="Sylfaen"/>
          <w:bCs/>
          <w:sz w:val="22"/>
          <w:szCs w:val="22"/>
        </w:rPr>
        <w:noBreakHyphen/>
        <w:t>ը: Շեղումը հիմնականում պայմանավորված է քաղաքաշինության բնագավառում պետական ծրագրերի իրականացման ապահովման միջոցառման կատարողականով</w:t>
      </w:r>
      <w:r w:rsidR="002359D8" w:rsidRPr="00C921DE">
        <w:rPr>
          <w:rFonts w:ascii="GHEA Grapalat" w:hAnsi="GHEA Grapalat" w:cs="Sylfaen"/>
          <w:bCs/>
          <w:sz w:val="22"/>
          <w:szCs w:val="22"/>
          <w:lang w:val="en-US"/>
        </w:rPr>
        <w:t>:</w:t>
      </w:r>
      <w:r w:rsidR="007B7210" w:rsidRPr="00C921DE">
        <w:rPr>
          <w:rFonts w:ascii="GHEA Grapalat" w:hAnsi="GHEA Grapalat" w:cs="Sylfaen"/>
          <w:bCs/>
          <w:sz w:val="22"/>
          <w:szCs w:val="22"/>
        </w:rPr>
        <w:t xml:space="preserve"> </w:t>
      </w:r>
      <w:r w:rsidR="002359D8" w:rsidRPr="00C921DE">
        <w:rPr>
          <w:rFonts w:ascii="GHEA Grapalat" w:hAnsi="GHEA Grapalat" w:cs="Sylfaen"/>
          <w:bCs/>
          <w:sz w:val="22"/>
          <w:szCs w:val="22"/>
          <w:lang w:val="en-US"/>
        </w:rPr>
        <w:t>Միջոցառման</w:t>
      </w:r>
      <w:r w:rsidR="007B7210" w:rsidRPr="00C921DE">
        <w:rPr>
          <w:rFonts w:ascii="GHEA Grapalat" w:hAnsi="GHEA Grapalat" w:cs="Sylfaen"/>
          <w:bCs/>
          <w:sz w:val="22"/>
          <w:szCs w:val="22"/>
        </w:rPr>
        <w:t xml:space="preserve"> շրջանակներում միջոցներ են հատկացվել ՀՀ Սյունիքի մարզի սահմանամերձ Գորիս համայնքի Շուռնուխ բնակավայրում բնակելի թաղամասի կառուցման նպատակով: Ծրագրի իրագործման համար նախատեսվել էր Շուռնուխ բնակավայրում կառուցել բնակելի նկուղով մեկ </w:t>
      </w:r>
      <w:r w:rsidR="007B7210" w:rsidRPr="00C921DE">
        <w:rPr>
          <w:rFonts w:ascii="GHEA Grapalat" w:hAnsi="GHEA Grapalat" w:cs="Sylfaen"/>
          <w:bCs/>
          <w:sz w:val="22"/>
          <w:szCs w:val="22"/>
        </w:rPr>
        <w:lastRenderedPageBreak/>
        <w:t>հարկանի շուրջ 285</w:t>
      </w:r>
      <w:r w:rsidR="005A5208" w:rsidRPr="00C921DE">
        <w:rPr>
          <w:rFonts w:ascii="Calibri" w:hAnsi="Calibri" w:cs="Calibri"/>
          <w:bCs/>
          <w:sz w:val="22"/>
          <w:szCs w:val="22"/>
          <w:lang w:val="en-US"/>
        </w:rPr>
        <w:t> </w:t>
      </w:r>
      <w:r w:rsidR="007B7210" w:rsidRPr="00C921DE">
        <w:rPr>
          <w:rFonts w:ascii="GHEA Grapalat" w:hAnsi="GHEA Grapalat" w:cs="Sylfaen"/>
          <w:bCs/>
          <w:sz w:val="22"/>
          <w:szCs w:val="22"/>
        </w:rPr>
        <w:t>ք</w:t>
      </w:r>
      <w:r w:rsidR="005A5208" w:rsidRPr="00C921DE">
        <w:rPr>
          <w:rFonts w:ascii="GHEA Grapalat" w:hAnsi="GHEA Grapalat" w:cs="Sylfaen"/>
          <w:bCs/>
          <w:sz w:val="22"/>
          <w:szCs w:val="22"/>
          <w:lang w:val="en-US"/>
        </w:rPr>
        <w:t>.</w:t>
      </w:r>
      <w:r w:rsidR="007B7210" w:rsidRPr="00C921DE">
        <w:rPr>
          <w:rFonts w:ascii="GHEA Grapalat" w:hAnsi="GHEA Grapalat" w:cs="Sylfaen"/>
          <w:bCs/>
          <w:sz w:val="22"/>
          <w:szCs w:val="22"/>
        </w:rPr>
        <w:t>մ</w:t>
      </w:r>
      <w:r w:rsidR="005A5208" w:rsidRPr="00C921DE">
        <w:rPr>
          <w:rFonts w:ascii="GHEA Grapalat" w:hAnsi="GHEA Grapalat" w:cs="Sylfaen"/>
          <w:bCs/>
          <w:sz w:val="22"/>
          <w:szCs w:val="22"/>
          <w:lang w:val="en-US"/>
        </w:rPr>
        <w:t>.</w:t>
      </w:r>
      <w:r w:rsidR="007B7210" w:rsidRPr="00C921DE">
        <w:rPr>
          <w:rFonts w:ascii="GHEA Grapalat" w:hAnsi="GHEA Grapalat" w:cs="Sylfaen"/>
          <w:bCs/>
          <w:sz w:val="22"/>
          <w:szCs w:val="22"/>
        </w:rPr>
        <w:t xml:space="preserve"> մակերեսով 13 առանձնատուն, որոնցից յուրաքանչյուրի ցանկապատով սահմանազատված տնամերձ 1200 ք</w:t>
      </w:r>
      <w:r w:rsidR="005A5208" w:rsidRPr="00C921DE">
        <w:rPr>
          <w:rFonts w:ascii="GHEA Grapalat" w:hAnsi="GHEA Grapalat" w:cs="Sylfaen"/>
          <w:bCs/>
          <w:sz w:val="22"/>
          <w:szCs w:val="22"/>
          <w:lang w:val="en-US"/>
        </w:rPr>
        <w:t>.</w:t>
      </w:r>
      <w:r w:rsidR="007B7210" w:rsidRPr="00C921DE">
        <w:rPr>
          <w:rFonts w:ascii="GHEA Grapalat" w:hAnsi="GHEA Grapalat" w:cs="Sylfaen"/>
          <w:bCs/>
          <w:sz w:val="22"/>
          <w:szCs w:val="22"/>
        </w:rPr>
        <w:t>մ</w:t>
      </w:r>
      <w:r w:rsidR="005A5208" w:rsidRPr="00C921DE">
        <w:rPr>
          <w:rFonts w:ascii="GHEA Grapalat" w:hAnsi="GHEA Grapalat" w:cs="Sylfaen"/>
          <w:bCs/>
          <w:sz w:val="22"/>
          <w:szCs w:val="22"/>
          <w:lang w:val="en-US"/>
        </w:rPr>
        <w:t>.</w:t>
      </w:r>
      <w:r w:rsidR="007B7210" w:rsidRPr="00C921DE">
        <w:rPr>
          <w:rFonts w:ascii="GHEA Grapalat" w:hAnsi="GHEA Grapalat" w:cs="Sylfaen"/>
          <w:bCs/>
          <w:sz w:val="22"/>
          <w:szCs w:val="22"/>
        </w:rPr>
        <w:t xml:space="preserve"> մակերեսով հողամասում տեղակայված կլինեն անասնագոմ և օժանդակ շինություններ։ Շինարարական աշխատանքները մեկնարկել են 2021 թվականից և գտնվում են ավարտական փուլում:</w:t>
      </w:r>
      <w:r w:rsidR="002359D8" w:rsidRPr="00C921DE">
        <w:rPr>
          <w:rFonts w:ascii="GHEA Grapalat" w:hAnsi="GHEA Grapalat" w:cs="Sylfaen"/>
          <w:bCs/>
          <w:sz w:val="22"/>
          <w:szCs w:val="22"/>
          <w:lang w:val="en-US"/>
        </w:rPr>
        <w:t xml:space="preserve"> Միջոցառման շրջանակներում իրականացվել են նաև</w:t>
      </w:r>
      <w:bookmarkStart w:id="244" w:name="_Hlk69997696"/>
      <w:r w:rsidR="002359D8" w:rsidRPr="00C921DE">
        <w:rPr>
          <w:rFonts w:ascii="GHEA Grapalat" w:hAnsi="GHEA Grapalat" w:cs="Sylfaen"/>
          <w:bCs/>
          <w:sz w:val="22"/>
          <w:szCs w:val="22"/>
          <w:lang w:val="en-US"/>
        </w:rPr>
        <w:t xml:space="preserve"> ա</w:t>
      </w:r>
      <w:r w:rsidR="007B7210" w:rsidRPr="00C921DE">
        <w:rPr>
          <w:rFonts w:ascii="GHEA Grapalat" w:hAnsi="GHEA Grapalat" w:cs="Sylfaen"/>
          <w:bCs/>
          <w:sz w:val="22"/>
          <w:szCs w:val="22"/>
        </w:rPr>
        <w:t xml:space="preserve">նբավարար տեխնիկական վիճակում գտնվող բնակֆոնդի հիմնախնդրի լուծման շրջանակներում նախատեսված Շիրակի մարզի Աշոցք համայնքի Կոճոռ թաղամասի 20 վթարային փայտյա բազմաբնակարան շենքերի փոխարեն կառուցվող նոր թաղամասի նախագծանախահաշվային աշխատանքները, նախագիծն անցել է պարզ փորձաքննությունը, գտնվում է համալիր փորձաքննության փուլում: </w:t>
      </w:r>
      <w:r w:rsidR="007B7210" w:rsidRPr="00C921DE">
        <w:rPr>
          <w:rFonts w:ascii="GHEA Grapalat" w:hAnsi="GHEA Grapalat" w:cs="Sylfaen"/>
          <w:bCs/>
          <w:sz w:val="22"/>
          <w:szCs w:val="22"/>
          <w:lang w:val="af-ZA"/>
        </w:rPr>
        <w:t xml:space="preserve">Ստեփանավան համայնքի </w:t>
      </w:r>
      <w:r w:rsidR="007B7210" w:rsidRPr="00C921DE">
        <w:rPr>
          <w:rFonts w:ascii="GHEA Grapalat" w:hAnsi="GHEA Grapalat" w:cs="Sylfaen"/>
          <w:bCs/>
          <w:sz w:val="22"/>
          <w:szCs w:val="22"/>
        </w:rPr>
        <w:t>Աշոտաբերդ</w:t>
      </w:r>
      <w:r w:rsidR="007B7210" w:rsidRPr="00C921DE">
        <w:rPr>
          <w:rFonts w:ascii="GHEA Grapalat" w:hAnsi="GHEA Grapalat" w:cs="Sylfaen"/>
          <w:bCs/>
          <w:sz w:val="22"/>
          <w:szCs w:val="22"/>
          <w:lang w:val="af-ZA"/>
        </w:rPr>
        <w:t xml:space="preserve"> </w:t>
      </w:r>
      <w:r w:rsidR="007B7210" w:rsidRPr="00C921DE">
        <w:rPr>
          <w:rFonts w:ascii="GHEA Grapalat" w:hAnsi="GHEA Grapalat" w:cs="Sylfaen"/>
          <w:bCs/>
          <w:sz w:val="22"/>
          <w:szCs w:val="22"/>
        </w:rPr>
        <w:t>թաղամասի կառուցապատման շինարարական աշխատանքները չեն իրականացվել, քանի որ նախագծանախահաշվային փաստաթղթերի համալիր փորձաքննության դրական եզրակացությունը ստացվել է հաշվետու տարվա հոկտեմբերի երկրորդ կեսին: Շիրակ և Վանաձոր մարզերում կառուցման ենթակա բազմաբնակարան բնակելի շենքերի նախագծանախահաշվային աշխատանքների համար հատկացված գումարը չի օգտագործվել,</w:t>
      </w:r>
      <w:r w:rsidR="007B7210" w:rsidRPr="00C921DE">
        <w:rPr>
          <w:rFonts w:ascii="GHEA Grapalat" w:hAnsi="GHEA Grapalat" w:cs="GHEA Grapalat"/>
          <w:bCs/>
          <w:noProof w:val="0"/>
          <w:lang w:eastAsia="ru-RU"/>
        </w:rPr>
        <w:t xml:space="preserve"> </w:t>
      </w:r>
      <w:r w:rsidR="007B7210" w:rsidRPr="00C921DE">
        <w:rPr>
          <w:rFonts w:ascii="GHEA Grapalat" w:hAnsi="GHEA Grapalat" w:cs="Sylfaen"/>
          <w:bCs/>
          <w:sz w:val="22"/>
          <w:szCs w:val="22"/>
        </w:rPr>
        <w:t>քանի որ նախագծի մշակման համար անհրաժեշտ հողամասերը Վանաձոր համայնքի մասով չեն ներկայացվել:</w:t>
      </w:r>
      <w:r w:rsidR="009674E8" w:rsidRPr="00C921DE">
        <w:rPr>
          <w:rFonts w:ascii="GHEA Grapalat" w:hAnsi="GHEA Grapalat" w:cs="Sylfaen"/>
          <w:bCs/>
          <w:sz w:val="22"/>
          <w:szCs w:val="22"/>
        </w:rPr>
        <w:t xml:space="preserve"> </w:t>
      </w:r>
      <w:r w:rsidR="002A4BE6" w:rsidRPr="00C921DE">
        <w:rPr>
          <w:rFonts w:ascii="GHEA Grapalat" w:hAnsi="GHEA Grapalat" w:cs="Sylfaen"/>
          <w:bCs/>
          <w:sz w:val="22"/>
          <w:szCs w:val="22"/>
          <w:lang w:val="en-US"/>
        </w:rPr>
        <w:t>Ք</w:t>
      </w:r>
      <w:r w:rsidR="002A4BE6" w:rsidRPr="00C921DE">
        <w:rPr>
          <w:rFonts w:ascii="GHEA Grapalat" w:hAnsi="GHEA Grapalat" w:cs="Sylfaen"/>
          <w:bCs/>
          <w:sz w:val="22"/>
          <w:szCs w:val="22"/>
        </w:rPr>
        <w:t xml:space="preserve">աղաքաշինության բնագավառում պետական ծրագրերի իրականացման ապահովման </w:t>
      </w:r>
      <w:r w:rsidR="007B7210" w:rsidRPr="00C921DE">
        <w:rPr>
          <w:rFonts w:ascii="GHEA Grapalat" w:hAnsi="GHEA Grapalat" w:cs="Sylfaen"/>
          <w:bCs/>
          <w:sz w:val="22"/>
          <w:szCs w:val="22"/>
        </w:rPr>
        <w:t xml:space="preserve">միջոցառման ծախսերը կազմել են 528.7 մլն դրամ կամ </w:t>
      </w:r>
      <w:r w:rsidR="002A4BE6" w:rsidRPr="00C921DE">
        <w:rPr>
          <w:rFonts w:ascii="GHEA Grapalat" w:hAnsi="GHEA Grapalat" w:cs="Sylfaen"/>
          <w:bCs/>
          <w:sz w:val="22"/>
          <w:szCs w:val="22"/>
          <w:lang w:val="en-US"/>
        </w:rPr>
        <w:t>ծրագրված ցուցանիշի</w:t>
      </w:r>
      <w:r w:rsidR="007B7210" w:rsidRPr="00C921DE">
        <w:rPr>
          <w:rFonts w:ascii="GHEA Grapalat" w:hAnsi="GHEA Grapalat" w:cs="Sylfaen"/>
          <w:bCs/>
          <w:sz w:val="22"/>
          <w:szCs w:val="22"/>
        </w:rPr>
        <w:t xml:space="preserve"> 75.8%-ը:</w:t>
      </w:r>
    </w:p>
    <w:p w14:paraId="2A65EB4C" w14:textId="0234D6FC" w:rsidR="007B7210" w:rsidRPr="00C921DE" w:rsidRDefault="007B7210" w:rsidP="007B7210">
      <w:pPr>
        <w:autoSpaceDE w:val="0"/>
        <w:autoSpaceDN w:val="0"/>
        <w:adjustRightInd w:val="0"/>
        <w:spacing w:line="360" w:lineRule="auto"/>
        <w:ind w:firstLine="567"/>
        <w:jc w:val="both"/>
        <w:rPr>
          <w:rFonts w:ascii="GHEA Grapalat" w:hAnsi="GHEA Grapalat" w:cs="Sylfaen"/>
          <w:sz w:val="22"/>
          <w:szCs w:val="22"/>
        </w:rPr>
      </w:pPr>
      <w:r w:rsidRPr="00C921DE">
        <w:rPr>
          <w:rFonts w:ascii="GHEA Grapalat" w:hAnsi="GHEA Grapalat" w:cs="Sylfaen"/>
          <w:sz w:val="22"/>
          <w:szCs w:val="22"/>
        </w:rPr>
        <w:t>Քաղաքաշինության և ճարտարապետության բնագավառում պետական քաղաքականության մշակման, իրականացման, համակարգման, պլանավորման, մոնիտորինգի, կապիտալ ծրագրերի կատարման, պետական գնումների իրականացման ծառայության</w:t>
      </w:r>
      <w:bookmarkEnd w:id="244"/>
      <w:r w:rsidRPr="00C921DE">
        <w:rPr>
          <w:rFonts w:ascii="GHEA Grapalat" w:hAnsi="GHEA Grapalat" w:cs="Sylfaen"/>
          <w:sz w:val="22"/>
          <w:szCs w:val="22"/>
        </w:rPr>
        <w:t xml:space="preserve"> միջոցառման ծախսերը կազմել են 687.7 մլն դրամ կամ ծրագրված ցուցանիշի 92.3%-ը: Ծրագրից շեղումը հիմնականում պայմանավորված է թափուր հաստիքներ</w:t>
      </w:r>
      <w:r w:rsidR="002A4BE6" w:rsidRPr="00C921DE">
        <w:rPr>
          <w:rFonts w:ascii="GHEA Grapalat" w:hAnsi="GHEA Grapalat" w:cs="Sylfaen"/>
          <w:sz w:val="22"/>
          <w:szCs w:val="22"/>
          <w:lang w:val="en-US"/>
        </w:rPr>
        <w:t>ի առկայությամբ</w:t>
      </w:r>
      <w:r w:rsidRPr="00C921DE">
        <w:rPr>
          <w:rFonts w:ascii="GHEA Grapalat" w:hAnsi="GHEA Grapalat" w:cs="Sylfaen"/>
          <w:sz w:val="22"/>
          <w:szCs w:val="22"/>
        </w:rPr>
        <w:t>:</w:t>
      </w:r>
    </w:p>
    <w:p w14:paraId="23007E67" w14:textId="4ED282F9" w:rsidR="007B7210" w:rsidRPr="00C921DE" w:rsidRDefault="007B7210" w:rsidP="007B7210">
      <w:pPr>
        <w:autoSpaceDE w:val="0"/>
        <w:autoSpaceDN w:val="0"/>
        <w:adjustRightInd w:val="0"/>
        <w:spacing w:line="360" w:lineRule="auto"/>
        <w:ind w:firstLine="567"/>
        <w:jc w:val="both"/>
        <w:rPr>
          <w:rFonts w:ascii="GHEA Grapalat" w:hAnsi="GHEA Grapalat" w:cs="Sylfaen"/>
          <w:sz w:val="22"/>
          <w:szCs w:val="22"/>
          <w:lang w:val="af-ZA"/>
        </w:rPr>
      </w:pPr>
      <w:r w:rsidRPr="00C921DE">
        <w:rPr>
          <w:rFonts w:ascii="GHEA Grapalat" w:hAnsi="GHEA Grapalat" w:cs="Sylfaen"/>
          <w:sz w:val="22"/>
          <w:szCs w:val="22"/>
        </w:rPr>
        <w:t>Միկրոռեգիոնալ մակարդակի համակցված տարածական պլանավորման փաստաթղթերի մշակման միջոցառման ծախսերը կազմել են 374.6 մլն դրամ կամ ծրագրված ցուցանիշի 86.4%-ը:</w:t>
      </w:r>
      <w:r w:rsidRPr="00C921DE">
        <w:rPr>
          <w:rFonts w:ascii="GHEA Grapalat" w:eastAsia="Calibri" w:hAnsi="GHEA Grapalat"/>
          <w:noProof w:val="0"/>
          <w:lang w:val="af-ZA" w:eastAsia="x-none"/>
        </w:rPr>
        <w:t xml:space="preserve"> </w:t>
      </w:r>
      <w:r w:rsidR="00CB4D20" w:rsidRPr="00C921DE">
        <w:rPr>
          <w:rFonts w:ascii="GHEA Grapalat" w:hAnsi="GHEA Grapalat" w:cs="Sylfaen"/>
          <w:sz w:val="22"/>
          <w:szCs w:val="22"/>
          <w:lang w:val="af-ZA"/>
        </w:rPr>
        <w:t>2023 թվականին մշակվել է</w:t>
      </w:r>
      <w:r w:rsidRPr="00C921DE">
        <w:rPr>
          <w:rFonts w:ascii="GHEA Grapalat" w:hAnsi="GHEA Grapalat" w:cs="Sylfaen"/>
          <w:sz w:val="22"/>
          <w:szCs w:val="22"/>
          <w:lang w:val="af-ZA"/>
        </w:rPr>
        <w:t xml:space="preserve"> 150 բնակավայրի ընդգրկմամբ 14 փաստաթուղթ: </w:t>
      </w:r>
      <w:r w:rsidRPr="00C921DE">
        <w:rPr>
          <w:rFonts w:ascii="GHEA Grapalat" w:hAnsi="GHEA Grapalat" w:cs="Sylfaen"/>
          <w:bCs/>
          <w:sz w:val="22"/>
          <w:szCs w:val="22"/>
          <w:lang w:val="af-ZA"/>
        </w:rPr>
        <w:t>Ընդհանուր առմամբ hանրապետության տարածքի շուրջ 85%-ն (Տավուշի, Արարատի, Սյունիքի, Արմավիրի, Վայոց ձորի, Արագածոտնի, Գեղարքունիքի, Շիրակի, Լոռու (մասամ</w:t>
      </w:r>
      <w:r w:rsidR="00CB4D20" w:rsidRPr="00C921DE">
        <w:rPr>
          <w:rFonts w:ascii="GHEA Grapalat" w:hAnsi="GHEA Grapalat" w:cs="Sylfaen"/>
          <w:bCs/>
          <w:sz w:val="22"/>
          <w:szCs w:val="22"/>
          <w:lang w:val="af-ZA"/>
        </w:rPr>
        <w:t>բ) մարզեր) արդեն իսկ ապահովվել է</w:t>
      </w:r>
      <w:r w:rsidRPr="00C921DE">
        <w:rPr>
          <w:rFonts w:ascii="GHEA Grapalat" w:hAnsi="GHEA Grapalat" w:cs="Sylfaen"/>
          <w:bCs/>
          <w:sz w:val="22"/>
          <w:szCs w:val="22"/>
          <w:lang w:val="af-ZA"/>
        </w:rPr>
        <w:t xml:space="preserve"> տարածական պլանավորման </w:t>
      </w:r>
      <w:r w:rsidRPr="00C921DE">
        <w:rPr>
          <w:rFonts w:ascii="GHEA Grapalat" w:hAnsi="GHEA Grapalat" w:cs="Sylfaen"/>
          <w:sz w:val="22"/>
          <w:szCs w:val="22"/>
          <w:lang w:val="af-ZA"/>
        </w:rPr>
        <w:t>փաստաթղթերով: Ծրագրից շեղումը պայմանավորված է</w:t>
      </w:r>
      <w:r w:rsidR="00CB4D20" w:rsidRPr="00C921DE">
        <w:rPr>
          <w:rFonts w:ascii="GHEA Grapalat" w:hAnsi="GHEA Grapalat" w:cs="Sylfaen"/>
          <w:sz w:val="22"/>
          <w:szCs w:val="22"/>
          <w:lang w:val="af-ZA"/>
        </w:rPr>
        <w:t xml:space="preserve"> նրանով, որ</w:t>
      </w:r>
      <w:r w:rsidRPr="00C921DE">
        <w:rPr>
          <w:rFonts w:ascii="GHEA Grapalat" w:hAnsi="GHEA Grapalat" w:cs="Sylfaen"/>
          <w:sz w:val="22"/>
          <w:szCs w:val="22"/>
          <w:lang w:val="af-ZA"/>
        </w:rPr>
        <w:t xml:space="preserve"> Կոտայքի մարզի 69 բնակավայրի ընդգրկմամբ 10 փաստաթղթի մշակման աշխատանքները նախագծայի</w:t>
      </w:r>
      <w:r w:rsidR="00CB4D20" w:rsidRPr="00C921DE">
        <w:rPr>
          <w:rFonts w:ascii="GHEA Grapalat" w:hAnsi="GHEA Grapalat" w:cs="Sylfaen"/>
          <w:sz w:val="22"/>
          <w:szCs w:val="22"/>
          <w:lang w:val="af-ZA"/>
        </w:rPr>
        <w:t xml:space="preserve">ն ընկերության կողմից չեն </w:t>
      </w:r>
      <w:r w:rsidRPr="00C921DE">
        <w:rPr>
          <w:rFonts w:ascii="GHEA Grapalat" w:hAnsi="GHEA Grapalat" w:cs="Sylfaen"/>
          <w:sz w:val="22"/>
          <w:szCs w:val="22"/>
          <w:lang w:val="af-ZA"/>
        </w:rPr>
        <w:t>ավարտ</w:t>
      </w:r>
      <w:r w:rsidR="00CB4D20" w:rsidRPr="00C921DE">
        <w:rPr>
          <w:rFonts w:ascii="GHEA Grapalat" w:hAnsi="GHEA Grapalat" w:cs="Sylfaen"/>
          <w:sz w:val="22"/>
          <w:szCs w:val="22"/>
          <w:lang w:val="af-ZA"/>
        </w:rPr>
        <w:t>վե</w:t>
      </w:r>
      <w:r w:rsidRPr="00C921DE">
        <w:rPr>
          <w:rFonts w:ascii="GHEA Grapalat" w:hAnsi="GHEA Grapalat" w:cs="Sylfaen"/>
          <w:sz w:val="22"/>
          <w:szCs w:val="22"/>
          <w:lang w:val="af-ZA"/>
        </w:rPr>
        <w:t>լ:</w:t>
      </w:r>
    </w:p>
    <w:p w14:paraId="64FE0D4F" w14:textId="54F5C7C0" w:rsidR="007B7210" w:rsidRPr="00C921DE" w:rsidRDefault="007B7210" w:rsidP="007B7210">
      <w:pPr>
        <w:autoSpaceDE w:val="0"/>
        <w:autoSpaceDN w:val="0"/>
        <w:adjustRightInd w:val="0"/>
        <w:spacing w:line="360" w:lineRule="auto"/>
        <w:ind w:firstLine="567"/>
        <w:jc w:val="both"/>
        <w:rPr>
          <w:rFonts w:ascii="GHEA Grapalat" w:hAnsi="GHEA Grapalat" w:cs="Sylfaen"/>
          <w:bCs/>
          <w:sz w:val="22"/>
          <w:szCs w:val="22"/>
        </w:rPr>
      </w:pPr>
      <w:r w:rsidRPr="00C921DE">
        <w:rPr>
          <w:rFonts w:ascii="GHEA Grapalat" w:hAnsi="GHEA Grapalat" w:cs="Sylfaen"/>
          <w:bCs/>
          <w:sz w:val="22"/>
          <w:szCs w:val="22"/>
        </w:rPr>
        <w:t xml:space="preserve">Նախորդ տարվա համեմատ ՀՀ քաղաքաշինության կոմիտեի ծախսերն աճել են 24.4%-ով (369.3 մլն դրամով)՝ հիմնականում պայմանավորված </w:t>
      </w:r>
      <w:r w:rsidR="005B5448" w:rsidRPr="00C921DE">
        <w:rPr>
          <w:rFonts w:ascii="GHEA Grapalat" w:hAnsi="GHEA Grapalat" w:cs="Sylfaen"/>
          <w:bCs/>
          <w:sz w:val="22"/>
          <w:szCs w:val="22"/>
        </w:rPr>
        <w:t>ք</w:t>
      </w:r>
      <w:r w:rsidRPr="00C921DE">
        <w:rPr>
          <w:rFonts w:ascii="GHEA Grapalat" w:hAnsi="GHEA Grapalat" w:cs="Sylfaen"/>
          <w:bCs/>
          <w:sz w:val="22"/>
          <w:szCs w:val="22"/>
        </w:rPr>
        <w:t xml:space="preserve">աղաքաշինության բնագավառում պետական </w:t>
      </w:r>
      <w:r w:rsidRPr="00C921DE">
        <w:rPr>
          <w:rFonts w:ascii="GHEA Grapalat" w:hAnsi="GHEA Grapalat" w:cs="Sylfaen"/>
          <w:bCs/>
          <w:sz w:val="22"/>
          <w:szCs w:val="22"/>
        </w:rPr>
        <w:lastRenderedPageBreak/>
        <w:t>ծրագրերի իրականացման ապահովման միջոցառման ծախսեր</w:t>
      </w:r>
      <w:r w:rsidR="005B5448" w:rsidRPr="00C921DE">
        <w:rPr>
          <w:rFonts w:ascii="GHEA Grapalat" w:hAnsi="GHEA Grapalat" w:cs="Sylfaen"/>
          <w:bCs/>
          <w:sz w:val="22"/>
          <w:szCs w:val="22"/>
          <w:lang w:val="en-US"/>
        </w:rPr>
        <w:t>ի աճ</w:t>
      </w:r>
      <w:r w:rsidRPr="00C921DE">
        <w:rPr>
          <w:rFonts w:ascii="GHEA Grapalat" w:hAnsi="GHEA Grapalat" w:cs="Sylfaen"/>
          <w:bCs/>
          <w:sz w:val="22"/>
          <w:szCs w:val="22"/>
        </w:rPr>
        <w:t xml:space="preserve">ով, </w:t>
      </w:r>
      <w:r w:rsidR="005B5448" w:rsidRPr="00C921DE">
        <w:rPr>
          <w:rFonts w:ascii="GHEA Grapalat" w:hAnsi="GHEA Grapalat" w:cs="Sylfaen"/>
          <w:bCs/>
          <w:sz w:val="22"/>
          <w:szCs w:val="22"/>
        </w:rPr>
        <w:t>որ</w:t>
      </w:r>
      <w:r w:rsidR="005B5448" w:rsidRPr="00C921DE">
        <w:rPr>
          <w:rFonts w:ascii="GHEA Grapalat" w:hAnsi="GHEA Grapalat" w:cs="Sylfaen"/>
          <w:bCs/>
          <w:sz w:val="22"/>
          <w:szCs w:val="22"/>
          <w:lang w:val="en-US"/>
        </w:rPr>
        <w:t>ը կազմել է</w:t>
      </w:r>
      <w:r w:rsidRPr="00C921DE">
        <w:rPr>
          <w:rFonts w:ascii="GHEA Grapalat" w:hAnsi="GHEA Grapalat" w:cs="Sylfaen"/>
          <w:bCs/>
          <w:sz w:val="22"/>
          <w:szCs w:val="22"/>
        </w:rPr>
        <w:t xml:space="preserve"> 71.5% </w:t>
      </w:r>
      <w:r w:rsidR="005B5448" w:rsidRPr="00C921DE">
        <w:rPr>
          <w:rFonts w:ascii="GHEA Grapalat" w:hAnsi="GHEA Grapalat" w:cs="Sylfaen"/>
          <w:bCs/>
          <w:sz w:val="22"/>
          <w:szCs w:val="22"/>
          <w:lang w:val="en-US"/>
        </w:rPr>
        <w:t>(</w:t>
      </w:r>
      <w:r w:rsidRPr="00C921DE">
        <w:rPr>
          <w:rFonts w:ascii="GHEA Grapalat" w:hAnsi="GHEA Grapalat" w:cs="Sylfaen"/>
          <w:bCs/>
          <w:sz w:val="22"/>
          <w:szCs w:val="22"/>
        </w:rPr>
        <w:t>220.4 մլն դրամ</w:t>
      </w:r>
      <w:r w:rsidR="005B5448" w:rsidRPr="00C921DE">
        <w:rPr>
          <w:rFonts w:ascii="GHEA Grapalat" w:hAnsi="GHEA Grapalat" w:cs="Sylfaen"/>
          <w:bCs/>
          <w:sz w:val="22"/>
          <w:szCs w:val="22"/>
          <w:lang w:val="en-US"/>
        </w:rPr>
        <w:t>)</w:t>
      </w:r>
      <w:r w:rsidRPr="00C921DE">
        <w:rPr>
          <w:rFonts w:ascii="GHEA Grapalat" w:hAnsi="GHEA Grapalat" w:cs="Sylfaen"/>
          <w:bCs/>
          <w:sz w:val="22"/>
          <w:szCs w:val="22"/>
        </w:rPr>
        <w:t xml:space="preserve">՝ </w:t>
      </w:r>
      <w:r w:rsidRPr="00C921DE">
        <w:rPr>
          <w:rFonts w:ascii="GHEA Grapalat" w:hAnsi="GHEA Grapalat" w:cs="Sylfaen"/>
          <w:bCs/>
          <w:sz w:val="22"/>
          <w:szCs w:val="22"/>
          <w:lang w:val="en-US"/>
        </w:rPr>
        <w:t>իրականացվող</w:t>
      </w:r>
      <w:r w:rsidRPr="00C921DE">
        <w:rPr>
          <w:rFonts w:ascii="GHEA Grapalat" w:hAnsi="GHEA Grapalat" w:cs="Sylfaen"/>
          <w:bCs/>
          <w:sz w:val="22"/>
          <w:szCs w:val="22"/>
          <w:lang w:val="af-ZA"/>
        </w:rPr>
        <w:t xml:space="preserve"> </w:t>
      </w:r>
      <w:r w:rsidRPr="00C921DE">
        <w:rPr>
          <w:rFonts w:ascii="GHEA Grapalat" w:hAnsi="GHEA Grapalat" w:cs="Sylfaen"/>
          <w:bCs/>
          <w:sz w:val="22"/>
          <w:szCs w:val="22"/>
          <w:lang w:val="en-US"/>
        </w:rPr>
        <w:t>օբյեկտների</w:t>
      </w:r>
      <w:r w:rsidRPr="00C921DE">
        <w:rPr>
          <w:rFonts w:ascii="GHEA Grapalat" w:hAnsi="GHEA Grapalat" w:cs="Sylfaen"/>
          <w:bCs/>
          <w:sz w:val="22"/>
          <w:szCs w:val="22"/>
          <w:lang w:val="af-ZA"/>
        </w:rPr>
        <w:t xml:space="preserve"> </w:t>
      </w:r>
      <w:r w:rsidRPr="00C921DE">
        <w:rPr>
          <w:rFonts w:ascii="GHEA Grapalat" w:hAnsi="GHEA Grapalat" w:cs="Sylfaen"/>
          <w:bCs/>
          <w:sz w:val="22"/>
          <w:szCs w:val="22"/>
          <w:lang w:val="en-US"/>
        </w:rPr>
        <w:t>թվի</w:t>
      </w:r>
      <w:r w:rsidRPr="00C921DE">
        <w:rPr>
          <w:rFonts w:ascii="GHEA Grapalat" w:hAnsi="GHEA Grapalat" w:cs="Sylfaen"/>
          <w:bCs/>
          <w:sz w:val="22"/>
          <w:szCs w:val="22"/>
          <w:lang w:val="af-ZA"/>
        </w:rPr>
        <w:t xml:space="preserve"> </w:t>
      </w:r>
      <w:r w:rsidRPr="00C921DE">
        <w:rPr>
          <w:rFonts w:ascii="GHEA Grapalat" w:hAnsi="GHEA Grapalat" w:cs="Sylfaen"/>
          <w:bCs/>
          <w:sz w:val="22"/>
          <w:szCs w:val="22"/>
          <w:lang w:val="en-US"/>
        </w:rPr>
        <w:t>ավելացմամբ</w:t>
      </w:r>
      <w:r w:rsidRPr="00C921DE">
        <w:rPr>
          <w:rFonts w:ascii="GHEA Grapalat" w:hAnsi="GHEA Grapalat" w:cs="Sylfaen"/>
          <w:bCs/>
          <w:sz w:val="22"/>
          <w:szCs w:val="22"/>
        </w:rPr>
        <w:t xml:space="preserve"> պայմանավորված</w:t>
      </w:r>
      <w:r w:rsidRPr="00C921DE">
        <w:rPr>
          <w:rFonts w:ascii="GHEA Grapalat" w:hAnsi="GHEA Grapalat" w:cs="Sylfaen"/>
          <w:bCs/>
          <w:sz w:val="22"/>
          <w:szCs w:val="22"/>
          <w:lang w:val="af-ZA"/>
        </w:rPr>
        <w:t>:</w:t>
      </w:r>
      <w:r w:rsidRPr="00C921DE">
        <w:rPr>
          <w:rFonts w:ascii="GHEA Grapalat" w:hAnsi="GHEA Grapalat" w:cs="Sylfaen"/>
          <w:bCs/>
          <w:sz w:val="22"/>
          <w:szCs w:val="22"/>
        </w:rPr>
        <w:t xml:space="preserve"> </w:t>
      </w:r>
    </w:p>
    <w:p w14:paraId="01516C04" w14:textId="77777777" w:rsidR="00C56BD7" w:rsidRPr="00C921DE" w:rsidRDefault="00C56BD7" w:rsidP="00882819">
      <w:pPr>
        <w:autoSpaceDE w:val="0"/>
        <w:autoSpaceDN w:val="0"/>
        <w:adjustRightInd w:val="0"/>
        <w:ind w:firstLine="567"/>
        <w:jc w:val="both"/>
        <w:rPr>
          <w:rFonts w:ascii="GHEA Grapalat" w:hAnsi="GHEA Grapalat" w:cs="Sylfaen"/>
          <w:sz w:val="22"/>
          <w:szCs w:val="22"/>
        </w:rPr>
      </w:pPr>
    </w:p>
    <w:p w14:paraId="2BA9808A" w14:textId="4D9BF49C" w:rsidR="007B7210" w:rsidRPr="00C921DE" w:rsidRDefault="00C56BD7" w:rsidP="007B7210">
      <w:pPr>
        <w:pStyle w:val="NoSpacing"/>
        <w:spacing w:line="360" w:lineRule="auto"/>
        <w:ind w:firstLine="567"/>
        <w:jc w:val="both"/>
        <w:rPr>
          <w:rFonts w:ascii="GHEA Grapalat" w:hAnsi="GHEA Grapalat" w:cs="Arial"/>
          <w:bCs/>
          <w:lang w:val="hy-AM"/>
        </w:rPr>
      </w:pPr>
      <w:r w:rsidRPr="00C921DE">
        <w:rPr>
          <w:rFonts w:ascii="GHEA Grapalat" w:hAnsi="GHEA Grapalat"/>
          <w:i/>
          <w:u w:val="single"/>
        </w:rPr>
        <w:t>Կոռուպցիայի կանխարգելման հանձնաժողովի</w:t>
      </w:r>
      <w:r w:rsidRPr="00C921DE">
        <w:rPr>
          <w:rFonts w:ascii="GHEA Grapalat" w:hAnsi="GHEA Grapalat"/>
        </w:rPr>
        <w:t xml:space="preserve"> </w:t>
      </w:r>
      <w:r w:rsidR="007B7210" w:rsidRPr="00C921DE">
        <w:rPr>
          <w:rFonts w:ascii="GHEA Grapalat" w:hAnsi="GHEA Grapalat" w:cs="Arial"/>
          <w:lang w:val="hy-AM"/>
        </w:rPr>
        <w:t>պատասխանատվությամբ</w:t>
      </w:r>
      <w:r w:rsidR="007B7210" w:rsidRPr="00C921DE">
        <w:rPr>
          <w:rFonts w:ascii="GHEA Grapalat" w:hAnsi="GHEA Grapalat"/>
          <w:lang w:val="hy-AM"/>
        </w:rPr>
        <w:t xml:space="preserve"> 2023 </w:t>
      </w:r>
      <w:r w:rsidR="007B7210" w:rsidRPr="00C921DE">
        <w:rPr>
          <w:rFonts w:ascii="GHEA Grapalat" w:hAnsi="GHEA Grapalat" w:cs="Arial"/>
          <w:lang w:val="hy-AM"/>
        </w:rPr>
        <w:t>թվականի</w:t>
      </w:r>
      <w:r w:rsidR="00850B74" w:rsidRPr="00C921DE">
        <w:rPr>
          <w:rFonts w:ascii="GHEA Grapalat" w:hAnsi="GHEA Grapalat" w:cs="Arial"/>
        </w:rPr>
        <w:t>ն</w:t>
      </w:r>
      <w:r w:rsidR="007B7210" w:rsidRPr="00C921DE">
        <w:rPr>
          <w:rFonts w:ascii="GHEA Grapalat" w:hAnsi="GHEA Grapalat"/>
          <w:lang w:val="hy-AM"/>
        </w:rPr>
        <w:t xml:space="preserve"> </w:t>
      </w:r>
      <w:r w:rsidR="007B7210" w:rsidRPr="00C921DE">
        <w:rPr>
          <w:rFonts w:ascii="GHEA Grapalat" w:hAnsi="GHEA Grapalat" w:cs="Arial"/>
          <w:lang w:val="hy-AM"/>
        </w:rPr>
        <w:t>ՀՀ</w:t>
      </w:r>
      <w:r w:rsidR="007B7210" w:rsidRPr="00C921DE">
        <w:rPr>
          <w:rFonts w:ascii="GHEA Grapalat" w:hAnsi="GHEA Grapalat"/>
          <w:lang w:val="hy-AM"/>
        </w:rPr>
        <w:t xml:space="preserve"> </w:t>
      </w:r>
      <w:r w:rsidR="007B7210" w:rsidRPr="00C921DE">
        <w:rPr>
          <w:rFonts w:ascii="GHEA Grapalat" w:hAnsi="GHEA Grapalat" w:cs="Arial"/>
          <w:lang w:val="hy-AM"/>
        </w:rPr>
        <w:t>պետական</w:t>
      </w:r>
      <w:r w:rsidR="007B7210" w:rsidRPr="00C921DE">
        <w:rPr>
          <w:rFonts w:ascii="GHEA Grapalat" w:hAnsi="GHEA Grapalat"/>
          <w:lang w:val="hy-AM"/>
        </w:rPr>
        <w:t xml:space="preserve"> </w:t>
      </w:r>
      <w:r w:rsidR="007B7210" w:rsidRPr="00C921DE">
        <w:rPr>
          <w:rFonts w:ascii="GHEA Grapalat" w:hAnsi="GHEA Grapalat" w:cs="Arial"/>
          <w:lang w:val="hy-AM"/>
        </w:rPr>
        <w:t>բյուջեի</w:t>
      </w:r>
      <w:r w:rsidR="007B7210" w:rsidRPr="00C921DE">
        <w:rPr>
          <w:rFonts w:ascii="GHEA Grapalat" w:hAnsi="GHEA Grapalat"/>
          <w:lang w:val="hy-AM"/>
        </w:rPr>
        <w:t xml:space="preserve"> </w:t>
      </w:r>
      <w:r w:rsidR="007B7210" w:rsidRPr="00C921DE">
        <w:rPr>
          <w:rFonts w:ascii="GHEA Grapalat" w:hAnsi="GHEA Grapalat" w:cs="Arial"/>
          <w:lang w:val="hy-AM"/>
        </w:rPr>
        <w:t>միջոցներով</w:t>
      </w:r>
      <w:r w:rsidR="007B7210" w:rsidRPr="00C921DE">
        <w:rPr>
          <w:rFonts w:ascii="GHEA Grapalat" w:hAnsi="GHEA Grapalat"/>
          <w:lang w:val="hy-AM"/>
        </w:rPr>
        <w:t xml:space="preserve"> </w:t>
      </w:r>
      <w:r w:rsidR="007B7210" w:rsidRPr="00C921DE">
        <w:rPr>
          <w:rFonts w:ascii="GHEA Grapalat" w:hAnsi="GHEA Grapalat" w:cs="Arial"/>
          <w:lang w:val="hy-AM"/>
        </w:rPr>
        <w:t>կատարվել</w:t>
      </w:r>
      <w:r w:rsidR="007B7210" w:rsidRPr="00C921DE">
        <w:rPr>
          <w:rFonts w:ascii="GHEA Grapalat" w:hAnsi="GHEA Grapalat"/>
          <w:lang w:val="hy-AM"/>
        </w:rPr>
        <w:t xml:space="preserve"> </w:t>
      </w:r>
      <w:r w:rsidR="007B7210" w:rsidRPr="00C921DE">
        <w:rPr>
          <w:rFonts w:ascii="GHEA Grapalat" w:hAnsi="GHEA Grapalat" w:cs="Arial"/>
          <w:lang w:val="hy-AM"/>
        </w:rPr>
        <w:t>են</w:t>
      </w:r>
      <w:r w:rsidR="007B7210" w:rsidRPr="00C921DE">
        <w:rPr>
          <w:rFonts w:ascii="GHEA Grapalat" w:hAnsi="GHEA Grapalat"/>
          <w:lang w:val="hy-AM"/>
        </w:rPr>
        <w:t xml:space="preserve"> 380.9 </w:t>
      </w:r>
      <w:r w:rsidR="007B7210" w:rsidRPr="00C921DE">
        <w:rPr>
          <w:rFonts w:ascii="GHEA Grapalat" w:hAnsi="GHEA Grapalat" w:cs="Arial"/>
          <w:lang w:val="hy-AM"/>
        </w:rPr>
        <w:t>մլն</w:t>
      </w:r>
      <w:r w:rsidR="007B7210" w:rsidRPr="00C921DE">
        <w:rPr>
          <w:rFonts w:ascii="GHEA Grapalat" w:hAnsi="GHEA Grapalat"/>
          <w:lang w:val="hy-AM"/>
        </w:rPr>
        <w:t xml:space="preserve"> </w:t>
      </w:r>
      <w:r w:rsidR="007B7210" w:rsidRPr="00C921DE">
        <w:rPr>
          <w:rFonts w:ascii="GHEA Grapalat" w:hAnsi="GHEA Grapalat" w:cs="Arial"/>
          <w:lang w:val="hy-AM"/>
        </w:rPr>
        <w:t>դրամ</w:t>
      </w:r>
      <w:r w:rsidR="00850B74" w:rsidRPr="00C921DE">
        <w:rPr>
          <w:rFonts w:ascii="GHEA Grapalat" w:hAnsi="GHEA Grapalat" w:cs="Arial"/>
        </w:rPr>
        <w:t>ի</w:t>
      </w:r>
      <w:r w:rsidR="007B7210" w:rsidRPr="00C921DE">
        <w:rPr>
          <w:rFonts w:ascii="GHEA Grapalat" w:hAnsi="GHEA Grapalat"/>
          <w:lang w:val="hy-AM"/>
        </w:rPr>
        <w:t xml:space="preserve"> </w:t>
      </w:r>
      <w:r w:rsidR="007B7210" w:rsidRPr="00C921DE">
        <w:rPr>
          <w:rFonts w:ascii="GHEA Grapalat" w:hAnsi="GHEA Grapalat" w:cs="Arial"/>
          <w:lang w:val="hy-AM"/>
        </w:rPr>
        <w:t>ծախսեր՝</w:t>
      </w:r>
      <w:r w:rsidR="007B7210" w:rsidRPr="00C921DE">
        <w:rPr>
          <w:rFonts w:ascii="GHEA Grapalat" w:hAnsi="GHEA Grapalat"/>
          <w:lang w:val="hy-AM"/>
        </w:rPr>
        <w:t xml:space="preserve"> </w:t>
      </w:r>
      <w:r w:rsidR="007B7210" w:rsidRPr="00C921DE">
        <w:rPr>
          <w:rFonts w:ascii="GHEA Grapalat" w:hAnsi="GHEA Grapalat" w:cs="Arial"/>
          <w:lang w:val="hy-AM"/>
        </w:rPr>
        <w:t>կազմելով</w:t>
      </w:r>
      <w:r w:rsidR="007B7210" w:rsidRPr="00C921DE">
        <w:rPr>
          <w:rFonts w:ascii="GHEA Grapalat" w:hAnsi="GHEA Grapalat"/>
          <w:lang w:val="hy-AM"/>
        </w:rPr>
        <w:t xml:space="preserve"> ծրագրված </w:t>
      </w:r>
      <w:r w:rsidR="007B7210" w:rsidRPr="00C921DE">
        <w:rPr>
          <w:rFonts w:ascii="GHEA Grapalat" w:hAnsi="GHEA Grapalat" w:cs="Arial"/>
          <w:lang w:val="hy-AM"/>
        </w:rPr>
        <w:t>ցուցանիշի</w:t>
      </w:r>
      <w:r w:rsidR="007B7210" w:rsidRPr="00C921DE">
        <w:rPr>
          <w:rFonts w:ascii="GHEA Grapalat" w:hAnsi="GHEA Grapalat"/>
          <w:lang w:val="hy-AM"/>
        </w:rPr>
        <w:t xml:space="preserve"> 50.6%-</w:t>
      </w:r>
      <w:r w:rsidR="007B7210" w:rsidRPr="00C921DE">
        <w:rPr>
          <w:rFonts w:ascii="GHEA Grapalat" w:hAnsi="GHEA Grapalat" w:cs="Arial"/>
          <w:lang w:val="hy-AM"/>
        </w:rPr>
        <w:t>ը</w:t>
      </w:r>
      <w:r w:rsidR="007B7210" w:rsidRPr="00C921DE">
        <w:rPr>
          <w:rFonts w:ascii="GHEA Grapalat" w:hAnsi="GHEA Grapalat"/>
          <w:lang w:val="hy-AM"/>
        </w:rPr>
        <w:t>: Շեղումը պայմանավորված է Կոռուպցիայի կանխարգելման հանձնաժողովի կարողությունների զարգացման և տեխնիկական հագեցվածության ապահովման համար նախատեսված 358.1 մլն դրամ</w:t>
      </w:r>
      <w:r w:rsidR="0013251F" w:rsidRPr="00C921DE">
        <w:rPr>
          <w:rFonts w:ascii="GHEA Grapalat" w:hAnsi="GHEA Grapalat"/>
        </w:rPr>
        <w:t>ը</w:t>
      </w:r>
      <w:r w:rsidR="0013251F" w:rsidRPr="00C921DE">
        <w:rPr>
          <w:rFonts w:ascii="GHEA Grapalat" w:hAnsi="GHEA Grapalat"/>
          <w:lang w:val="hy-AM"/>
        </w:rPr>
        <w:t xml:space="preserve"> չօգտագործելու հանգամանքով</w:t>
      </w:r>
      <w:r w:rsidR="007B7210" w:rsidRPr="00C921DE">
        <w:rPr>
          <w:rFonts w:ascii="GHEA Grapalat" w:hAnsi="GHEA Grapalat"/>
          <w:lang w:val="hy-AM"/>
        </w:rPr>
        <w:t>,</w:t>
      </w:r>
      <w:r w:rsidR="009674E8" w:rsidRPr="00C921DE">
        <w:rPr>
          <w:rFonts w:ascii="GHEA Grapalat" w:hAnsi="GHEA Grapalat"/>
          <w:lang w:val="hy-AM"/>
        </w:rPr>
        <w:t xml:space="preserve"> </w:t>
      </w:r>
      <w:r w:rsidR="007B7210" w:rsidRPr="00C921DE">
        <w:rPr>
          <w:rFonts w:ascii="GHEA Grapalat" w:hAnsi="GHEA Grapalat"/>
          <w:lang w:val="hy-AM"/>
        </w:rPr>
        <w:t>քանի որ գործող էլեկտրոնային համակարգը, որի հիմքով պետք է ներդրվեին նոր թվային մոդուլներ</w:t>
      </w:r>
      <w:r w:rsidR="0037062E" w:rsidRPr="00C921DE">
        <w:rPr>
          <w:rFonts w:ascii="GHEA Grapalat" w:hAnsi="GHEA Grapalat"/>
        </w:rPr>
        <w:t xml:space="preserve"> </w:t>
      </w:r>
      <w:r w:rsidR="007B7210" w:rsidRPr="00C921DE">
        <w:rPr>
          <w:rFonts w:ascii="GHEA Grapalat" w:hAnsi="GHEA Grapalat"/>
          <w:lang w:val="hy-AM"/>
        </w:rPr>
        <w:t>(լուծումներ)</w:t>
      </w:r>
      <w:r w:rsidR="007B051F" w:rsidRPr="00C921DE">
        <w:rPr>
          <w:rFonts w:ascii="GHEA Grapalat" w:hAnsi="GHEA Grapalat"/>
        </w:rPr>
        <w:t>,</w:t>
      </w:r>
      <w:r w:rsidR="0037062E" w:rsidRPr="00C921DE">
        <w:rPr>
          <w:rFonts w:ascii="GHEA Grapalat" w:hAnsi="GHEA Grapalat"/>
        </w:rPr>
        <w:t xml:space="preserve"> </w:t>
      </w:r>
      <w:r w:rsidR="007B7210" w:rsidRPr="00C921DE">
        <w:rPr>
          <w:rFonts w:ascii="GHEA Grapalat" w:hAnsi="GHEA Grapalat"/>
          <w:lang w:val="hy-AM"/>
        </w:rPr>
        <w:t>ունեցել է տեխնիկական թերություններ</w:t>
      </w:r>
      <w:r w:rsidR="0013251F" w:rsidRPr="00C921DE">
        <w:rPr>
          <w:rFonts w:ascii="GHEA Grapalat" w:hAnsi="GHEA Grapalat"/>
        </w:rPr>
        <w:t>,</w:t>
      </w:r>
      <w:r w:rsidR="007B7210" w:rsidRPr="00C921DE">
        <w:rPr>
          <w:rFonts w:ascii="GHEA Grapalat" w:hAnsi="GHEA Grapalat"/>
          <w:lang w:val="hy-AM"/>
        </w:rPr>
        <w:t xml:space="preserve"> և մինչ</w:t>
      </w:r>
      <w:r w:rsidR="009674E8" w:rsidRPr="00C921DE">
        <w:rPr>
          <w:rFonts w:ascii="GHEA Grapalat" w:hAnsi="GHEA Grapalat"/>
          <w:lang w:val="hy-AM"/>
        </w:rPr>
        <w:t xml:space="preserve"> </w:t>
      </w:r>
      <w:r w:rsidR="0013251F" w:rsidRPr="00C921DE">
        <w:rPr>
          <w:rFonts w:ascii="GHEA Grapalat" w:hAnsi="GHEA Grapalat"/>
        </w:rPr>
        <w:t>տարե</w:t>
      </w:r>
      <w:r w:rsidR="007B7210" w:rsidRPr="00C921DE">
        <w:rPr>
          <w:rFonts w:ascii="GHEA Grapalat" w:hAnsi="GHEA Grapalat"/>
          <w:lang w:val="hy-AM"/>
        </w:rPr>
        <w:t>վերջ շտկման աշխատանքները չեն ավարտվել: Հետևաբար, նոր մոդուլների տեխնիկական առաջադրանքների վերջնականացման և գնման մրցույթի հայտարարման գործընթ</w:t>
      </w:r>
      <w:r w:rsidR="007B051F" w:rsidRPr="00C921DE">
        <w:rPr>
          <w:rFonts w:ascii="GHEA Grapalat" w:hAnsi="GHEA Grapalat"/>
          <w:lang w:val="hy-AM"/>
        </w:rPr>
        <w:t>ացը հետաձգվել է</w:t>
      </w:r>
      <w:r w:rsidR="007B7210" w:rsidRPr="00C921DE">
        <w:rPr>
          <w:rFonts w:ascii="GHEA Grapalat" w:hAnsi="GHEA Grapalat"/>
          <w:lang w:val="hy-AM"/>
        </w:rPr>
        <w:t xml:space="preserve">։ </w:t>
      </w:r>
    </w:p>
    <w:p w14:paraId="20B4F29F" w14:textId="19F7D0C4" w:rsidR="007B7210" w:rsidRPr="00C921DE" w:rsidRDefault="007B7210" w:rsidP="007B7210">
      <w:pPr>
        <w:pStyle w:val="NoSpacing"/>
        <w:spacing w:line="360" w:lineRule="auto"/>
        <w:ind w:firstLine="567"/>
        <w:jc w:val="both"/>
        <w:rPr>
          <w:rFonts w:ascii="GHEA Grapalat" w:hAnsi="GHEA Grapalat"/>
          <w:lang w:val="hy-AM"/>
        </w:rPr>
      </w:pPr>
      <w:r w:rsidRPr="00C921DE">
        <w:rPr>
          <w:rFonts w:ascii="GHEA Grapalat" w:hAnsi="GHEA Grapalat" w:cs="Arial"/>
          <w:lang w:val="hy-AM"/>
        </w:rPr>
        <w:t>Հատկացված</w:t>
      </w:r>
      <w:r w:rsidRPr="00C921DE">
        <w:rPr>
          <w:rFonts w:ascii="GHEA Grapalat" w:hAnsi="GHEA Grapalat"/>
          <w:lang w:val="hy-AM"/>
        </w:rPr>
        <w:t xml:space="preserve"> </w:t>
      </w:r>
      <w:r w:rsidRPr="00C921DE">
        <w:rPr>
          <w:rFonts w:ascii="GHEA Grapalat" w:hAnsi="GHEA Grapalat" w:cs="Arial"/>
          <w:lang w:val="hy-AM"/>
        </w:rPr>
        <w:t>միջոցները</w:t>
      </w:r>
      <w:r w:rsidRPr="00C921DE">
        <w:rPr>
          <w:rFonts w:ascii="GHEA Grapalat" w:hAnsi="GHEA Grapalat"/>
          <w:lang w:val="hy-AM"/>
        </w:rPr>
        <w:t xml:space="preserve"> հիմնականում </w:t>
      </w:r>
      <w:r w:rsidRPr="00C921DE">
        <w:rPr>
          <w:rFonts w:ascii="GHEA Grapalat" w:hAnsi="GHEA Grapalat" w:cs="Arial"/>
          <w:lang w:val="hy-AM"/>
        </w:rPr>
        <w:t>ուղղվել</w:t>
      </w:r>
      <w:r w:rsidRPr="00C921DE">
        <w:rPr>
          <w:rFonts w:ascii="GHEA Grapalat" w:hAnsi="GHEA Grapalat"/>
          <w:lang w:val="hy-AM"/>
        </w:rPr>
        <w:t xml:space="preserve"> </w:t>
      </w:r>
      <w:r w:rsidRPr="00C921DE">
        <w:rPr>
          <w:rFonts w:ascii="GHEA Grapalat" w:hAnsi="GHEA Grapalat" w:cs="Arial"/>
          <w:lang w:val="hy-AM"/>
        </w:rPr>
        <w:t>են</w:t>
      </w:r>
      <w:r w:rsidRPr="00C921DE">
        <w:rPr>
          <w:rFonts w:ascii="GHEA Grapalat" w:hAnsi="GHEA Grapalat"/>
          <w:lang w:val="hy-AM"/>
        </w:rPr>
        <w:t xml:space="preserve"> </w:t>
      </w:r>
      <w:r w:rsidRPr="00C921DE">
        <w:rPr>
          <w:rFonts w:ascii="GHEA Grapalat" w:hAnsi="GHEA Grapalat" w:cs="Arial"/>
          <w:i/>
          <w:lang w:val="hy-AM"/>
        </w:rPr>
        <w:t>Կոռուպցիայի</w:t>
      </w:r>
      <w:r w:rsidRPr="00C921DE">
        <w:rPr>
          <w:rFonts w:ascii="GHEA Grapalat" w:hAnsi="GHEA Grapalat"/>
          <w:i/>
          <w:lang w:val="hy-AM"/>
        </w:rPr>
        <w:t xml:space="preserve"> </w:t>
      </w:r>
      <w:r w:rsidRPr="00C921DE">
        <w:rPr>
          <w:rFonts w:ascii="GHEA Grapalat" w:hAnsi="GHEA Grapalat" w:cs="Arial"/>
          <w:i/>
          <w:lang w:val="hy-AM"/>
        </w:rPr>
        <w:t>կանխարգելման</w:t>
      </w:r>
      <w:r w:rsidRPr="00C921DE">
        <w:rPr>
          <w:rFonts w:ascii="GHEA Grapalat" w:hAnsi="GHEA Grapalat"/>
          <w:i/>
          <w:lang w:val="hy-AM"/>
        </w:rPr>
        <w:t xml:space="preserve"> </w:t>
      </w:r>
      <w:r w:rsidRPr="00C921DE">
        <w:rPr>
          <w:rFonts w:ascii="GHEA Grapalat" w:hAnsi="GHEA Grapalat" w:cs="Arial"/>
          <w:i/>
          <w:lang w:val="hy-AM"/>
        </w:rPr>
        <w:t>համակարգի</w:t>
      </w:r>
      <w:r w:rsidRPr="00C921DE">
        <w:rPr>
          <w:rFonts w:ascii="GHEA Grapalat" w:hAnsi="GHEA Grapalat"/>
          <w:i/>
          <w:lang w:val="hy-AM"/>
        </w:rPr>
        <w:t xml:space="preserve"> </w:t>
      </w:r>
      <w:r w:rsidRPr="00C921DE">
        <w:rPr>
          <w:rFonts w:ascii="GHEA Grapalat" w:hAnsi="GHEA Grapalat" w:cs="Arial"/>
          <w:i/>
          <w:lang w:val="hy-AM"/>
        </w:rPr>
        <w:t>զարգացման</w:t>
      </w:r>
      <w:r w:rsidRPr="00C921DE">
        <w:rPr>
          <w:rFonts w:ascii="GHEA Grapalat" w:hAnsi="GHEA Grapalat"/>
          <w:i/>
          <w:lang w:val="hy-AM"/>
        </w:rPr>
        <w:t xml:space="preserve"> </w:t>
      </w:r>
      <w:r w:rsidRPr="00C921DE">
        <w:rPr>
          <w:rFonts w:ascii="GHEA Grapalat" w:hAnsi="GHEA Grapalat" w:cs="Arial"/>
          <w:i/>
          <w:lang w:val="hy-AM"/>
        </w:rPr>
        <w:t>ապահովման</w:t>
      </w:r>
      <w:r w:rsidRPr="00C921DE">
        <w:rPr>
          <w:rFonts w:ascii="GHEA Grapalat" w:hAnsi="GHEA Grapalat"/>
          <w:lang w:val="hy-AM"/>
        </w:rPr>
        <w:t xml:space="preserve"> </w:t>
      </w:r>
      <w:r w:rsidRPr="00C921DE">
        <w:rPr>
          <w:rFonts w:ascii="GHEA Grapalat" w:hAnsi="GHEA Grapalat" w:cs="Arial"/>
          <w:lang w:val="hy-AM"/>
        </w:rPr>
        <w:t>ծրագրի</w:t>
      </w:r>
      <w:r w:rsidRPr="00C921DE">
        <w:rPr>
          <w:rFonts w:ascii="GHEA Grapalat" w:hAnsi="GHEA Grapalat"/>
          <w:lang w:val="hy-AM"/>
        </w:rPr>
        <w:t xml:space="preserve"> </w:t>
      </w:r>
      <w:r w:rsidRPr="00C921DE">
        <w:rPr>
          <w:rFonts w:ascii="GHEA Grapalat" w:hAnsi="GHEA Grapalat" w:cs="Arial"/>
          <w:lang w:val="hy-AM"/>
        </w:rPr>
        <w:t>շրջանակներում</w:t>
      </w:r>
      <w:r w:rsidRPr="00C921DE">
        <w:rPr>
          <w:rFonts w:ascii="GHEA Grapalat" w:hAnsi="GHEA Grapalat"/>
          <w:lang w:val="hy-AM"/>
        </w:rPr>
        <w:t xml:space="preserve"> </w:t>
      </w:r>
      <w:r w:rsidRPr="00C921DE">
        <w:rPr>
          <w:rFonts w:ascii="GHEA Grapalat" w:hAnsi="GHEA Grapalat" w:cs="Franklin Gothic Medium Cond"/>
          <w:lang w:val="hy-AM"/>
        </w:rPr>
        <w:t>«</w:t>
      </w:r>
      <w:r w:rsidRPr="00C921DE">
        <w:rPr>
          <w:rFonts w:ascii="GHEA Grapalat" w:hAnsi="GHEA Grapalat" w:cs="Arial"/>
          <w:lang w:val="hy-AM"/>
        </w:rPr>
        <w:t>Կոռուպցիայի</w:t>
      </w:r>
      <w:r w:rsidRPr="00C921DE">
        <w:rPr>
          <w:rFonts w:ascii="GHEA Grapalat" w:hAnsi="GHEA Grapalat"/>
          <w:lang w:val="hy-AM"/>
        </w:rPr>
        <w:t xml:space="preserve"> </w:t>
      </w:r>
      <w:r w:rsidRPr="00C921DE">
        <w:rPr>
          <w:rFonts w:ascii="GHEA Grapalat" w:hAnsi="GHEA Grapalat" w:cs="Arial"/>
          <w:lang w:val="hy-AM"/>
        </w:rPr>
        <w:t>կանխարգելում</w:t>
      </w:r>
      <w:r w:rsidRPr="00C921DE">
        <w:rPr>
          <w:rFonts w:ascii="GHEA Grapalat" w:hAnsi="GHEA Grapalat"/>
          <w:lang w:val="hy-AM"/>
        </w:rPr>
        <w:t xml:space="preserve"> </w:t>
      </w:r>
      <w:r w:rsidRPr="00C921DE">
        <w:rPr>
          <w:rFonts w:ascii="GHEA Grapalat" w:hAnsi="GHEA Grapalat" w:cs="Arial"/>
          <w:lang w:val="hy-AM"/>
        </w:rPr>
        <w:t>և</w:t>
      </w:r>
      <w:r w:rsidRPr="00C921DE">
        <w:rPr>
          <w:rFonts w:ascii="GHEA Grapalat" w:hAnsi="GHEA Grapalat"/>
          <w:lang w:val="hy-AM"/>
        </w:rPr>
        <w:t xml:space="preserve"> </w:t>
      </w:r>
      <w:r w:rsidRPr="00C921DE">
        <w:rPr>
          <w:rFonts w:ascii="GHEA Grapalat" w:hAnsi="GHEA Grapalat" w:cs="Arial"/>
          <w:lang w:val="hy-AM"/>
        </w:rPr>
        <w:t>բարեվարքության</w:t>
      </w:r>
      <w:r w:rsidRPr="00C921DE">
        <w:rPr>
          <w:rFonts w:ascii="GHEA Grapalat" w:hAnsi="GHEA Grapalat"/>
          <w:lang w:val="hy-AM"/>
        </w:rPr>
        <w:t xml:space="preserve"> </w:t>
      </w:r>
      <w:r w:rsidRPr="00C921DE">
        <w:rPr>
          <w:rFonts w:ascii="GHEA Grapalat" w:hAnsi="GHEA Grapalat" w:cs="Arial"/>
          <w:lang w:val="hy-AM"/>
        </w:rPr>
        <w:t>համակարգի</w:t>
      </w:r>
      <w:r w:rsidRPr="00C921DE">
        <w:rPr>
          <w:rFonts w:ascii="GHEA Grapalat" w:hAnsi="GHEA Grapalat"/>
          <w:lang w:val="hy-AM"/>
        </w:rPr>
        <w:t xml:space="preserve"> </w:t>
      </w:r>
      <w:r w:rsidRPr="00C921DE">
        <w:rPr>
          <w:rFonts w:ascii="GHEA Grapalat" w:hAnsi="GHEA Grapalat" w:cs="Arial"/>
          <w:lang w:val="hy-AM"/>
        </w:rPr>
        <w:t>զարգացում</w:t>
      </w:r>
      <w:r w:rsidRPr="00C921DE">
        <w:rPr>
          <w:rFonts w:ascii="GHEA Grapalat" w:hAnsi="GHEA Grapalat" w:cs="Franklin Gothic Medium Cond"/>
          <w:lang w:val="hy-AM"/>
        </w:rPr>
        <w:t>»</w:t>
      </w:r>
      <w:r w:rsidRPr="00C921DE">
        <w:rPr>
          <w:rFonts w:ascii="GHEA Grapalat" w:hAnsi="GHEA Grapalat"/>
          <w:lang w:val="hy-AM"/>
        </w:rPr>
        <w:t xml:space="preserve"> միջոցառմանը: Ծրագրի շրջանակներում հատկանշական է հայտարարագրման գործընթացի թվայնացման արդյունքում արձանագրված առաջընթացը, մասնավորպես</w:t>
      </w:r>
      <w:r w:rsidR="007B051F" w:rsidRPr="00C921DE">
        <w:rPr>
          <w:rFonts w:ascii="GHEA Grapalat" w:hAnsi="GHEA Grapalat"/>
        </w:rPr>
        <w:t>՝</w:t>
      </w:r>
      <w:r w:rsidRPr="00C921DE">
        <w:rPr>
          <w:rFonts w:ascii="GHEA Grapalat" w:hAnsi="GHEA Grapalat"/>
          <w:lang w:val="hy-AM"/>
        </w:rPr>
        <w:t xml:space="preserve"> 2022 թվականի տարեկան հայտարարագրերի գծով պաշտոնատար անձանց կողմից չ</w:t>
      </w:r>
      <w:r w:rsidR="007B051F" w:rsidRPr="00C921DE">
        <w:rPr>
          <w:rFonts w:ascii="GHEA Grapalat" w:hAnsi="GHEA Grapalat"/>
        </w:rPr>
        <w:t xml:space="preserve">են </w:t>
      </w:r>
      <w:r w:rsidR="007B051F" w:rsidRPr="00C921DE">
        <w:rPr>
          <w:rFonts w:ascii="GHEA Grapalat" w:hAnsi="GHEA Grapalat"/>
          <w:lang w:val="hy-AM"/>
        </w:rPr>
        <w:t>ներկայաց</w:t>
      </w:r>
      <w:r w:rsidR="007B051F" w:rsidRPr="00C921DE">
        <w:rPr>
          <w:rFonts w:ascii="GHEA Grapalat" w:hAnsi="GHEA Grapalat"/>
        </w:rPr>
        <w:t>վել</w:t>
      </w:r>
      <w:r w:rsidRPr="00C921DE">
        <w:rPr>
          <w:rFonts w:ascii="GHEA Grapalat" w:hAnsi="GHEA Grapalat"/>
          <w:lang w:val="hy-AM"/>
        </w:rPr>
        <w:t xml:space="preserve"> ընդամենը 4 հայտարարագրեր, որոնց առնչությամբ ընթանում են վարույթային գործողություններ։ Ի տարբերություն նախորդ տարիների</w:t>
      </w:r>
      <w:r w:rsidR="007B051F" w:rsidRPr="00C921DE">
        <w:rPr>
          <w:rFonts w:ascii="GHEA Grapalat" w:hAnsi="GHEA Grapalat"/>
        </w:rPr>
        <w:t>,</w:t>
      </w:r>
      <w:r w:rsidRPr="00C921DE">
        <w:rPr>
          <w:rFonts w:ascii="GHEA Grapalat" w:hAnsi="GHEA Grapalat"/>
          <w:lang w:val="hy-AM"/>
        </w:rPr>
        <w:t xml:space="preserve"> ավտոմատացվել է նաև դիմումների և հարցումների մի մասի ընդունումը, որի արդյունքում հայտարարատուների սպասարկման գործընթացն առավել արդյունավետ է դարձել։ Հարկ է ընդգծել նաև, որ հայտարարագրման նոր էլեկտրոնային համակարգում տվյալների մեծ մասը լրացվում է ավտոմատացված՝ պետական շտեմարանների փոխգործելիության հարթակի միջոցով, որի արդյունքում զգալիորեն նվազել է սխալ կամ ոչ ամբողջական լրացված տվյալներով հայտարարագրերի թիվը։ </w:t>
      </w:r>
      <w:r w:rsidRPr="00C921DE">
        <w:rPr>
          <w:rFonts w:ascii="GHEA Grapalat" w:hAnsi="GHEA Grapalat" w:cs="Arial"/>
          <w:lang w:val="hy-AM"/>
        </w:rPr>
        <w:t>Միջոցառման</w:t>
      </w:r>
      <w:r w:rsidRPr="00C921DE">
        <w:rPr>
          <w:rFonts w:ascii="GHEA Grapalat" w:hAnsi="GHEA Grapalat"/>
          <w:lang w:val="hy-AM"/>
        </w:rPr>
        <w:t xml:space="preserve"> ծախսերը </w:t>
      </w:r>
      <w:r w:rsidRPr="00C921DE">
        <w:rPr>
          <w:rFonts w:ascii="GHEA Grapalat" w:hAnsi="GHEA Grapalat" w:cs="Arial"/>
          <w:lang w:val="hy-AM"/>
        </w:rPr>
        <w:t>կատարվել</w:t>
      </w:r>
      <w:r w:rsidRPr="00C921DE">
        <w:rPr>
          <w:rFonts w:ascii="GHEA Grapalat" w:hAnsi="GHEA Grapalat"/>
          <w:lang w:val="hy-AM"/>
        </w:rPr>
        <w:t xml:space="preserve"> </w:t>
      </w:r>
      <w:r w:rsidRPr="00C921DE">
        <w:rPr>
          <w:rFonts w:ascii="GHEA Grapalat" w:hAnsi="GHEA Grapalat" w:cs="Arial"/>
          <w:lang w:val="hy-AM"/>
        </w:rPr>
        <w:t>են</w:t>
      </w:r>
      <w:r w:rsidRPr="00C921DE">
        <w:rPr>
          <w:rFonts w:ascii="GHEA Grapalat" w:hAnsi="GHEA Grapalat"/>
          <w:lang w:val="hy-AM"/>
        </w:rPr>
        <w:t xml:space="preserve"> 96.6%-</w:t>
      </w:r>
      <w:r w:rsidRPr="00C921DE">
        <w:rPr>
          <w:rFonts w:ascii="GHEA Grapalat" w:hAnsi="GHEA Grapalat" w:cs="Arial"/>
          <w:lang w:val="hy-AM"/>
        </w:rPr>
        <w:t>ով՝ կազմելով 371.8</w:t>
      </w:r>
      <w:r w:rsidRPr="00C921DE">
        <w:rPr>
          <w:rFonts w:ascii="Courier New" w:hAnsi="Courier New" w:cs="Courier New"/>
          <w:lang w:val="hy-AM"/>
        </w:rPr>
        <w:t> </w:t>
      </w:r>
      <w:r w:rsidRPr="00C921DE">
        <w:rPr>
          <w:rFonts w:ascii="GHEA Grapalat" w:hAnsi="GHEA Grapalat" w:cs="Arial"/>
          <w:lang w:val="hy-AM"/>
        </w:rPr>
        <w:t>մլն դրամ</w:t>
      </w:r>
      <w:r w:rsidRPr="00C921DE">
        <w:rPr>
          <w:rFonts w:ascii="GHEA Grapalat" w:hAnsi="GHEA Grapalat"/>
          <w:lang w:val="hy-AM"/>
        </w:rPr>
        <w:t>: Շեղումը հիմնականում պայմանավորված է խնայողություններով:</w:t>
      </w:r>
    </w:p>
    <w:p w14:paraId="58CC7D7D" w14:textId="41A2A400" w:rsidR="007B7210" w:rsidRPr="00C921DE" w:rsidRDefault="007B7210" w:rsidP="007B7210">
      <w:pPr>
        <w:spacing w:line="360" w:lineRule="auto"/>
        <w:ind w:firstLine="561"/>
        <w:jc w:val="both"/>
        <w:rPr>
          <w:rFonts w:ascii="GHEA Grapalat" w:hAnsi="GHEA Grapalat" w:cs="Sylfaen"/>
          <w:sz w:val="22"/>
          <w:szCs w:val="22"/>
        </w:rPr>
      </w:pPr>
      <w:r w:rsidRPr="00C921DE">
        <w:rPr>
          <w:rFonts w:ascii="GHEA Grapalat" w:hAnsi="GHEA Grapalat" w:cs="Sylfaen"/>
          <w:sz w:val="22"/>
          <w:szCs w:val="22"/>
        </w:rPr>
        <w:t xml:space="preserve">Նախորդ տարվա համեմատ Կոռուպցիայի </w:t>
      </w:r>
      <w:r w:rsidRPr="00C921DE">
        <w:rPr>
          <w:rFonts w:ascii="GHEA Grapalat" w:hAnsi="GHEA Grapalat" w:cs="Sylfaen"/>
          <w:bCs/>
          <w:sz w:val="22"/>
          <w:szCs w:val="22"/>
        </w:rPr>
        <w:t>կանխարգելման հանձնաժողովի ծախսերն աճել են 6.3%</w:t>
      </w:r>
      <w:r w:rsidRPr="00C921DE">
        <w:rPr>
          <w:rFonts w:ascii="GHEA Grapalat" w:hAnsi="GHEA Grapalat" w:cs="Sylfaen"/>
          <w:bCs/>
          <w:sz w:val="22"/>
          <w:szCs w:val="22"/>
        </w:rPr>
        <w:noBreakHyphen/>
        <w:t>ով կամ 22.5</w:t>
      </w:r>
      <w:r w:rsidRPr="00C921DE">
        <w:rPr>
          <w:rFonts w:ascii="Calibri" w:hAnsi="Calibri" w:cs="Calibri"/>
          <w:bCs/>
          <w:sz w:val="22"/>
          <w:szCs w:val="22"/>
        </w:rPr>
        <w:t> </w:t>
      </w:r>
      <w:r w:rsidRPr="00C921DE">
        <w:rPr>
          <w:rFonts w:ascii="GHEA Grapalat" w:hAnsi="GHEA Grapalat" w:cs="Sylfaen"/>
          <w:bCs/>
          <w:sz w:val="22"/>
          <w:szCs w:val="22"/>
        </w:rPr>
        <w:t xml:space="preserve">մլն դրամով՝ հիմնականում պայմանավորված աշխատանքի վարձատրության </w:t>
      </w:r>
      <w:r w:rsidR="002913E7" w:rsidRPr="00C921DE">
        <w:rPr>
          <w:rFonts w:ascii="GHEA Grapalat" w:hAnsi="GHEA Grapalat" w:cs="Sylfaen"/>
          <w:bCs/>
          <w:sz w:val="22"/>
          <w:szCs w:val="22"/>
          <w:lang w:val="en-US"/>
        </w:rPr>
        <w:t>ծախսերի աճով</w:t>
      </w:r>
      <w:r w:rsidRPr="00C921DE">
        <w:rPr>
          <w:rFonts w:ascii="GHEA Grapalat" w:hAnsi="GHEA Grapalat" w:cs="Sylfaen"/>
          <w:bCs/>
          <w:sz w:val="22"/>
          <w:szCs w:val="22"/>
        </w:rPr>
        <w:t>:</w:t>
      </w:r>
    </w:p>
    <w:p w14:paraId="37F6FDB0" w14:textId="77777777" w:rsidR="00C56BD7" w:rsidRPr="00C921DE" w:rsidRDefault="00C56BD7" w:rsidP="00882819">
      <w:pPr>
        <w:ind w:firstLine="561"/>
        <w:jc w:val="both"/>
        <w:rPr>
          <w:rFonts w:ascii="GHEA Grapalat" w:hAnsi="GHEA Grapalat" w:cs="Sylfaen"/>
          <w:sz w:val="22"/>
          <w:szCs w:val="22"/>
        </w:rPr>
      </w:pPr>
    </w:p>
    <w:p w14:paraId="6D714165" w14:textId="7CF75AA0" w:rsidR="00BC1A2F" w:rsidRPr="00C921DE" w:rsidRDefault="00C56BD7" w:rsidP="00BC1A2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պետական վերահսկողական ծառայության</w:t>
      </w:r>
      <w:r w:rsidR="00034661" w:rsidRPr="00C921DE">
        <w:rPr>
          <w:rFonts w:ascii="GHEA Grapalat" w:hAnsi="GHEA Grapalat" w:cs="GHEA Grapalat"/>
          <w:sz w:val="22"/>
          <w:szCs w:val="22"/>
          <w:lang w:val="en-US"/>
        </w:rPr>
        <w:t xml:space="preserve"> կողմից</w:t>
      </w:r>
      <w:r w:rsidRPr="00C921DE">
        <w:rPr>
          <w:rFonts w:ascii="GHEA Grapalat" w:hAnsi="GHEA Grapalat" w:cs="GHEA Grapalat"/>
          <w:sz w:val="22"/>
          <w:szCs w:val="22"/>
        </w:rPr>
        <w:t xml:space="preserve"> </w:t>
      </w:r>
      <w:r w:rsidR="00BC1A2F" w:rsidRPr="00C921DE">
        <w:rPr>
          <w:rFonts w:ascii="GHEA Grapalat" w:hAnsi="GHEA Grapalat" w:cs="GHEA Grapalat"/>
          <w:i/>
          <w:sz w:val="22"/>
          <w:szCs w:val="22"/>
        </w:rPr>
        <w:t>Պետական վերահսկողական ծառայությունների</w:t>
      </w:r>
      <w:r w:rsidR="00BC1A2F" w:rsidRPr="00C921DE">
        <w:rPr>
          <w:rFonts w:ascii="GHEA Grapalat" w:hAnsi="GHEA Grapalat" w:cs="GHEA Grapalat"/>
          <w:sz w:val="22"/>
          <w:szCs w:val="22"/>
        </w:rPr>
        <w:t xml:space="preserve"> ծրագրի շրջանակներում 2023 թվականին օգտագործվել է</w:t>
      </w:r>
      <w:r w:rsidR="00BC1A2F" w:rsidRPr="00C921DE">
        <w:rPr>
          <w:rFonts w:ascii="GHEA Grapalat" w:hAnsi="GHEA Grapalat" w:cs="Sylfaen"/>
          <w:sz w:val="22"/>
          <w:szCs w:val="22"/>
        </w:rPr>
        <w:t xml:space="preserve"> շուրջ </w:t>
      </w:r>
      <w:r w:rsidR="00BC1A2F" w:rsidRPr="00C921DE">
        <w:rPr>
          <w:rFonts w:ascii="GHEA Grapalat" w:hAnsi="GHEA Grapalat" w:cs="GHEA Grapalat"/>
          <w:sz w:val="22"/>
          <w:szCs w:val="22"/>
        </w:rPr>
        <w:t xml:space="preserve">919.9 մլն դրամ, որը կազմել է ծրագրված ցուցանիշի 99%-ը: Նախորդ տարվա համեմատ ՀՀ պետական </w:t>
      </w:r>
      <w:r w:rsidR="00BC1A2F" w:rsidRPr="00C921DE">
        <w:rPr>
          <w:rFonts w:ascii="GHEA Grapalat" w:hAnsi="GHEA Grapalat" w:cs="GHEA Grapalat"/>
          <w:sz w:val="22"/>
          <w:szCs w:val="22"/>
        </w:rPr>
        <w:lastRenderedPageBreak/>
        <w:t xml:space="preserve">վերահսկողական ծառայության ծախսերն աճել են 18.9%-ով կամ 145.9 մլն դրամով, որը պայմանավորված է ՀՀ վարչապետին ՀՀ Սահմանադրությամբ և օրենքներով վերապահված վերահսկողական լիազորությունների իրականացման ապահովման միջոցառման ծախսերի աճով: ՀՀ վարչապետին ՀՀ Սահմանադրությամբ և օրենքներով վերապահված վերահսկողական լիազորությունների իրականացման ապահովման միջոցառման շրջանակներում ըստ փաստացի ստացված հանձնարարագրերի իրականացվել </w:t>
      </w:r>
      <w:r w:rsidR="00050209" w:rsidRPr="00C921DE">
        <w:rPr>
          <w:rFonts w:ascii="GHEA Grapalat" w:hAnsi="GHEA Grapalat" w:cs="GHEA Grapalat"/>
          <w:sz w:val="22"/>
          <w:szCs w:val="22"/>
          <w:lang w:val="en-US"/>
        </w:rPr>
        <w:t>է</w:t>
      </w:r>
      <w:r w:rsidR="00BC1A2F" w:rsidRPr="00C921DE">
        <w:rPr>
          <w:rFonts w:ascii="GHEA Grapalat" w:hAnsi="GHEA Grapalat" w:cs="GHEA Grapalat"/>
          <w:sz w:val="22"/>
          <w:szCs w:val="22"/>
        </w:rPr>
        <w:t xml:space="preserve"> </w:t>
      </w:r>
      <w:r w:rsidR="00050209" w:rsidRPr="00C921DE">
        <w:rPr>
          <w:rFonts w:ascii="GHEA Grapalat" w:hAnsi="GHEA Grapalat" w:cs="GHEA Grapalat"/>
          <w:sz w:val="22"/>
          <w:szCs w:val="22"/>
        </w:rPr>
        <w:t xml:space="preserve">40 ուսումնասիրություն (34-ն ավարտվել է 2023 թվականին, իսկ 6-ը՝ տեղափոխվել հաջորդ տարի), որից 27-ը՝ 2023 թվականին տրված հանձնարարագրերով, 13-ը՝ նախորդ տարվանից, ինչպես նաև </w:t>
      </w:r>
      <w:r w:rsidR="00933C05" w:rsidRPr="00C921DE">
        <w:rPr>
          <w:rFonts w:ascii="GHEA Grapalat" w:hAnsi="GHEA Grapalat" w:cs="GHEA Grapalat"/>
          <w:sz w:val="22"/>
          <w:szCs w:val="22"/>
        </w:rPr>
        <w:t>իրականացվել է 216 մշտադիտարկում (171-ն ավարտվել է 2023 թվականին, իսկ 45-ը՝ տեղափոխվել հաջորդ տարի)</w:t>
      </w:r>
      <w:r w:rsidR="00050209" w:rsidRPr="00C921DE">
        <w:rPr>
          <w:rFonts w:ascii="GHEA Grapalat" w:hAnsi="GHEA Grapalat" w:cs="GHEA Grapalat"/>
          <w:sz w:val="22"/>
          <w:szCs w:val="22"/>
        </w:rPr>
        <w:t xml:space="preserve">: </w:t>
      </w:r>
      <w:r w:rsidR="00BC1A2F" w:rsidRPr="00C921DE">
        <w:rPr>
          <w:rFonts w:ascii="GHEA Grapalat" w:hAnsi="GHEA Grapalat" w:cs="GHEA Grapalat"/>
          <w:sz w:val="22"/>
          <w:szCs w:val="22"/>
        </w:rPr>
        <w:t>Հաշվետու տարում միջոցառման ծախսերը կազմել են 911.4</w:t>
      </w:r>
      <w:r w:rsidR="00BC1A2F" w:rsidRPr="00C921DE">
        <w:rPr>
          <w:rFonts w:ascii="Calibri" w:hAnsi="Calibri" w:cs="Calibri"/>
          <w:sz w:val="22"/>
          <w:szCs w:val="22"/>
        </w:rPr>
        <w:t> </w:t>
      </w:r>
      <w:r w:rsidR="00BC1A2F" w:rsidRPr="00C921DE">
        <w:rPr>
          <w:rFonts w:ascii="GHEA Grapalat" w:hAnsi="GHEA Grapalat" w:cs="GHEA Grapalat"/>
          <w:sz w:val="22"/>
          <w:szCs w:val="22"/>
        </w:rPr>
        <w:t>մլն դրամ, որոնք կատարվել են 99.1%-ով: Նախորդ տարվա համեմատ նշված միջոցառման ծախսերի 21.1% (158.8</w:t>
      </w:r>
      <w:r w:rsidR="00BC1A2F" w:rsidRPr="00C921DE">
        <w:rPr>
          <w:rFonts w:ascii="Calibri" w:hAnsi="Calibri" w:cs="Calibri"/>
          <w:sz w:val="22"/>
          <w:szCs w:val="22"/>
        </w:rPr>
        <w:t> </w:t>
      </w:r>
      <w:r w:rsidR="00BC1A2F" w:rsidRPr="00C921DE">
        <w:rPr>
          <w:rFonts w:ascii="GHEA Grapalat" w:hAnsi="GHEA Grapalat" w:cs="GHEA Grapalat"/>
          <w:sz w:val="22"/>
          <w:szCs w:val="22"/>
        </w:rPr>
        <w:t>մլն դրամ) աճը հիմնականում պայմանավորված է հաստիքների թվի</w:t>
      </w:r>
      <w:r w:rsidR="00D27DA5" w:rsidRPr="00C921DE">
        <w:rPr>
          <w:rFonts w:ascii="GHEA Grapalat" w:hAnsi="GHEA Grapalat" w:cs="GHEA Grapalat"/>
          <w:sz w:val="22"/>
          <w:szCs w:val="22"/>
          <w:lang w:val="en-US"/>
        </w:rPr>
        <w:t xml:space="preserve"> աճի</w:t>
      </w:r>
      <w:r w:rsidR="00BC1A2F" w:rsidRPr="00C921DE">
        <w:rPr>
          <w:rFonts w:ascii="GHEA Grapalat" w:hAnsi="GHEA Grapalat" w:cs="GHEA Grapalat"/>
          <w:sz w:val="22"/>
          <w:szCs w:val="22"/>
        </w:rPr>
        <w:t xml:space="preserve"> և</w:t>
      </w:r>
      <w:r w:rsidR="0043490D" w:rsidRPr="00C921DE">
        <w:rPr>
          <w:rFonts w:ascii="GHEA Grapalat" w:hAnsi="GHEA Grapalat" w:cs="GHEA Grapalat"/>
          <w:sz w:val="22"/>
          <w:szCs w:val="22"/>
          <w:lang w:val="en-US"/>
        </w:rPr>
        <w:t xml:space="preserve"> </w:t>
      </w:r>
      <w:r w:rsidR="0043490D" w:rsidRPr="00C921DE">
        <w:rPr>
          <w:rFonts w:ascii="GHEA Grapalat" w:hAnsi="GHEA Grapalat" w:cs="Sylfaen"/>
          <w:sz w:val="22"/>
          <w:szCs w:val="22"/>
        </w:rPr>
        <w:t xml:space="preserve">պետական պաշտոն </w:t>
      </w:r>
      <w:r w:rsidR="00AA0475" w:rsidRPr="00C921DE">
        <w:rPr>
          <w:rFonts w:ascii="GHEA Grapalat" w:hAnsi="GHEA Grapalat" w:cs="Sylfaen"/>
          <w:sz w:val="22"/>
          <w:szCs w:val="22"/>
          <w:lang w:val="en-US"/>
        </w:rPr>
        <w:t>ու</w:t>
      </w:r>
      <w:r w:rsidR="0043490D" w:rsidRPr="00C921DE">
        <w:rPr>
          <w:rFonts w:ascii="GHEA Grapalat" w:hAnsi="GHEA Grapalat" w:cs="Sylfaen"/>
          <w:sz w:val="22"/>
          <w:szCs w:val="22"/>
        </w:rPr>
        <w:t xml:space="preserve"> պետական ծառայության պաշտոն զբաղեցնող անձանց</w:t>
      </w:r>
      <w:r w:rsidR="00BC1A2F" w:rsidRPr="00C921DE">
        <w:rPr>
          <w:rFonts w:ascii="GHEA Grapalat" w:hAnsi="GHEA Grapalat" w:cs="GHEA Grapalat"/>
          <w:sz w:val="22"/>
          <w:szCs w:val="22"/>
        </w:rPr>
        <w:t xml:space="preserve"> բազային աշխատավարձի </w:t>
      </w:r>
      <w:r w:rsidR="00A57970" w:rsidRPr="00C921DE">
        <w:rPr>
          <w:rFonts w:ascii="GHEA Grapalat" w:hAnsi="GHEA Grapalat" w:cs="GHEA Grapalat"/>
          <w:sz w:val="22"/>
          <w:szCs w:val="22"/>
          <w:lang w:val="en-US"/>
        </w:rPr>
        <w:t>բարձրացման</w:t>
      </w:r>
      <w:r w:rsidR="00BC1A2F" w:rsidRPr="00C921DE">
        <w:rPr>
          <w:rFonts w:ascii="GHEA Grapalat" w:hAnsi="GHEA Grapalat" w:cs="GHEA Grapalat"/>
          <w:sz w:val="22"/>
          <w:szCs w:val="22"/>
        </w:rPr>
        <w:t xml:space="preserve"> արդյ</w:t>
      </w:r>
      <w:r w:rsidR="00AA0475" w:rsidRPr="00C921DE">
        <w:rPr>
          <w:rFonts w:ascii="GHEA Grapalat" w:hAnsi="GHEA Grapalat" w:cs="GHEA Grapalat"/>
          <w:sz w:val="22"/>
          <w:szCs w:val="22"/>
        </w:rPr>
        <w:t>ունքում աշխատանքի վարձատրության</w:t>
      </w:r>
      <w:r w:rsidR="00BC1A2F" w:rsidRPr="00C921DE">
        <w:rPr>
          <w:rFonts w:ascii="GHEA Grapalat" w:hAnsi="GHEA Grapalat" w:cs="GHEA Grapalat"/>
          <w:sz w:val="22"/>
          <w:szCs w:val="22"/>
        </w:rPr>
        <w:t xml:space="preserve"> ծախսերի աճով:</w:t>
      </w:r>
    </w:p>
    <w:p w14:paraId="5725E302" w14:textId="77777777" w:rsidR="00C56BD7" w:rsidRPr="00C921DE" w:rsidRDefault="00C56BD7" w:rsidP="00882819">
      <w:pPr>
        <w:ind w:firstLine="561"/>
        <w:jc w:val="both"/>
        <w:rPr>
          <w:rFonts w:ascii="GHEA Grapalat" w:hAnsi="GHEA Grapalat" w:cs="GHEA Grapalat"/>
          <w:sz w:val="22"/>
          <w:szCs w:val="22"/>
        </w:rPr>
      </w:pPr>
    </w:p>
    <w:p w14:paraId="34CC5519" w14:textId="385CB9F7" w:rsidR="00FC1126" w:rsidRPr="00C921DE" w:rsidRDefault="00C56BD7" w:rsidP="00FC1126">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i/>
          <w:sz w:val="22"/>
          <w:szCs w:val="22"/>
          <w:u w:val="single"/>
        </w:rPr>
        <w:t>Հակակոռուպցիոն կոմիտեի</w:t>
      </w:r>
      <w:r w:rsidR="00AA0475" w:rsidRPr="00C921DE">
        <w:rPr>
          <w:rFonts w:ascii="GHEA Grapalat" w:hAnsi="GHEA Grapalat" w:cs="GHEA Grapalat"/>
          <w:i/>
          <w:sz w:val="22"/>
          <w:szCs w:val="22"/>
          <w:u w:val="single"/>
          <w:lang w:val="en-US"/>
        </w:rPr>
        <w:t>ն</w:t>
      </w:r>
      <w:r w:rsidR="00FC1126" w:rsidRPr="00C921DE">
        <w:rPr>
          <w:rFonts w:ascii="GHEA Grapalat" w:hAnsi="GHEA Grapalat" w:cs="GHEA Grapalat"/>
          <w:sz w:val="22"/>
          <w:szCs w:val="22"/>
          <w:lang w:val="en-US"/>
        </w:rPr>
        <w:t xml:space="preserve"> </w:t>
      </w:r>
      <w:r w:rsidR="00FC1126" w:rsidRPr="00C921DE">
        <w:rPr>
          <w:rFonts w:ascii="GHEA Grapalat" w:hAnsi="GHEA Grapalat" w:cs="Times Armenian"/>
          <w:sz w:val="22"/>
          <w:szCs w:val="22"/>
        </w:rPr>
        <w:t>202</w:t>
      </w:r>
      <w:r w:rsidR="00FC1126" w:rsidRPr="00C921DE">
        <w:rPr>
          <w:rFonts w:ascii="GHEA Grapalat" w:hAnsi="GHEA Grapalat" w:cs="Times Armenian"/>
          <w:sz w:val="22"/>
          <w:szCs w:val="22"/>
          <w:lang w:val="en-US"/>
        </w:rPr>
        <w:t>3</w:t>
      </w:r>
      <w:r w:rsidR="00FC1126" w:rsidRPr="00C921DE">
        <w:rPr>
          <w:rFonts w:ascii="GHEA Grapalat" w:hAnsi="GHEA Grapalat" w:cs="Times Armenian"/>
          <w:sz w:val="22"/>
          <w:szCs w:val="22"/>
        </w:rPr>
        <w:t xml:space="preserve"> թվականին </w:t>
      </w:r>
      <w:r w:rsidR="00FC1126" w:rsidRPr="00C921DE">
        <w:rPr>
          <w:rFonts w:ascii="GHEA Grapalat" w:hAnsi="GHEA Grapalat" w:cs="GHEA Grapalat"/>
          <w:sz w:val="22"/>
          <w:szCs w:val="22"/>
        </w:rPr>
        <w:t xml:space="preserve">տրամադրվել է </w:t>
      </w:r>
      <w:r w:rsidR="00FC1126" w:rsidRPr="00C921DE">
        <w:rPr>
          <w:rFonts w:ascii="GHEA Grapalat" w:hAnsi="GHEA Grapalat" w:cs="GHEA Grapalat"/>
          <w:sz w:val="22"/>
          <w:szCs w:val="22"/>
          <w:lang w:val="en-US"/>
        </w:rPr>
        <w:t>ավելի քան 2.6</w:t>
      </w:r>
      <w:r w:rsidR="00FC1126" w:rsidRPr="00C921DE">
        <w:rPr>
          <w:rFonts w:ascii="Courier New" w:hAnsi="Courier New" w:cs="Courier New"/>
          <w:sz w:val="22"/>
          <w:szCs w:val="22"/>
        </w:rPr>
        <w:t> </w:t>
      </w:r>
      <w:r w:rsidR="00FC1126" w:rsidRPr="00C921DE">
        <w:rPr>
          <w:rFonts w:ascii="GHEA Grapalat" w:hAnsi="GHEA Grapalat" w:cs="GHEA Grapalat"/>
          <w:sz w:val="22"/>
          <w:szCs w:val="22"/>
        </w:rPr>
        <w:t xml:space="preserve">մլրդ դրամ՝ ապահովելով ծրագրային ցուցանիշի </w:t>
      </w:r>
      <w:r w:rsidR="00FC1126" w:rsidRPr="00C921DE">
        <w:rPr>
          <w:rFonts w:ascii="GHEA Grapalat" w:hAnsi="GHEA Grapalat" w:cs="GHEA Grapalat"/>
          <w:sz w:val="22"/>
          <w:szCs w:val="22"/>
          <w:lang w:val="en-US"/>
        </w:rPr>
        <w:t>91.4</w:t>
      </w:r>
      <w:r w:rsidR="00FC1126" w:rsidRPr="00C921DE">
        <w:rPr>
          <w:rFonts w:ascii="GHEA Grapalat" w:hAnsi="GHEA Grapalat" w:cs="GHEA Grapalat"/>
          <w:sz w:val="22"/>
          <w:szCs w:val="22"/>
        </w:rPr>
        <w:t xml:space="preserve">% կատարողական, որը պայմանավորված է </w:t>
      </w:r>
      <w:r w:rsidR="00FC1126" w:rsidRPr="00C921DE">
        <w:rPr>
          <w:rFonts w:ascii="GHEA Grapalat" w:hAnsi="GHEA Grapalat" w:cs="GHEA Grapalat"/>
          <w:sz w:val="22"/>
          <w:szCs w:val="22"/>
          <w:lang w:val="en-US"/>
        </w:rPr>
        <w:t>թափուր</w:t>
      </w:r>
      <w:r w:rsidR="00FC1126" w:rsidRPr="00C921DE">
        <w:rPr>
          <w:rFonts w:ascii="GHEA Grapalat" w:hAnsi="GHEA Grapalat" w:cs="GHEA Grapalat"/>
          <w:sz w:val="22"/>
          <w:szCs w:val="22"/>
        </w:rPr>
        <w:t xml:space="preserve"> հաստիքներ</w:t>
      </w:r>
      <w:r w:rsidR="00FC1126" w:rsidRPr="00C921DE">
        <w:rPr>
          <w:rFonts w:ascii="GHEA Grapalat" w:hAnsi="GHEA Grapalat" w:cs="GHEA Grapalat"/>
          <w:sz w:val="22"/>
          <w:szCs w:val="22"/>
          <w:lang w:val="en-US"/>
        </w:rPr>
        <w:t>ի առկայությամբ</w:t>
      </w:r>
      <w:r w:rsidR="00AA0475" w:rsidRPr="00C921DE">
        <w:rPr>
          <w:rFonts w:ascii="GHEA Grapalat" w:hAnsi="GHEA Grapalat" w:cs="GHEA Grapalat"/>
          <w:sz w:val="22"/>
          <w:szCs w:val="22"/>
        </w:rPr>
        <w:t xml:space="preserve">: Միջոցների </w:t>
      </w:r>
      <w:r w:rsidR="00AA0475" w:rsidRPr="00C921DE">
        <w:rPr>
          <w:rFonts w:ascii="GHEA Grapalat" w:hAnsi="GHEA Grapalat" w:cs="GHEA Grapalat"/>
          <w:sz w:val="22"/>
          <w:szCs w:val="22"/>
          <w:lang w:val="en-US"/>
        </w:rPr>
        <w:t>զգալի մասը՝ 2.5 մլրդ դրամը,</w:t>
      </w:r>
      <w:r w:rsidR="00FC1126" w:rsidRPr="00C921DE">
        <w:rPr>
          <w:rFonts w:ascii="GHEA Grapalat" w:hAnsi="GHEA Grapalat" w:cs="GHEA Grapalat"/>
          <w:sz w:val="22"/>
          <w:szCs w:val="22"/>
        </w:rPr>
        <w:t xml:space="preserve"> ուղղվել </w:t>
      </w:r>
      <w:r w:rsidR="00AA0475" w:rsidRPr="00C921DE">
        <w:rPr>
          <w:rFonts w:ascii="GHEA Grapalat" w:hAnsi="GHEA Grapalat" w:cs="GHEA Grapalat"/>
          <w:sz w:val="22"/>
          <w:szCs w:val="22"/>
          <w:lang w:val="en-US"/>
        </w:rPr>
        <w:t>է</w:t>
      </w:r>
      <w:r w:rsidR="00FC1126" w:rsidRPr="00C921DE">
        <w:t xml:space="preserve"> </w:t>
      </w:r>
      <w:r w:rsidR="00AA0475" w:rsidRPr="00C921DE">
        <w:rPr>
          <w:rFonts w:ascii="GHEA Grapalat" w:hAnsi="GHEA Grapalat" w:cs="GHEA Grapalat"/>
          <w:sz w:val="22"/>
          <w:szCs w:val="22"/>
          <w:lang w:val="en-US"/>
        </w:rPr>
        <w:t>կ</w:t>
      </w:r>
      <w:r w:rsidR="00FC1126" w:rsidRPr="00C921DE">
        <w:rPr>
          <w:rFonts w:ascii="GHEA Grapalat" w:hAnsi="GHEA Grapalat" w:cs="GHEA Grapalat"/>
          <w:sz w:val="22"/>
          <w:szCs w:val="22"/>
        </w:rPr>
        <w:t>ոռուպցիոն հանցագործությունների բացահայտման և քննության ապահովման</w:t>
      </w:r>
      <w:r w:rsidR="00AA0475" w:rsidRPr="00C921DE">
        <w:rPr>
          <w:rFonts w:ascii="GHEA Grapalat" w:hAnsi="GHEA Grapalat" w:cs="GHEA Grapalat"/>
          <w:sz w:val="22"/>
          <w:szCs w:val="22"/>
          <w:lang w:val="en-US"/>
        </w:rPr>
        <w:t xml:space="preserve"> միջոցառման</w:t>
      </w:r>
      <w:r w:rsidR="00FC1126" w:rsidRPr="00C921DE">
        <w:rPr>
          <w:rFonts w:ascii="GHEA Grapalat" w:hAnsi="GHEA Grapalat" w:cs="GHEA Grapalat"/>
          <w:sz w:val="22"/>
          <w:szCs w:val="22"/>
        </w:rPr>
        <w:t>ը</w:t>
      </w:r>
      <w:r w:rsidR="00AA0475" w:rsidRPr="00C921DE">
        <w:rPr>
          <w:rFonts w:ascii="GHEA Grapalat" w:hAnsi="GHEA Grapalat" w:cs="GHEA Grapalat"/>
          <w:sz w:val="22"/>
          <w:szCs w:val="22"/>
          <w:lang w:val="en-US"/>
        </w:rPr>
        <w:t>, որը կատարվել է 91.8%-ով</w:t>
      </w:r>
      <w:r w:rsidR="00FC1126" w:rsidRPr="00C921DE">
        <w:rPr>
          <w:rFonts w:ascii="GHEA Grapalat" w:hAnsi="GHEA Grapalat" w:cs="GHEA Grapalat"/>
          <w:sz w:val="22"/>
          <w:szCs w:val="22"/>
        </w:rPr>
        <w:t xml:space="preserve">: Հաշվետու ժամանակահատվածում վարույթում քննված քրեական գործերի ընդհանուր թիվը կազմել է </w:t>
      </w:r>
      <w:r w:rsidR="00FC1126" w:rsidRPr="00C921DE">
        <w:rPr>
          <w:rFonts w:ascii="GHEA Grapalat" w:hAnsi="GHEA Grapalat" w:cs="GHEA Grapalat"/>
          <w:sz w:val="22"/>
          <w:szCs w:val="22"/>
          <w:lang w:val="en-US"/>
        </w:rPr>
        <w:t>1824</w:t>
      </w:r>
      <w:r w:rsidR="00035A28" w:rsidRPr="00C921DE">
        <w:rPr>
          <w:rFonts w:ascii="GHEA Grapalat" w:hAnsi="GHEA Grapalat" w:cs="GHEA Grapalat"/>
          <w:sz w:val="22"/>
          <w:szCs w:val="22"/>
          <w:lang w:val="en-US"/>
        </w:rPr>
        <w:t>՝ կանխատեսված 2200-ի և</w:t>
      </w:r>
      <w:r w:rsidR="00FC1126" w:rsidRPr="00C921DE">
        <w:rPr>
          <w:rFonts w:ascii="GHEA Grapalat" w:hAnsi="GHEA Grapalat" w:cs="GHEA Grapalat"/>
          <w:sz w:val="22"/>
          <w:szCs w:val="22"/>
        </w:rPr>
        <w:t xml:space="preserve"> նախորդ տարվա 1203-ի </w:t>
      </w:r>
      <w:r w:rsidR="00035A28" w:rsidRPr="00C921DE">
        <w:rPr>
          <w:rFonts w:ascii="GHEA Grapalat" w:hAnsi="GHEA Grapalat" w:cs="GHEA Grapalat"/>
          <w:sz w:val="22"/>
          <w:szCs w:val="22"/>
          <w:lang w:val="en-US"/>
        </w:rPr>
        <w:t>դիմաց</w:t>
      </w:r>
      <w:r w:rsidR="00FC1126" w:rsidRPr="00C921DE">
        <w:rPr>
          <w:rFonts w:ascii="GHEA Grapalat" w:hAnsi="GHEA Grapalat" w:cs="GHEA Grapalat"/>
          <w:sz w:val="22"/>
          <w:szCs w:val="22"/>
        </w:rPr>
        <w:t>, բացահայտված կոռուպցիոն հանցագործությու</w:t>
      </w:r>
      <w:r w:rsidR="00035A28" w:rsidRPr="00C921DE">
        <w:rPr>
          <w:rFonts w:ascii="GHEA Grapalat" w:hAnsi="GHEA Grapalat" w:cs="GHEA Grapalat"/>
          <w:sz w:val="22"/>
          <w:szCs w:val="22"/>
        </w:rPr>
        <w:t xml:space="preserve">նների թիվը՝ 1632՝ կանխատեսված </w:t>
      </w:r>
      <w:r w:rsidR="00035A28" w:rsidRPr="00C921DE">
        <w:rPr>
          <w:rFonts w:ascii="GHEA Grapalat" w:hAnsi="GHEA Grapalat" w:cs="GHEA Grapalat"/>
          <w:sz w:val="22"/>
          <w:szCs w:val="22"/>
          <w:lang w:val="en-US"/>
        </w:rPr>
        <w:t xml:space="preserve">1900-ի և </w:t>
      </w:r>
      <w:r w:rsidR="00FC1126" w:rsidRPr="00C921DE">
        <w:rPr>
          <w:rFonts w:ascii="GHEA Grapalat" w:hAnsi="GHEA Grapalat" w:cs="GHEA Grapalat"/>
          <w:sz w:val="22"/>
          <w:szCs w:val="22"/>
        </w:rPr>
        <w:t xml:space="preserve">նախորդ տարվա 1011-ի </w:t>
      </w:r>
      <w:r w:rsidR="00035A28" w:rsidRPr="00C921DE">
        <w:rPr>
          <w:rFonts w:ascii="GHEA Grapalat" w:hAnsi="GHEA Grapalat" w:cs="GHEA Grapalat"/>
          <w:sz w:val="22"/>
          <w:szCs w:val="22"/>
          <w:lang w:val="en-US"/>
        </w:rPr>
        <w:t>դիմաց</w:t>
      </w:r>
      <w:r w:rsidR="00FC1126" w:rsidRPr="00C921DE">
        <w:rPr>
          <w:rFonts w:ascii="GHEA Grapalat" w:hAnsi="GHEA Grapalat" w:cs="GHEA Grapalat"/>
          <w:sz w:val="22"/>
          <w:szCs w:val="22"/>
          <w:lang w:val="en-US"/>
        </w:rPr>
        <w:t>:</w:t>
      </w:r>
      <w:r w:rsidR="00035A28" w:rsidRPr="00C921DE">
        <w:rPr>
          <w:rFonts w:ascii="GHEA Grapalat" w:hAnsi="GHEA Grapalat" w:cs="GHEA Grapalat"/>
          <w:sz w:val="22"/>
          <w:szCs w:val="22"/>
          <w:lang w:val="en-US"/>
        </w:rPr>
        <w:t xml:space="preserve"> Հաշվետու տարվա ընթացքում</w:t>
      </w:r>
      <w:r w:rsidR="00FC1126" w:rsidRPr="00C921DE">
        <w:rPr>
          <w:rFonts w:ascii="GHEA Grapalat" w:hAnsi="GHEA Grapalat" w:cs="GHEA Grapalat"/>
          <w:sz w:val="22"/>
          <w:szCs w:val="22"/>
        </w:rPr>
        <w:t xml:space="preserve"> </w:t>
      </w:r>
      <w:r w:rsidR="00035A28" w:rsidRPr="00C921DE">
        <w:rPr>
          <w:rFonts w:ascii="GHEA Grapalat" w:hAnsi="GHEA Grapalat" w:cs="GHEA Grapalat"/>
          <w:sz w:val="22"/>
          <w:szCs w:val="22"/>
          <w:lang w:val="en-US"/>
        </w:rPr>
        <w:t>մ</w:t>
      </w:r>
      <w:r w:rsidR="00FC1126" w:rsidRPr="00C921DE">
        <w:rPr>
          <w:rFonts w:ascii="GHEA Grapalat" w:hAnsi="GHEA Grapalat" w:cs="GHEA Grapalat"/>
          <w:sz w:val="22"/>
          <w:szCs w:val="22"/>
        </w:rPr>
        <w:t>ուտքագրվել և ուսումնասիրվել</w:t>
      </w:r>
      <w:r w:rsidR="00035A28" w:rsidRPr="00C921DE">
        <w:rPr>
          <w:rFonts w:ascii="GHEA Grapalat" w:hAnsi="GHEA Grapalat" w:cs="GHEA Grapalat"/>
          <w:sz w:val="22"/>
          <w:szCs w:val="22"/>
          <w:lang w:val="en-US"/>
        </w:rPr>
        <w:t xml:space="preserve"> են</w:t>
      </w:r>
      <w:r w:rsidR="00035A28" w:rsidRPr="00C921DE">
        <w:rPr>
          <w:rFonts w:ascii="GHEA Grapalat" w:hAnsi="GHEA Grapalat" w:cs="GHEA Grapalat"/>
          <w:sz w:val="22"/>
          <w:szCs w:val="22"/>
        </w:rPr>
        <w:t xml:space="preserve"> 3738 դիմումներ և բողոքներ՝ կանխատեսված 2400-ի և</w:t>
      </w:r>
      <w:r w:rsidR="00FC1126" w:rsidRPr="00C921DE">
        <w:rPr>
          <w:rFonts w:ascii="GHEA Grapalat" w:hAnsi="GHEA Grapalat" w:cs="GHEA Grapalat"/>
          <w:sz w:val="22"/>
          <w:szCs w:val="22"/>
        </w:rPr>
        <w:t xml:space="preserve"> նախորդ տարվա 2611-ի փոխարեն:</w:t>
      </w:r>
      <w:r w:rsidR="00857CE9" w:rsidRPr="00C921DE">
        <w:rPr>
          <w:rFonts w:ascii="GHEA Grapalat" w:hAnsi="GHEA Grapalat" w:cs="GHEA Grapalat"/>
          <w:sz w:val="22"/>
          <w:szCs w:val="22"/>
          <w:lang w:val="en-US"/>
        </w:rPr>
        <w:t xml:space="preserve"> </w:t>
      </w:r>
      <w:r w:rsidR="00ED32C8" w:rsidRPr="00C921DE">
        <w:rPr>
          <w:rFonts w:ascii="GHEA Grapalat" w:hAnsi="GHEA Grapalat" w:cs="GHEA Grapalat"/>
          <w:sz w:val="22"/>
          <w:szCs w:val="22"/>
          <w:lang w:val="en-US"/>
        </w:rPr>
        <w:t xml:space="preserve">Նախորդ տարվա համեմատ </w:t>
      </w:r>
      <w:r w:rsidR="00857CE9" w:rsidRPr="00C921DE">
        <w:rPr>
          <w:rFonts w:ascii="GHEA Grapalat" w:hAnsi="GHEA Grapalat" w:cs="GHEA Grapalat"/>
          <w:sz w:val="22"/>
          <w:szCs w:val="22"/>
          <w:lang w:val="en-US"/>
        </w:rPr>
        <w:t xml:space="preserve">Հակակոռուպցիոն կոմիտեի ծախսերն աճել են 75.3%-ով կամ 1.1 մլրդ դրամով՝ պայմանավորված </w:t>
      </w:r>
      <w:r w:rsidR="00ED32C8" w:rsidRPr="00C921DE">
        <w:rPr>
          <w:rFonts w:ascii="GHEA Grapalat" w:hAnsi="GHEA Grapalat" w:cs="GHEA Grapalat"/>
          <w:sz w:val="22"/>
          <w:szCs w:val="22"/>
          <w:lang w:val="en-US"/>
        </w:rPr>
        <w:t>2022 թվականին հաստիքների թերհամալրմամբ:</w:t>
      </w:r>
    </w:p>
    <w:p w14:paraId="5AEDF716" w14:textId="7CD43B7D" w:rsidR="00106ACF" w:rsidRPr="00C921DE" w:rsidRDefault="00106ACF" w:rsidP="00882819">
      <w:pPr>
        <w:autoSpaceDE w:val="0"/>
        <w:autoSpaceDN w:val="0"/>
        <w:adjustRightInd w:val="0"/>
        <w:ind w:firstLine="567"/>
        <w:jc w:val="both"/>
        <w:rPr>
          <w:rFonts w:ascii="GHEA Grapalat" w:hAnsi="GHEA Grapalat" w:cs="GHEA Grapalat"/>
          <w:sz w:val="22"/>
          <w:szCs w:val="22"/>
        </w:rPr>
      </w:pPr>
    </w:p>
    <w:p w14:paraId="3C6718FE" w14:textId="74A1AF12" w:rsidR="00106ACF" w:rsidRPr="00C921DE" w:rsidRDefault="00106ACF" w:rsidP="00106AC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ՀՀ արտաքին հետախուզության ծառայությանը</w:t>
      </w:r>
      <w:r w:rsidRPr="00C921DE">
        <w:rPr>
          <w:rFonts w:ascii="GHEA Grapalat" w:hAnsi="GHEA Grapalat" w:cs="GHEA Grapalat"/>
          <w:sz w:val="22"/>
          <w:szCs w:val="22"/>
        </w:rPr>
        <w:t xml:space="preserve"> </w:t>
      </w:r>
      <w:r w:rsidR="00DE34A9" w:rsidRPr="00C921DE">
        <w:rPr>
          <w:rFonts w:ascii="GHEA Grapalat" w:hAnsi="GHEA Grapalat" w:cs="GHEA Grapalat"/>
          <w:i/>
          <w:sz w:val="22"/>
          <w:szCs w:val="22"/>
          <w:lang w:val="en-US"/>
        </w:rPr>
        <w:t>Ա</w:t>
      </w:r>
      <w:r w:rsidRPr="00C921DE">
        <w:rPr>
          <w:rFonts w:ascii="GHEA Grapalat" w:hAnsi="GHEA Grapalat" w:cs="GHEA Grapalat"/>
          <w:i/>
          <w:sz w:val="22"/>
          <w:szCs w:val="22"/>
        </w:rPr>
        <w:t>րտաքին հետախուզ</w:t>
      </w:r>
      <w:r w:rsidR="00DE34A9" w:rsidRPr="00C921DE">
        <w:rPr>
          <w:rFonts w:ascii="GHEA Grapalat" w:hAnsi="GHEA Grapalat" w:cs="GHEA Grapalat"/>
          <w:i/>
          <w:sz w:val="22"/>
          <w:szCs w:val="22"/>
          <w:lang w:val="en-US"/>
        </w:rPr>
        <w:t>ության</w:t>
      </w:r>
      <w:r w:rsidRPr="00C921DE">
        <w:rPr>
          <w:rFonts w:ascii="GHEA Grapalat" w:hAnsi="GHEA Grapalat" w:cs="GHEA Grapalat"/>
          <w:sz w:val="22"/>
          <w:szCs w:val="22"/>
        </w:rPr>
        <w:t xml:space="preserve"> ծրագրի շրջանակներում հաշվետու տարում </w:t>
      </w:r>
      <w:r w:rsidR="00DE34A9" w:rsidRPr="00C921DE">
        <w:rPr>
          <w:rFonts w:ascii="GHEA Grapalat" w:hAnsi="GHEA Grapalat" w:cs="GHEA Grapalat"/>
          <w:sz w:val="22"/>
          <w:szCs w:val="22"/>
          <w:lang w:val="en-US"/>
        </w:rPr>
        <w:t>տրամադր</w:t>
      </w:r>
      <w:r w:rsidRPr="00C921DE">
        <w:rPr>
          <w:rFonts w:ascii="GHEA Grapalat" w:hAnsi="GHEA Grapalat" w:cs="GHEA Grapalat"/>
          <w:sz w:val="22"/>
          <w:szCs w:val="22"/>
        </w:rPr>
        <w:t>վել է շուրջ 7.7 մլն դրամ՝ ապահովելով 90.8% կատարողական:</w:t>
      </w:r>
      <w:r w:rsidR="00DE34A9" w:rsidRPr="00C921DE">
        <w:rPr>
          <w:rFonts w:ascii="GHEA Grapalat" w:hAnsi="GHEA Grapalat" w:cs="GHEA Grapalat"/>
          <w:sz w:val="22"/>
          <w:szCs w:val="22"/>
          <w:lang w:val="en-US"/>
        </w:rPr>
        <w:t xml:space="preserve"> </w:t>
      </w:r>
      <w:r w:rsidR="00DE34A9" w:rsidRPr="00C921DE">
        <w:rPr>
          <w:rFonts w:ascii="GHEA Grapalat" w:hAnsi="GHEA Grapalat" w:cs="GHEA Grapalat"/>
          <w:sz w:val="22"/>
          <w:szCs w:val="22"/>
        </w:rPr>
        <w:t>Ծրագրված ցուցանիշից շեղումը հիմնականում պայմանավորված է ՀՀ արտաքին հետախուզության ծառայության հաստիքների մասնակի համալրմամբ:</w:t>
      </w:r>
      <w:r w:rsidRPr="00C921DE">
        <w:rPr>
          <w:rFonts w:ascii="GHEA Grapalat" w:hAnsi="GHEA Grapalat" w:cs="GHEA Grapalat"/>
          <w:sz w:val="22"/>
          <w:szCs w:val="22"/>
        </w:rPr>
        <w:t xml:space="preserve"> ՀՀ արտաքին հետախուզության ծառայություն</w:t>
      </w:r>
      <w:r w:rsidR="00C90751"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իր գործունեությունը սկսել է 2023 թվականի հոկտեմբերի 4-ին՝ Հայաստանի Հանրապետության վարչապետի կողմից ծառայության պետի նշանակմամբ, այնուհետև </w:t>
      </w:r>
      <w:r w:rsidRPr="00C921DE">
        <w:rPr>
          <w:rFonts w:ascii="GHEA Grapalat" w:hAnsi="GHEA Grapalat" w:cs="GHEA Grapalat"/>
          <w:sz w:val="22"/>
          <w:szCs w:val="22"/>
        </w:rPr>
        <w:lastRenderedPageBreak/>
        <w:t>ՀՀ կառավարության նոյեմբերի 23-ի թիվ 2029-Ն որոշմամբ ՀՀ 2023 թվականի պետական բյուջեից հատկացվել են միջոցներ: Ծառայության գործունեություն</w:t>
      </w:r>
      <w:r w:rsidR="00DE34A9"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անմիջականորեն կապված է ՀՀ արտաքին անվտանգային միջավայրի ուսումնասիրման, դրա վերաբերյալ տեղեկատվության հավաքագրման, վերլուծությունների իրականացման և առաջարկությունների ներկայացման հետ: </w:t>
      </w:r>
    </w:p>
    <w:p w14:paraId="74FB3360" w14:textId="77777777" w:rsidR="00106ACF" w:rsidRPr="00C921DE" w:rsidRDefault="00106ACF" w:rsidP="00882819">
      <w:pPr>
        <w:autoSpaceDE w:val="0"/>
        <w:autoSpaceDN w:val="0"/>
        <w:adjustRightInd w:val="0"/>
        <w:ind w:firstLine="567"/>
        <w:jc w:val="both"/>
        <w:rPr>
          <w:rFonts w:ascii="GHEA Grapalat" w:hAnsi="GHEA Grapalat" w:cs="GHEA Grapalat"/>
          <w:sz w:val="22"/>
          <w:szCs w:val="22"/>
        </w:rPr>
      </w:pPr>
    </w:p>
    <w:p w14:paraId="7F1DF1F6" w14:textId="12653754" w:rsidR="00FC1126" w:rsidRPr="00C921DE" w:rsidRDefault="00C56BD7" w:rsidP="00FC1126">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i/>
          <w:sz w:val="22"/>
          <w:szCs w:val="22"/>
          <w:u w:val="single"/>
        </w:rPr>
        <w:t>Հայաստանի Հանրապետության մարզպետարաններին</w:t>
      </w:r>
      <w:r w:rsidRPr="00C921DE">
        <w:rPr>
          <w:rFonts w:ascii="GHEA Grapalat" w:hAnsi="GHEA Grapalat"/>
          <w:sz w:val="22"/>
          <w:szCs w:val="22"/>
        </w:rPr>
        <w:t xml:space="preserve"> </w:t>
      </w:r>
      <w:r w:rsidR="00FC1126" w:rsidRPr="00C921DE">
        <w:rPr>
          <w:rFonts w:ascii="GHEA Grapalat" w:hAnsi="GHEA Grapalat" w:cs="GHEA Grapalat"/>
          <w:sz w:val="22"/>
          <w:szCs w:val="22"/>
        </w:rPr>
        <w:t>մարզերում տարածքային պետական կառավարման ծրագրերի շրջանակներում 202</w:t>
      </w:r>
      <w:r w:rsidR="00FC1126" w:rsidRPr="00C921DE">
        <w:rPr>
          <w:rFonts w:ascii="GHEA Grapalat" w:hAnsi="GHEA Grapalat" w:cs="GHEA Grapalat"/>
          <w:sz w:val="22"/>
          <w:szCs w:val="22"/>
          <w:lang w:val="en-US"/>
        </w:rPr>
        <w:t>3</w:t>
      </w:r>
      <w:r w:rsidR="00FC1126" w:rsidRPr="00C921DE">
        <w:rPr>
          <w:rFonts w:ascii="GHEA Grapalat" w:hAnsi="GHEA Grapalat" w:cs="GHEA Grapalat"/>
          <w:sz w:val="22"/>
          <w:szCs w:val="22"/>
        </w:rPr>
        <w:t xml:space="preserve"> թվականին ՀՀ պետական բյուջեից ընդհանուր առմամբ տրամադրվել է 5.</w:t>
      </w:r>
      <w:r w:rsidR="00FC1126" w:rsidRPr="00C921DE">
        <w:rPr>
          <w:rFonts w:ascii="GHEA Grapalat" w:hAnsi="GHEA Grapalat" w:cs="GHEA Grapalat"/>
          <w:sz w:val="22"/>
          <w:szCs w:val="22"/>
          <w:lang w:val="en-US"/>
        </w:rPr>
        <w:t>8</w:t>
      </w:r>
      <w:r w:rsidR="00FC1126" w:rsidRPr="00C921DE">
        <w:rPr>
          <w:rFonts w:ascii="GHEA Grapalat" w:hAnsi="GHEA Grapalat" w:cs="GHEA Grapalat"/>
          <w:sz w:val="22"/>
          <w:szCs w:val="22"/>
        </w:rPr>
        <w:t xml:space="preserve"> մլրդ դրամ, որը կազմել է ծրագրված ցուցանիշի 9</w:t>
      </w:r>
      <w:r w:rsidR="00FC1126" w:rsidRPr="00C921DE">
        <w:rPr>
          <w:rFonts w:ascii="GHEA Grapalat" w:hAnsi="GHEA Grapalat" w:cs="GHEA Grapalat"/>
          <w:sz w:val="22"/>
          <w:szCs w:val="22"/>
          <w:lang w:val="en-US"/>
        </w:rPr>
        <w:t>7.6</w:t>
      </w:r>
      <w:r w:rsidR="00FC1126" w:rsidRPr="00C921DE">
        <w:rPr>
          <w:rFonts w:ascii="GHEA Grapalat" w:hAnsi="GHEA Grapalat" w:cs="GHEA Grapalat"/>
          <w:sz w:val="22"/>
          <w:szCs w:val="22"/>
        </w:rPr>
        <w:t>%-ը։</w:t>
      </w:r>
      <w:r w:rsidR="00B626D1" w:rsidRPr="00C921DE">
        <w:rPr>
          <w:rFonts w:ascii="GHEA Grapalat" w:hAnsi="GHEA Grapalat" w:cs="GHEA Grapalat"/>
          <w:sz w:val="22"/>
          <w:szCs w:val="22"/>
          <w:lang w:val="en-US"/>
        </w:rPr>
        <w:t xml:space="preserve"> </w:t>
      </w:r>
      <w:r w:rsidR="00FC1126" w:rsidRPr="00C921DE">
        <w:rPr>
          <w:rFonts w:ascii="GHEA Grapalat" w:hAnsi="GHEA Grapalat" w:cs="GHEA Grapalat"/>
          <w:sz w:val="22"/>
          <w:szCs w:val="22"/>
        </w:rPr>
        <w:t>Միջոցները հիմնականում օգտագործվել են մարզերի կողմից տարածքային պետական կառավարման ապահովման միջոցառումների շրջանակներում:</w:t>
      </w:r>
    </w:p>
    <w:p w14:paraId="3AD85B6F" w14:textId="6A01D718" w:rsidR="00FC1126" w:rsidRPr="00C921DE" w:rsidRDefault="00FC1126" w:rsidP="00FC1126">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Հատկացումներն ըստ մարզերի ներկայացված են Աղյուսակ 4</w:t>
      </w:r>
      <w:r w:rsidR="00932768" w:rsidRPr="00C921DE">
        <w:rPr>
          <w:rFonts w:ascii="GHEA Grapalat" w:hAnsi="GHEA Grapalat" w:cs="GHEA Grapalat"/>
          <w:sz w:val="22"/>
          <w:szCs w:val="22"/>
          <w:lang w:val="en-US"/>
        </w:rPr>
        <w:t>1</w:t>
      </w:r>
      <w:r w:rsidRPr="00C921DE">
        <w:rPr>
          <w:rFonts w:ascii="GHEA Grapalat" w:hAnsi="GHEA Grapalat" w:cs="GHEA Grapalat"/>
          <w:sz w:val="22"/>
          <w:szCs w:val="22"/>
        </w:rPr>
        <w:t>-ում:</w:t>
      </w:r>
    </w:p>
    <w:p w14:paraId="19388EEA" w14:textId="7794D01B" w:rsidR="00FC1126" w:rsidRPr="00C921DE" w:rsidRDefault="00FC1126" w:rsidP="00FC1126">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Նախորդ տարվա</w:t>
      </w:r>
      <w:r w:rsidR="00B626D1" w:rsidRPr="00C921DE">
        <w:rPr>
          <w:rFonts w:ascii="GHEA Grapalat" w:hAnsi="GHEA Grapalat" w:cs="GHEA Grapalat"/>
          <w:sz w:val="22"/>
          <w:szCs w:val="22"/>
        </w:rPr>
        <w:t xml:space="preserve"> համեմատ մարզպետարանների ծախսեր</w:t>
      </w:r>
      <w:r w:rsidR="00B626D1"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աճել են 10.2%-ով կամ 539.9 մլն դրամով՝ հիմնականում պայմանավորված</w:t>
      </w:r>
      <w:r w:rsidR="0043490D" w:rsidRPr="00C921DE">
        <w:rPr>
          <w:rFonts w:ascii="GHEA Grapalat" w:hAnsi="GHEA Grapalat" w:cs="GHEA Grapalat"/>
          <w:sz w:val="22"/>
          <w:szCs w:val="22"/>
          <w:lang w:val="en-US"/>
        </w:rPr>
        <w:t xml:space="preserve"> </w:t>
      </w:r>
      <w:r w:rsidR="0043490D" w:rsidRPr="00C921DE">
        <w:rPr>
          <w:rFonts w:ascii="GHEA Grapalat" w:hAnsi="GHEA Grapalat" w:cs="Sylfaen"/>
          <w:sz w:val="22"/>
          <w:szCs w:val="22"/>
        </w:rPr>
        <w:t>պետական պաշտոն և պետական ծառայության պաշտոն զբաղեցնող անձանց</w:t>
      </w:r>
      <w:r w:rsidRPr="00C921DE">
        <w:rPr>
          <w:rFonts w:ascii="GHEA Grapalat" w:hAnsi="GHEA Grapalat" w:cs="GHEA Grapalat"/>
          <w:sz w:val="22"/>
          <w:szCs w:val="22"/>
        </w:rPr>
        <w:t xml:space="preserve"> բազային աշխատավարձի բարձրացմամբ:</w:t>
      </w:r>
    </w:p>
    <w:p w14:paraId="279D518E" w14:textId="77777777" w:rsidR="00FC1126" w:rsidRPr="00C921DE" w:rsidRDefault="00FC1126" w:rsidP="005772F6">
      <w:pPr>
        <w:autoSpaceDE w:val="0"/>
        <w:autoSpaceDN w:val="0"/>
        <w:adjustRightInd w:val="0"/>
        <w:ind w:firstLine="567"/>
        <w:jc w:val="both"/>
        <w:rPr>
          <w:rFonts w:ascii="GHEA Grapalat" w:hAnsi="GHEA Grapalat" w:cs="GHEA Grapalat"/>
          <w:sz w:val="22"/>
          <w:szCs w:val="22"/>
        </w:rPr>
      </w:pPr>
    </w:p>
    <w:p w14:paraId="29CF5577" w14:textId="77777777" w:rsidR="00FC1126" w:rsidRPr="00C921DE" w:rsidRDefault="00FC1126" w:rsidP="00FC1126">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բյուջեից հատկացումներն ըստ մարզերի (մլն դրամ)</w:t>
      </w:r>
    </w:p>
    <w:tbl>
      <w:tblPr>
        <w:tblW w:w="10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A0" w:firstRow="1" w:lastRow="0" w:firstColumn="1" w:lastColumn="0" w:noHBand="0" w:noVBand="0"/>
      </w:tblPr>
      <w:tblGrid>
        <w:gridCol w:w="3036"/>
        <w:gridCol w:w="932"/>
        <w:gridCol w:w="992"/>
        <w:gridCol w:w="991"/>
        <w:gridCol w:w="1591"/>
        <w:gridCol w:w="1165"/>
        <w:gridCol w:w="1350"/>
      </w:tblGrid>
      <w:tr w:rsidR="00686388" w:rsidRPr="00C921DE" w14:paraId="469727F4" w14:textId="77777777" w:rsidTr="00882819">
        <w:trPr>
          <w:trHeight w:val="1100"/>
        </w:trPr>
        <w:tc>
          <w:tcPr>
            <w:tcW w:w="3036" w:type="dxa"/>
          </w:tcPr>
          <w:p w14:paraId="120E8163" w14:textId="77777777" w:rsidR="00686388" w:rsidRPr="00C921DE" w:rsidRDefault="00686388" w:rsidP="00686388">
            <w:pPr>
              <w:spacing w:line="254" w:lineRule="auto"/>
              <w:jc w:val="center"/>
              <w:rPr>
                <w:rFonts w:ascii="GHEA Grapalat" w:hAnsi="GHEA Grapalat"/>
                <w:sz w:val="18"/>
                <w:szCs w:val="18"/>
              </w:rPr>
            </w:pPr>
          </w:p>
        </w:tc>
        <w:tc>
          <w:tcPr>
            <w:tcW w:w="932" w:type="dxa"/>
          </w:tcPr>
          <w:p w14:paraId="51866D8F" w14:textId="77777777" w:rsidR="00686388" w:rsidRPr="00C921DE" w:rsidRDefault="00686388" w:rsidP="00686388">
            <w:pPr>
              <w:spacing w:line="254" w:lineRule="auto"/>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2</w:t>
            </w:r>
            <w:r w:rsidRPr="00C921DE">
              <w:rPr>
                <w:rFonts w:ascii="GHEA Grapalat" w:hAnsi="GHEA Grapalat" w:cs="Calibri"/>
                <w:b/>
                <w:sz w:val="18"/>
                <w:szCs w:val="18"/>
              </w:rPr>
              <w:t>թ. փաստ</w:t>
            </w:r>
          </w:p>
        </w:tc>
        <w:tc>
          <w:tcPr>
            <w:tcW w:w="992" w:type="dxa"/>
          </w:tcPr>
          <w:p w14:paraId="2D25E270" w14:textId="16263C2D" w:rsidR="00686388" w:rsidRPr="00C921DE" w:rsidRDefault="00686388" w:rsidP="00686388">
            <w:pPr>
              <w:spacing w:line="254" w:lineRule="auto"/>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 xml:space="preserve">թ. ճշտված </w:t>
            </w:r>
            <w:r w:rsidRPr="00C921DE">
              <w:rPr>
                <w:rFonts w:ascii="GHEA Grapalat" w:hAnsi="GHEA Grapalat" w:cs="Calibri"/>
                <w:b/>
                <w:sz w:val="18"/>
                <w:szCs w:val="18"/>
                <w:lang w:val="en-US"/>
              </w:rPr>
              <w:t>ծրագիր</w:t>
            </w:r>
          </w:p>
        </w:tc>
        <w:tc>
          <w:tcPr>
            <w:tcW w:w="991" w:type="dxa"/>
          </w:tcPr>
          <w:p w14:paraId="216CB436" w14:textId="3525C6E8" w:rsidR="00686388" w:rsidRPr="00C921DE" w:rsidRDefault="00686388" w:rsidP="00686388">
            <w:pPr>
              <w:spacing w:line="254" w:lineRule="auto"/>
              <w:jc w:val="center"/>
              <w:rPr>
                <w:rFonts w:ascii="GHEA Grapalat" w:hAnsi="GHEA Grapalat" w:cs="Calibri"/>
                <w:b/>
                <w:sz w:val="18"/>
                <w:szCs w:val="18"/>
              </w:rPr>
            </w:pPr>
            <w:r w:rsidRPr="00C921DE">
              <w:rPr>
                <w:rFonts w:ascii="GHEA Grapalat" w:hAnsi="GHEA Grapalat" w:cs="Calibri"/>
                <w:b/>
                <w:sz w:val="18"/>
                <w:szCs w:val="18"/>
              </w:rPr>
              <w:t>202</w:t>
            </w:r>
            <w:r w:rsidRPr="00C921DE">
              <w:rPr>
                <w:rFonts w:ascii="GHEA Grapalat" w:hAnsi="GHEA Grapalat" w:cs="Calibri"/>
                <w:b/>
                <w:sz w:val="18"/>
                <w:szCs w:val="18"/>
                <w:lang w:val="en-US"/>
              </w:rPr>
              <w:t>3</w:t>
            </w:r>
            <w:r w:rsidRPr="00C921DE">
              <w:rPr>
                <w:rFonts w:ascii="GHEA Grapalat" w:hAnsi="GHEA Grapalat" w:cs="Calibri"/>
                <w:b/>
                <w:sz w:val="18"/>
                <w:szCs w:val="18"/>
              </w:rPr>
              <w:t>թ. փաստ</w:t>
            </w:r>
          </w:p>
        </w:tc>
        <w:tc>
          <w:tcPr>
            <w:tcW w:w="1591" w:type="dxa"/>
          </w:tcPr>
          <w:p w14:paraId="624A4711" w14:textId="6072636E" w:rsidR="00686388" w:rsidRPr="00C921DE" w:rsidRDefault="00686388" w:rsidP="00686388">
            <w:pPr>
              <w:spacing w:line="254" w:lineRule="auto"/>
              <w:jc w:val="center"/>
              <w:rPr>
                <w:rFonts w:ascii="GHEA Grapalat" w:hAnsi="GHEA Grapalat" w:cs="Calibri"/>
                <w:b/>
                <w:sz w:val="18"/>
                <w:szCs w:val="18"/>
              </w:rPr>
            </w:pPr>
            <w:r w:rsidRPr="00C921DE">
              <w:rPr>
                <w:rFonts w:ascii="GHEA Grapalat" w:hAnsi="GHEA Grapalat" w:cs="Calibri"/>
                <w:b/>
                <w:sz w:val="18"/>
                <w:szCs w:val="18"/>
              </w:rPr>
              <w:t xml:space="preserve">Կատարո-ղականը ճշտված </w:t>
            </w:r>
            <w:r w:rsidRPr="00C921DE">
              <w:rPr>
                <w:rFonts w:ascii="GHEA Grapalat" w:hAnsi="GHEA Grapalat" w:cs="Calibri"/>
                <w:b/>
                <w:sz w:val="18"/>
                <w:szCs w:val="18"/>
                <w:lang w:val="en-US"/>
              </w:rPr>
              <w:t>ծրագր</w:t>
            </w:r>
            <w:r w:rsidRPr="00C921DE">
              <w:rPr>
                <w:rFonts w:ascii="GHEA Grapalat" w:hAnsi="GHEA Grapalat" w:cs="Calibri"/>
                <w:b/>
                <w:sz w:val="18"/>
                <w:szCs w:val="18"/>
              </w:rPr>
              <w:t xml:space="preserve">ի նկատմամբ (%) </w:t>
            </w:r>
          </w:p>
        </w:tc>
        <w:tc>
          <w:tcPr>
            <w:tcW w:w="1165" w:type="dxa"/>
          </w:tcPr>
          <w:p w14:paraId="56955401" w14:textId="24F44EF8" w:rsidR="00686388" w:rsidRPr="00C921DE" w:rsidRDefault="00686388" w:rsidP="00686388">
            <w:pPr>
              <w:spacing w:line="254" w:lineRule="auto"/>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w:t>
            </w:r>
            <w:r w:rsidR="00882819" w:rsidRPr="00C921DE">
              <w:rPr>
                <w:rFonts w:ascii="GHEA Grapalat" w:hAnsi="GHEA Grapalat" w:cs="Calibri"/>
                <w:b/>
                <w:bCs/>
                <w:sz w:val="18"/>
                <w:szCs w:val="18"/>
                <w:lang w:val="en-US"/>
              </w:rPr>
              <w:t>-</w:t>
            </w:r>
            <w:r w:rsidRPr="00C921DE">
              <w:rPr>
                <w:rFonts w:ascii="GHEA Grapalat" w:hAnsi="GHEA Grapalat" w:cs="Calibri"/>
                <w:b/>
                <w:bCs/>
                <w:sz w:val="18"/>
                <w:szCs w:val="18"/>
              </w:rPr>
              <w:t>մամբ</w:t>
            </w:r>
            <w:r w:rsidRPr="00C921DE">
              <w:rPr>
                <w:rFonts w:ascii="GHEA Grapalat" w:hAnsi="GHEA Grapalat" w:cs="Calibri"/>
                <w:b/>
                <w:bCs/>
                <w:sz w:val="18"/>
                <w:szCs w:val="18"/>
                <w:lang w:val="en-US"/>
              </w:rPr>
              <w:t xml:space="preserve"> (%)</w:t>
            </w:r>
          </w:p>
        </w:tc>
        <w:tc>
          <w:tcPr>
            <w:tcW w:w="1350" w:type="dxa"/>
          </w:tcPr>
          <w:p w14:paraId="39C49BBB" w14:textId="77777777" w:rsidR="00686388" w:rsidRPr="00C921DE" w:rsidRDefault="00686388" w:rsidP="00686388">
            <w:pPr>
              <w:spacing w:line="254" w:lineRule="auto"/>
              <w:jc w:val="center"/>
              <w:rPr>
                <w:rFonts w:ascii="GHEA Grapalat" w:hAnsi="GHEA Grapalat" w:cs="Calibri"/>
                <w:b/>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3</w:t>
            </w:r>
            <w:r w:rsidRPr="00C921DE">
              <w:rPr>
                <w:rFonts w:ascii="GHEA Grapalat" w:hAnsi="GHEA Grapalat" w:cs="Calibri"/>
                <w:b/>
                <w:bCs/>
                <w:sz w:val="18"/>
                <w:szCs w:val="18"/>
              </w:rPr>
              <w:t>թ. և 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տարբե-րությունը</w:t>
            </w:r>
          </w:p>
        </w:tc>
      </w:tr>
      <w:tr w:rsidR="00FC1126" w:rsidRPr="00C921DE" w14:paraId="0053B6EC" w14:textId="77777777" w:rsidTr="00882819">
        <w:trPr>
          <w:trHeight w:val="217"/>
        </w:trPr>
        <w:tc>
          <w:tcPr>
            <w:tcW w:w="3036" w:type="dxa"/>
            <w:vAlign w:val="bottom"/>
          </w:tcPr>
          <w:p w14:paraId="2FE49F5F" w14:textId="77777777" w:rsidR="00FC1126" w:rsidRPr="00C921DE" w:rsidRDefault="00FC1126" w:rsidP="00742201">
            <w:pPr>
              <w:spacing w:line="254" w:lineRule="auto"/>
              <w:rPr>
                <w:rFonts w:ascii="GHEA Grapalat" w:hAnsi="GHEA Grapalat"/>
                <w:b/>
                <w:sz w:val="18"/>
                <w:szCs w:val="18"/>
              </w:rPr>
            </w:pPr>
            <w:r w:rsidRPr="00C921DE">
              <w:rPr>
                <w:rFonts w:ascii="GHEA Grapalat" w:hAnsi="GHEA Grapalat"/>
                <w:b/>
                <w:sz w:val="18"/>
                <w:szCs w:val="18"/>
              </w:rPr>
              <w:t>ԸՆԴԱՄԵՆԸ</w:t>
            </w:r>
          </w:p>
        </w:tc>
        <w:tc>
          <w:tcPr>
            <w:tcW w:w="932" w:type="dxa"/>
            <w:vAlign w:val="bottom"/>
          </w:tcPr>
          <w:p w14:paraId="70C2D048" w14:textId="77777777" w:rsidR="00FC1126" w:rsidRPr="00C921DE" w:rsidRDefault="00FC1126" w:rsidP="00742201">
            <w:pPr>
              <w:spacing w:line="256" w:lineRule="auto"/>
              <w:jc w:val="right"/>
              <w:rPr>
                <w:rFonts w:ascii="GHEA Grapalat" w:hAnsi="GHEA Grapalat"/>
                <w:b/>
                <w:bCs/>
                <w:sz w:val="18"/>
                <w:szCs w:val="18"/>
              </w:rPr>
            </w:pPr>
            <w:r w:rsidRPr="00C921DE">
              <w:rPr>
                <w:rFonts w:ascii="GHEA Grapalat" w:hAnsi="GHEA Grapalat"/>
                <w:b/>
                <w:bCs/>
                <w:sz w:val="18"/>
                <w:szCs w:val="18"/>
              </w:rPr>
              <w:t>5287.6</w:t>
            </w:r>
          </w:p>
        </w:tc>
        <w:tc>
          <w:tcPr>
            <w:tcW w:w="992" w:type="dxa"/>
            <w:vAlign w:val="center"/>
          </w:tcPr>
          <w:p w14:paraId="7CBD5303" w14:textId="77777777" w:rsidR="00FC1126" w:rsidRPr="00C921DE" w:rsidRDefault="00FC1126" w:rsidP="00742201">
            <w:pPr>
              <w:jc w:val="right"/>
              <w:rPr>
                <w:rFonts w:ascii="GHEA Grapalat" w:hAnsi="GHEA Grapalat"/>
                <w:b/>
                <w:bCs/>
                <w:noProof w:val="0"/>
                <w:sz w:val="18"/>
                <w:szCs w:val="18"/>
                <w:lang w:val="en-US"/>
              </w:rPr>
            </w:pPr>
            <w:r w:rsidRPr="00C921DE">
              <w:rPr>
                <w:rFonts w:ascii="GHEA Grapalat" w:hAnsi="GHEA Grapalat"/>
                <w:b/>
                <w:bCs/>
                <w:sz w:val="18"/>
                <w:szCs w:val="18"/>
              </w:rPr>
              <w:t>5973.5</w:t>
            </w:r>
          </w:p>
        </w:tc>
        <w:tc>
          <w:tcPr>
            <w:tcW w:w="991" w:type="dxa"/>
            <w:vAlign w:val="center"/>
          </w:tcPr>
          <w:p w14:paraId="062699D9" w14:textId="77777777" w:rsidR="00FC1126" w:rsidRPr="00C921DE" w:rsidRDefault="00FC1126" w:rsidP="00742201">
            <w:pPr>
              <w:jc w:val="right"/>
              <w:rPr>
                <w:rFonts w:ascii="GHEA Grapalat" w:hAnsi="GHEA Grapalat"/>
                <w:b/>
                <w:bCs/>
                <w:sz w:val="18"/>
                <w:szCs w:val="18"/>
              </w:rPr>
            </w:pPr>
            <w:r w:rsidRPr="00C921DE">
              <w:rPr>
                <w:rFonts w:ascii="GHEA Grapalat" w:hAnsi="GHEA Grapalat"/>
                <w:b/>
                <w:bCs/>
                <w:sz w:val="18"/>
                <w:szCs w:val="18"/>
              </w:rPr>
              <w:t>5827.4</w:t>
            </w:r>
          </w:p>
        </w:tc>
        <w:tc>
          <w:tcPr>
            <w:tcW w:w="1591" w:type="dxa"/>
          </w:tcPr>
          <w:p w14:paraId="11E8C1C6" w14:textId="77777777" w:rsidR="00FC1126" w:rsidRPr="00C921DE" w:rsidRDefault="00FC1126" w:rsidP="00742201">
            <w:pPr>
              <w:jc w:val="right"/>
              <w:rPr>
                <w:rFonts w:ascii="GHEA Grapalat" w:hAnsi="GHEA Grapalat"/>
                <w:b/>
                <w:noProof w:val="0"/>
                <w:sz w:val="18"/>
                <w:szCs w:val="18"/>
                <w:lang w:val="en-US"/>
              </w:rPr>
            </w:pPr>
            <w:r w:rsidRPr="00C921DE">
              <w:rPr>
                <w:rFonts w:ascii="GHEA Grapalat" w:hAnsi="GHEA Grapalat"/>
                <w:b/>
                <w:sz w:val="18"/>
                <w:szCs w:val="18"/>
              </w:rPr>
              <w:t>97.6</w:t>
            </w:r>
          </w:p>
        </w:tc>
        <w:tc>
          <w:tcPr>
            <w:tcW w:w="1165" w:type="dxa"/>
          </w:tcPr>
          <w:p w14:paraId="295E754A" w14:textId="77777777" w:rsidR="00FC1126" w:rsidRPr="00C921DE" w:rsidRDefault="00FC1126" w:rsidP="00742201">
            <w:pPr>
              <w:jc w:val="right"/>
              <w:rPr>
                <w:rFonts w:ascii="GHEA Grapalat" w:hAnsi="GHEA Grapalat"/>
                <w:b/>
                <w:noProof w:val="0"/>
                <w:sz w:val="18"/>
                <w:szCs w:val="18"/>
                <w:lang w:val="en-US"/>
              </w:rPr>
            </w:pPr>
            <w:r w:rsidRPr="00C921DE">
              <w:rPr>
                <w:rFonts w:ascii="GHEA Grapalat" w:hAnsi="GHEA Grapalat"/>
                <w:b/>
                <w:sz w:val="18"/>
                <w:szCs w:val="18"/>
              </w:rPr>
              <w:t>110.2</w:t>
            </w:r>
          </w:p>
        </w:tc>
        <w:tc>
          <w:tcPr>
            <w:tcW w:w="1350" w:type="dxa"/>
          </w:tcPr>
          <w:p w14:paraId="27C65FBE" w14:textId="77777777" w:rsidR="00FC1126" w:rsidRPr="00C921DE" w:rsidRDefault="00FC1126" w:rsidP="00742201">
            <w:pPr>
              <w:jc w:val="right"/>
              <w:rPr>
                <w:rFonts w:ascii="GHEA Grapalat" w:hAnsi="GHEA Grapalat"/>
                <w:b/>
                <w:noProof w:val="0"/>
                <w:sz w:val="18"/>
                <w:szCs w:val="18"/>
                <w:lang w:val="en-US"/>
              </w:rPr>
            </w:pPr>
            <w:r w:rsidRPr="00C921DE">
              <w:rPr>
                <w:rFonts w:ascii="GHEA Grapalat" w:hAnsi="GHEA Grapalat"/>
                <w:b/>
                <w:sz w:val="18"/>
                <w:szCs w:val="18"/>
              </w:rPr>
              <w:t>539.9</w:t>
            </w:r>
          </w:p>
        </w:tc>
      </w:tr>
      <w:tr w:rsidR="00FC1126" w:rsidRPr="00C921DE" w14:paraId="01800752" w14:textId="77777777" w:rsidTr="00882819">
        <w:trPr>
          <w:trHeight w:val="166"/>
        </w:trPr>
        <w:tc>
          <w:tcPr>
            <w:tcW w:w="3036" w:type="dxa"/>
            <w:vAlign w:val="bottom"/>
          </w:tcPr>
          <w:p w14:paraId="269D265F"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Արագածոտնի մարզպետարան</w:t>
            </w:r>
          </w:p>
        </w:tc>
        <w:tc>
          <w:tcPr>
            <w:tcW w:w="932" w:type="dxa"/>
            <w:vAlign w:val="bottom"/>
          </w:tcPr>
          <w:p w14:paraId="75D5CB8C"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456.7</w:t>
            </w:r>
          </w:p>
        </w:tc>
        <w:tc>
          <w:tcPr>
            <w:tcW w:w="992" w:type="dxa"/>
          </w:tcPr>
          <w:p w14:paraId="25EEBB90"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527.4</w:t>
            </w:r>
          </w:p>
        </w:tc>
        <w:tc>
          <w:tcPr>
            <w:tcW w:w="991" w:type="dxa"/>
          </w:tcPr>
          <w:p w14:paraId="529E46F9"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522.5</w:t>
            </w:r>
          </w:p>
        </w:tc>
        <w:tc>
          <w:tcPr>
            <w:tcW w:w="1591" w:type="dxa"/>
          </w:tcPr>
          <w:p w14:paraId="1D15991F"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99.1</w:t>
            </w:r>
          </w:p>
        </w:tc>
        <w:tc>
          <w:tcPr>
            <w:tcW w:w="1165" w:type="dxa"/>
          </w:tcPr>
          <w:p w14:paraId="60A00BDB"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114.4</w:t>
            </w:r>
          </w:p>
        </w:tc>
        <w:tc>
          <w:tcPr>
            <w:tcW w:w="1350" w:type="dxa"/>
          </w:tcPr>
          <w:p w14:paraId="76F3C957"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65.7</w:t>
            </w:r>
          </w:p>
        </w:tc>
      </w:tr>
      <w:tr w:rsidR="00FC1126" w:rsidRPr="00C921DE" w14:paraId="030D55E2" w14:textId="77777777" w:rsidTr="00882819">
        <w:trPr>
          <w:trHeight w:val="166"/>
        </w:trPr>
        <w:tc>
          <w:tcPr>
            <w:tcW w:w="3036" w:type="dxa"/>
            <w:vAlign w:val="bottom"/>
          </w:tcPr>
          <w:p w14:paraId="27A579E1"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Արարատի մարզպետարան</w:t>
            </w:r>
          </w:p>
        </w:tc>
        <w:tc>
          <w:tcPr>
            <w:tcW w:w="932" w:type="dxa"/>
            <w:vAlign w:val="bottom"/>
          </w:tcPr>
          <w:p w14:paraId="12418336"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431.7</w:t>
            </w:r>
          </w:p>
        </w:tc>
        <w:tc>
          <w:tcPr>
            <w:tcW w:w="992" w:type="dxa"/>
          </w:tcPr>
          <w:p w14:paraId="76535EC1"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523.6</w:t>
            </w:r>
          </w:p>
        </w:tc>
        <w:tc>
          <w:tcPr>
            <w:tcW w:w="991" w:type="dxa"/>
          </w:tcPr>
          <w:p w14:paraId="77671A2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480.7</w:t>
            </w:r>
          </w:p>
        </w:tc>
        <w:tc>
          <w:tcPr>
            <w:tcW w:w="1591" w:type="dxa"/>
          </w:tcPr>
          <w:p w14:paraId="4962E19F"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91.8</w:t>
            </w:r>
          </w:p>
        </w:tc>
        <w:tc>
          <w:tcPr>
            <w:tcW w:w="1165" w:type="dxa"/>
          </w:tcPr>
          <w:p w14:paraId="7176650E"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111.3</w:t>
            </w:r>
          </w:p>
        </w:tc>
        <w:tc>
          <w:tcPr>
            <w:tcW w:w="1350" w:type="dxa"/>
          </w:tcPr>
          <w:p w14:paraId="660FB12F"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49.0</w:t>
            </w:r>
          </w:p>
        </w:tc>
      </w:tr>
      <w:tr w:rsidR="00FC1126" w:rsidRPr="00C921DE" w14:paraId="34F02071" w14:textId="77777777" w:rsidTr="00882819">
        <w:trPr>
          <w:trHeight w:val="166"/>
        </w:trPr>
        <w:tc>
          <w:tcPr>
            <w:tcW w:w="3036" w:type="dxa"/>
            <w:vAlign w:val="bottom"/>
          </w:tcPr>
          <w:p w14:paraId="31A4719B"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Արմավիրի մարզպետարան</w:t>
            </w:r>
          </w:p>
        </w:tc>
        <w:tc>
          <w:tcPr>
            <w:tcW w:w="932" w:type="dxa"/>
            <w:vAlign w:val="bottom"/>
          </w:tcPr>
          <w:p w14:paraId="0CA70B20"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498.5</w:t>
            </w:r>
          </w:p>
        </w:tc>
        <w:tc>
          <w:tcPr>
            <w:tcW w:w="992" w:type="dxa"/>
          </w:tcPr>
          <w:p w14:paraId="7F627D7F"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560.0</w:t>
            </w:r>
          </w:p>
        </w:tc>
        <w:tc>
          <w:tcPr>
            <w:tcW w:w="991" w:type="dxa"/>
          </w:tcPr>
          <w:p w14:paraId="00757E28"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558.4</w:t>
            </w:r>
          </w:p>
        </w:tc>
        <w:tc>
          <w:tcPr>
            <w:tcW w:w="1591" w:type="dxa"/>
          </w:tcPr>
          <w:p w14:paraId="36757250"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99.7</w:t>
            </w:r>
          </w:p>
        </w:tc>
        <w:tc>
          <w:tcPr>
            <w:tcW w:w="1165" w:type="dxa"/>
          </w:tcPr>
          <w:p w14:paraId="52AF403A"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112.0</w:t>
            </w:r>
          </w:p>
        </w:tc>
        <w:tc>
          <w:tcPr>
            <w:tcW w:w="1350" w:type="dxa"/>
          </w:tcPr>
          <w:p w14:paraId="283FDC38"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60.0</w:t>
            </w:r>
          </w:p>
        </w:tc>
      </w:tr>
      <w:tr w:rsidR="00FC1126" w:rsidRPr="00C921DE" w14:paraId="213D852C" w14:textId="77777777" w:rsidTr="00882819">
        <w:trPr>
          <w:trHeight w:val="166"/>
        </w:trPr>
        <w:tc>
          <w:tcPr>
            <w:tcW w:w="3036" w:type="dxa"/>
            <w:vAlign w:val="bottom"/>
          </w:tcPr>
          <w:p w14:paraId="7B196F8E"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Գեղարքունիքի մարզպետարան</w:t>
            </w:r>
          </w:p>
        </w:tc>
        <w:tc>
          <w:tcPr>
            <w:tcW w:w="932" w:type="dxa"/>
            <w:vAlign w:val="bottom"/>
          </w:tcPr>
          <w:p w14:paraId="19D998FE"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694.5</w:t>
            </w:r>
          </w:p>
        </w:tc>
        <w:tc>
          <w:tcPr>
            <w:tcW w:w="992" w:type="dxa"/>
          </w:tcPr>
          <w:p w14:paraId="4BCF0C3C"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741.4</w:t>
            </w:r>
          </w:p>
        </w:tc>
        <w:tc>
          <w:tcPr>
            <w:tcW w:w="991" w:type="dxa"/>
          </w:tcPr>
          <w:p w14:paraId="611529F8"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715.3</w:t>
            </w:r>
          </w:p>
        </w:tc>
        <w:tc>
          <w:tcPr>
            <w:tcW w:w="1591" w:type="dxa"/>
          </w:tcPr>
          <w:p w14:paraId="03F7F693"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96.5</w:t>
            </w:r>
          </w:p>
        </w:tc>
        <w:tc>
          <w:tcPr>
            <w:tcW w:w="1165" w:type="dxa"/>
          </w:tcPr>
          <w:p w14:paraId="5ABB12F5"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103.0</w:t>
            </w:r>
          </w:p>
        </w:tc>
        <w:tc>
          <w:tcPr>
            <w:tcW w:w="1350" w:type="dxa"/>
          </w:tcPr>
          <w:p w14:paraId="55D32BA0"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20.8</w:t>
            </w:r>
          </w:p>
        </w:tc>
      </w:tr>
      <w:tr w:rsidR="00FC1126" w:rsidRPr="00C921DE" w14:paraId="36563B0B" w14:textId="77777777" w:rsidTr="00882819">
        <w:trPr>
          <w:trHeight w:val="228"/>
        </w:trPr>
        <w:tc>
          <w:tcPr>
            <w:tcW w:w="3036" w:type="dxa"/>
            <w:vAlign w:val="bottom"/>
          </w:tcPr>
          <w:p w14:paraId="502ABFFA"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Լոռու մարզպետարան</w:t>
            </w:r>
          </w:p>
        </w:tc>
        <w:tc>
          <w:tcPr>
            <w:tcW w:w="932" w:type="dxa"/>
            <w:vAlign w:val="bottom"/>
          </w:tcPr>
          <w:p w14:paraId="1313AF3E"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581.1</w:t>
            </w:r>
          </w:p>
        </w:tc>
        <w:tc>
          <w:tcPr>
            <w:tcW w:w="992" w:type="dxa"/>
          </w:tcPr>
          <w:p w14:paraId="753693B2"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648.2</w:t>
            </w:r>
          </w:p>
        </w:tc>
        <w:tc>
          <w:tcPr>
            <w:tcW w:w="991" w:type="dxa"/>
          </w:tcPr>
          <w:p w14:paraId="49CCFA0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645.0</w:t>
            </w:r>
          </w:p>
        </w:tc>
        <w:tc>
          <w:tcPr>
            <w:tcW w:w="1591" w:type="dxa"/>
          </w:tcPr>
          <w:p w14:paraId="57A04A16"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99.5</w:t>
            </w:r>
          </w:p>
        </w:tc>
        <w:tc>
          <w:tcPr>
            <w:tcW w:w="1165" w:type="dxa"/>
          </w:tcPr>
          <w:p w14:paraId="3B4717A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111.0</w:t>
            </w:r>
          </w:p>
        </w:tc>
        <w:tc>
          <w:tcPr>
            <w:tcW w:w="1350" w:type="dxa"/>
          </w:tcPr>
          <w:p w14:paraId="3162CCC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63.9</w:t>
            </w:r>
          </w:p>
        </w:tc>
      </w:tr>
      <w:tr w:rsidR="00FC1126" w:rsidRPr="00C921DE" w14:paraId="4A329DF5" w14:textId="77777777" w:rsidTr="00882819">
        <w:trPr>
          <w:trHeight w:val="166"/>
        </w:trPr>
        <w:tc>
          <w:tcPr>
            <w:tcW w:w="3036" w:type="dxa"/>
            <w:vAlign w:val="bottom"/>
          </w:tcPr>
          <w:p w14:paraId="2523E58C"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Կոտայքի մարզպետարան</w:t>
            </w:r>
          </w:p>
        </w:tc>
        <w:tc>
          <w:tcPr>
            <w:tcW w:w="932" w:type="dxa"/>
            <w:vAlign w:val="bottom"/>
          </w:tcPr>
          <w:p w14:paraId="6D29E973"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534.3</w:t>
            </w:r>
          </w:p>
        </w:tc>
        <w:tc>
          <w:tcPr>
            <w:tcW w:w="992" w:type="dxa"/>
          </w:tcPr>
          <w:p w14:paraId="7BEDC67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613.2</w:t>
            </w:r>
          </w:p>
        </w:tc>
        <w:tc>
          <w:tcPr>
            <w:tcW w:w="991" w:type="dxa"/>
          </w:tcPr>
          <w:p w14:paraId="6BE33CB6"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599.4</w:t>
            </w:r>
          </w:p>
        </w:tc>
        <w:tc>
          <w:tcPr>
            <w:tcW w:w="1591" w:type="dxa"/>
          </w:tcPr>
          <w:p w14:paraId="079CF39A"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97.7</w:t>
            </w:r>
          </w:p>
        </w:tc>
        <w:tc>
          <w:tcPr>
            <w:tcW w:w="1165" w:type="dxa"/>
          </w:tcPr>
          <w:p w14:paraId="2B3A1A90"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112.2</w:t>
            </w:r>
          </w:p>
        </w:tc>
        <w:tc>
          <w:tcPr>
            <w:tcW w:w="1350" w:type="dxa"/>
          </w:tcPr>
          <w:p w14:paraId="6F19C1F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65.1</w:t>
            </w:r>
          </w:p>
        </w:tc>
      </w:tr>
      <w:tr w:rsidR="00FC1126" w:rsidRPr="00C921DE" w14:paraId="10D1B90E" w14:textId="77777777" w:rsidTr="00882819">
        <w:trPr>
          <w:trHeight w:val="166"/>
        </w:trPr>
        <w:tc>
          <w:tcPr>
            <w:tcW w:w="3036" w:type="dxa"/>
            <w:vAlign w:val="bottom"/>
          </w:tcPr>
          <w:p w14:paraId="12E2A4A3"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Շիրակի մարզպետարան</w:t>
            </w:r>
          </w:p>
        </w:tc>
        <w:tc>
          <w:tcPr>
            <w:tcW w:w="932" w:type="dxa"/>
            <w:vAlign w:val="bottom"/>
          </w:tcPr>
          <w:p w14:paraId="1BD2B285"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624.8</w:t>
            </w:r>
          </w:p>
        </w:tc>
        <w:tc>
          <w:tcPr>
            <w:tcW w:w="992" w:type="dxa"/>
          </w:tcPr>
          <w:p w14:paraId="7D175FB8"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700.8</w:t>
            </w:r>
          </w:p>
        </w:tc>
        <w:tc>
          <w:tcPr>
            <w:tcW w:w="991" w:type="dxa"/>
          </w:tcPr>
          <w:p w14:paraId="04C01A05"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697.4</w:t>
            </w:r>
          </w:p>
        </w:tc>
        <w:tc>
          <w:tcPr>
            <w:tcW w:w="1591" w:type="dxa"/>
          </w:tcPr>
          <w:p w14:paraId="58B2F52D"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99.5</w:t>
            </w:r>
          </w:p>
        </w:tc>
        <w:tc>
          <w:tcPr>
            <w:tcW w:w="1165" w:type="dxa"/>
          </w:tcPr>
          <w:p w14:paraId="6474A480"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111.6</w:t>
            </w:r>
          </w:p>
        </w:tc>
        <w:tc>
          <w:tcPr>
            <w:tcW w:w="1350" w:type="dxa"/>
          </w:tcPr>
          <w:p w14:paraId="69D7A49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72.6</w:t>
            </w:r>
          </w:p>
        </w:tc>
      </w:tr>
      <w:tr w:rsidR="00FC1126" w:rsidRPr="00C921DE" w14:paraId="40E0ADC8" w14:textId="77777777" w:rsidTr="00882819">
        <w:trPr>
          <w:trHeight w:val="166"/>
        </w:trPr>
        <w:tc>
          <w:tcPr>
            <w:tcW w:w="3036" w:type="dxa"/>
            <w:vAlign w:val="bottom"/>
          </w:tcPr>
          <w:p w14:paraId="58B50827"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Սյունիքի մարզպետարան</w:t>
            </w:r>
          </w:p>
        </w:tc>
        <w:tc>
          <w:tcPr>
            <w:tcW w:w="932" w:type="dxa"/>
            <w:vAlign w:val="bottom"/>
          </w:tcPr>
          <w:p w14:paraId="3406B79B"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549.0</w:t>
            </w:r>
          </w:p>
        </w:tc>
        <w:tc>
          <w:tcPr>
            <w:tcW w:w="992" w:type="dxa"/>
          </w:tcPr>
          <w:p w14:paraId="00BE7D52"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615.0</w:t>
            </w:r>
          </w:p>
        </w:tc>
        <w:tc>
          <w:tcPr>
            <w:tcW w:w="991" w:type="dxa"/>
          </w:tcPr>
          <w:p w14:paraId="26DA5542"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581.6</w:t>
            </w:r>
          </w:p>
        </w:tc>
        <w:tc>
          <w:tcPr>
            <w:tcW w:w="1591" w:type="dxa"/>
          </w:tcPr>
          <w:p w14:paraId="21058DBC"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94.6</w:t>
            </w:r>
          </w:p>
        </w:tc>
        <w:tc>
          <w:tcPr>
            <w:tcW w:w="1165" w:type="dxa"/>
          </w:tcPr>
          <w:p w14:paraId="6D1B3295"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105.9</w:t>
            </w:r>
          </w:p>
        </w:tc>
        <w:tc>
          <w:tcPr>
            <w:tcW w:w="1350" w:type="dxa"/>
          </w:tcPr>
          <w:p w14:paraId="4770790C"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32.6</w:t>
            </w:r>
          </w:p>
        </w:tc>
      </w:tr>
      <w:tr w:rsidR="00FC1126" w:rsidRPr="00C921DE" w14:paraId="79FBE53B" w14:textId="77777777" w:rsidTr="00882819">
        <w:trPr>
          <w:trHeight w:val="166"/>
        </w:trPr>
        <w:tc>
          <w:tcPr>
            <w:tcW w:w="3036" w:type="dxa"/>
            <w:vAlign w:val="bottom"/>
          </w:tcPr>
          <w:p w14:paraId="0677A521"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Վայոց ձորի մարզպետարան</w:t>
            </w:r>
          </w:p>
        </w:tc>
        <w:tc>
          <w:tcPr>
            <w:tcW w:w="932" w:type="dxa"/>
            <w:vAlign w:val="bottom"/>
          </w:tcPr>
          <w:p w14:paraId="3706A3CD"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409.9</w:t>
            </w:r>
          </w:p>
        </w:tc>
        <w:tc>
          <w:tcPr>
            <w:tcW w:w="992" w:type="dxa"/>
          </w:tcPr>
          <w:p w14:paraId="14C6CDE3"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470.7</w:t>
            </w:r>
          </w:p>
        </w:tc>
        <w:tc>
          <w:tcPr>
            <w:tcW w:w="991" w:type="dxa"/>
          </w:tcPr>
          <w:p w14:paraId="29D52BD9"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462.2</w:t>
            </w:r>
          </w:p>
        </w:tc>
        <w:tc>
          <w:tcPr>
            <w:tcW w:w="1591" w:type="dxa"/>
          </w:tcPr>
          <w:p w14:paraId="71FFE80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98.2</w:t>
            </w:r>
          </w:p>
        </w:tc>
        <w:tc>
          <w:tcPr>
            <w:tcW w:w="1165" w:type="dxa"/>
          </w:tcPr>
          <w:p w14:paraId="0174C689"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112.8</w:t>
            </w:r>
          </w:p>
        </w:tc>
        <w:tc>
          <w:tcPr>
            <w:tcW w:w="1350" w:type="dxa"/>
          </w:tcPr>
          <w:p w14:paraId="77F12A97"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52.3</w:t>
            </w:r>
          </w:p>
        </w:tc>
      </w:tr>
      <w:tr w:rsidR="00FC1126" w:rsidRPr="00C921DE" w14:paraId="5349074E" w14:textId="77777777" w:rsidTr="00882819">
        <w:trPr>
          <w:trHeight w:val="157"/>
        </w:trPr>
        <w:tc>
          <w:tcPr>
            <w:tcW w:w="3036" w:type="dxa"/>
            <w:vAlign w:val="bottom"/>
          </w:tcPr>
          <w:p w14:paraId="4F95EFE9" w14:textId="77777777" w:rsidR="00FC1126" w:rsidRPr="00C921DE" w:rsidRDefault="00FC1126" w:rsidP="00742201">
            <w:pPr>
              <w:spacing w:line="254" w:lineRule="auto"/>
              <w:rPr>
                <w:rFonts w:ascii="GHEA Grapalat" w:hAnsi="GHEA Grapalat"/>
                <w:sz w:val="18"/>
                <w:szCs w:val="18"/>
                <w:shd w:val="clear" w:color="auto" w:fill="FFFFFF"/>
              </w:rPr>
            </w:pPr>
            <w:r w:rsidRPr="00C921DE">
              <w:rPr>
                <w:rFonts w:ascii="GHEA Grapalat" w:hAnsi="GHEA Grapalat"/>
                <w:sz w:val="18"/>
                <w:szCs w:val="18"/>
                <w:shd w:val="clear" w:color="auto" w:fill="FFFFFF"/>
              </w:rPr>
              <w:t>Տավուշի մարզպետարան</w:t>
            </w:r>
          </w:p>
        </w:tc>
        <w:tc>
          <w:tcPr>
            <w:tcW w:w="932" w:type="dxa"/>
            <w:vAlign w:val="bottom"/>
          </w:tcPr>
          <w:p w14:paraId="462191A4" w14:textId="77777777" w:rsidR="00FC1126" w:rsidRPr="00C921DE" w:rsidRDefault="00FC1126" w:rsidP="00742201">
            <w:pPr>
              <w:spacing w:line="256" w:lineRule="auto"/>
              <w:jc w:val="right"/>
              <w:rPr>
                <w:rFonts w:ascii="GHEA Grapalat" w:hAnsi="GHEA Grapalat"/>
                <w:sz w:val="18"/>
                <w:szCs w:val="18"/>
              </w:rPr>
            </w:pPr>
            <w:r w:rsidRPr="00C921DE">
              <w:rPr>
                <w:rFonts w:ascii="GHEA Grapalat" w:hAnsi="GHEA Grapalat"/>
                <w:sz w:val="18"/>
                <w:szCs w:val="18"/>
              </w:rPr>
              <w:t>507.2</w:t>
            </w:r>
          </w:p>
        </w:tc>
        <w:tc>
          <w:tcPr>
            <w:tcW w:w="992" w:type="dxa"/>
          </w:tcPr>
          <w:p w14:paraId="10DD0BCF"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573.1</w:t>
            </w:r>
          </w:p>
        </w:tc>
        <w:tc>
          <w:tcPr>
            <w:tcW w:w="991" w:type="dxa"/>
          </w:tcPr>
          <w:p w14:paraId="0B1AC5C4"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565.1</w:t>
            </w:r>
          </w:p>
        </w:tc>
        <w:tc>
          <w:tcPr>
            <w:tcW w:w="1591" w:type="dxa"/>
          </w:tcPr>
          <w:p w14:paraId="1D21A135"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98.6</w:t>
            </w:r>
          </w:p>
        </w:tc>
        <w:tc>
          <w:tcPr>
            <w:tcW w:w="1165" w:type="dxa"/>
          </w:tcPr>
          <w:p w14:paraId="2E324027"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111.4</w:t>
            </w:r>
          </w:p>
        </w:tc>
        <w:tc>
          <w:tcPr>
            <w:tcW w:w="1350" w:type="dxa"/>
          </w:tcPr>
          <w:p w14:paraId="58D3E019" w14:textId="77777777" w:rsidR="00FC1126" w:rsidRPr="00C921DE" w:rsidRDefault="00FC1126" w:rsidP="00742201">
            <w:pPr>
              <w:jc w:val="right"/>
              <w:rPr>
                <w:rFonts w:ascii="GHEA Grapalat" w:hAnsi="GHEA Grapalat"/>
                <w:sz w:val="18"/>
                <w:szCs w:val="18"/>
              </w:rPr>
            </w:pPr>
            <w:r w:rsidRPr="00C921DE">
              <w:rPr>
                <w:rFonts w:ascii="GHEA Grapalat" w:hAnsi="GHEA Grapalat"/>
                <w:sz w:val="18"/>
                <w:szCs w:val="18"/>
              </w:rPr>
              <w:t>57.9</w:t>
            </w:r>
          </w:p>
        </w:tc>
      </w:tr>
    </w:tbl>
    <w:p w14:paraId="33AA2E94" w14:textId="77777777" w:rsidR="00FC1126" w:rsidRPr="00C921DE" w:rsidRDefault="00FC1126" w:rsidP="00882819">
      <w:pPr>
        <w:autoSpaceDE w:val="0"/>
        <w:autoSpaceDN w:val="0"/>
        <w:adjustRightInd w:val="0"/>
        <w:ind w:firstLine="567"/>
        <w:jc w:val="both"/>
        <w:rPr>
          <w:rFonts w:ascii="GHEA Grapalat" w:hAnsi="GHEA Grapalat" w:cs="GHEA Grapalat"/>
          <w:sz w:val="22"/>
          <w:szCs w:val="22"/>
        </w:rPr>
      </w:pPr>
    </w:p>
    <w:p w14:paraId="05A5A182" w14:textId="0CF7279F" w:rsidR="001C411D" w:rsidRPr="00C921DE" w:rsidRDefault="001C411D" w:rsidP="00FC1126">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i/>
          <w:sz w:val="22"/>
          <w:szCs w:val="22"/>
          <w:u w:val="single"/>
        </w:rPr>
        <w:t xml:space="preserve">ՀՀ </w:t>
      </w:r>
      <w:r w:rsidRPr="00C921DE">
        <w:rPr>
          <w:rFonts w:ascii="GHEA Grapalat" w:hAnsi="GHEA Grapalat"/>
          <w:i/>
          <w:sz w:val="22"/>
          <w:szCs w:val="22"/>
          <w:u w:val="single"/>
        </w:rPr>
        <w:t>կառավարության</w:t>
      </w:r>
      <w:r w:rsidRPr="00C921DE">
        <w:rPr>
          <w:rFonts w:ascii="GHEA Grapalat" w:hAnsi="GHEA Grapalat" w:cs="GHEA Grapalat"/>
          <w:sz w:val="22"/>
          <w:szCs w:val="22"/>
        </w:rPr>
        <w:t xml:space="preserve"> պատասխանատվությամբ նախատեսված «ՀՀ կառա</w:t>
      </w:r>
      <w:r w:rsidRPr="00C921DE">
        <w:rPr>
          <w:rFonts w:ascii="GHEA Grapalat" w:hAnsi="GHEA Grapalat" w:cs="GHEA Grapalat"/>
          <w:sz w:val="22"/>
          <w:szCs w:val="22"/>
        </w:rPr>
        <w:softHyphen/>
        <w:t>վա</w:t>
      </w:r>
      <w:r w:rsidRPr="00C921DE">
        <w:rPr>
          <w:rFonts w:ascii="GHEA Grapalat" w:hAnsi="GHEA Grapalat" w:cs="GHEA Grapalat"/>
          <w:sz w:val="22"/>
          <w:szCs w:val="22"/>
        </w:rPr>
        <w:softHyphen/>
        <w:t>րության պահուստային ֆոնդ», «Արտասահ</w:t>
      </w:r>
      <w:r w:rsidRPr="00C921DE">
        <w:rPr>
          <w:rFonts w:ascii="GHEA Grapalat" w:hAnsi="GHEA Grapalat" w:cs="GHEA Grapalat"/>
          <w:sz w:val="22"/>
          <w:szCs w:val="22"/>
        </w:rPr>
        <w:softHyphen/>
        <w:t>մանյան պատվիրա</w:t>
      </w:r>
      <w:r w:rsidRPr="00C921DE">
        <w:rPr>
          <w:rFonts w:ascii="GHEA Grapalat" w:hAnsi="GHEA Grapalat" w:cs="GHEA Grapalat"/>
          <w:sz w:val="22"/>
          <w:szCs w:val="22"/>
        </w:rPr>
        <w:softHyphen/>
        <w:t>կու</w:t>
      </w:r>
      <w:r w:rsidRPr="00C921DE">
        <w:rPr>
          <w:rFonts w:ascii="GHEA Grapalat" w:hAnsi="GHEA Grapalat" w:cs="GHEA Grapalat"/>
          <w:sz w:val="22"/>
          <w:szCs w:val="22"/>
        </w:rPr>
        <w:softHyphen/>
        <w:t>թյունների ընդունելությունների և պաշտոնական գործուղումների կազմակերպում» և «Հա</w:t>
      </w:r>
      <w:r w:rsidRPr="00C921DE">
        <w:rPr>
          <w:rFonts w:ascii="GHEA Grapalat" w:hAnsi="GHEA Grapalat" w:cs="GHEA Grapalat"/>
          <w:sz w:val="22"/>
          <w:szCs w:val="22"/>
        </w:rPr>
        <w:softHyphen/>
        <w:t>սարակության և պե</w:t>
      </w:r>
      <w:r w:rsidRPr="00C921DE">
        <w:rPr>
          <w:rFonts w:ascii="GHEA Grapalat" w:hAnsi="GHEA Grapalat" w:cs="GHEA Grapalat"/>
          <w:sz w:val="22"/>
          <w:szCs w:val="22"/>
        </w:rPr>
        <w:softHyphen/>
        <w:t>տության հանդեպ հատուկ ծառա</w:t>
      </w:r>
      <w:r w:rsidRPr="00C921DE">
        <w:rPr>
          <w:rFonts w:ascii="GHEA Grapalat" w:hAnsi="GHEA Grapalat" w:cs="GHEA Grapalat"/>
          <w:sz w:val="22"/>
          <w:szCs w:val="22"/>
        </w:rPr>
        <w:softHyphen/>
        <w:t>յություններ ունեցած քա</w:t>
      </w:r>
      <w:r w:rsidRPr="00C921DE">
        <w:rPr>
          <w:rFonts w:ascii="GHEA Grapalat" w:hAnsi="GHEA Grapalat" w:cs="GHEA Grapalat"/>
          <w:sz w:val="22"/>
          <w:szCs w:val="22"/>
        </w:rPr>
        <w:softHyphen/>
        <w:t>ղա</w:t>
      </w:r>
      <w:r w:rsidRPr="00C921DE">
        <w:rPr>
          <w:rFonts w:ascii="GHEA Grapalat" w:hAnsi="GHEA Grapalat" w:cs="GHEA Grapalat"/>
          <w:sz w:val="22"/>
          <w:szCs w:val="22"/>
        </w:rPr>
        <w:softHyphen/>
        <w:t>քա</w:t>
      </w:r>
      <w:r w:rsidRPr="00C921DE">
        <w:rPr>
          <w:rFonts w:ascii="GHEA Grapalat" w:hAnsi="GHEA Grapalat" w:cs="GHEA Grapalat"/>
          <w:sz w:val="22"/>
          <w:szCs w:val="22"/>
        </w:rPr>
        <w:softHyphen/>
        <w:t>ցի</w:t>
      </w:r>
      <w:r w:rsidRPr="00C921DE">
        <w:rPr>
          <w:rFonts w:ascii="GHEA Grapalat" w:hAnsi="GHEA Grapalat" w:cs="GHEA Grapalat"/>
          <w:sz w:val="22"/>
          <w:szCs w:val="22"/>
        </w:rPr>
        <w:softHyphen/>
        <w:t>նե</w:t>
      </w:r>
      <w:r w:rsidRPr="00C921DE">
        <w:rPr>
          <w:rFonts w:ascii="GHEA Grapalat" w:hAnsi="GHEA Grapalat" w:cs="GHEA Grapalat"/>
          <w:sz w:val="22"/>
          <w:szCs w:val="22"/>
        </w:rPr>
        <w:softHyphen/>
        <w:t xml:space="preserve">րի մահվան դեպքում արարողակարգային միջոցառումների </w:t>
      </w:r>
      <w:r w:rsidRPr="00C921DE">
        <w:rPr>
          <w:rFonts w:ascii="GHEA Grapalat" w:hAnsi="GHEA Grapalat" w:cs="GHEA Grapalat"/>
          <w:sz w:val="22"/>
          <w:szCs w:val="22"/>
        </w:rPr>
        <w:lastRenderedPageBreak/>
        <w:t>կազմակերպում» ծրագրերի գծով ՀՀ 202</w:t>
      </w:r>
      <w:r w:rsidR="0081717B" w:rsidRPr="00C921DE">
        <w:rPr>
          <w:rFonts w:ascii="GHEA Grapalat" w:hAnsi="GHEA Grapalat" w:cs="GHEA Grapalat"/>
          <w:sz w:val="22"/>
          <w:szCs w:val="22"/>
          <w:lang w:val="en-US"/>
        </w:rPr>
        <w:t>3</w:t>
      </w:r>
      <w:r w:rsidRPr="00C921DE">
        <w:rPr>
          <w:rFonts w:ascii="GHEA Grapalat" w:hAnsi="GHEA Grapalat" w:cs="GHEA Grapalat"/>
          <w:sz w:val="22"/>
          <w:szCs w:val="22"/>
        </w:rPr>
        <w:t xml:space="preserve"> թվականի պետական բյուջեի մասին ՀՀ օրենքով նախատեսվել էին ընդհանուր առմամբ շուրջ </w:t>
      </w:r>
      <w:r w:rsidR="0081717B" w:rsidRPr="00C921DE">
        <w:rPr>
          <w:rFonts w:ascii="GHEA Grapalat" w:hAnsi="GHEA Grapalat" w:cs="GHEA Grapalat"/>
          <w:sz w:val="22"/>
          <w:szCs w:val="22"/>
          <w:lang w:val="en-US"/>
        </w:rPr>
        <w:t>36.8</w:t>
      </w:r>
      <w:r w:rsidRPr="00C921DE">
        <w:rPr>
          <w:rFonts w:ascii="GHEA Grapalat" w:hAnsi="GHEA Grapalat" w:cs="GHEA Grapalat"/>
          <w:sz w:val="22"/>
          <w:szCs w:val="22"/>
        </w:rPr>
        <w:t xml:space="preserve"> մլրդ դրամի միջոցներ: </w:t>
      </w:r>
      <w:r w:rsidR="00166616" w:rsidRPr="00C921DE">
        <w:rPr>
          <w:rFonts w:ascii="GHEA Grapalat" w:hAnsi="GHEA Grapalat" w:cs="GHEA Grapalat"/>
          <w:sz w:val="22"/>
          <w:szCs w:val="22"/>
        </w:rPr>
        <w:t>Կառավարությ</w:t>
      </w:r>
      <w:r w:rsidRPr="00C921DE">
        <w:rPr>
          <w:rFonts w:ascii="GHEA Grapalat" w:hAnsi="GHEA Grapalat" w:cs="GHEA Grapalat"/>
          <w:sz w:val="22"/>
          <w:szCs w:val="22"/>
        </w:rPr>
        <w:t>ան լիազորությունների շրջանակներում կատարված փոփոխությունների և վերաբաշխումների արդյունքում նշված ծրագրերին հատկացված միջոցները սահ</w:t>
      </w:r>
      <w:r w:rsidR="0081717B" w:rsidRPr="00C921DE">
        <w:rPr>
          <w:rFonts w:ascii="GHEA Grapalat" w:hAnsi="GHEA Grapalat" w:cs="GHEA Grapalat"/>
          <w:sz w:val="22"/>
          <w:szCs w:val="22"/>
        </w:rPr>
        <w:t>մանված կարգով ուղղվել են ՀՀ 2023</w:t>
      </w:r>
      <w:r w:rsidRPr="00C921DE">
        <w:rPr>
          <w:rFonts w:ascii="GHEA Grapalat" w:hAnsi="GHEA Grapalat" w:cs="GHEA Grapalat"/>
          <w:sz w:val="22"/>
          <w:szCs w:val="22"/>
        </w:rPr>
        <w:t xml:space="preserve"> թվականի պետական բյուջեով նախատեսված ելքերի լրացուցիչ ֆինանսավորմանը՝ հատկացումների չափով ավելացնելով համապատասխան ծրագրերի և միջոցառումների գծով նախատեսված գումարները, ինչպես նաև բյուջեով չնախատեսված ելքերի ֆինանսավորմանը՝ բյուջետային ծախսերի ծրագրային դասակարգման մեջ ավելացնելով նոր ծրագրեր և/կամ միջոցառումներ՝ ելնելով այդ ելքերի ուղղություններից, նպատակներից, ակնկալվող արդյունքներից և դրանց համար պատասխանատու</w:t>
      </w:r>
      <w:r w:rsidR="006537E0" w:rsidRPr="00C921DE">
        <w:rPr>
          <w:rFonts w:ascii="GHEA Grapalat" w:hAnsi="GHEA Grapalat" w:cs="GHEA Grapalat"/>
          <w:sz w:val="22"/>
          <w:szCs w:val="22"/>
          <w:lang w:val="en-US"/>
        </w:rPr>
        <w:t xml:space="preserve"> և/կամ կատարող</w:t>
      </w:r>
      <w:r w:rsidRPr="00C921DE">
        <w:rPr>
          <w:rFonts w:ascii="GHEA Grapalat" w:hAnsi="GHEA Grapalat" w:cs="GHEA Grapalat"/>
          <w:sz w:val="22"/>
          <w:szCs w:val="22"/>
        </w:rPr>
        <w:t xml:space="preserve"> պետական մարմիններից: </w:t>
      </w:r>
      <w:r w:rsidR="00166616" w:rsidRPr="00C921DE">
        <w:rPr>
          <w:rFonts w:ascii="GHEA Grapalat" w:hAnsi="GHEA Grapalat" w:cs="GHEA Grapalat"/>
          <w:sz w:val="22"/>
          <w:szCs w:val="22"/>
        </w:rPr>
        <w:t>Կառավարությ</w:t>
      </w:r>
      <w:r w:rsidRPr="00C921DE">
        <w:rPr>
          <w:rFonts w:ascii="GHEA Grapalat" w:hAnsi="GHEA Grapalat" w:cs="GHEA Grapalat"/>
          <w:sz w:val="22"/>
          <w:szCs w:val="22"/>
        </w:rPr>
        <w:t>ան լիազորությունների շրջանակներում կատարված փոփոխությունների և վերոհիշյալ սկզբունքով կատարվ</w:t>
      </w:r>
      <w:r w:rsidR="00166616" w:rsidRPr="00C921DE">
        <w:rPr>
          <w:rFonts w:ascii="GHEA Grapalat" w:hAnsi="GHEA Grapalat" w:cs="GHEA Grapalat"/>
          <w:sz w:val="22"/>
          <w:szCs w:val="22"/>
        </w:rPr>
        <w:t>ած վերաբաշխումների արդյունքում Կառավարությ</w:t>
      </w:r>
      <w:r w:rsidRPr="00C921DE">
        <w:rPr>
          <w:rFonts w:ascii="GHEA Grapalat" w:hAnsi="GHEA Grapalat" w:cs="GHEA Grapalat"/>
          <w:sz w:val="22"/>
          <w:szCs w:val="22"/>
        </w:rPr>
        <w:t xml:space="preserve">ան պատասխանատվության ներքո գտնվող վերոհիշյալ ծրագրերի շրջանակներում չօգտագործված միջոցները կազմել են շուրջ </w:t>
      </w:r>
      <w:r w:rsidR="0081717B" w:rsidRPr="00C921DE">
        <w:rPr>
          <w:rFonts w:ascii="GHEA Grapalat" w:hAnsi="GHEA Grapalat" w:cs="GHEA Grapalat"/>
          <w:sz w:val="22"/>
          <w:szCs w:val="22"/>
          <w:lang w:val="en-US"/>
        </w:rPr>
        <w:t>12.7</w:t>
      </w:r>
      <w:r w:rsidRPr="00C921DE">
        <w:rPr>
          <w:rFonts w:ascii="GHEA Grapalat" w:hAnsi="GHEA Grapalat" w:cs="GHEA Grapalat"/>
          <w:sz w:val="22"/>
          <w:szCs w:val="22"/>
        </w:rPr>
        <w:t xml:space="preserve"> մլրդ դրամ: Մասնավորապես՝ «ՀՀ կառա</w:t>
      </w:r>
      <w:r w:rsidRPr="00C921DE">
        <w:rPr>
          <w:rFonts w:ascii="GHEA Grapalat" w:hAnsi="GHEA Grapalat" w:cs="GHEA Grapalat"/>
          <w:sz w:val="22"/>
          <w:szCs w:val="22"/>
        </w:rPr>
        <w:softHyphen/>
        <w:t>վա</w:t>
      </w:r>
      <w:r w:rsidRPr="00C921DE">
        <w:rPr>
          <w:rFonts w:ascii="GHEA Grapalat" w:hAnsi="GHEA Grapalat" w:cs="GHEA Grapalat"/>
          <w:sz w:val="22"/>
          <w:szCs w:val="22"/>
        </w:rPr>
        <w:softHyphen/>
        <w:t>րության պահուստային ֆոնդ» ծրագրին</w:t>
      </w:r>
      <w:r w:rsidRPr="00C921DE">
        <w:rPr>
          <w:rStyle w:val="FootnoteReference"/>
          <w:rFonts w:ascii="GHEA Grapalat" w:hAnsi="GHEA Grapalat"/>
          <w:sz w:val="22"/>
          <w:szCs w:val="22"/>
        </w:rPr>
        <w:footnoteReference w:id="40"/>
      </w:r>
      <w:r w:rsidRPr="00C921DE">
        <w:rPr>
          <w:rFonts w:ascii="GHEA Grapalat" w:hAnsi="GHEA Grapalat" w:cs="GHEA Grapalat"/>
          <w:sz w:val="22"/>
          <w:szCs w:val="22"/>
        </w:rPr>
        <w:t xml:space="preserve"> հատկացված միջոցներից չի օգտագործվել </w:t>
      </w:r>
      <w:r w:rsidR="0081717B" w:rsidRPr="00C921DE">
        <w:rPr>
          <w:rFonts w:ascii="GHEA Grapalat" w:hAnsi="GHEA Grapalat" w:cs="GHEA Grapalat"/>
          <w:sz w:val="22"/>
          <w:szCs w:val="22"/>
          <w:lang w:val="en-US"/>
        </w:rPr>
        <w:t>1</w:t>
      </w:r>
      <w:r w:rsidRPr="00C921DE">
        <w:rPr>
          <w:rFonts w:ascii="GHEA Grapalat" w:hAnsi="GHEA Grapalat" w:cs="GHEA Grapalat"/>
          <w:sz w:val="22"/>
          <w:szCs w:val="22"/>
          <w:lang w:val="en-US"/>
        </w:rPr>
        <w:t>2</w:t>
      </w:r>
      <w:r w:rsidR="0081717B" w:rsidRPr="00C921DE">
        <w:rPr>
          <w:rFonts w:ascii="GHEA Grapalat" w:hAnsi="GHEA Grapalat" w:cs="GHEA Grapalat"/>
          <w:sz w:val="22"/>
          <w:szCs w:val="22"/>
          <w:lang w:val="en-US"/>
        </w:rPr>
        <w:t>.6</w:t>
      </w:r>
      <w:r w:rsidR="0081717B" w:rsidRPr="00C921DE">
        <w:rPr>
          <w:rFonts w:ascii="Calibri" w:hAnsi="Calibri" w:cs="Calibri"/>
          <w:sz w:val="22"/>
          <w:szCs w:val="22"/>
          <w:lang w:val="en-US"/>
        </w:rPr>
        <w:t> </w:t>
      </w:r>
      <w:r w:rsidRPr="00C921DE">
        <w:rPr>
          <w:rFonts w:ascii="GHEA Grapalat" w:hAnsi="GHEA Grapalat" w:cs="GHEA Grapalat"/>
          <w:sz w:val="22"/>
          <w:szCs w:val="22"/>
        </w:rPr>
        <w:t>մլրդ դրամը, «Արտասահ</w:t>
      </w:r>
      <w:r w:rsidRPr="00C921DE">
        <w:rPr>
          <w:rFonts w:ascii="GHEA Grapalat" w:hAnsi="GHEA Grapalat" w:cs="GHEA Grapalat"/>
          <w:sz w:val="22"/>
          <w:szCs w:val="22"/>
        </w:rPr>
        <w:softHyphen/>
        <w:t xml:space="preserve">մանյան պատվիրակությունների ընդունելությունների և պաշտոնական գործուղումների կազմակերպում» ծրագրին հատկացված միջոցներից՝ </w:t>
      </w:r>
      <w:r w:rsidR="00C36D8A" w:rsidRPr="00C921DE">
        <w:rPr>
          <w:rFonts w:ascii="GHEA Grapalat" w:hAnsi="GHEA Grapalat" w:cs="GHEA Grapalat"/>
          <w:sz w:val="22"/>
          <w:szCs w:val="22"/>
          <w:lang w:val="en-US"/>
        </w:rPr>
        <w:t>4.6</w:t>
      </w:r>
      <w:r w:rsidRPr="00C921DE">
        <w:rPr>
          <w:rFonts w:ascii="GHEA Grapalat" w:hAnsi="GHEA Grapalat" w:cs="GHEA Grapalat"/>
          <w:sz w:val="22"/>
          <w:szCs w:val="22"/>
        </w:rPr>
        <w:t xml:space="preserve"> մլն դրամը, «Հա</w:t>
      </w:r>
      <w:r w:rsidRPr="00C921DE">
        <w:rPr>
          <w:rFonts w:ascii="GHEA Grapalat" w:hAnsi="GHEA Grapalat" w:cs="GHEA Grapalat"/>
          <w:sz w:val="22"/>
          <w:szCs w:val="22"/>
        </w:rPr>
        <w:softHyphen/>
        <w:t>սարակության և պե</w:t>
      </w:r>
      <w:r w:rsidRPr="00C921DE">
        <w:rPr>
          <w:rFonts w:ascii="GHEA Grapalat" w:hAnsi="GHEA Grapalat" w:cs="GHEA Grapalat"/>
          <w:sz w:val="22"/>
          <w:szCs w:val="22"/>
        </w:rPr>
        <w:softHyphen/>
        <w:t>տության հանդեպ հատուկ ծառա</w:t>
      </w:r>
      <w:r w:rsidRPr="00C921DE">
        <w:rPr>
          <w:rFonts w:ascii="GHEA Grapalat" w:hAnsi="GHEA Grapalat" w:cs="GHEA Grapalat"/>
          <w:sz w:val="22"/>
          <w:szCs w:val="22"/>
        </w:rPr>
        <w:softHyphen/>
        <w:t>յություններ ունեցած քա</w:t>
      </w:r>
      <w:r w:rsidRPr="00C921DE">
        <w:rPr>
          <w:rFonts w:ascii="GHEA Grapalat" w:hAnsi="GHEA Grapalat" w:cs="GHEA Grapalat"/>
          <w:sz w:val="22"/>
          <w:szCs w:val="22"/>
        </w:rPr>
        <w:softHyphen/>
        <w:t>ղա</w:t>
      </w:r>
      <w:r w:rsidRPr="00C921DE">
        <w:rPr>
          <w:rFonts w:ascii="GHEA Grapalat" w:hAnsi="GHEA Grapalat" w:cs="GHEA Grapalat"/>
          <w:sz w:val="22"/>
          <w:szCs w:val="22"/>
        </w:rPr>
        <w:softHyphen/>
        <w:t>քա</w:t>
      </w:r>
      <w:r w:rsidRPr="00C921DE">
        <w:rPr>
          <w:rFonts w:ascii="GHEA Grapalat" w:hAnsi="GHEA Grapalat" w:cs="GHEA Grapalat"/>
          <w:sz w:val="22"/>
          <w:szCs w:val="22"/>
        </w:rPr>
        <w:softHyphen/>
        <w:t>ցի</w:t>
      </w:r>
      <w:r w:rsidRPr="00C921DE">
        <w:rPr>
          <w:rFonts w:ascii="GHEA Grapalat" w:hAnsi="GHEA Grapalat" w:cs="GHEA Grapalat"/>
          <w:sz w:val="22"/>
          <w:szCs w:val="22"/>
        </w:rPr>
        <w:softHyphen/>
        <w:t>նե</w:t>
      </w:r>
      <w:r w:rsidRPr="00C921DE">
        <w:rPr>
          <w:rFonts w:ascii="GHEA Grapalat" w:hAnsi="GHEA Grapalat" w:cs="GHEA Grapalat"/>
          <w:sz w:val="22"/>
          <w:szCs w:val="22"/>
        </w:rPr>
        <w:softHyphen/>
        <w:t xml:space="preserve">րի մահվան դեպքում արարողակարգային միջոցառումների կազմակերպում» ծրագրին հատկացված միջոցներից՝ </w:t>
      </w:r>
      <w:r w:rsidR="00C36D8A" w:rsidRPr="00C921DE">
        <w:rPr>
          <w:rFonts w:ascii="GHEA Grapalat" w:hAnsi="GHEA Grapalat" w:cs="GHEA Grapalat"/>
          <w:sz w:val="22"/>
          <w:szCs w:val="22"/>
          <w:lang w:val="en-US"/>
        </w:rPr>
        <w:t>45.7</w:t>
      </w:r>
      <w:r w:rsidRPr="00C921DE">
        <w:rPr>
          <w:rFonts w:ascii="GHEA Grapalat" w:hAnsi="GHEA Grapalat" w:cs="GHEA Grapalat"/>
          <w:sz w:val="22"/>
          <w:szCs w:val="22"/>
        </w:rPr>
        <w:t xml:space="preserve"> մլն դրամը:</w:t>
      </w:r>
    </w:p>
    <w:p w14:paraId="00B7BC0F" w14:textId="77777777" w:rsidR="002E7A16" w:rsidRPr="00C921DE" w:rsidRDefault="002E7A16" w:rsidP="00882819">
      <w:pPr>
        <w:autoSpaceDE w:val="0"/>
        <w:autoSpaceDN w:val="0"/>
        <w:adjustRightInd w:val="0"/>
        <w:ind w:firstLine="567"/>
        <w:jc w:val="both"/>
        <w:rPr>
          <w:rFonts w:ascii="GHEA Grapalat" w:hAnsi="GHEA Grapalat" w:cs="GHEA Grapalat"/>
          <w:sz w:val="22"/>
          <w:szCs w:val="22"/>
          <w:lang w:val="en-US"/>
        </w:rPr>
      </w:pPr>
    </w:p>
    <w:p w14:paraId="14F64EA6" w14:textId="3E41FE6E" w:rsidR="001C411D" w:rsidRPr="00C921DE" w:rsidRDefault="001C411D" w:rsidP="002E7A16">
      <w:pPr>
        <w:pStyle w:val="Heading4"/>
        <w:keepNext/>
        <w:widowControl w:val="0"/>
        <w:autoSpaceDE w:val="0"/>
        <w:autoSpaceDN w:val="0"/>
        <w:adjustRightInd w:val="0"/>
        <w:spacing w:before="360" w:after="240" w:line="240" w:lineRule="auto"/>
        <w:ind w:left="0"/>
        <w:jc w:val="both"/>
        <w:rPr>
          <w:bCs/>
        </w:rPr>
        <w:sectPr w:rsidR="001C411D" w:rsidRPr="00C921DE" w:rsidSect="009D5C15">
          <w:headerReference w:type="default" r:id="rId87"/>
          <w:pgSz w:w="11909" w:h="16834" w:code="9"/>
          <w:pgMar w:top="1134" w:right="567" w:bottom="567" w:left="1134" w:header="720" w:footer="397" w:gutter="0"/>
          <w:cols w:space="720"/>
          <w:docGrid w:linePitch="360"/>
        </w:sectPr>
      </w:pPr>
      <w:r w:rsidRPr="00C921DE">
        <w:rPr>
          <w:bCs/>
        </w:rPr>
        <w:t>Հույժ գաղտնի</w:t>
      </w:r>
      <w:bookmarkEnd w:id="233"/>
      <w:bookmarkEnd w:id="234"/>
      <w:bookmarkEnd w:id="235"/>
      <w:bookmarkEnd w:id="236"/>
    </w:p>
    <w:p w14:paraId="4833F206" w14:textId="77777777" w:rsidR="001C411D" w:rsidRPr="00C921DE" w:rsidRDefault="001C411D" w:rsidP="00DD39CD">
      <w:pPr>
        <w:pStyle w:val="Heading1"/>
        <w:spacing w:line="480" w:lineRule="auto"/>
        <w:rPr>
          <w:rFonts w:ascii="GHEA Grapalat" w:hAnsi="GHEA Grapalat" w:cs="Sylfaen"/>
          <w:sz w:val="22"/>
          <w:szCs w:val="22"/>
        </w:rPr>
      </w:pPr>
      <w:bookmarkStart w:id="245" w:name="_Toc291747250"/>
      <w:bookmarkStart w:id="246" w:name="_Toc291747579"/>
      <w:bookmarkStart w:id="247" w:name="_Toc291747949"/>
      <w:bookmarkStart w:id="248" w:name="_Toc322445737"/>
      <w:bookmarkStart w:id="249" w:name="_Toc322445810"/>
      <w:bookmarkStart w:id="250" w:name="_Toc353882560"/>
      <w:bookmarkStart w:id="251" w:name="_Toc354657517"/>
      <w:bookmarkStart w:id="252" w:name="_Toc354658871"/>
      <w:bookmarkStart w:id="253" w:name="_Toc385937101"/>
      <w:bookmarkStart w:id="254" w:name="_Toc417292114"/>
      <w:bookmarkStart w:id="255" w:name="_Toc448908393"/>
      <w:bookmarkStart w:id="256" w:name="_Toc448912570"/>
      <w:bookmarkStart w:id="257" w:name="_Toc448913299"/>
      <w:bookmarkStart w:id="258" w:name="_Toc511744986"/>
      <w:bookmarkStart w:id="259" w:name="_Toc6389345"/>
      <w:bookmarkStart w:id="260" w:name="_Toc69232236"/>
      <w:bookmarkStart w:id="261" w:name="_Toc163745459"/>
      <w:r w:rsidRPr="00C921DE">
        <w:rPr>
          <w:rFonts w:ascii="GHEA Grapalat" w:hAnsi="GHEA Grapalat" w:cs="Sylfaen"/>
          <w:sz w:val="22"/>
          <w:szCs w:val="22"/>
        </w:rPr>
        <w:lastRenderedPageBreak/>
        <w:t>ՀԱՅԱՍՏԱՆԻ ՀԱՆՐԱՊԵՏՈՒԹՅԱՆ 202</w:t>
      </w:r>
      <w:r w:rsidR="00E0077D" w:rsidRPr="00C921DE">
        <w:rPr>
          <w:rFonts w:ascii="GHEA Grapalat" w:hAnsi="GHEA Grapalat" w:cs="Sylfaen"/>
          <w:sz w:val="22"/>
          <w:szCs w:val="22"/>
          <w:lang w:val="en-US"/>
        </w:rPr>
        <w:t>3</w:t>
      </w:r>
      <w:r w:rsidRPr="00C921DE">
        <w:rPr>
          <w:rFonts w:ascii="GHEA Grapalat" w:hAnsi="GHEA Grapalat" w:cs="Sylfaen"/>
          <w:sz w:val="22"/>
          <w:szCs w:val="22"/>
        </w:rPr>
        <w:t xml:space="preserve"> ԹՎԱԿԱՆԻ ՊԵՏԱԿԱՆ ԲՅՈՒՋԵԻ ՊԱԿԱՍՈՒՐԴԸ</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p w14:paraId="5B992E04" w14:textId="77777777"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 ՀՀ պետական բյուջեն կատարվել է 188.9</w:t>
      </w:r>
      <w:r w:rsidRPr="00C921DE">
        <w:rPr>
          <w:rFonts w:ascii="Courier New" w:hAnsi="Courier New" w:cs="Courier New"/>
          <w:sz w:val="22"/>
          <w:szCs w:val="22"/>
        </w:rPr>
        <w:t> </w:t>
      </w:r>
      <w:r w:rsidRPr="00C921DE">
        <w:rPr>
          <w:rFonts w:ascii="GHEA Grapalat" w:hAnsi="GHEA Grapalat" w:cs="GHEA Grapalat"/>
          <w:sz w:val="22"/>
          <w:szCs w:val="22"/>
        </w:rPr>
        <w:t>մլրդ դրամ պակասուրդով՝ կազմելով ծրագրի 70.5%-ը և 5.2%-ով (9.3 մլրդ դրամով) գերազանցելով նախորդ տարվա ցուցանիշը: Ծրագրի համեմատ պակասուրդի ցածր մակարդակը հիմնականում պայմանավորված է եկամուտների՝ ծրագրվածից ավել հավաքագրման և ծախսերի համեմատաբար ցածր կատարողականով:</w:t>
      </w:r>
    </w:p>
    <w:p w14:paraId="1E872985" w14:textId="77777777" w:rsidR="0046194F" w:rsidRPr="00C921DE" w:rsidRDefault="0046194F" w:rsidP="0046194F">
      <w:pPr>
        <w:autoSpaceDE w:val="0"/>
        <w:autoSpaceDN w:val="0"/>
        <w:adjustRightInd w:val="0"/>
        <w:ind w:firstLine="567"/>
        <w:jc w:val="both"/>
        <w:rPr>
          <w:rFonts w:ascii="GHEA Grapalat" w:hAnsi="GHEA Grapalat" w:cs="GHEA Grapalat"/>
          <w:sz w:val="22"/>
          <w:szCs w:val="22"/>
        </w:rPr>
      </w:pPr>
    </w:p>
    <w:p w14:paraId="42509388" w14:textId="77777777" w:rsidR="0046194F" w:rsidRPr="00C921DE" w:rsidRDefault="0046194F" w:rsidP="0046194F">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 xml:space="preserve"> ՀՀ պետական բյուջեի պակասուրդի ֆինանսավորման աղբյուրները (մլրդ դրամ)</w:t>
      </w:r>
      <w:r w:rsidRPr="00C921DE">
        <w:rPr>
          <w:rFonts w:ascii="GHEA Grapalat" w:hAnsi="GHEA Grapalat"/>
          <w:szCs w:val="20"/>
          <w:vertAlign w:val="superscript"/>
          <w:lang w:val="hy-AM"/>
        </w:rPr>
        <w:footnoteReference w:id="41"/>
      </w:r>
    </w:p>
    <w:tbl>
      <w:tblPr>
        <w:tblW w:w="10170" w:type="dxa"/>
        <w:tblLayout w:type="fixed"/>
        <w:tblLook w:val="04A0" w:firstRow="1" w:lastRow="0" w:firstColumn="1" w:lastColumn="0" w:noHBand="0" w:noVBand="1"/>
      </w:tblPr>
      <w:tblGrid>
        <w:gridCol w:w="3652"/>
        <w:gridCol w:w="1276"/>
        <w:gridCol w:w="1276"/>
        <w:gridCol w:w="1134"/>
        <w:gridCol w:w="1559"/>
        <w:gridCol w:w="1273"/>
      </w:tblGrid>
      <w:tr w:rsidR="0046194F" w:rsidRPr="00C921DE" w14:paraId="650CB5FC" w14:textId="77777777" w:rsidTr="0046194F">
        <w:trPr>
          <w:trHeight w:val="855"/>
        </w:trPr>
        <w:tc>
          <w:tcPr>
            <w:tcW w:w="3652" w:type="dxa"/>
            <w:tcBorders>
              <w:top w:val="single" w:sz="4" w:space="0" w:color="auto"/>
              <w:left w:val="single" w:sz="4" w:space="0" w:color="auto"/>
              <w:bottom w:val="single" w:sz="4" w:space="0" w:color="auto"/>
              <w:right w:val="single" w:sz="4" w:space="0" w:color="auto"/>
            </w:tcBorders>
            <w:noWrap/>
            <w:vAlign w:val="bottom"/>
            <w:hideMark/>
          </w:tcPr>
          <w:p w14:paraId="2838956F" w14:textId="77777777" w:rsidR="0046194F" w:rsidRPr="00C921DE" w:rsidRDefault="0046194F" w:rsidP="0046194F">
            <w:pPr>
              <w:spacing w:line="256" w:lineRule="auto"/>
              <w:rPr>
                <w:rFonts w:ascii="GHEA Grapalat" w:hAnsi="GHEA Grapalat" w:cs="Calibri"/>
                <w:sz w:val="18"/>
                <w:szCs w:val="18"/>
              </w:rPr>
            </w:pPr>
            <w:r w:rsidRPr="00C921DE">
              <w:rPr>
                <w:rFonts w:ascii="Courier New" w:hAnsi="Courier New" w:cs="Courier New"/>
                <w:sz w:val="18"/>
                <w:szCs w:val="18"/>
              </w:rPr>
              <w:t> </w:t>
            </w:r>
          </w:p>
        </w:tc>
        <w:tc>
          <w:tcPr>
            <w:tcW w:w="1276" w:type="dxa"/>
            <w:tcBorders>
              <w:top w:val="single" w:sz="4" w:space="0" w:color="auto"/>
              <w:left w:val="nil"/>
              <w:bottom w:val="single" w:sz="4" w:space="0" w:color="auto"/>
              <w:right w:val="single" w:sz="4" w:space="0" w:color="auto"/>
            </w:tcBorders>
            <w:vAlign w:val="center"/>
            <w:hideMark/>
          </w:tcPr>
          <w:p w14:paraId="1DC992AD" w14:textId="77777777" w:rsidR="0046194F" w:rsidRPr="00C921DE" w:rsidRDefault="0046194F" w:rsidP="0046194F">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2022թ. փաստ</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CB809" w14:textId="5F75C28C" w:rsidR="0046194F" w:rsidRPr="00C921DE" w:rsidRDefault="0046194F" w:rsidP="00B74439">
            <w:pPr>
              <w:jc w:val="center"/>
              <w:rPr>
                <w:rFonts w:ascii="GHEA Grapalat" w:hAnsi="GHEA Grapalat" w:cs="Calibri"/>
                <w:b/>
                <w:bCs/>
                <w:color w:val="000000"/>
                <w:sz w:val="18"/>
                <w:szCs w:val="18"/>
                <w:lang w:val="en-US"/>
              </w:rPr>
            </w:pPr>
            <w:r w:rsidRPr="00C921DE">
              <w:rPr>
                <w:rFonts w:ascii="GHEA Grapalat" w:hAnsi="GHEA Grapalat" w:cs="Calibri"/>
                <w:b/>
                <w:bCs/>
                <w:color w:val="000000"/>
                <w:sz w:val="18"/>
                <w:szCs w:val="18"/>
              </w:rPr>
              <w:t xml:space="preserve">2023թ. ճշտված </w:t>
            </w:r>
            <w:r w:rsidR="00B74439" w:rsidRPr="00C921DE">
              <w:rPr>
                <w:rFonts w:ascii="GHEA Grapalat" w:hAnsi="GHEA Grapalat" w:cs="Calibri"/>
                <w:b/>
                <w:bCs/>
                <w:color w:val="000000"/>
                <w:sz w:val="18"/>
                <w:szCs w:val="18"/>
                <w:lang w:val="en-US"/>
              </w:rPr>
              <w:t>ծրագիր</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57FD0C28" w14:textId="77777777" w:rsidR="0046194F" w:rsidRPr="00C921DE" w:rsidRDefault="0046194F" w:rsidP="0046194F">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2023թ. փաստ</w:t>
            </w:r>
          </w:p>
        </w:tc>
        <w:tc>
          <w:tcPr>
            <w:tcW w:w="1559" w:type="dxa"/>
            <w:tcBorders>
              <w:top w:val="single" w:sz="4" w:space="0" w:color="auto"/>
              <w:left w:val="nil"/>
              <w:bottom w:val="single" w:sz="4" w:space="0" w:color="auto"/>
              <w:right w:val="single" w:sz="4" w:space="0" w:color="auto"/>
            </w:tcBorders>
            <w:shd w:val="clear" w:color="auto" w:fill="FFFFFF"/>
            <w:vAlign w:val="center"/>
            <w:hideMark/>
          </w:tcPr>
          <w:p w14:paraId="21C84109" w14:textId="4028A046" w:rsidR="0046194F" w:rsidRPr="00C921DE" w:rsidRDefault="0046194F" w:rsidP="00B74439">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00B74439" w:rsidRPr="00C921DE">
              <w:rPr>
                <w:rFonts w:ascii="GHEA Grapalat" w:hAnsi="GHEA Grapalat" w:cs="Calibri"/>
                <w:b/>
                <w:bCs/>
                <w:sz w:val="18"/>
                <w:szCs w:val="18"/>
                <w:lang w:val="en-US"/>
              </w:rPr>
              <w:t>ծրագրի</w:t>
            </w:r>
            <w:r w:rsidRPr="00C921DE">
              <w:rPr>
                <w:rFonts w:ascii="GHEA Grapalat" w:hAnsi="GHEA Grapalat" w:cs="Calibri"/>
                <w:b/>
                <w:bCs/>
                <w:sz w:val="18"/>
                <w:szCs w:val="18"/>
              </w:rPr>
              <w:t xml:space="preserve"> նկատմամբ (%)</w:t>
            </w:r>
          </w:p>
        </w:tc>
        <w:tc>
          <w:tcPr>
            <w:tcW w:w="1273" w:type="dxa"/>
            <w:tcBorders>
              <w:top w:val="single" w:sz="4" w:space="0" w:color="auto"/>
              <w:left w:val="nil"/>
              <w:bottom w:val="single" w:sz="4" w:space="0" w:color="auto"/>
              <w:right w:val="single" w:sz="4" w:space="0" w:color="auto"/>
            </w:tcBorders>
            <w:shd w:val="clear" w:color="auto" w:fill="FFFFFF"/>
            <w:vAlign w:val="center"/>
            <w:hideMark/>
          </w:tcPr>
          <w:p w14:paraId="1A73BC55" w14:textId="413B66FE" w:rsidR="0046194F" w:rsidRPr="00C921DE" w:rsidRDefault="0046194F" w:rsidP="00B74439">
            <w:pPr>
              <w:jc w:val="center"/>
              <w:rPr>
                <w:rFonts w:ascii="GHEA Grapalat" w:hAnsi="GHEA Grapalat" w:cs="Calibri"/>
                <w:b/>
                <w:bCs/>
                <w:sz w:val="18"/>
                <w:szCs w:val="18"/>
                <w:lang w:val="en-US"/>
              </w:rPr>
            </w:pPr>
            <w:r w:rsidRPr="00C921DE">
              <w:rPr>
                <w:rFonts w:ascii="GHEA Grapalat" w:hAnsi="GHEA Grapalat" w:cs="Calibri"/>
                <w:b/>
                <w:bCs/>
                <w:sz w:val="18"/>
                <w:szCs w:val="18"/>
              </w:rPr>
              <w:t>2023թ. 2022թ.</w:t>
            </w:r>
            <w:r w:rsidR="00686388" w:rsidRPr="00C921DE">
              <w:rPr>
                <w:rFonts w:ascii="GHEA Grapalat" w:hAnsi="GHEA Grapalat" w:cs="Calibri"/>
                <w:b/>
                <w:bCs/>
                <w:sz w:val="18"/>
                <w:szCs w:val="18"/>
                <w:lang w:val="en-US"/>
              </w:rPr>
              <w:t xml:space="preserve">-ի </w:t>
            </w:r>
            <w:r w:rsidRPr="00C921DE">
              <w:rPr>
                <w:rFonts w:ascii="GHEA Grapalat" w:hAnsi="GHEA Grapalat" w:cs="Calibri"/>
                <w:b/>
                <w:bCs/>
                <w:sz w:val="18"/>
                <w:szCs w:val="18"/>
              </w:rPr>
              <w:t>նկատմամբ</w:t>
            </w:r>
            <w:r w:rsidRPr="00C921DE">
              <w:rPr>
                <w:rFonts w:ascii="GHEA Grapalat" w:hAnsi="GHEA Grapalat" w:cs="Calibri"/>
                <w:b/>
                <w:bCs/>
                <w:sz w:val="18"/>
                <w:szCs w:val="18"/>
                <w:lang w:val="en-US"/>
              </w:rPr>
              <w:t xml:space="preserve"> (%)</w:t>
            </w:r>
          </w:p>
        </w:tc>
      </w:tr>
      <w:tr w:rsidR="0046194F" w:rsidRPr="00C921DE" w14:paraId="66674B68"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33AE6BB9" w14:textId="77777777" w:rsidR="0046194F" w:rsidRPr="00C921DE" w:rsidRDefault="0046194F" w:rsidP="0046194F">
            <w:pPr>
              <w:spacing w:line="256" w:lineRule="auto"/>
              <w:rPr>
                <w:rFonts w:ascii="GHEA Grapalat" w:hAnsi="GHEA Grapalat" w:cs="Calibri"/>
                <w:b/>
                <w:bCs/>
                <w:sz w:val="18"/>
                <w:szCs w:val="18"/>
                <w:lang w:val="en-US"/>
              </w:rPr>
            </w:pPr>
            <w:r w:rsidRPr="00C921DE">
              <w:rPr>
                <w:rFonts w:ascii="GHEA Grapalat" w:hAnsi="GHEA Grapalat" w:cs="Calibri"/>
                <w:b/>
                <w:color w:val="000000"/>
                <w:sz w:val="18"/>
                <w:szCs w:val="18"/>
              </w:rPr>
              <w:t>Դեֆիցիտ (պակասուրդ)</w:t>
            </w:r>
          </w:p>
        </w:tc>
        <w:tc>
          <w:tcPr>
            <w:tcW w:w="1276" w:type="dxa"/>
            <w:tcBorders>
              <w:top w:val="nil"/>
              <w:left w:val="nil"/>
              <w:bottom w:val="single" w:sz="4" w:space="0" w:color="auto"/>
              <w:right w:val="single" w:sz="4" w:space="0" w:color="auto"/>
            </w:tcBorders>
            <w:vAlign w:val="bottom"/>
            <w:hideMark/>
          </w:tcPr>
          <w:p w14:paraId="4567769E"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179.5</w:t>
            </w:r>
          </w:p>
        </w:tc>
        <w:tc>
          <w:tcPr>
            <w:tcW w:w="1276" w:type="dxa"/>
            <w:tcBorders>
              <w:top w:val="nil"/>
              <w:left w:val="single" w:sz="4" w:space="0" w:color="auto"/>
              <w:bottom w:val="single" w:sz="4" w:space="0" w:color="auto"/>
              <w:right w:val="single" w:sz="4" w:space="0" w:color="auto"/>
            </w:tcBorders>
            <w:noWrap/>
            <w:vAlign w:val="bottom"/>
            <w:hideMark/>
          </w:tcPr>
          <w:p w14:paraId="2D3E6025"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267.8</w:t>
            </w:r>
          </w:p>
        </w:tc>
        <w:tc>
          <w:tcPr>
            <w:tcW w:w="1134" w:type="dxa"/>
            <w:tcBorders>
              <w:top w:val="nil"/>
              <w:left w:val="nil"/>
              <w:bottom w:val="single" w:sz="4" w:space="0" w:color="auto"/>
              <w:right w:val="single" w:sz="4" w:space="0" w:color="auto"/>
            </w:tcBorders>
            <w:noWrap/>
            <w:vAlign w:val="bottom"/>
            <w:hideMark/>
          </w:tcPr>
          <w:p w14:paraId="4CFB2FA0"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188.9</w:t>
            </w:r>
          </w:p>
        </w:tc>
        <w:tc>
          <w:tcPr>
            <w:tcW w:w="1559" w:type="dxa"/>
            <w:tcBorders>
              <w:top w:val="nil"/>
              <w:left w:val="nil"/>
              <w:bottom w:val="single" w:sz="4" w:space="0" w:color="auto"/>
              <w:right w:val="single" w:sz="4" w:space="0" w:color="auto"/>
            </w:tcBorders>
            <w:noWrap/>
            <w:vAlign w:val="bottom"/>
            <w:hideMark/>
          </w:tcPr>
          <w:p w14:paraId="5B5EF234"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70.5</w:t>
            </w:r>
          </w:p>
        </w:tc>
        <w:tc>
          <w:tcPr>
            <w:tcW w:w="1273" w:type="dxa"/>
            <w:tcBorders>
              <w:top w:val="nil"/>
              <w:left w:val="nil"/>
              <w:bottom w:val="single" w:sz="4" w:space="0" w:color="auto"/>
              <w:right w:val="single" w:sz="4" w:space="0" w:color="auto"/>
            </w:tcBorders>
            <w:vAlign w:val="bottom"/>
            <w:hideMark/>
          </w:tcPr>
          <w:p w14:paraId="647E9000"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105.2</w:t>
            </w:r>
          </w:p>
        </w:tc>
      </w:tr>
      <w:tr w:rsidR="0046194F" w:rsidRPr="00C921DE" w14:paraId="4C3E9298"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23C4B4D7" w14:textId="77777777" w:rsidR="0046194F" w:rsidRPr="00C921DE" w:rsidRDefault="0046194F" w:rsidP="0046194F">
            <w:pPr>
              <w:spacing w:line="256" w:lineRule="auto"/>
              <w:rPr>
                <w:rFonts w:ascii="GHEA Grapalat" w:hAnsi="GHEA Grapalat" w:cs="Calibri"/>
                <w:color w:val="000000"/>
                <w:sz w:val="18"/>
                <w:szCs w:val="18"/>
              </w:rPr>
            </w:pPr>
            <w:r w:rsidRPr="00C921DE">
              <w:rPr>
                <w:rFonts w:ascii="GHEA Grapalat" w:hAnsi="GHEA Grapalat" w:cs="Calibri"/>
                <w:color w:val="000000"/>
                <w:sz w:val="18"/>
                <w:szCs w:val="18"/>
              </w:rPr>
              <w:t>Ներքին աղբյուրներ, այդ թվում`</w:t>
            </w:r>
          </w:p>
        </w:tc>
        <w:tc>
          <w:tcPr>
            <w:tcW w:w="1276" w:type="dxa"/>
            <w:tcBorders>
              <w:top w:val="nil"/>
              <w:left w:val="nil"/>
              <w:bottom w:val="single" w:sz="4" w:space="0" w:color="auto"/>
              <w:right w:val="single" w:sz="4" w:space="0" w:color="auto"/>
            </w:tcBorders>
            <w:vAlign w:val="bottom"/>
            <w:hideMark/>
          </w:tcPr>
          <w:p w14:paraId="4C5A70B3"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288.1</w:t>
            </w:r>
          </w:p>
        </w:tc>
        <w:tc>
          <w:tcPr>
            <w:tcW w:w="1276" w:type="dxa"/>
            <w:tcBorders>
              <w:top w:val="nil"/>
              <w:left w:val="single" w:sz="4" w:space="0" w:color="auto"/>
              <w:bottom w:val="single" w:sz="4" w:space="0" w:color="auto"/>
              <w:right w:val="single" w:sz="4" w:space="0" w:color="auto"/>
            </w:tcBorders>
            <w:noWrap/>
            <w:vAlign w:val="bottom"/>
          </w:tcPr>
          <w:p w14:paraId="44A25FA4"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429.7</w:t>
            </w:r>
          </w:p>
        </w:tc>
        <w:tc>
          <w:tcPr>
            <w:tcW w:w="1134" w:type="dxa"/>
            <w:tcBorders>
              <w:top w:val="nil"/>
              <w:left w:val="nil"/>
              <w:bottom w:val="single" w:sz="4" w:space="0" w:color="auto"/>
              <w:right w:val="single" w:sz="4" w:space="0" w:color="auto"/>
            </w:tcBorders>
            <w:noWrap/>
            <w:vAlign w:val="bottom"/>
            <w:hideMark/>
          </w:tcPr>
          <w:p w14:paraId="243BDD8A"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rPr>
              <w:t>412.</w:t>
            </w:r>
            <w:r w:rsidRPr="00C921DE">
              <w:rPr>
                <w:rFonts w:ascii="GHEA Grapalat" w:hAnsi="GHEA Grapalat" w:cs="Calibri"/>
                <w:bCs/>
                <w:sz w:val="18"/>
                <w:szCs w:val="18"/>
                <w:lang w:val="en-US"/>
              </w:rPr>
              <w:t>3</w:t>
            </w:r>
          </w:p>
        </w:tc>
        <w:tc>
          <w:tcPr>
            <w:tcW w:w="1559" w:type="dxa"/>
            <w:tcBorders>
              <w:top w:val="nil"/>
              <w:left w:val="nil"/>
              <w:bottom w:val="single" w:sz="4" w:space="0" w:color="auto"/>
              <w:right w:val="single" w:sz="4" w:space="0" w:color="auto"/>
            </w:tcBorders>
            <w:noWrap/>
            <w:vAlign w:val="bottom"/>
            <w:hideMark/>
          </w:tcPr>
          <w:p w14:paraId="27AEAB23"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96.0</w:t>
            </w:r>
          </w:p>
        </w:tc>
        <w:tc>
          <w:tcPr>
            <w:tcW w:w="1273" w:type="dxa"/>
            <w:tcBorders>
              <w:top w:val="nil"/>
              <w:left w:val="nil"/>
              <w:bottom w:val="single" w:sz="4" w:space="0" w:color="auto"/>
              <w:right w:val="single" w:sz="4" w:space="0" w:color="auto"/>
            </w:tcBorders>
            <w:vAlign w:val="bottom"/>
            <w:hideMark/>
          </w:tcPr>
          <w:p w14:paraId="72E81370"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143.1</w:t>
            </w:r>
          </w:p>
        </w:tc>
      </w:tr>
      <w:tr w:rsidR="0046194F" w:rsidRPr="00C921DE" w14:paraId="446ADA2D"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178AA212" w14:textId="77777777" w:rsidR="0046194F" w:rsidRPr="00C921DE" w:rsidRDefault="0046194F" w:rsidP="0046194F">
            <w:pPr>
              <w:pStyle w:val="ListParagraph"/>
              <w:numPr>
                <w:ilvl w:val="0"/>
                <w:numId w:val="31"/>
              </w:numPr>
              <w:spacing w:after="0" w:line="256" w:lineRule="auto"/>
              <w:ind w:left="426" w:hanging="156"/>
              <w:rPr>
                <w:rFonts w:ascii="GHEA Grapalat" w:hAnsi="GHEA Grapalat"/>
                <w:sz w:val="18"/>
                <w:szCs w:val="18"/>
                <w:lang w:val="hy-AM"/>
              </w:rPr>
            </w:pPr>
            <w:r w:rsidRPr="00C921DE">
              <w:rPr>
                <w:rFonts w:ascii="GHEA Grapalat" w:hAnsi="GHEA Grapalat"/>
                <w:sz w:val="18"/>
                <w:szCs w:val="18"/>
                <w:lang w:val="hy-AM"/>
              </w:rPr>
              <w:t>Փոխառու միջոցներ</w:t>
            </w:r>
          </w:p>
        </w:tc>
        <w:tc>
          <w:tcPr>
            <w:tcW w:w="1276" w:type="dxa"/>
            <w:tcBorders>
              <w:top w:val="nil"/>
              <w:left w:val="nil"/>
              <w:bottom w:val="single" w:sz="4" w:space="0" w:color="auto"/>
              <w:right w:val="single" w:sz="4" w:space="0" w:color="auto"/>
            </w:tcBorders>
            <w:vAlign w:val="bottom"/>
            <w:hideMark/>
          </w:tcPr>
          <w:p w14:paraId="3C783FA4"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lang w:val="en-US"/>
              </w:rPr>
              <w:t>252.0</w:t>
            </w:r>
          </w:p>
        </w:tc>
        <w:tc>
          <w:tcPr>
            <w:tcW w:w="1276" w:type="dxa"/>
            <w:tcBorders>
              <w:top w:val="nil"/>
              <w:left w:val="single" w:sz="4" w:space="0" w:color="auto"/>
              <w:bottom w:val="single" w:sz="4" w:space="0" w:color="auto"/>
              <w:right w:val="single" w:sz="4" w:space="0" w:color="auto"/>
            </w:tcBorders>
            <w:noWrap/>
            <w:vAlign w:val="bottom"/>
            <w:hideMark/>
          </w:tcPr>
          <w:p w14:paraId="6C2E4BC5"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384.9</w:t>
            </w:r>
          </w:p>
        </w:tc>
        <w:tc>
          <w:tcPr>
            <w:tcW w:w="1134" w:type="dxa"/>
            <w:tcBorders>
              <w:top w:val="nil"/>
              <w:left w:val="nil"/>
              <w:bottom w:val="single" w:sz="4" w:space="0" w:color="auto"/>
              <w:right w:val="single" w:sz="4" w:space="0" w:color="auto"/>
            </w:tcBorders>
            <w:noWrap/>
            <w:vAlign w:val="bottom"/>
            <w:hideMark/>
          </w:tcPr>
          <w:p w14:paraId="471DB290"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360.3</w:t>
            </w:r>
          </w:p>
        </w:tc>
        <w:tc>
          <w:tcPr>
            <w:tcW w:w="1559" w:type="dxa"/>
            <w:tcBorders>
              <w:top w:val="nil"/>
              <w:left w:val="nil"/>
              <w:bottom w:val="single" w:sz="4" w:space="0" w:color="auto"/>
              <w:right w:val="single" w:sz="4" w:space="0" w:color="auto"/>
            </w:tcBorders>
            <w:noWrap/>
            <w:vAlign w:val="bottom"/>
            <w:hideMark/>
          </w:tcPr>
          <w:p w14:paraId="59580AAA"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rPr>
              <w:t>93.6</w:t>
            </w:r>
          </w:p>
        </w:tc>
        <w:tc>
          <w:tcPr>
            <w:tcW w:w="1273" w:type="dxa"/>
            <w:tcBorders>
              <w:top w:val="nil"/>
              <w:left w:val="nil"/>
              <w:bottom w:val="single" w:sz="4" w:space="0" w:color="auto"/>
              <w:right w:val="single" w:sz="4" w:space="0" w:color="auto"/>
            </w:tcBorders>
            <w:vAlign w:val="bottom"/>
            <w:hideMark/>
          </w:tcPr>
          <w:p w14:paraId="219DF91F"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143.0</w:t>
            </w:r>
          </w:p>
        </w:tc>
      </w:tr>
      <w:tr w:rsidR="0046194F" w:rsidRPr="00C921DE" w14:paraId="3BDA8225"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5240C7DD" w14:textId="77777777" w:rsidR="0046194F" w:rsidRPr="00C921DE" w:rsidRDefault="0046194F" w:rsidP="0046194F">
            <w:pPr>
              <w:pStyle w:val="ListParagraph"/>
              <w:numPr>
                <w:ilvl w:val="0"/>
                <w:numId w:val="31"/>
              </w:numPr>
              <w:spacing w:after="0" w:line="256" w:lineRule="auto"/>
              <w:ind w:left="426" w:hanging="156"/>
              <w:rPr>
                <w:rFonts w:ascii="GHEA Grapalat" w:hAnsi="GHEA Grapalat"/>
                <w:sz w:val="18"/>
                <w:szCs w:val="18"/>
                <w:lang w:val="hy-AM"/>
              </w:rPr>
            </w:pPr>
            <w:r w:rsidRPr="00C921DE">
              <w:rPr>
                <w:rFonts w:ascii="GHEA Grapalat" w:hAnsi="GHEA Grapalat"/>
                <w:sz w:val="18"/>
                <w:szCs w:val="18"/>
                <w:lang w:val="hy-AM"/>
              </w:rPr>
              <w:t>Ֆինանսական զուտ ակտիվներ</w:t>
            </w:r>
          </w:p>
        </w:tc>
        <w:tc>
          <w:tcPr>
            <w:tcW w:w="1276" w:type="dxa"/>
            <w:tcBorders>
              <w:top w:val="nil"/>
              <w:left w:val="nil"/>
              <w:bottom w:val="single" w:sz="4" w:space="0" w:color="auto"/>
              <w:right w:val="single" w:sz="4" w:space="0" w:color="auto"/>
            </w:tcBorders>
            <w:vAlign w:val="bottom"/>
            <w:hideMark/>
          </w:tcPr>
          <w:p w14:paraId="1A40491F"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36.1</w:t>
            </w:r>
          </w:p>
        </w:tc>
        <w:tc>
          <w:tcPr>
            <w:tcW w:w="1276" w:type="dxa"/>
            <w:tcBorders>
              <w:top w:val="nil"/>
              <w:left w:val="single" w:sz="4" w:space="0" w:color="auto"/>
              <w:bottom w:val="single" w:sz="4" w:space="0" w:color="auto"/>
              <w:right w:val="single" w:sz="4" w:space="0" w:color="auto"/>
            </w:tcBorders>
            <w:noWrap/>
            <w:vAlign w:val="bottom"/>
            <w:hideMark/>
          </w:tcPr>
          <w:p w14:paraId="2F41E9F4"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44.8</w:t>
            </w:r>
          </w:p>
        </w:tc>
        <w:tc>
          <w:tcPr>
            <w:tcW w:w="1134" w:type="dxa"/>
            <w:tcBorders>
              <w:top w:val="nil"/>
              <w:left w:val="nil"/>
              <w:bottom w:val="single" w:sz="4" w:space="0" w:color="auto"/>
              <w:right w:val="single" w:sz="4" w:space="0" w:color="auto"/>
            </w:tcBorders>
            <w:noWrap/>
            <w:vAlign w:val="bottom"/>
            <w:hideMark/>
          </w:tcPr>
          <w:p w14:paraId="0EB8F841"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52.1</w:t>
            </w:r>
          </w:p>
        </w:tc>
        <w:tc>
          <w:tcPr>
            <w:tcW w:w="1559" w:type="dxa"/>
            <w:tcBorders>
              <w:top w:val="nil"/>
              <w:left w:val="nil"/>
              <w:bottom w:val="single" w:sz="4" w:space="0" w:color="auto"/>
              <w:right w:val="single" w:sz="4" w:space="0" w:color="auto"/>
            </w:tcBorders>
            <w:noWrap/>
            <w:vAlign w:val="bottom"/>
            <w:hideMark/>
          </w:tcPr>
          <w:p w14:paraId="69189B72"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116.2</w:t>
            </w:r>
          </w:p>
        </w:tc>
        <w:tc>
          <w:tcPr>
            <w:tcW w:w="1273" w:type="dxa"/>
            <w:tcBorders>
              <w:top w:val="nil"/>
              <w:left w:val="nil"/>
              <w:bottom w:val="single" w:sz="4" w:space="0" w:color="auto"/>
              <w:right w:val="single" w:sz="4" w:space="0" w:color="auto"/>
            </w:tcBorders>
            <w:vAlign w:val="bottom"/>
            <w:hideMark/>
          </w:tcPr>
          <w:p w14:paraId="70104957"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rPr>
              <w:t>144.1</w:t>
            </w:r>
          </w:p>
        </w:tc>
      </w:tr>
      <w:tr w:rsidR="0046194F" w:rsidRPr="00C921DE" w14:paraId="2F8C6DE5"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48BFA2E0" w14:textId="77777777" w:rsidR="0046194F" w:rsidRPr="00C921DE" w:rsidRDefault="0046194F" w:rsidP="0046194F">
            <w:pPr>
              <w:spacing w:line="256" w:lineRule="auto"/>
              <w:rPr>
                <w:rFonts w:ascii="GHEA Grapalat" w:hAnsi="GHEA Grapalat" w:cs="Calibri"/>
                <w:color w:val="000000"/>
                <w:sz w:val="18"/>
                <w:szCs w:val="18"/>
              </w:rPr>
            </w:pPr>
            <w:r w:rsidRPr="00C921DE">
              <w:rPr>
                <w:rFonts w:ascii="GHEA Grapalat" w:hAnsi="GHEA Grapalat" w:cs="Calibri"/>
                <w:color w:val="000000"/>
                <w:sz w:val="18"/>
                <w:szCs w:val="18"/>
              </w:rPr>
              <w:t>Արտաքին աղբյուրներ, այդ թվում`</w:t>
            </w:r>
          </w:p>
        </w:tc>
        <w:tc>
          <w:tcPr>
            <w:tcW w:w="1276" w:type="dxa"/>
            <w:tcBorders>
              <w:top w:val="nil"/>
              <w:left w:val="nil"/>
              <w:bottom w:val="single" w:sz="4" w:space="0" w:color="auto"/>
              <w:right w:val="single" w:sz="4" w:space="0" w:color="auto"/>
            </w:tcBorders>
            <w:vAlign w:val="bottom"/>
            <w:hideMark/>
          </w:tcPr>
          <w:p w14:paraId="7AD8589E"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(108.6)</w:t>
            </w:r>
          </w:p>
        </w:tc>
        <w:tc>
          <w:tcPr>
            <w:tcW w:w="1276" w:type="dxa"/>
            <w:tcBorders>
              <w:top w:val="nil"/>
              <w:left w:val="single" w:sz="4" w:space="0" w:color="auto"/>
              <w:bottom w:val="single" w:sz="4" w:space="0" w:color="auto"/>
              <w:right w:val="single" w:sz="4" w:space="0" w:color="auto"/>
            </w:tcBorders>
            <w:noWrap/>
            <w:vAlign w:val="bottom"/>
            <w:hideMark/>
          </w:tcPr>
          <w:p w14:paraId="58CC9F28"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w:t>
            </w:r>
            <w:r w:rsidRPr="00C921DE">
              <w:rPr>
                <w:rFonts w:ascii="GHEA Grapalat" w:hAnsi="GHEA Grapalat" w:cs="Calibri"/>
                <w:bCs/>
                <w:sz w:val="18"/>
                <w:szCs w:val="18"/>
              </w:rPr>
              <w:t>161.9</w:t>
            </w:r>
            <w:r w:rsidRPr="00C921DE">
              <w:rPr>
                <w:rFonts w:ascii="GHEA Grapalat" w:hAnsi="GHEA Grapalat" w:cs="Calibri"/>
                <w:bCs/>
                <w:sz w:val="18"/>
                <w:szCs w:val="18"/>
                <w:lang w:val="en-US"/>
              </w:rPr>
              <w:t>)</w:t>
            </w:r>
          </w:p>
        </w:tc>
        <w:tc>
          <w:tcPr>
            <w:tcW w:w="1134" w:type="dxa"/>
            <w:tcBorders>
              <w:top w:val="nil"/>
              <w:left w:val="nil"/>
              <w:bottom w:val="single" w:sz="4" w:space="0" w:color="auto"/>
              <w:right w:val="single" w:sz="4" w:space="0" w:color="auto"/>
            </w:tcBorders>
            <w:noWrap/>
            <w:vAlign w:val="bottom"/>
            <w:hideMark/>
          </w:tcPr>
          <w:p w14:paraId="3D02A1D1"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w:t>
            </w:r>
            <w:r w:rsidRPr="00C921DE">
              <w:rPr>
                <w:rFonts w:ascii="GHEA Grapalat" w:hAnsi="GHEA Grapalat" w:cs="Calibri"/>
                <w:bCs/>
                <w:sz w:val="18"/>
                <w:szCs w:val="18"/>
              </w:rPr>
              <w:t>223.5</w:t>
            </w:r>
            <w:r w:rsidRPr="00C921DE">
              <w:rPr>
                <w:rFonts w:ascii="GHEA Grapalat" w:hAnsi="GHEA Grapalat" w:cs="Calibri"/>
                <w:bCs/>
                <w:sz w:val="18"/>
                <w:szCs w:val="18"/>
                <w:lang w:val="en-US"/>
              </w:rPr>
              <w:t>)</w:t>
            </w:r>
          </w:p>
        </w:tc>
        <w:tc>
          <w:tcPr>
            <w:tcW w:w="1559" w:type="dxa"/>
            <w:tcBorders>
              <w:top w:val="nil"/>
              <w:left w:val="nil"/>
              <w:bottom w:val="single" w:sz="4" w:space="0" w:color="auto"/>
              <w:right w:val="single" w:sz="4" w:space="0" w:color="auto"/>
            </w:tcBorders>
            <w:noWrap/>
            <w:vAlign w:val="bottom"/>
            <w:hideMark/>
          </w:tcPr>
          <w:p w14:paraId="29069210"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lang w:val="en-US"/>
              </w:rPr>
              <w:t>138.</w:t>
            </w:r>
            <w:r w:rsidRPr="00C921DE">
              <w:rPr>
                <w:rFonts w:ascii="GHEA Grapalat" w:hAnsi="GHEA Grapalat" w:cs="Calibri"/>
                <w:bCs/>
                <w:sz w:val="18"/>
                <w:szCs w:val="18"/>
              </w:rPr>
              <w:t>1</w:t>
            </w:r>
          </w:p>
        </w:tc>
        <w:tc>
          <w:tcPr>
            <w:tcW w:w="1273" w:type="dxa"/>
            <w:tcBorders>
              <w:top w:val="nil"/>
              <w:left w:val="nil"/>
              <w:bottom w:val="single" w:sz="4" w:space="0" w:color="auto"/>
              <w:right w:val="single" w:sz="4" w:space="0" w:color="auto"/>
            </w:tcBorders>
            <w:vAlign w:val="bottom"/>
            <w:hideMark/>
          </w:tcPr>
          <w:p w14:paraId="7C1E400F" w14:textId="77777777" w:rsidR="0046194F" w:rsidRPr="00C921DE" w:rsidRDefault="0046194F" w:rsidP="0046194F">
            <w:pPr>
              <w:spacing w:line="256" w:lineRule="auto"/>
              <w:jc w:val="right"/>
              <w:rPr>
                <w:rFonts w:ascii="GHEA Grapalat" w:hAnsi="GHEA Grapalat" w:cs="Calibri"/>
                <w:bCs/>
                <w:sz w:val="18"/>
                <w:szCs w:val="18"/>
              </w:rPr>
            </w:pPr>
            <w:r w:rsidRPr="00C921DE">
              <w:rPr>
                <w:rFonts w:ascii="GHEA Grapalat" w:hAnsi="GHEA Grapalat" w:cs="Calibri"/>
                <w:bCs/>
                <w:sz w:val="18"/>
                <w:szCs w:val="18"/>
              </w:rPr>
              <w:t>205.8</w:t>
            </w:r>
          </w:p>
        </w:tc>
      </w:tr>
      <w:tr w:rsidR="0046194F" w:rsidRPr="00C921DE" w14:paraId="270198A4"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3960BA24" w14:textId="77777777" w:rsidR="0046194F" w:rsidRPr="00C921DE" w:rsidRDefault="0046194F" w:rsidP="0046194F">
            <w:pPr>
              <w:pStyle w:val="ListParagraph"/>
              <w:numPr>
                <w:ilvl w:val="0"/>
                <w:numId w:val="31"/>
              </w:numPr>
              <w:spacing w:after="0" w:line="256" w:lineRule="auto"/>
              <w:ind w:left="426" w:hanging="156"/>
              <w:rPr>
                <w:rFonts w:ascii="GHEA Grapalat" w:hAnsi="GHEA Grapalat"/>
                <w:sz w:val="18"/>
                <w:szCs w:val="18"/>
                <w:lang w:val="hy-AM"/>
              </w:rPr>
            </w:pPr>
            <w:r w:rsidRPr="00C921DE">
              <w:rPr>
                <w:rFonts w:ascii="GHEA Grapalat" w:hAnsi="GHEA Grapalat"/>
                <w:sz w:val="18"/>
                <w:szCs w:val="18"/>
                <w:lang w:val="hy-AM"/>
              </w:rPr>
              <w:t>Փոխառու միջոցներ</w:t>
            </w:r>
          </w:p>
        </w:tc>
        <w:tc>
          <w:tcPr>
            <w:tcW w:w="1276" w:type="dxa"/>
            <w:tcBorders>
              <w:top w:val="nil"/>
              <w:left w:val="nil"/>
              <w:bottom w:val="single" w:sz="4" w:space="0" w:color="auto"/>
              <w:right w:val="single" w:sz="4" w:space="0" w:color="auto"/>
            </w:tcBorders>
            <w:vAlign w:val="bottom"/>
            <w:hideMark/>
          </w:tcPr>
          <w:p w14:paraId="4ED1C9A6"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66.2</w:t>
            </w:r>
          </w:p>
        </w:tc>
        <w:tc>
          <w:tcPr>
            <w:tcW w:w="1276" w:type="dxa"/>
            <w:tcBorders>
              <w:top w:val="nil"/>
              <w:left w:val="single" w:sz="4" w:space="0" w:color="auto"/>
              <w:bottom w:val="single" w:sz="4" w:space="0" w:color="auto"/>
              <w:right w:val="single" w:sz="4" w:space="0" w:color="auto"/>
            </w:tcBorders>
            <w:noWrap/>
            <w:vAlign w:val="bottom"/>
            <w:hideMark/>
          </w:tcPr>
          <w:p w14:paraId="6131C596"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(8.7)</w:t>
            </w:r>
          </w:p>
        </w:tc>
        <w:tc>
          <w:tcPr>
            <w:tcW w:w="1134" w:type="dxa"/>
            <w:tcBorders>
              <w:top w:val="nil"/>
              <w:left w:val="nil"/>
              <w:bottom w:val="single" w:sz="4" w:space="0" w:color="auto"/>
              <w:right w:val="single" w:sz="4" w:space="0" w:color="auto"/>
            </w:tcBorders>
            <w:noWrap/>
            <w:vAlign w:val="bottom"/>
            <w:hideMark/>
          </w:tcPr>
          <w:p w14:paraId="4D75F4FE"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(73.3)</w:t>
            </w:r>
          </w:p>
        </w:tc>
        <w:tc>
          <w:tcPr>
            <w:tcW w:w="1559" w:type="dxa"/>
            <w:tcBorders>
              <w:top w:val="nil"/>
              <w:left w:val="nil"/>
              <w:bottom w:val="single" w:sz="4" w:space="0" w:color="auto"/>
              <w:right w:val="single" w:sz="4" w:space="0" w:color="auto"/>
            </w:tcBorders>
            <w:noWrap/>
            <w:vAlign w:val="bottom"/>
            <w:hideMark/>
          </w:tcPr>
          <w:p w14:paraId="41448486"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847.5</w:t>
            </w:r>
          </w:p>
        </w:tc>
        <w:tc>
          <w:tcPr>
            <w:tcW w:w="1273" w:type="dxa"/>
            <w:tcBorders>
              <w:top w:val="nil"/>
              <w:left w:val="nil"/>
              <w:bottom w:val="single" w:sz="4" w:space="0" w:color="auto"/>
              <w:right w:val="single" w:sz="4" w:space="0" w:color="auto"/>
            </w:tcBorders>
            <w:vAlign w:val="bottom"/>
            <w:hideMark/>
          </w:tcPr>
          <w:p w14:paraId="7C9CD0C2"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(110.7)</w:t>
            </w:r>
          </w:p>
        </w:tc>
      </w:tr>
      <w:tr w:rsidR="0046194F" w:rsidRPr="00C921DE" w14:paraId="68AAA263" w14:textId="77777777" w:rsidTr="0046194F">
        <w:trPr>
          <w:trHeight w:val="312"/>
        </w:trPr>
        <w:tc>
          <w:tcPr>
            <w:tcW w:w="3652" w:type="dxa"/>
            <w:tcBorders>
              <w:top w:val="nil"/>
              <w:left w:val="single" w:sz="4" w:space="0" w:color="auto"/>
              <w:bottom w:val="single" w:sz="4" w:space="0" w:color="auto"/>
              <w:right w:val="single" w:sz="4" w:space="0" w:color="auto"/>
            </w:tcBorders>
            <w:vAlign w:val="bottom"/>
            <w:hideMark/>
          </w:tcPr>
          <w:p w14:paraId="0349904B" w14:textId="77777777" w:rsidR="0046194F" w:rsidRPr="00C921DE" w:rsidRDefault="0046194F" w:rsidP="0046194F">
            <w:pPr>
              <w:pStyle w:val="ListParagraph"/>
              <w:numPr>
                <w:ilvl w:val="0"/>
                <w:numId w:val="31"/>
              </w:numPr>
              <w:spacing w:after="0" w:line="256" w:lineRule="auto"/>
              <w:ind w:left="426" w:hanging="156"/>
              <w:rPr>
                <w:rFonts w:ascii="GHEA Grapalat" w:hAnsi="GHEA Grapalat"/>
                <w:sz w:val="18"/>
                <w:szCs w:val="18"/>
                <w:lang w:val="hy-AM"/>
              </w:rPr>
            </w:pPr>
            <w:r w:rsidRPr="00C921DE">
              <w:rPr>
                <w:rFonts w:ascii="GHEA Grapalat" w:hAnsi="GHEA Grapalat"/>
                <w:sz w:val="18"/>
                <w:szCs w:val="18"/>
                <w:lang w:val="hy-AM"/>
              </w:rPr>
              <w:t>Ֆինանսական զուտ ակտիվներ</w:t>
            </w:r>
          </w:p>
        </w:tc>
        <w:tc>
          <w:tcPr>
            <w:tcW w:w="1276" w:type="dxa"/>
            <w:tcBorders>
              <w:top w:val="nil"/>
              <w:left w:val="nil"/>
              <w:bottom w:val="single" w:sz="4" w:space="0" w:color="auto"/>
              <w:right w:val="single" w:sz="4" w:space="0" w:color="auto"/>
            </w:tcBorders>
            <w:vAlign w:val="bottom"/>
            <w:hideMark/>
          </w:tcPr>
          <w:p w14:paraId="38313003"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(174.8)</w:t>
            </w:r>
          </w:p>
        </w:tc>
        <w:tc>
          <w:tcPr>
            <w:tcW w:w="1276" w:type="dxa"/>
            <w:tcBorders>
              <w:top w:val="nil"/>
              <w:left w:val="single" w:sz="4" w:space="0" w:color="auto"/>
              <w:bottom w:val="single" w:sz="4" w:space="0" w:color="auto"/>
              <w:right w:val="single" w:sz="4" w:space="0" w:color="auto"/>
            </w:tcBorders>
            <w:noWrap/>
            <w:vAlign w:val="bottom"/>
            <w:hideMark/>
          </w:tcPr>
          <w:p w14:paraId="520BC7B8"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(153.2)</w:t>
            </w:r>
          </w:p>
        </w:tc>
        <w:tc>
          <w:tcPr>
            <w:tcW w:w="1134" w:type="dxa"/>
            <w:tcBorders>
              <w:top w:val="nil"/>
              <w:left w:val="nil"/>
              <w:bottom w:val="single" w:sz="4" w:space="0" w:color="auto"/>
              <w:right w:val="single" w:sz="4" w:space="0" w:color="auto"/>
            </w:tcBorders>
            <w:noWrap/>
            <w:vAlign w:val="bottom"/>
            <w:hideMark/>
          </w:tcPr>
          <w:p w14:paraId="28F9CC84"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(150.2)</w:t>
            </w:r>
          </w:p>
        </w:tc>
        <w:tc>
          <w:tcPr>
            <w:tcW w:w="1559" w:type="dxa"/>
            <w:tcBorders>
              <w:top w:val="nil"/>
              <w:left w:val="nil"/>
              <w:bottom w:val="single" w:sz="4" w:space="0" w:color="auto"/>
              <w:right w:val="single" w:sz="4" w:space="0" w:color="auto"/>
            </w:tcBorders>
            <w:noWrap/>
            <w:vAlign w:val="bottom"/>
            <w:hideMark/>
          </w:tcPr>
          <w:p w14:paraId="1227A24C"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98.0</w:t>
            </w:r>
          </w:p>
        </w:tc>
        <w:tc>
          <w:tcPr>
            <w:tcW w:w="1273" w:type="dxa"/>
            <w:tcBorders>
              <w:top w:val="nil"/>
              <w:left w:val="nil"/>
              <w:bottom w:val="single" w:sz="4" w:space="0" w:color="auto"/>
              <w:right w:val="single" w:sz="4" w:space="0" w:color="auto"/>
            </w:tcBorders>
            <w:vAlign w:val="bottom"/>
            <w:hideMark/>
          </w:tcPr>
          <w:p w14:paraId="1589F5E2"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85.9</w:t>
            </w:r>
          </w:p>
        </w:tc>
      </w:tr>
    </w:tbl>
    <w:p w14:paraId="75248E26"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nb-NO"/>
        </w:rPr>
      </w:pPr>
    </w:p>
    <w:p w14:paraId="166E2E02" w14:textId="7E0D2245"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lang w:val="nb-NO"/>
        </w:rPr>
      </w:pPr>
      <w:r w:rsidRPr="00C921DE">
        <w:rPr>
          <w:rFonts w:ascii="GHEA Grapalat" w:hAnsi="GHEA Grapalat" w:cs="GHEA Grapalat"/>
          <w:sz w:val="22"/>
          <w:szCs w:val="22"/>
        </w:rPr>
        <w:t xml:space="preserve">2023 թվականին </w:t>
      </w:r>
      <w:r w:rsidRPr="00C921DE">
        <w:rPr>
          <w:rFonts w:ascii="GHEA Grapalat" w:hAnsi="GHEA Grapalat" w:cs="GHEA Grapalat"/>
          <w:sz w:val="22"/>
          <w:szCs w:val="22"/>
          <w:lang w:val="en-US"/>
        </w:rPr>
        <w:t>պ</w:t>
      </w:r>
      <w:r w:rsidRPr="00C921DE">
        <w:rPr>
          <w:rFonts w:ascii="GHEA Grapalat" w:hAnsi="GHEA Grapalat" w:cs="GHEA Grapalat"/>
          <w:sz w:val="22"/>
          <w:szCs w:val="22"/>
        </w:rPr>
        <w:t>ակասուրդ</w:t>
      </w:r>
      <w:r w:rsidRPr="00C921DE">
        <w:rPr>
          <w:rFonts w:ascii="GHEA Grapalat" w:hAnsi="GHEA Grapalat" w:cs="GHEA Grapalat"/>
          <w:sz w:val="22"/>
          <w:szCs w:val="22"/>
          <w:lang w:val="en-US"/>
        </w:rPr>
        <w:t>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ցածր</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մակարդակ</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է</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արձանագրվել</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նաև</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ՀՆԱ</w:t>
      </w:r>
      <w:r w:rsidRPr="00C921DE">
        <w:rPr>
          <w:rFonts w:ascii="GHEA Grapalat" w:hAnsi="GHEA Grapalat" w:cs="GHEA Grapalat"/>
          <w:sz w:val="22"/>
          <w:szCs w:val="22"/>
          <w:lang w:val="nb-NO"/>
        </w:rPr>
        <w:t>-</w:t>
      </w:r>
      <w:r w:rsidRPr="00C921DE">
        <w:rPr>
          <w:rFonts w:ascii="GHEA Grapalat" w:hAnsi="GHEA Grapalat" w:cs="GHEA Grapalat"/>
          <w:sz w:val="22"/>
          <w:szCs w:val="22"/>
          <w:lang w:val="en-US"/>
        </w:rPr>
        <w:t>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նկատմամբ</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որը</w:t>
      </w:r>
      <w:r w:rsidRPr="00C921DE">
        <w:rPr>
          <w:rFonts w:ascii="GHEA Grapalat" w:hAnsi="GHEA Grapalat" w:cs="GHEA Grapalat"/>
          <w:sz w:val="22"/>
          <w:szCs w:val="22"/>
        </w:rPr>
        <w:t xml:space="preserve"> կազմել է 2.</w:t>
      </w:r>
      <w:r w:rsidRPr="00C921DE">
        <w:rPr>
          <w:rFonts w:ascii="GHEA Grapalat" w:hAnsi="GHEA Grapalat" w:cs="GHEA Grapalat"/>
          <w:sz w:val="22"/>
          <w:szCs w:val="22"/>
          <w:lang w:val="nb-NO"/>
        </w:rPr>
        <w:t>0</w:t>
      </w:r>
      <w:r w:rsidRPr="00C921DE">
        <w:rPr>
          <w:rFonts w:ascii="GHEA Grapalat" w:hAnsi="GHEA Grapalat" w:cs="GHEA Grapalat"/>
          <w:sz w:val="22"/>
          <w:szCs w:val="22"/>
        </w:rPr>
        <w:t>%՝ կանխատեսված 3.1%-ի և 202</w:t>
      </w:r>
      <w:r w:rsidRPr="00C921DE">
        <w:rPr>
          <w:rFonts w:ascii="GHEA Grapalat" w:hAnsi="GHEA Grapalat" w:cs="GHEA Grapalat"/>
          <w:sz w:val="22"/>
          <w:szCs w:val="22"/>
          <w:lang w:val="nb-NO"/>
        </w:rPr>
        <w:t>2</w:t>
      </w:r>
      <w:r w:rsidRPr="00C921DE">
        <w:rPr>
          <w:rFonts w:ascii="GHEA Grapalat" w:hAnsi="GHEA Grapalat" w:cs="GHEA Grapalat"/>
          <w:sz w:val="22"/>
          <w:szCs w:val="22"/>
        </w:rPr>
        <w:t xml:space="preserve"> թվականի </w:t>
      </w:r>
      <w:r w:rsidRPr="00C921DE">
        <w:rPr>
          <w:rFonts w:ascii="GHEA Grapalat" w:hAnsi="GHEA Grapalat" w:cs="GHEA Grapalat"/>
          <w:sz w:val="22"/>
          <w:szCs w:val="22"/>
          <w:lang w:val="nb-NO"/>
        </w:rPr>
        <w:t>2.1</w:t>
      </w:r>
      <w:r w:rsidRPr="00C921DE">
        <w:rPr>
          <w:rFonts w:ascii="GHEA Grapalat" w:hAnsi="GHEA Grapalat" w:cs="GHEA Grapalat"/>
          <w:sz w:val="22"/>
          <w:szCs w:val="22"/>
        </w:rPr>
        <w:t xml:space="preserve">%-ի դիմաց: </w:t>
      </w:r>
      <w:r w:rsidRPr="00C921DE">
        <w:rPr>
          <w:rFonts w:ascii="GHEA Grapalat" w:hAnsi="GHEA Grapalat" w:cs="GHEA Grapalat"/>
          <w:sz w:val="22"/>
          <w:szCs w:val="22"/>
          <w:lang w:val="nb-NO"/>
        </w:rPr>
        <w:t xml:space="preserve">2023 </w:t>
      </w:r>
      <w:r w:rsidRPr="00C921DE">
        <w:rPr>
          <w:rFonts w:ascii="GHEA Grapalat" w:hAnsi="GHEA Grapalat" w:cs="GHEA Grapalat"/>
          <w:sz w:val="22"/>
          <w:szCs w:val="22"/>
        </w:rPr>
        <w:t>թվականին, ինչպես և նախորդ տարի,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պակասուրդն</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ամբողջությամբ</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ֆինանսավոր</w:t>
      </w:r>
      <w:r w:rsidRPr="00C921DE">
        <w:rPr>
          <w:rFonts w:ascii="GHEA Grapalat" w:hAnsi="GHEA Grapalat" w:cs="GHEA Grapalat"/>
          <w:sz w:val="22"/>
          <w:szCs w:val="22"/>
          <w:lang w:val="en-US"/>
        </w:rPr>
        <w:t>վել</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lang w:val="en-US"/>
        </w:rPr>
        <w:t>է</w:t>
      </w:r>
      <w:r w:rsidRPr="00C921DE">
        <w:rPr>
          <w:rFonts w:ascii="GHEA Grapalat" w:hAnsi="GHEA Grapalat" w:cs="GHEA Grapalat"/>
          <w:sz w:val="22"/>
          <w:szCs w:val="22"/>
        </w:rPr>
        <w:t xml:space="preserve"> ներքին աղբյուրների հաշվին</w:t>
      </w:r>
      <w:r w:rsidR="00766D9D" w:rsidRPr="00C921DE">
        <w:rPr>
          <w:rFonts w:ascii="GHEA Grapalat" w:hAnsi="GHEA Grapalat" w:cs="GHEA Grapalat"/>
          <w:sz w:val="22"/>
          <w:szCs w:val="22"/>
          <w:lang w:val="en-US"/>
        </w:rPr>
        <w:t>, իսկ արտաքին աղբյուրներից</w:t>
      </w:r>
      <w:r w:rsidR="00007D8F" w:rsidRPr="00C921DE">
        <w:rPr>
          <w:rFonts w:ascii="GHEA Grapalat" w:hAnsi="GHEA Grapalat" w:cs="GHEA Grapalat"/>
          <w:sz w:val="22"/>
          <w:szCs w:val="22"/>
          <w:lang w:val="en-US"/>
        </w:rPr>
        <w:t xml:space="preserve"> զուտ</w:t>
      </w:r>
      <w:r w:rsidR="00766D9D" w:rsidRPr="00C921DE">
        <w:rPr>
          <w:rFonts w:ascii="GHEA Grapalat" w:hAnsi="GHEA Grapalat" w:cs="GHEA Grapalat"/>
          <w:sz w:val="22"/>
          <w:szCs w:val="22"/>
          <w:lang w:val="en-US"/>
        </w:rPr>
        <w:t xml:space="preserve"> ֆինանսավորումը եղել է բացասական</w:t>
      </w:r>
      <w:r w:rsidRPr="00C921DE">
        <w:rPr>
          <w:rFonts w:ascii="GHEA Grapalat" w:hAnsi="GHEA Grapalat" w:cs="GHEA Grapalat"/>
          <w:sz w:val="22"/>
          <w:szCs w:val="22"/>
          <w:lang w:val="nb-NO"/>
        </w:rPr>
        <w:t>:</w:t>
      </w:r>
    </w:p>
    <w:p w14:paraId="0491F94B" w14:textId="77777777"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lang w:val="nb-NO"/>
        </w:rPr>
      </w:pPr>
    </w:p>
    <w:p w14:paraId="6F156652" w14:textId="77777777" w:rsidR="0046194F" w:rsidRPr="00C921DE" w:rsidRDefault="0046194F" w:rsidP="004C12B8">
      <w:pPr>
        <w:pStyle w:val="a"/>
        <w:rPr>
          <w:lang w:val="nb-NO"/>
        </w:rPr>
      </w:pPr>
      <w:r w:rsidRPr="00C921DE">
        <w:t>ՀՀ</w:t>
      </w:r>
      <w:r w:rsidRPr="00C921DE">
        <w:rPr>
          <w:lang w:val="nb-NO"/>
        </w:rPr>
        <w:t xml:space="preserve"> </w:t>
      </w:r>
      <w:r w:rsidRPr="00C921DE">
        <w:t>պետական</w:t>
      </w:r>
      <w:r w:rsidRPr="00C921DE">
        <w:rPr>
          <w:lang w:val="nb-NO"/>
        </w:rPr>
        <w:t xml:space="preserve"> </w:t>
      </w:r>
      <w:r w:rsidRPr="00C921DE">
        <w:t>բյուջեի</w:t>
      </w:r>
      <w:r w:rsidRPr="00C921DE">
        <w:rPr>
          <w:lang w:val="nb-NO"/>
        </w:rPr>
        <w:t xml:space="preserve"> </w:t>
      </w:r>
      <w:r w:rsidRPr="00C921DE">
        <w:t>դեֆիցիտը</w:t>
      </w:r>
      <w:r w:rsidRPr="00C921DE">
        <w:rPr>
          <w:lang w:val="nb-NO"/>
        </w:rPr>
        <w:t xml:space="preserve"> 202</w:t>
      </w:r>
      <w:r w:rsidRPr="00C921DE">
        <w:rPr>
          <w:lang w:val="hy-AM"/>
        </w:rPr>
        <w:t>1</w:t>
      </w:r>
      <w:r w:rsidRPr="00C921DE">
        <w:rPr>
          <w:lang w:val="nb-NO"/>
        </w:rPr>
        <w:t>-202</w:t>
      </w:r>
      <w:r w:rsidRPr="00C921DE">
        <w:rPr>
          <w:lang w:val="hy-AM"/>
        </w:rPr>
        <w:t>3</w:t>
      </w:r>
      <w:r w:rsidRPr="00C921DE">
        <w:t>թթ</w:t>
      </w:r>
      <w:r w:rsidRPr="00C921DE">
        <w:rPr>
          <w:lang w:val="nb-NO"/>
        </w:rPr>
        <w:t xml:space="preserve">., </w:t>
      </w:r>
      <w:r w:rsidRPr="00C921DE">
        <w:t>մլրդ</w:t>
      </w:r>
      <w:r w:rsidRPr="00C921DE">
        <w:rPr>
          <w:lang w:val="nb-NO"/>
        </w:rPr>
        <w:t xml:space="preserve"> </w:t>
      </w:r>
      <w:r w:rsidRPr="00C921DE">
        <w:t>դրամ</w:t>
      </w:r>
    </w:p>
    <w:p w14:paraId="23033AD9" w14:textId="407B5915" w:rsidR="0046194F" w:rsidRPr="00C921DE" w:rsidRDefault="0046194F" w:rsidP="0046194F">
      <w:pPr>
        <w:autoSpaceDE w:val="0"/>
        <w:autoSpaceDN w:val="0"/>
        <w:adjustRightInd w:val="0"/>
        <w:spacing w:line="360" w:lineRule="auto"/>
        <w:jc w:val="both"/>
        <w:rPr>
          <w:rFonts w:ascii="GHEA Grapalat" w:hAnsi="GHEA Grapalat"/>
          <w:sz w:val="22"/>
          <w:szCs w:val="22"/>
          <w:lang w:val="nb-NO"/>
        </w:rPr>
      </w:pPr>
      <w:r w:rsidRPr="00C921DE">
        <w:rPr>
          <w:rFonts w:ascii="GHEA Grapalat" w:hAnsi="GHEA Grapalat"/>
          <w:sz w:val="22"/>
          <w:szCs w:val="22"/>
          <w:lang w:val="en-US"/>
        </w:rPr>
        <w:drawing>
          <wp:inline distT="0" distB="0" distL="0" distR="0" wp14:anchorId="6596A8FD" wp14:editId="6931F037">
            <wp:extent cx="6019165" cy="2655736"/>
            <wp:effectExtent l="0" t="0" r="635" b="11430"/>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DF54F67"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nb-NO"/>
        </w:rPr>
      </w:pPr>
    </w:p>
    <w:p w14:paraId="56F40193" w14:textId="05CBAC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nb-NO"/>
        </w:rPr>
      </w:pPr>
      <w:r w:rsidRPr="00C921DE">
        <w:rPr>
          <w:rFonts w:ascii="GHEA Grapalat" w:hAnsi="GHEA Grapalat"/>
          <w:sz w:val="22"/>
          <w:szCs w:val="22"/>
          <w:lang w:val="nb-NO"/>
        </w:rPr>
        <w:t xml:space="preserve">Հաշվետու ժամանակահատվածում </w:t>
      </w:r>
      <w:r w:rsidRPr="00C921DE">
        <w:rPr>
          <w:rFonts w:ascii="GHEA Grapalat" w:hAnsi="GHEA Grapalat"/>
          <w:i/>
          <w:sz w:val="22"/>
          <w:szCs w:val="22"/>
        </w:rPr>
        <w:t>ներքին փոխառու միջոցներից</w:t>
      </w:r>
      <w:r w:rsidRPr="00C921DE">
        <w:rPr>
          <w:rFonts w:ascii="GHEA Grapalat" w:hAnsi="GHEA Grapalat"/>
          <w:sz w:val="22"/>
          <w:szCs w:val="22"/>
        </w:rPr>
        <w:t xml:space="preserve"> պետական բյուջեն ֆինանսավորվել է գանձապետական պարտատոմսերի տեղաբաշխումից զուտ մուտքերի հաշվին, որոնք </w:t>
      </w:r>
      <w:r w:rsidRPr="00C921DE">
        <w:rPr>
          <w:rFonts w:ascii="GHEA Grapalat" w:hAnsi="GHEA Grapalat"/>
          <w:sz w:val="22"/>
          <w:szCs w:val="22"/>
          <w:lang w:val="nb-NO"/>
        </w:rPr>
        <w:t>93.6%</w:t>
      </w:r>
      <w:r w:rsidRPr="00C921DE">
        <w:rPr>
          <w:rFonts w:ascii="GHEA Grapalat" w:hAnsi="GHEA Grapalat"/>
          <w:sz w:val="22"/>
          <w:szCs w:val="22"/>
        </w:rPr>
        <w:t xml:space="preserve">-ով </w:t>
      </w:r>
      <w:r w:rsidRPr="00C921DE">
        <w:rPr>
          <w:rFonts w:ascii="GHEA Grapalat" w:hAnsi="GHEA Grapalat"/>
          <w:sz w:val="22"/>
          <w:szCs w:val="22"/>
          <w:lang w:val="en-US"/>
        </w:rPr>
        <w:t>ապահովել</w:t>
      </w:r>
      <w:r w:rsidRPr="00C921DE">
        <w:rPr>
          <w:rFonts w:ascii="GHEA Grapalat" w:hAnsi="GHEA Grapalat"/>
          <w:sz w:val="22"/>
          <w:szCs w:val="22"/>
          <w:lang w:val="nb-NO"/>
        </w:rPr>
        <w:t xml:space="preserve"> </w:t>
      </w:r>
      <w:r w:rsidRPr="00C921DE">
        <w:rPr>
          <w:rFonts w:ascii="GHEA Grapalat" w:hAnsi="GHEA Grapalat"/>
          <w:sz w:val="22"/>
          <w:szCs w:val="22"/>
          <w:lang w:val="en-US"/>
        </w:rPr>
        <w:t>են</w:t>
      </w:r>
      <w:r w:rsidRPr="00C921DE">
        <w:rPr>
          <w:rFonts w:ascii="GHEA Grapalat" w:hAnsi="GHEA Grapalat"/>
          <w:sz w:val="22"/>
          <w:szCs w:val="22"/>
          <w:lang w:val="nb-NO"/>
        </w:rPr>
        <w:t xml:space="preserve"> </w:t>
      </w:r>
      <w:r w:rsidR="00B74439" w:rsidRPr="00C921DE">
        <w:rPr>
          <w:rFonts w:ascii="GHEA Grapalat" w:hAnsi="GHEA Grapalat"/>
          <w:sz w:val="22"/>
          <w:szCs w:val="22"/>
          <w:lang w:val="en-US"/>
        </w:rPr>
        <w:t>ծրագր</w:t>
      </w:r>
      <w:r w:rsidRPr="00C921DE">
        <w:rPr>
          <w:rFonts w:ascii="GHEA Grapalat" w:hAnsi="GHEA Grapalat"/>
          <w:sz w:val="22"/>
          <w:szCs w:val="22"/>
          <w:lang w:val="en-US"/>
        </w:rPr>
        <w:t>ված</w:t>
      </w:r>
      <w:r w:rsidRPr="00C921DE">
        <w:rPr>
          <w:rFonts w:ascii="GHEA Grapalat" w:hAnsi="GHEA Grapalat"/>
          <w:sz w:val="22"/>
          <w:szCs w:val="22"/>
          <w:lang w:val="nb-NO"/>
        </w:rPr>
        <w:t xml:space="preserve"> </w:t>
      </w:r>
      <w:r w:rsidRPr="00C921DE">
        <w:rPr>
          <w:rFonts w:ascii="GHEA Grapalat" w:hAnsi="GHEA Grapalat"/>
          <w:sz w:val="22"/>
          <w:szCs w:val="22"/>
          <w:lang w:val="en-US"/>
        </w:rPr>
        <w:t>ցուցանիշը</w:t>
      </w:r>
      <w:r w:rsidRPr="00C921DE">
        <w:rPr>
          <w:rFonts w:ascii="GHEA Grapalat" w:hAnsi="GHEA Grapalat"/>
          <w:sz w:val="22"/>
          <w:szCs w:val="22"/>
          <w:lang w:val="nb-NO"/>
        </w:rPr>
        <w:t xml:space="preserve"> </w:t>
      </w:r>
      <w:r w:rsidRPr="00C921DE">
        <w:rPr>
          <w:rFonts w:ascii="GHEA Grapalat" w:hAnsi="GHEA Grapalat"/>
          <w:sz w:val="22"/>
          <w:szCs w:val="22"/>
          <w:lang w:val="en-US"/>
        </w:rPr>
        <w:t>և</w:t>
      </w:r>
      <w:r w:rsidRPr="00C921DE">
        <w:rPr>
          <w:rFonts w:ascii="GHEA Grapalat" w:hAnsi="GHEA Grapalat"/>
          <w:sz w:val="22"/>
          <w:szCs w:val="22"/>
          <w:lang w:val="nb-NO"/>
        </w:rPr>
        <w:t xml:space="preserve"> </w:t>
      </w:r>
      <w:r w:rsidRPr="00C921DE">
        <w:rPr>
          <w:rFonts w:ascii="GHEA Grapalat" w:hAnsi="GHEA Grapalat"/>
          <w:sz w:val="22"/>
          <w:szCs w:val="22"/>
          <w:lang w:val="en-US"/>
        </w:rPr>
        <w:t>կազմել</w:t>
      </w:r>
      <w:r w:rsidRPr="00C921DE">
        <w:rPr>
          <w:rFonts w:ascii="GHEA Grapalat" w:hAnsi="GHEA Grapalat"/>
          <w:sz w:val="22"/>
          <w:szCs w:val="22"/>
          <w:lang w:val="nb-NO"/>
        </w:rPr>
        <w:t xml:space="preserve"> </w:t>
      </w:r>
      <w:r w:rsidRPr="00C921DE">
        <w:rPr>
          <w:rFonts w:ascii="GHEA Grapalat" w:hAnsi="GHEA Grapalat"/>
          <w:sz w:val="22"/>
          <w:szCs w:val="22"/>
        </w:rPr>
        <w:t xml:space="preserve">360.3 մլրդ դրամ: </w:t>
      </w:r>
      <w:r w:rsidRPr="00C921DE">
        <w:rPr>
          <w:rFonts w:ascii="GHEA Grapalat" w:hAnsi="GHEA Grapalat" w:cs="GHEA Grapalat"/>
          <w:sz w:val="22"/>
          <w:szCs w:val="22"/>
        </w:rPr>
        <w:t>20</w:t>
      </w:r>
      <w:r w:rsidRPr="00C921DE">
        <w:rPr>
          <w:rFonts w:ascii="GHEA Grapalat" w:hAnsi="GHEA Grapalat" w:cs="GHEA Grapalat"/>
          <w:sz w:val="22"/>
          <w:szCs w:val="22"/>
          <w:lang w:val="nb-NO"/>
        </w:rPr>
        <w:t xml:space="preserve">22 </w:t>
      </w:r>
      <w:r w:rsidRPr="00C921DE">
        <w:rPr>
          <w:rFonts w:ascii="GHEA Grapalat" w:hAnsi="GHEA Grapalat" w:cs="GHEA Grapalat"/>
          <w:sz w:val="22"/>
          <w:szCs w:val="22"/>
        </w:rPr>
        <w:t>թվականի ընթացքում ընդհանուր առմամբ</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տեղաբաշխվել</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են</w:t>
      </w:r>
      <w:r w:rsidRPr="00C921DE">
        <w:rPr>
          <w:rFonts w:ascii="GHEA Grapalat" w:hAnsi="GHEA Grapalat" w:cs="GHEA Grapalat"/>
          <w:sz w:val="22"/>
          <w:szCs w:val="22"/>
          <w:lang w:val="nb-NO"/>
        </w:rPr>
        <w:t xml:space="preserve"> 829,549.64 </w:t>
      </w:r>
      <w:r w:rsidRPr="00C921DE">
        <w:rPr>
          <w:rFonts w:ascii="GHEA Grapalat" w:hAnsi="GHEA Grapalat" w:cs="GHEA Grapalat"/>
          <w:sz w:val="22"/>
          <w:szCs w:val="22"/>
        </w:rPr>
        <w:t>մլն դրամի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պարտատոմսեր</w:t>
      </w:r>
      <w:r w:rsidR="003E21AF" w:rsidRPr="00C921DE">
        <w:rPr>
          <w:rFonts w:ascii="GHEA Grapalat" w:hAnsi="GHEA Grapalat" w:cs="GHEA Grapalat"/>
          <w:sz w:val="22"/>
          <w:szCs w:val="22"/>
        </w:rPr>
        <w:t xml:space="preserve"> (այդ թվում՝ ՀՀ կառավարության 2023 թվականի դեկտեմբերի 28-ի N 2326-Ն որոշման հիման վրա տեղաբաշխված 206.4 մլրդ դրամ ծավալով պարտատոմսերը)</w:t>
      </w:r>
      <w:r w:rsidRPr="00C921DE">
        <w:rPr>
          <w:rFonts w:ascii="GHEA Grapalat" w:hAnsi="GHEA Grapalat" w:cs="GHEA Grapalat"/>
          <w:sz w:val="22"/>
          <w:szCs w:val="22"/>
        </w:rPr>
        <w:t>, և տեղաբաշխումից</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ստացված</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մուտքը</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կազմել</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է</w:t>
      </w:r>
      <w:r w:rsidRPr="00C921DE">
        <w:rPr>
          <w:rFonts w:ascii="GHEA Grapalat" w:hAnsi="GHEA Grapalat" w:cs="GHEA Grapalat"/>
          <w:sz w:val="22"/>
          <w:szCs w:val="22"/>
          <w:lang w:val="nb-NO"/>
        </w:rPr>
        <w:t xml:space="preserve"> 584,072.82 </w:t>
      </w:r>
      <w:r w:rsidRPr="00C921DE">
        <w:rPr>
          <w:rFonts w:ascii="GHEA Grapalat" w:hAnsi="GHEA Grapalat" w:cs="GHEA Grapalat"/>
          <w:sz w:val="22"/>
          <w:szCs w:val="22"/>
        </w:rPr>
        <w:t>մլն</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դրամ</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իսկ</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պարտատոմսերի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մարմանը</w:t>
      </w:r>
      <w:r w:rsidRPr="00C921DE">
        <w:rPr>
          <w:rFonts w:ascii="GHEA Grapalat" w:hAnsi="GHEA Grapalat" w:cs="GHEA Grapalat"/>
          <w:sz w:val="22"/>
          <w:szCs w:val="22"/>
          <w:lang w:val="nb-NO"/>
        </w:rPr>
        <w:t>/</w:t>
      </w:r>
      <w:r w:rsidRPr="00C921DE">
        <w:rPr>
          <w:rFonts w:ascii="GHEA Grapalat" w:hAnsi="GHEA Grapalat" w:cs="GHEA Grapalat"/>
          <w:sz w:val="22"/>
          <w:szCs w:val="22"/>
        </w:rPr>
        <w:t>հետգնմանն</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ուղղվել</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է</w:t>
      </w:r>
      <w:r w:rsidRPr="00C921DE">
        <w:rPr>
          <w:rFonts w:ascii="GHEA Grapalat" w:hAnsi="GHEA Grapalat" w:cs="GHEA Grapalat"/>
          <w:sz w:val="22"/>
          <w:szCs w:val="22"/>
          <w:lang w:val="nb-NO"/>
        </w:rPr>
        <w:t xml:space="preserve"> 223,802.83 </w:t>
      </w:r>
      <w:r w:rsidRPr="00C921DE">
        <w:rPr>
          <w:rFonts w:ascii="GHEA Grapalat" w:hAnsi="GHEA Grapalat" w:cs="GHEA Grapalat"/>
          <w:sz w:val="22"/>
          <w:szCs w:val="22"/>
        </w:rPr>
        <w:t>մլն</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դրամ</w:t>
      </w:r>
      <w:r w:rsidRPr="00C921DE">
        <w:rPr>
          <w:rFonts w:ascii="GHEA Grapalat" w:hAnsi="GHEA Grapalat" w:cs="GHEA Grapalat"/>
          <w:sz w:val="22"/>
          <w:szCs w:val="22"/>
          <w:lang w:val="nb-NO"/>
        </w:rPr>
        <w:t xml:space="preserve">: </w:t>
      </w:r>
      <w:r w:rsidRPr="00C921DE">
        <w:rPr>
          <w:rFonts w:ascii="GHEA Grapalat" w:hAnsi="GHEA Grapalat"/>
          <w:sz w:val="22"/>
          <w:szCs w:val="22"/>
          <w:lang w:val="nb-NO"/>
        </w:rPr>
        <w:t>Հաշվետու տարում</w:t>
      </w:r>
      <w:r w:rsidRPr="00C921DE">
        <w:rPr>
          <w:rFonts w:ascii="GHEA Grapalat" w:hAnsi="GHEA Grapalat"/>
          <w:sz w:val="22"/>
          <w:szCs w:val="22"/>
        </w:rPr>
        <w:t xml:space="preserve"> </w:t>
      </w:r>
      <w:r w:rsidRPr="00C921DE">
        <w:rPr>
          <w:rFonts w:ascii="GHEA Grapalat" w:hAnsi="GHEA Grapalat"/>
          <w:sz w:val="22"/>
          <w:szCs w:val="22"/>
          <w:lang w:val="nb-NO"/>
        </w:rPr>
        <w:t xml:space="preserve">տեղաբաշխվել են </w:t>
      </w:r>
      <w:r w:rsidR="00285B0F" w:rsidRPr="00C921DE">
        <w:rPr>
          <w:rFonts w:ascii="GHEA Grapalat" w:hAnsi="GHEA Grapalat"/>
          <w:sz w:val="22"/>
          <w:szCs w:val="22"/>
        </w:rPr>
        <w:t>3,350.26</w:t>
      </w:r>
      <w:r w:rsidR="00285B0F" w:rsidRPr="00C921DE">
        <w:rPr>
          <w:rFonts w:ascii="Calibri" w:hAnsi="Calibri" w:cs="Calibri"/>
          <w:sz w:val="22"/>
          <w:szCs w:val="22"/>
          <w:lang w:val="en-US"/>
        </w:rPr>
        <w:t> </w:t>
      </w:r>
      <w:r w:rsidRPr="00C921DE">
        <w:rPr>
          <w:rFonts w:ascii="GHEA Grapalat" w:hAnsi="GHEA Grapalat"/>
          <w:sz w:val="22"/>
          <w:szCs w:val="22"/>
          <w:lang w:val="nb-NO"/>
        </w:rPr>
        <w:t xml:space="preserve">մլն դրամի խնայողական արժեկտրոնային պարտատոմսեր, որոնցից մուտքը կազմել է </w:t>
      </w:r>
      <w:bookmarkStart w:id="262" w:name="OLE_LINK21"/>
      <w:bookmarkStart w:id="263" w:name="OLE_LINK20"/>
      <w:r w:rsidRPr="00C921DE">
        <w:rPr>
          <w:rFonts w:ascii="GHEA Grapalat" w:hAnsi="GHEA Grapalat"/>
          <w:sz w:val="22"/>
          <w:szCs w:val="22"/>
        </w:rPr>
        <w:t xml:space="preserve">3,198.26 </w:t>
      </w:r>
      <w:r w:rsidRPr="00C921DE">
        <w:rPr>
          <w:rFonts w:ascii="GHEA Grapalat" w:hAnsi="GHEA Grapalat"/>
          <w:sz w:val="22"/>
          <w:szCs w:val="22"/>
          <w:lang w:val="nb-NO"/>
        </w:rPr>
        <w:t>մլն</w:t>
      </w:r>
      <w:bookmarkEnd w:id="262"/>
      <w:bookmarkEnd w:id="263"/>
      <w:r w:rsidRPr="00C921DE">
        <w:rPr>
          <w:rFonts w:ascii="GHEA Grapalat" w:hAnsi="GHEA Grapalat"/>
          <w:sz w:val="22"/>
          <w:szCs w:val="22"/>
          <w:lang w:val="nb-NO"/>
        </w:rPr>
        <w:t xml:space="preserve"> դրամ: </w:t>
      </w:r>
    </w:p>
    <w:p w14:paraId="69ED5877" w14:textId="1692809B"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nb-NO"/>
        </w:rPr>
      </w:pPr>
      <w:r w:rsidRPr="00C921DE">
        <w:rPr>
          <w:rFonts w:ascii="GHEA Grapalat" w:hAnsi="GHEA Grapalat"/>
          <w:sz w:val="22"/>
          <w:szCs w:val="22"/>
        </w:rPr>
        <w:t>Կատարված</w:t>
      </w:r>
      <w:r w:rsidRPr="00C921DE">
        <w:rPr>
          <w:rFonts w:ascii="GHEA Grapalat" w:hAnsi="GHEA Grapalat"/>
          <w:sz w:val="22"/>
          <w:szCs w:val="22"/>
          <w:lang w:val="nb-NO"/>
        </w:rPr>
        <w:t xml:space="preserve"> </w:t>
      </w:r>
      <w:r w:rsidRPr="00C921DE">
        <w:rPr>
          <w:rFonts w:ascii="GHEA Grapalat" w:hAnsi="GHEA Grapalat"/>
          <w:sz w:val="22"/>
          <w:szCs w:val="22"/>
        </w:rPr>
        <w:t>գործառնությունների</w:t>
      </w:r>
      <w:r w:rsidRPr="00C921DE">
        <w:rPr>
          <w:rFonts w:ascii="GHEA Grapalat" w:hAnsi="GHEA Grapalat"/>
          <w:sz w:val="22"/>
          <w:szCs w:val="22"/>
          <w:lang w:val="nb-NO"/>
        </w:rPr>
        <w:t xml:space="preserve"> </w:t>
      </w:r>
      <w:r w:rsidRPr="00C921DE">
        <w:rPr>
          <w:rFonts w:ascii="GHEA Grapalat" w:hAnsi="GHEA Grapalat"/>
          <w:sz w:val="22"/>
          <w:szCs w:val="22"/>
        </w:rPr>
        <w:t>արդյունքում</w:t>
      </w:r>
      <w:r w:rsidRPr="00C921DE">
        <w:rPr>
          <w:rFonts w:ascii="GHEA Grapalat" w:hAnsi="GHEA Grapalat"/>
          <w:sz w:val="22"/>
          <w:szCs w:val="22"/>
          <w:lang w:val="nb-NO"/>
        </w:rPr>
        <w:t xml:space="preserve"> </w:t>
      </w:r>
      <w:r w:rsidRPr="00C921DE">
        <w:rPr>
          <w:rFonts w:ascii="GHEA Grapalat" w:hAnsi="GHEA Grapalat"/>
          <w:sz w:val="22"/>
          <w:szCs w:val="22"/>
        </w:rPr>
        <w:t>20</w:t>
      </w:r>
      <w:r w:rsidRPr="00C921DE">
        <w:rPr>
          <w:rFonts w:ascii="GHEA Grapalat" w:hAnsi="GHEA Grapalat"/>
          <w:sz w:val="22"/>
          <w:szCs w:val="22"/>
          <w:lang w:val="nb-NO"/>
        </w:rPr>
        <w:t>2</w:t>
      </w:r>
      <w:r w:rsidRPr="00C921DE">
        <w:rPr>
          <w:rFonts w:ascii="GHEA Grapalat" w:hAnsi="GHEA Grapalat"/>
          <w:sz w:val="22"/>
          <w:szCs w:val="22"/>
        </w:rPr>
        <w:t>3</w:t>
      </w:r>
      <w:r w:rsidRPr="00C921DE">
        <w:rPr>
          <w:rFonts w:ascii="GHEA Grapalat" w:hAnsi="GHEA Grapalat"/>
          <w:sz w:val="22"/>
          <w:szCs w:val="22"/>
          <w:lang w:val="nb-NO"/>
        </w:rPr>
        <w:t xml:space="preserve"> </w:t>
      </w:r>
      <w:r w:rsidRPr="00C921DE">
        <w:rPr>
          <w:rFonts w:ascii="GHEA Grapalat" w:hAnsi="GHEA Grapalat"/>
          <w:sz w:val="22"/>
          <w:szCs w:val="22"/>
        </w:rPr>
        <w:t>թվականի</w:t>
      </w:r>
      <w:r w:rsidRPr="00C921DE">
        <w:rPr>
          <w:rFonts w:ascii="GHEA Grapalat" w:hAnsi="GHEA Grapalat"/>
          <w:sz w:val="22"/>
          <w:szCs w:val="22"/>
          <w:lang w:val="nb-NO"/>
        </w:rPr>
        <w:t xml:space="preserve"> </w:t>
      </w:r>
      <w:r w:rsidRPr="00C921DE">
        <w:rPr>
          <w:rFonts w:ascii="GHEA Grapalat" w:hAnsi="GHEA Grapalat"/>
          <w:sz w:val="22"/>
          <w:szCs w:val="22"/>
        </w:rPr>
        <w:t>դեկտեմբերի</w:t>
      </w:r>
      <w:r w:rsidRPr="00C921DE">
        <w:rPr>
          <w:rFonts w:ascii="GHEA Grapalat" w:hAnsi="GHEA Grapalat"/>
          <w:sz w:val="22"/>
          <w:szCs w:val="22"/>
          <w:lang w:val="nb-NO"/>
        </w:rPr>
        <w:t xml:space="preserve"> 31-</w:t>
      </w:r>
      <w:r w:rsidRPr="00C921DE">
        <w:rPr>
          <w:rFonts w:ascii="GHEA Grapalat" w:hAnsi="GHEA Grapalat"/>
          <w:sz w:val="22"/>
          <w:szCs w:val="22"/>
        </w:rPr>
        <w:t>ի</w:t>
      </w:r>
      <w:r w:rsidRPr="00C921DE">
        <w:rPr>
          <w:rFonts w:ascii="GHEA Grapalat" w:hAnsi="GHEA Grapalat"/>
          <w:sz w:val="22"/>
          <w:szCs w:val="22"/>
          <w:lang w:val="nb-NO"/>
        </w:rPr>
        <w:t xml:space="preserve"> </w:t>
      </w:r>
      <w:r w:rsidRPr="00C921DE">
        <w:rPr>
          <w:rFonts w:ascii="GHEA Grapalat" w:hAnsi="GHEA Grapalat"/>
          <w:sz w:val="22"/>
          <w:szCs w:val="22"/>
        </w:rPr>
        <w:t>դրությամբ</w:t>
      </w:r>
      <w:r w:rsidRPr="00C921DE">
        <w:rPr>
          <w:rFonts w:ascii="GHEA Grapalat" w:hAnsi="GHEA Grapalat"/>
          <w:sz w:val="22"/>
          <w:szCs w:val="22"/>
          <w:lang w:val="nb-NO"/>
        </w:rPr>
        <w:t xml:space="preserve"> </w:t>
      </w:r>
      <w:r w:rsidRPr="00C921DE">
        <w:rPr>
          <w:rFonts w:ascii="GHEA Grapalat" w:hAnsi="GHEA Grapalat"/>
          <w:sz w:val="22"/>
          <w:szCs w:val="22"/>
        </w:rPr>
        <w:t>պետական</w:t>
      </w:r>
      <w:r w:rsidRPr="00C921DE">
        <w:rPr>
          <w:rFonts w:ascii="GHEA Grapalat" w:hAnsi="GHEA Grapalat"/>
          <w:sz w:val="22"/>
          <w:szCs w:val="22"/>
          <w:lang w:val="nb-NO"/>
        </w:rPr>
        <w:t xml:space="preserve"> </w:t>
      </w:r>
      <w:r w:rsidRPr="00C921DE">
        <w:rPr>
          <w:rFonts w:ascii="GHEA Grapalat" w:hAnsi="GHEA Grapalat"/>
          <w:sz w:val="22"/>
          <w:szCs w:val="22"/>
        </w:rPr>
        <w:t>գանձապետական</w:t>
      </w:r>
      <w:r w:rsidRPr="00C921DE">
        <w:rPr>
          <w:rFonts w:ascii="GHEA Grapalat" w:hAnsi="GHEA Grapalat"/>
          <w:sz w:val="22"/>
          <w:szCs w:val="22"/>
          <w:lang w:val="nb-NO"/>
        </w:rPr>
        <w:t xml:space="preserve"> </w:t>
      </w:r>
      <w:r w:rsidRPr="00C921DE">
        <w:rPr>
          <w:rFonts w:ascii="GHEA Grapalat" w:hAnsi="GHEA Grapalat"/>
          <w:sz w:val="22"/>
          <w:szCs w:val="22"/>
        </w:rPr>
        <w:t>պարտատոմսերը բնութագրող ցուցանիշները եղել</w:t>
      </w:r>
      <w:r w:rsidRPr="00C921DE">
        <w:rPr>
          <w:rFonts w:ascii="GHEA Grapalat" w:hAnsi="GHEA Grapalat"/>
          <w:sz w:val="22"/>
          <w:szCs w:val="22"/>
          <w:lang w:val="nb-NO"/>
        </w:rPr>
        <w:t xml:space="preserve"> </w:t>
      </w:r>
      <w:r w:rsidRPr="00C921DE">
        <w:rPr>
          <w:rFonts w:ascii="GHEA Grapalat" w:hAnsi="GHEA Grapalat"/>
          <w:sz w:val="22"/>
          <w:szCs w:val="22"/>
        </w:rPr>
        <w:t>են</w:t>
      </w:r>
      <w:r w:rsidRPr="00C921DE">
        <w:rPr>
          <w:rFonts w:ascii="GHEA Grapalat" w:hAnsi="GHEA Grapalat"/>
          <w:sz w:val="22"/>
          <w:szCs w:val="22"/>
          <w:lang w:val="nb-NO"/>
        </w:rPr>
        <w:t xml:space="preserve"> </w:t>
      </w:r>
      <w:r w:rsidRPr="00C921DE">
        <w:rPr>
          <w:rFonts w:ascii="GHEA Grapalat" w:hAnsi="GHEA Grapalat"/>
          <w:sz w:val="22"/>
          <w:szCs w:val="22"/>
        </w:rPr>
        <w:t>հետևյալը.</w:t>
      </w:r>
    </w:p>
    <w:p w14:paraId="5167B4EE"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 xml:space="preserve">միջին կշռված եկամտաբերությունը կազմել է </w:t>
      </w:r>
      <w:r w:rsidRPr="00C921DE">
        <w:rPr>
          <w:rFonts w:ascii="GHEA Grapalat" w:hAnsi="GHEA Grapalat" w:cs="GHEA Grapalat"/>
          <w:sz w:val="22"/>
          <w:szCs w:val="22"/>
          <w:lang w:val="nb-NO"/>
        </w:rPr>
        <w:t>10.</w:t>
      </w:r>
      <w:r w:rsidRPr="00C921DE">
        <w:rPr>
          <w:rFonts w:ascii="GHEA Grapalat" w:hAnsi="GHEA Grapalat" w:cs="GHEA Grapalat"/>
          <w:sz w:val="22"/>
          <w:szCs w:val="22"/>
        </w:rPr>
        <w:t>72</w:t>
      </w:r>
      <w:r w:rsidRPr="00C921DE">
        <w:rPr>
          <w:rFonts w:ascii="GHEA Grapalat" w:hAnsi="GHEA Grapalat" w:cs="GHEA Grapalat"/>
          <w:sz w:val="22"/>
          <w:szCs w:val="22"/>
          <w:lang w:val="nb-NO"/>
        </w:rPr>
        <w:t>% (202</w:t>
      </w:r>
      <w:r w:rsidRPr="00C921DE">
        <w:rPr>
          <w:rFonts w:ascii="GHEA Grapalat" w:hAnsi="GHEA Grapalat" w:cs="GHEA Grapalat"/>
          <w:sz w:val="22"/>
          <w:szCs w:val="22"/>
        </w:rPr>
        <w:t>2թ</w:t>
      </w:r>
      <w:r w:rsidRPr="00C921DE">
        <w:rPr>
          <w:rFonts w:ascii="GHEA Grapalat" w:hAnsi="GHEA Grapalat" w:cs="GHEA Grapalat"/>
          <w:sz w:val="22"/>
          <w:szCs w:val="22"/>
          <w:lang w:val="nb-NO"/>
        </w:rPr>
        <w:t>.` 10.</w:t>
      </w:r>
      <w:r w:rsidRPr="00C921DE">
        <w:rPr>
          <w:rFonts w:ascii="GHEA Grapalat" w:hAnsi="GHEA Grapalat" w:cs="GHEA Grapalat"/>
          <w:sz w:val="22"/>
          <w:szCs w:val="22"/>
        </w:rPr>
        <w:t>55</w:t>
      </w:r>
      <w:r w:rsidRPr="00C921DE">
        <w:rPr>
          <w:rFonts w:ascii="GHEA Grapalat" w:hAnsi="GHEA Grapalat" w:cs="GHEA Grapalat"/>
          <w:sz w:val="22"/>
          <w:szCs w:val="22"/>
          <w:lang w:val="nb-NO"/>
        </w:rPr>
        <w:t>%),</w:t>
      </w:r>
    </w:p>
    <w:p w14:paraId="1294F74A"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մինչև մարումը մնացած միջին ժամկետայնությունը` 2,932 օր (2022թ.՝ 3,204 օր).</w:t>
      </w:r>
    </w:p>
    <w:p w14:paraId="77DF89C7"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մարման բեռի բաշխվածությունը մինչև 2052 թվականն է.</w:t>
      </w:r>
    </w:p>
    <w:p w14:paraId="55B58476"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շրջանառության մեջ գտնվող պարտատոմսերի ծավալն անվանական արժեքով կազմել է 2,092,857.48 մլն դրամ</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2022թ.</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 xml:space="preserve">1,496,250.60 </w:t>
      </w:r>
      <w:r w:rsidRPr="00C921DE">
        <w:rPr>
          <w:rFonts w:ascii="GHEA Grapalat" w:hAnsi="GHEA Grapalat" w:cs="GHEA Grapalat"/>
          <w:sz w:val="22"/>
          <w:szCs w:val="22"/>
          <w:lang w:val="nb-NO"/>
        </w:rPr>
        <w:t>մլ</w:t>
      </w:r>
      <w:r w:rsidRPr="00C921DE">
        <w:rPr>
          <w:rFonts w:ascii="GHEA Grapalat" w:hAnsi="GHEA Grapalat" w:cs="GHEA Grapalat"/>
          <w:sz w:val="22"/>
          <w:szCs w:val="22"/>
        </w:rPr>
        <w:t>ն</w:t>
      </w:r>
      <w:r w:rsidRPr="00C921DE">
        <w:rPr>
          <w:rFonts w:ascii="GHEA Grapalat" w:hAnsi="GHEA Grapalat" w:cs="GHEA Grapalat"/>
          <w:sz w:val="22"/>
          <w:szCs w:val="22"/>
          <w:lang w:val="nb-NO"/>
        </w:rPr>
        <w:t xml:space="preserve"> դրամ),</w:t>
      </w:r>
      <w:r w:rsidRPr="00C921DE">
        <w:rPr>
          <w:rFonts w:ascii="GHEA Grapalat" w:hAnsi="GHEA Grapalat" w:cs="GHEA Grapalat"/>
          <w:sz w:val="22"/>
          <w:szCs w:val="22"/>
        </w:rPr>
        <w:t xml:space="preserve"> </w:t>
      </w:r>
      <w:r w:rsidRPr="00C921DE">
        <w:rPr>
          <w:rFonts w:ascii="GHEA Grapalat" w:hAnsi="GHEA Grapalat" w:cs="GHEA Grapalat"/>
          <w:sz w:val="22"/>
          <w:szCs w:val="22"/>
          <w:lang w:val="nb-NO"/>
        </w:rPr>
        <w:t>որի 6.</w:t>
      </w:r>
      <w:r w:rsidRPr="00C921DE">
        <w:rPr>
          <w:rFonts w:ascii="GHEA Grapalat" w:hAnsi="GHEA Grapalat" w:cs="GHEA Grapalat"/>
          <w:sz w:val="22"/>
          <w:szCs w:val="22"/>
        </w:rPr>
        <w:t>13</w:t>
      </w:r>
      <w:r w:rsidRPr="00C921DE">
        <w:rPr>
          <w:rFonts w:ascii="GHEA Grapalat" w:hAnsi="GHEA Grapalat" w:cs="GHEA Grapalat"/>
          <w:sz w:val="22"/>
          <w:szCs w:val="22"/>
          <w:lang w:val="nb-NO"/>
        </w:rPr>
        <w:t>%-ը (</w:t>
      </w:r>
      <w:r w:rsidRPr="00C921DE">
        <w:rPr>
          <w:rFonts w:ascii="GHEA Grapalat" w:hAnsi="GHEA Grapalat" w:cs="GHEA Grapalat"/>
          <w:sz w:val="22"/>
          <w:szCs w:val="22"/>
        </w:rPr>
        <w:t>128.36</w:t>
      </w:r>
      <w:r w:rsidRPr="00C921DE">
        <w:rPr>
          <w:rFonts w:ascii="Courier New" w:hAnsi="Courier New" w:cs="Courier New"/>
          <w:sz w:val="22"/>
          <w:szCs w:val="22"/>
        </w:rPr>
        <w:t> </w:t>
      </w:r>
      <w:r w:rsidRPr="00C921DE">
        <w:rPr>
          <w:rFonts w:ascii="GHEA Grapalat" w:hAnsi="GHEA Grapalat" w:cs="GHEA Grapalat"/>
          <w:sz w:val="22"/>
          <w:szCs w:val="22"/>
        </w:rPr>
        <w:t>մլրդ դրամը) կազմել են կարճաժամկետ պարտատոմսերը, 34.38%-ը (719.56 մլրդ դրամը)՝ միջնաժամկետ պարտատոմսերը, 59.22%-ը (1,239.31 մլրդ դրամը)՝ երկարաժամկետ պարտատոմսերը և 0.27%-ը (5.62</w:t>
      </w:r>
      <w:r w:rsidRPr="00C921DE">
        <w:rPr>
          <w:rFonts w:ascii="Courier New" w:hAnsi="Courier New" w:cs="Courier New"/>
          <w:sz w:val="22"/>
          <w:szCs w:val="22"/>
        </w:rPr>
        <w:t> </w:t>
      </w:r>
      <w:r w:rsidRPr="00C921DE">
        <w:rPr>
          <w:rFonts w:ascii="GHEA Grapalat" w:hAnsi="GHEA Grapalat" w:cs="GHEA Grapalat"/>
          <w:sz w:val="22"/>
          <w:szCs w:val="22"/>
        </w:rPr>
        <w:t>մլրդ դրամը)՝ խնայողական պարտատոմսերը:</w:t>
      </w:r>
    </w:p>
    <w:p w14:paraId="2FA795BC"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GHEA Grapalat"/>
          <w:sz w:val="22"/>
          <w:szCs w:val="22"/>
        </w:rPr>
        <w:t>2023 թվականի ընթացքում շրջանառության մեջ գտնվող գանձապետական պարտատոմսերի 93.03%-ը (1,946.9 մլրդ դրամ) ձեռք է բերվել ռեզիդենտների կողմից, իսկ մնացած ծավալը 6.97%-ը (145.96 մլրդ դրամ)` ոչ ռեզիդենտների կողմից:</w:t>
      </w:r>
    </w:p>
    <w:p w14:paraId="4B28123B"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3.1 մլն դրամ տրամադրվել է մուրհակների մարմանը` նախատեսված 6.6 մլն դրամի դիմաց։ Ծրագրից շեղումը պայմանավորված է մարման ներկայացված մուրհակների ծավալով:</w:t>
      </w:r>
    </w:p>
    <w:p w14:paraId="5B503F78" w14:textId="14B67FCF"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nb-NO"/>
        </w:rPr>
        <w:t>202</w:t>
      </w:r>
      <w:r w:rsidRPr="00C921DE">
        <w:rPr>
          <w:rFonts w:ascii="GHEA Grapalat" w:hAnsi="GHEA Grapalat" w:cs="GHEA Grapalat"/>
          <w:sz w:val="22"/>
          <w:szCs w:val="22"/>
        </w:rPr>
        <w:t>3</w:t>
      </w:r>
      <w:r w:rsidRPr="00C921DE">
        <w:rPr>
          <w:rFonts w:ascii="GHEA Grapalat" w:hAnsi="GHEA Grapalat" w:cs="GHEA Grapalat"/>
          <w:sz w:val="22"/>
          <w:szCs w:val="22"/>
          <w:lang w:val="nb-NO"/>
        </w:rPr>
        <w:t xml:space="preserve"> թվականին </w:t>
      </w:r>
      <w:r w:rsidRPr="00C921DE">
        <w:rPr>
          <w:rFonts w:ascii="GHEA Grapalat" w:hAnsi="GHEA Grapalat" w:cs="GHEA Grapalat"/>
          <w:sz w:val="22"/>
          <w:szCs w:val="22"/>
        </w:rPr>
        <w:t xml:space="preserve">պետական բյուջեի ֆինանսավորումը </w:t>
      </w:r>
      <w:r w:rsidRPr="00C921DE">
        <w:rPr>
          <w:rFonts w:ascii="GHEA Grapalat" w:hAnsi="GHEA Grapalat" w:cs="GHEA Grapalat"/>
          <w:i/>
          <w:sz w:val="22"/>
          <w:szCs w:val="22"/>
        </w:rPr>
        <w:t>ներքին ֆինանսական զուտ ակտիվների</w:t>
      </w:r>
      <w:r w:rsidRPr="00C921DE">
        <w:rPr>
          <w:rFonts w:ascii="GHEA Grapalat" w:hAnsi="GHEA Grapalat" w:cs="GHEA Grapalat"/>
          <w:sz w:val="22"/>
          <w:szCs w:val="22"/>
        </w:rPr>
        <w:t xml:space="preserve"> հաշվին կազմել է 52.1 մլրդ դրամ՝ նախատեսված 44.8 մլրդ դրամի դիմաց,</w:t>
      </w:r>
      <w:r w:rsidRPr="00C921DE">
        <w:rPr>
          <w:rFonts w:ascii="GHEA Grapalat" w:hAnsi="GHEA Grapalat" w:cs="GHEA Grapalat"/>
          <w:noProof w:val="0"/>
          <w:sz w:val="22"/>
          <w:szCs w:val="22"/>
        </w:rPr>
        <w:t xml:space="preserve"> </w:t>
      </w:r>
      <w:r w:rsidRPr="00C921DE">
        <w:rPr>
          <w:rFonts w:ascii="GHEA Grapalat" w:hAnsi="GHEA Grapalat" w:cs="GHEA Grapalat"/>
          <w:sz w:val="22"/>
          <w:szCs w:val="22"/>
        </w:rPr>
        <w:t>ինչը հիմնականում պայմանավորված է արտաքին աջակցությամբ իրականացվող նպատակային</w:t>
      </w:r>
      <w:r w:rsidR="00517635"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ծրագրերի շրջանակներում տնտեսվարող սուբյեկտներին ենթավարկերի տրամադրման </w:t>
      </w:r>
      <w:r w:rsidR="00120FB9" w:rsidRPr="00C921DE">
        <w:rPr>
          <w:rFonts w:ascii="GHEA Grapalat" w:hAnsi="GHEA Grapalat" w:cs="GHEA Grapalat"/>
          <w:sz w:val="22"/>
          <w:szCs w:val="22"/>
          <w:lang w:val="en-US"/>
        </w:rPr>
        <w:t>ցուցանիշներով</w:t>
      </w:r>
      <w:r w:rsidRPr="00C921DE">
        <w:rPr>
          <w:rFonts w:ascii="GHEA Grapalat" w:hAnsi="GHEA Grapalat" w:cs="GHEA Grapalat"/>
          <w:sz w:val="22"/>
          <w:szCs w:val="22"/>
        </w:rPr>
        <w:t xml:space="preserve"> և ֆինանսավորման ներքին աղբյուրներում բյուջեի ազատ միջոցների</w:t>
      </w:r>
      <w:r w:rsidR="00120FB9"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նախատեսվածից ավել օգտագործմամբ</w:t>
      </w:r>
      <w:r w:rsidR="00D4549E" w:rsidRPr="00C921DE">
        <w:rPr>
          <w:rFonts w:ascii="GHEA Grapalat" w:hAnsi="GHEA Grapalat" w:cs="GHEA Grapalat"/>
          <w:sz w:val="22"/>
          <w:szCs w:val="22"/>
          <w:lang w:val="en-US"/>
        </w:rPr>
        <w:t xml:space="preserve">: Նախատեսված </w:t>
      </w:r>
      <w:r w:rsidR="00007D8F" w:rsidRPr="00C921DE">
        <w:rPr>
          <w:rFonts w:ascii="GHEA Grapalat" w:hAnsi="GHEA Grapalat" w:cs="GHEA Grapalat"/>
          <w:sz w:val="22"/>
          <w:szCs w:val="22"/>
          <w:lang w:val="en-US"/>
        </w:rPr>
        <w:t>55.4</w:t>
      </w:r>
      <w:r w:rsidR="00D44DB4" w:rsidRPr="00C921DE">
        <w:rPr>
          <w:rFonts w:ascii="GHEA Grapalat" w:hAnsi="GHEA Grapalat" w:cs="GHEA Grapalat"/>
          <w:sz w:val="22"/>
          <w:szCs w:val="22"/>
          <w:lang w:val="en-US"/>
        </w:rPr>
        <w:t xml:space="preserve"> մլրդ դրամի փոխարեն պետական բյուջեի ազատ միջոցներից օգտագործվել է </w:t>
      </w:r>
      <w:r w:rsidR="00007D8F" w:rsidRPr="00C921DE">
        <w:rPr>
          <w:rFonts w:ascii="GHEA Grapalat" w:hAnsi="GHEA Grapalat" w:cs="GHEA Grapalat"/>
          <w:sz w:val="22"/>
          <w:szCs w:val="22"/>
          <w:lang w:val="en-US"/>
        </w:rPr>
        <w:t>57.7</w:t>
      </w:r>
      <w:r w:rsidR="00D44DB4" w:rsidRPr="00C921DE">
        <w:rPr>
          <w:rFonts w:ascii="GHEA Grapalat" w:hAnsi="GHEA Grapalat" w:cs="GHEA Grapalat"/>
          <w:sz w:val="22"/>
          <w:szCs w:val="22"/>
          <w:lang w:val="en-US"/>
        </w:rPr>
        <w:t xml:space="preserve"> մլրդ դրամ</w:t>
      </w:r>
      <w:r w:rsidRPr="00C921DE">
        <w:rPr>
          <w:rFonts w:ascii="GHEA Grapalat" w:hAnsi="GHEA Grapalat" w:cs="GHEA Grapalat"/>
          <w:sz w:val="22"/>
          <w:szCs w:val="22"/>
        </w:rPr>
        <w:t xml:space="preserve">: </w:t>
      </w:r>
    </w:p>
    <w:p w14:paraId="309FB6DC" w14:textId="77777777" w:rsidR="0046194F" w:rsidRPr="00C921DE" w:rsidRDefault="0046194F" w:rsidP="0046194F">
      <w:pPr>
        <w:autoSpaceDE w:val="0"/>
        <w:autoSpaceDN w:val="0"/>
        <w:adjustRightInd w:val="0"/>
        <w:ind w:firstLine="567"/>
        <w:jc w:val="both"/>
        <w:rPr>
          <w:rFonts w:ascii="GHEA Grapalat" w:hAnsi="GHEA Grapalat" w:cs="GHEA Grapalat"/>
          <w:sz w:val="22"/>
          <w:szCs w:val="22"/>
        </w:rPr>
      </w:pPr>
    </w:p>
    <w:p w14:paraId="7A36EEB5" w14:textId="77777777" w:rsidR="0046194F" w:rsidRPr="00C921DE" w:rsidRDefault="0046194F" w:rsidP="0046194F">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 xml:space="preserve"> Ներքին ֆինանսական ակտիվների հաշվին դեֆիցիտի ֆինանսավորումը (մլրդ դրամ)</w:t>
      </w:r>
    </w:p>
    <w:tbl>
      <w:tblPr>
        <w:tblW w:w="10170" w:type="dxa"/>
        <w:tblLayout w:type="fixed"/>
        <w:tblLook w:val="04A0" w:firstRow="1" w:lastRow="0" w:firstColumn="1" w:lastColumn="0" w:noHBand="0" w:noVBand="1"/>
      </w:tblPr>
      <w:tblGrid>
        <w:gridCol w:w="4946"/>
        <w:gridCol w:w="1261"/>
        <w:gridCol w:w="1261"/>
        <w:gridCol w:w="1261"/>
        <w:gridCol w:w="1441"/>
      </w:tblGrid>
      <w:tr w:rsidR="00B74439" w:rsidRPr="00C921DE" w14:paraId="772B6020" w14:textId="77777777" w:rsidTr="00686388">
        <w:trPr>
          <w:trHeight w:val="855"/>
        </w:trPr>
        <w:tc>
          <w:tcPr>
            <w:tcW w:w="4946" w:type="dxa"/>
            <w:tcBorders>
              <w:top w:val="single" w:sz="4" w:space="0" w:color="auto"/>
              <w:left w:val="single" w:sz="4" w:space="0" w:color="auto"/>
              <w:bottom w:val="single" w:sz="4" w:space="0" w:color="auto"/>
              <w:right w:val="single" w:sz="4" w:space="0" w:color="auto"/>
            </w:tcBorders>
            <w:noWrap/>
            <w:vAlign w:val="bottom"/>
            <w:hideMark/>
          </w:tcPr>
          <w:p w14:paraId="28709F53" w14:textId="77777777" w:rsidR="00B74439" w:rsidRPr="00C921DE" w:rsidRDefault="00B74439" w:rsidP="00B74439">
            <w:pPr>
              <w:spacing w:line="254" w:lineRule="auto"/>
              <w:rPr>
                <w:rFonts w:ascii="GHEA Grapalat" w:hAnsi="GHEA Grapalat" w:cs="Calibri"/>
                <w:sz w:val="18"/>
                <w:szCs w:val="18"/>
              </w:rPr>
            </w:pPr>
            <w:bookmarkStart w:id="264" w:name="_Hlk86747269"/>
            <w:r w:rsidRPr="00C921DE">
              <w:rPr>
                <w:rFonts w:ascii="Courier New" w:hAnsi="Courier New" w:cs="Courier New"/>
                <w:sz w:val="18"/>
                <w:szCs w:val="18"/>
              </w:rPr>
              <w:t> </w:t>
            </w:r>
          </w:p>
        </w:tc>
        <w:tc>
          <w:tcPr>
            <w:tcW w:w="1261" w:type="dxa"/>
            <w:tcBorders>
              <w:top w:val="single" w:sz="4" w:space="0" w:color="auto"/>
              <w:left w:val="nil"/>
              <w:bottom w:val="single" w:sz="4" w:space="0" w:color="auto"/>
              <w:right w:val="single" w:sz="4" w:space="0" w:color="auto"/>
            </w:tcBorders>
            <w:hideMark/>
          </w:tcPr>
          <w:p w14:paraId="039CF984" w14:textId="77777777" w:rsidR="00B74439" w:rsidRPr="00C921DE" w:rsidRDefault="00B74439" w:rsidP="00B74439">
            <w:pPr>
              <w:jc w:val="center"/>
              <w:rPr>
                <w:rFonts w:ascii="GHEA Grapalat" w:hAnsi="GHEA Grapalat" w:cs="Calibri"/>
                <w:b/>
                <w:bCs/>
                <w:sz w:val="18"/>
                <w:szCs w:val="18"/>
              </w:rPr>
            </w:pPr>
            <w:r w:rsidRPr="00C921DE">
              <w:rPr>
                <w:rFonts w:ascii="GHEA Grapalat" w:hAnsi="GHEA Grapalat" w:cs="Calibri"/>
                <w:b/>
                <w:bCs/>
                <w:sz w:val="18"/>
                <w:szCs w:val="18"/>
              </w:rPr>
              <w:t>2022թ. փաստ</w:t>
            </w:r>
          </w:p>
        </w:tc>
        <w:tc>
          <w:tcPr>
            <w:tcW w:w="1261" w:type="dxa"/>
            <w:tcBorders>
              <w:top w:val="single" w:sz="4" w:space="0" w:color="auto"/>
              <w:left w:val="single" w:sz="4" w:space="0" w:color="auto"/>
              <w:bottom w:val="single" w:sz="4" w:space="0" w:color="auto"/>
              <w:right w:val="single" w:sz="4" w:space="0" w:color="auto"/>
            </w:tcBorders>
            <w:shd w:val="clear" w:color="auto" w:fill="FFFFFF"/>
            <w:hideMark/>
          </w:tcPr>
          <w:p w14:paraId="381CDF92" w14:textId="2A8AB1CF" w:rsidR="00B74439" w:rsidRPr="00C921DE" w:rsidRDefault="00B74439" w:rsidP="00B74439">
            <w:pPr>
              <w:jc w:val="center"/>
              <w:rPr>
                <w:rFonts w:ascii="GHEA Grapalat" w:hAnsi="GHEA Grapalat" w:cs="Calibri"/>
                <w:b/>
                <w:bCs/>
                <w:sz w:val="18"/>
                <w:szCs w:val="18"/>
              </w:rPr>
            </w:pPr>
            <w:r w:rsidRPr="00C921DE">
              <w:rPr>
                <w:rFonts w:ascii="GHEA Grapalat" w:hAnsi="GHEA Grapalat" w:cs="Calibri"/>
                <w:b/>
                <w:bCs/>
                <w:color w:val="000000"/>
                <w:sz w:val="18"/>
                <w:szCs w:val="18"/>
              </w:rPr>
              <w:t xml:space="preserve">2023թ. ճշտված </w:t>
            </w:r>
            <w:r w:rsidRPr="00C921DE">
              <w:rPr>
                <w:rFonts w:ascii="GHEA Grapalat" w:hAnsi="GHEA Grapalat" w:cs="Calibri"/>
                <w:b/>
                <w:bCs/>
                <w:color w:val="000000"/>
                <w:sz w:val="18"/>
                <w:szCs w:val="18"/>
                <w:lang w:val="en-US"/>
              </w:rPr>
              <w:t>ծրագիր</w:t>
            </w:r>
          </w:p>
        </w:tc>
        <w:tc>
          <w:tcPr>
            <w:tcW w:w="1261" w:type="dxa"/>
            <w:tcBorders>
              <w:top w:val="single" w:sz="4" w:space="0" w:color="auto"/>
              <w:left w:val="nil"/>
              <w:bottom w:val="single" w:sz="4" w:space="0" w:color="auto"/>
              <w:right w:val="single" w:sz="4" w:space="0" w:color="auto"/>
            </w:tcBorders>
            <w:shd w:val="clear" w:color="auto" w:fill="FFFFFF"/>
            <w:hideMark/>
          </w:tcPr>
          <w:p w14:paraId="46B9BABB" w14:textId="55D5C262" w:rsidR="00B74439" w:rsidRPr="00C921DE" w:rsidRDefault="00B74439" w:rsidP="00B74439">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2023թ. փաստ</w:t>
            </w:r>
          </w:p>
        </w:tc>
        <w:tc>
          <w:tcPr>
            <w:tcW w:w="1441" w:type="dxa"/>
            <w:tcBorders>
              <w:top w:val="single" w:sz="4" w:space="0" w:color="auto"/>
              <w:left w:val="nil"/>
              <w:bottom w:val="single" w:sz="4" w:space="0" w:color="auto"/>
              <w:right w:val="single" w:sz="4" w:space="0" w:color="auto"/>
            </w:tcBorders>
            <w:shd w:val="clear" w:color="auto" w:fill="FFFFFF"/>
            <w:hideMark/>
          </w:tcPr>
          <w:p w14:paraId="5E3D77D7" w14:textId="0060D6C0" w:rsidR="00B74439" w:rsidRPr="00C921DE" w:rsidRDefault="00B74439" w:rsidP="00B74439">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Pr="00C921DE">
              <w:rPr>
                <w:rFonts w:ascii="GHEA Grapalat" w:hAnsi="GHEA Grapalat" w:cs="Calibri"/>
                <w:b/>
                <w:bCs/>
                <w:sz w:val="18"/>
                <w:szCs w:val="18"/>
                <w:lang w:val="en-US"/>
              </w:rPr>
              <w:t>ծրագրի</w:t>
            </w:r>
            <w:r w:rsidRPr="00C921DE">
              <w:rPr>
                <w:rFonts w:ascii="GHEA Grapalat" w:hAnsi="GHEA Grapalat" w:cs="Calibri"/>
                <w:b/>
                <w:bCs/>
                <w:sz w:val="18"/>
                <w:szCs w:val="18"/>
              </w:rPr>
              <w:t xml:space="preserve"> նկատմամբ (%)</w:t>
            </w:r>
          </w:p>
        </w:tc>
      </w:tr>
      <w:bookmarkEnd w:id="264"/>
      <w:tr w:rsidR="0046194F" w:rsidRPr="00C921DE" w14:paraId="714E0228" w14:textId="77777777" w:rsidTr="0046194F">
        <w:trPr>
          <w:trHeight w:val="377"/>
        </w:trPr>
        <w:tc>
          <w:tcPr>
            <w:tcW w:w="4946" w:type="dxa"/>
            <w:tcBorders>
              <w:top w:val="nil"/>
              <w:left w:val="single" w:sz="4" w:space="0" w:color="auto"/>
              <w:bottom w:val="single" w:sz="4" w:space="0" w:color="auto"/>
              <w:right w:val="single" w:sz="4" w:space="0" w:color="auto"/>
            </w:tcBorders>
            <w:vAlign w:val="bottom"/>
            <w:hideMark/>
          </w:tcPr>
          <w:p w14:paraId="5613907A" w14:textId="77777777" w:rsidR="0046194F" w:rsidRPr="00C921DE" w:rsidRDefault="0046194F" w:rsidP="0046194F">
            <w:pPr>
              <w:spacing w:line="254" w:lineRule="auto"/>
              <w:rPr>
                <w:rFonts w:ascii="GHEA Grapalat" w:hAnsi="GHEA Grapalat" w:cs="Calibri"/>
                <w:b/>
                <w:color w:val="000000"/>
                <w:sz w:val="18"/>
                <w:szCs w:val="18"/>
              </w:rPr>
            </w:pPr>
            <w:r w:rsidRPr="00C921DE">
              <w:rPr>
                <w:rFonts w:ascii="GHEA Grapalat" w:hAnsi="GHEA Grapalat" w:cs="Calibri"/>
                <w:b/>
                <w:color w:val="000000"/>
                <w:sz w:val="18"/>
                <w:szCs w:val="18"/>
              </w:rPr>
              <w:t>Ֆինանսական զուտ ակտիվներ</w:t>
            </w:r>
          </w:p>
        </w:tc>
        <w:tc>
          <w:tcPr>
            <w:tcW w:w="1261" w:type="dxa"/>
            <w:tcBorders>
              <w:top w:val="nil"/>
              <w:left w:val="single" w:sz="4" w:space="0" w:color="auto"/>
              <w:bottom w:val="single" w:sz="4" w:space="0" w:color="auto"/>
              <w:right w:val="single" w:sz="4" w:space="0" w:color="auto"/>
            </w:tcBorders>
            <w:vAlign w:val="bottom"/>
            <w:hideMark/>
          </w:tcPr>
          <w:p w14:paraId="479A850B" w14:textId="77777777" w:rsidR="0046194F" w:rsidRPr="00C921DE" w:rsidRDefault="0046194F" w:rsidP="0046194F">
            <w:pPr>
              <w:spacing w:line="254" w:lineRule="auto"/>
              <w:jc w:val="right"/>
              <w:rPr>
                <w:rFonts w:ascii="GHEA Grapalat" w:hAnsi="GHEA Grapalat" w:cs="Calibri"/>
                <w:b/>
                <w:sz w:val="18"/>
                <w:szCs w:val="18"/>
              </w:rPr>
            </w:pPr>
            <w:r w:rsidRPr="00C921DE">
              <w:rPr>
                <w:rFonts w:ascii="GHEA Grapalat" w:hAnsi="GHEA Grapalat" w:cs="Calibri"/>
                <w:b/>
                <w:sz w:val="18"/>
                <w:szCs w:val="18"/>
                <w:lang w:val="en-US"/>
              </w:rPr>
              <w:t>36.1</w:t>
            </w:r>
          </w:p>
        </w:tc>
        <w:tc>
          <w:tcPr>
            <w:tcW w:w="1261" w:type="dxa"/>
            <w:tcBorders>
              <w:top w:val="nil"/>
              <w:left w:val="single" w:sz="4" w:space="0" w:color="auto"/>
              <w:bottom w:val="single" w:sz="4" w:space="0" w:color="auto"/>
              <w:right w:val="single" w:sz="4" w:space="0" w:color="auto"/>
            </w:tcBorders>
            <w:noWrap/>
            <w:vAlign w:val="bottom"/>
            <w:hideMark/>
          </w:tcPr>
          <w:p w14:paraId="0DEEBFFB" w14:textId="77777777" w:rsidR="0046194F" w:rsidRPr="00C921DE" w:rsidRDefault="0046194F" w:rsidP="0046194F">
            <w:pPr>
              <w:spacing w:line="254" w:lineRule="auto"/>
              <w:jc w:val="right"/>
              <w:rPr>
                <w:rFonts w:ascii="GHEA Grapalat" w:hAnsi="GHEA Grapalat" w:cs="Calibri"/>
                <w:b/>
                <w:sz w:val="18"/>
                <w:szCs w:val="18"/>
              </w:rPr>
            </w:pPr>
            <w:r w:rsidRPr="00C921DE">
              <w:rPr>
                <w:rFonts w:ascii="GHEA Grapalat" w:hAnsi="GHEA Grapalat" w:cs="Calibri"/>
                <w:b/>
                <w:sz w:val="18"/>
                <w:szCs w:val="18"/>
              </w:rPr>
              <w:t>44.8</w:t>
            </w:r>
          </w:p>
        </w:tc>
        <w:tc>
          <w:tcPr>
            <w:tcW w:w="1261" w:type="dxa"/>
            <w:tcBorders>
              <w:top w:val="nil"/>
              <w:left w:val="single" w:sz="4" w:space="0" w:color="auto"/>
              <w:bottom w:val="single" w:sz="4" w:space="0" w:color="auto"/>
              <w:right w:val="single" w:sz="4" w:space="0" w:color="auto"/>
            </w:tcBorders>
            <w:noWrap/>
            <w:vAlign w:val="bottom"/>
            <w:hideMark/>
          </w:tcPr>
          <w:p w14:paraId="1B47B084" w14:textId="77777777" w:rsidR="0046194F" w:rsidRPr="00C921DE" w:rsidRDefault="0046194F" w:rsidP="0046194F">
            <w:pPr>
              <w:spacing w:line="254" w:lineRule="auto"/>
              <w:jc w:val="right"/>
              <w:rPr>
                <w:rFonts w:ascii="GHEA Grapalat" w:hAnsi="GHEA Grapalat" w:cs="Calibri"/>
                <w:b/>
                <w:sz w:val="18"/>
                <w:szCs w:val="18"/>
              </w:rPr>
            </w:pPr>
            <w:r w:rsidRPr="00C921DE">
              <w:rPr>
                <w:rFonts w:ascii="GHEA Grapalat" w:hAnsi="GHEA Grapalat" w:cs="Calibri"/>
                <w:b/>
                <w:sz w:val="18"/>
                <w:szCs w:val="18"/>
              </w:rPr>
              <w:t>52.1</w:t>
            </w:r>
          </w:p>
        </w:tc>
        <w:tc>
          <w:tcPr>
            <w:tcW w:w="1441" w:type="dxa"/>
            <w:tcBorders>
              <w:top w:val="nil"/>
              <w:left w:val="nil"/>
              <w:bottom w:val="single" w:sz="4" w:space="0" w:color="auto"/>
              <w:right w:val="single" w:sz="4" w:space="0" w:color="auto"/>
            </w:tcBorders>
            <w:noWrap/>
            <w:vAlign w:val="bottom"/>
            <w:hideMark/>
          </w:tcPr>
          <w:p w14:paraId="284B7180" w14:textId="77777777" w:rsidR="0046194F" w:rsidRPr="00C921DE" w:rsidRDefault="0046194F" w:rsidP="0046194F">
            <w:pPr>
              <w:spacing w:line="254" w:lineRule="auto"/>
              <w:jc w:val="right"/>
              <w:rPr>
                <w:rFonts w:ascii="GHEA Grapalat" w:hAnsi="GHEA Grapalat" w:cs="Calibri"/>
                <w:b/>
                <w:sz w:val="18"/>
                <w:szCs w:val="18"/>
              </w:rPr>
            </w:pPr>
            <w:r w:rsidRPr="00C921DE">
              <w:rPr>
                <w:rFonts w:ascii="GHEA Grapalat" w:hAnsi="GHEA Grapalat" w:cs="Calibri"/>
                <w:b/>
                <w:sz w:val="18"/>
                <w:szCs w:val="18"/>
              </w:rPr>
              <w:t>116.2</w:t>
            </w:r>
          </w:p>
        </w:tc>
      </w:tr>
      <w:tr w:rsidR="0046194F" w:rsidRPr="00C921DE" w14:paraId="108134D0" w14:textId="77777777" w:rsidTr="0046194F">
        <w:trPr>
          <w:trHeight w:val="377"/>
        </w:trPr>
        <w:tc>
          <w:tcPr>
            <w:tcW w:w="4946" w:type="dxa"/>
            <w:tcBorders>
              <w:top w:val="nil"/>
              <w:left w:val="single" w:sz="4" w:space="0" w:color="auto"/>
              <w:bottom w:val="single" w:sz="4" w:space="0" w:color="auto"/>
              <w:right w:val="single" w:sz="4" w:space="0" w:color="auto"/>
            </w:tcBorders>
            <w:vAlign w:val="bottom"/>
            <w:hideMark/>
          </w:tcPr>
          <w:p w14:paraId="58B59D62" w14:textId="77777777" w:rsidR="0046194F" w:rsidRPr="00C921DE" w:rsidRDefault="0046194F" w:rsidP="0046194F">
            <w:pPr>
              <w:spacing w:line="254" w:lineRule="auto"/>
              <w:rPr>
                <w:rFonts w:ascii="GHEA Grapalat" w:hAnsi="GHEA Grapalat" w:cs="Calibri"/>
                <w:bCs/>
                <w:iCs/>
                <w:color w:val="000000"/>
                <w:sz w:val="18"/>
                <w:szCs w:val="18"/>
              </w:rPr>
            </w:pPr>
            <w:r w:rsidRPr="00C921DE">
              <w:rPr>
                <w:rFonts w:ascii="GHEA Grapalat" w:hAnsi="GHEA Grapalat" w:cs="Calibri"/>
                <w:bCs/>
                <w:iCs/>
                <w:color w:val="000000"/>
                <w:sz w:val="18"/>
                <w:szCs w:val="18"/>
              </w:rPr>
              <w:t>Բաժնետոմսերի իրացումից մուտքեր</w:t>
            </w:r>
          </w:p>
        </w:tc>
        <w:tc>
          <w:tcPr>
            <w:tcW w:w="1261" w:type="dxa"/>
            <w:tcBorders>
              <w:top w:val="nil"/>
              <w:left w:val="nil"/>
              <w:bottom w:val="single" w:sz="4" w:space="0" w:color="auto"/>
              <w:right w:val="single" w:sz="4" w:space="0" w:color="auto"/>
            </w:tcBorders>
            <w:vAlign w:val="bottom"/>
            <w:hideMark/>
          </w:tcPr>
          <w:p w14:paraId="4A63A552"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0.0</w:t>
            </w:r>
          </w:p>
        </w:tc>
        <w:tc>
          <w:tcPr>
            <w:tcW w:w="1261" w:type="dxa"/>
            <w:tcBorders>
              <w:top w:val="nil"/>
              <w:left w:val="single" w:sz="4" w:space="0" w:color="auto"/>
              <w:bottom w:val="single" w:sz="4" w:space="0" w:color="auto"/>
              <w:right w:val="single" w:sz="4" w:space="0" w:color="auto"/>
            </w:tcBorders>
            <w:noWrap/>
            <w:vAlign w:val="bottom"/>
            <w:hideMark/>
          </w:tcPr>
          <w:p w14:paraId="6BCA2A21"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2.7</w:t>
            </w:r>
          </w:p>
        </w:tc>
        <w:tc>
          <w:tcPr>
            <w:tcW w:w="1261" w:type="dxa"/>
            <w:tcBorders>
              <w:top w:val="nil"/>
              <w:left w:val="nil"/>
              <w:bottom w:val="single" w:sz="4" w:space="0" w:color="auto"/>
              <w:right w:val="single" w:sz="4" w:space="0" w:color="auto"/>
            </w:tcBorders>
            <w:noWrap/>
            <w:vAlign w:val="bottom"/>
            <w:hideMark/>
          </w:tcPr>
          <w:p w14:paraId="45BF310B"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2.7</w:t>
            </w:r>
          </w:p>
        </w:tc>
        <w:tc>
          <w:tcPr>
            <w:tcW w:w="1441" w:type="dxa"/>
            <w:tcBorders>
              <w:top w:val="nil"/>
              <w:left w:val="nil"/>
              <w:bottom w:val="single" w:sz="4" w:space="0" w:color="auto"/>
              <w:right w:val="single" w:sz="4" w:space="0" w:color="auto"/>
            </w:tcBorders>
            <w:noWrap/>
            <w:vAlign w:val="bottom"/>
            <w:hideMark/>
          </w:tcPr>
          <w:p w14:paraId="52C952FA"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100.0</w:t>
            </w:r>
          </w:p>
        </w:tc>
      </w:tr>
      <w:tr w:rsidR="0046194F" w:rsidRPr="00C921DE" w14:paraId="7F2EE8A7" w14:textId="77777777" w:rsidTr="0046194F">
        <w:trPr>
          <w:trHeight w:val="431"/>
        </w:trPr>
        <w:tc>
          <w:tcPr>
            <w:tcW w:w="4946" w:type="dxa"/>
            <w:tcBorders>
              <w:top w:val="nil"/>
              <w:left w:val="single" w:sz="4" w:space="0" w:color="auto"/>
              <w:bottom w:val="single" w:sz="4" w:space="0" w:color="auto"/>
              <w:right w:val="single" w:sz="4" w:space="0" w:color="auto"/>
            </w:tcBorders>
            <w:noWrap/>
            <w:vAlign w:val="bottom"/>
            <w:hideMark/>
          </w:tcPr>
          <w:p w14:paraId="47D3C9EE" w14:textId="77777777" w:rsidR="0046194F" w:rsidRPr="00C921DE" w:rsidRDefault="0046194F" w:rsidP="0046194F">
            <w:pPr>
              <w:spacing w:line="254" w:lineRule="auto"/>
              <w:rPr>
                <w:rFonts w:ascii="GHEA Grapalat" w:hAnsi="GHEA Grapalat" w:cs="Calibri"/>
                <w:bCs/>
                <w:iCs/>
                <w:color w:val="000000"/>
                <w:sz w:val="18"/>
                <w:szCs w:val="18"/>
              </w:rPr>
            </w:pPr>
            <w:r w:rsidRPr="00C921DE">
              <w:rPr>
                <w:rFonts w:ascii="GHEA Grapalat" w:hAnsi="GHEA Grapalat" w:cs="Calibri"/>
                <w:bCs/>
                <w:iCs/>
                <w:color w:val="000000"/>
                <w:sz w:val="18"/>
                <w:szCs w:val="18"/>
              </w:rPr>
              <w:t>Բաժնետոմսերի և կապիտալում այլ մասնակցության ձեռքբերում</w:t>
            </w:r>
          </w:p>
        </w:tc>
        <w:tc>
          <w:tcPr>
            <w:tcW w:w="1261" w:type="dxa"/>
            <w:tcBorders>
              <w:top w:val="nil"/>
              <w:left w:val="nil"/>
              <w:bottom w:val="single" w:sz="4" w:space="0" w:color="auto"/>
              <w:right w:val="single" w:sz="4" w:space="0" w:color="auto"/>
            </w:tcBorders>
            <w:vAlign w:val="bottom"/>
            <w:hideMark/>
          </w:tcPr>
          <w:p w14:paraId="22F69C69"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w:t>
            </w:r>
            <w:r w:rsidRPr="00C921DE">
              <w:rPr>
                <w:rFonts w:ascii="GHEA Grapalat" w:hAnsi="GHEA Grapalat" w:cs="Calibri"/>
                <w:iCs/>
                <w:sz w:val="18"/>
                <w:szCs w:val="18"/>
                <w:lang w:val="en-US"/>
              </w:rPr>
              <w:t>11.9</w:t>
            </w:r>
            <w:r w:rsidRPr="00C921DE">
              <w:rPr>
                <w:rFonts w:ascii="GHEA Grapalat" w:hAnsi="GHEA Grapalat" w:cs="Calibri"/>
                <w:iCs/>
                <w:sz w:val="18"/>
                <w:szCs w:val="18"/>
              </w:rPr>
              <w:t>)</w:t>
            </w:r>
          </w:p>
        </w:tc>
        <w:tc>
          <w:tcPr>
            <w:tcW w:w="1261" w:type="dxa"/>
            <w:tcBorders>
              <w:top w:val="nil"/>
              <w:left w:val="single" w:sz="4" w:space="0" w:color="auto"/>
              <w:bottom w:val="single" w:sz="4" w:space="0" w:color="auto"/>
              <w:right w:val="single" w:sz="4" w:space="0" w:color="auto"/>
            </w:tcBorders>
            <w:noWrap/>
            <w:vAlign w:val="bottom"/>
            <w:hideMark/>
          </w:tcPr>
          <w:p w14:paraId="69DB1FAA"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(20.8)</w:t>
            </w:r>
          </w:p>
        </w:tc>
        <w:tc>
          <w:tcPr>
            <w:tcW w:w="1261" w:type="dxa"/>
            <w:tcBorders>
              <w:top w:val="nil"/>
              <w:left w:val="nil"/>
              <w:bottom w:val="single" w:sz="4" w:space="0" w:color="auto"/>
              <w:right w:val="single" w:sz="4" w:space="0" w:color="auto"/>
            </w:tcBorders>
            <w:noWrap/>
            <w:vAlign w:val="bottom"/>
            <w:hideMark/>
          </w:tcPr>
          <w:p w14:paraId="165AAD74"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(20.8)</w:t>
            </w:r>
          </w:p>
        </w:tc>
        <w:tc>
          <w:tcPr>
            <w:tcW w:w="1441" w:type="dxa"/>
            <w:tcBorders>
              <w:top w:val="nil"/>
              <w:left w:val="nil"/>
              <w:bottom w:val="single" w:sz="4" w:space="0" w:color="auto"/>
              <w:right w:val="single" w:sz="4" w:space="0" w:color="auto"/>
            </w:tcBorders>
            <w:noWrap/>
            <w:vAlign w:val="bottom"/>
            <w:hideMark/>
          </w:tcPr>
          <w:p w14:paraId="2FBCF5D0" w14:textId="77777777" w:rsidR="0046194F" w:rsidRPr="00C921DE" w:rsidRDefault="0046194F" w:rsidP="0046194F">
            <w:pPr>
              <w:spacing w:line="254" w:lineRule="auto"/>
              <w:jc w:val="right"/>
              <w:rPr>
                <w:rFonts w:ascii="GHEA Grapalat" w:hAnsi="GHEA Grapalat" w:cs="Calibri"/>
                <w:iCs/>
                <w:sz w:val="18"/>
                <w:szCs w:val="18"/>
                <w:lang w:val="en-US"/>
              </w:rPr>
            </w:pPr>
            <w:r w:rsidRPr="00C921DE">
              <w:rPr>
                <w:rFonts w:ascii="GHEA Grapalat" w:hAnsi="GHEA Grapalat" w:cs="Calibri"/>
                <w:iCs/>
                <w:sz w:val="18"/>
                <w:szCs w:val="18"/>
                <w:lang w:val="en-US"/>
              </w:rPr>
              <w:t>100.0</w:t>
            </w:r>
          </w:p>
        </w:tc>
      </w:tr>
      <w:tr w:rsidR="0046194F" w:rsidRPr="00C921DE" w14:paraId="5B94325A" w14:textId="77777777" w:rsidTr="0046194F">
        <w:trPr>
          <w:trHeight w:val="321"/>
        </w:trPr>
        <w:tc>
          <w:tcPr>
            <w:tcW w:w="4946" w:type="dxa"/>
            <w:tcBorders>
              <w:top w:val="single" w:sz="4" w:space="0" w:color="auto"/>
              <w:left w:val="single" w:sz="4" w:space="0" w:color="auto"/>
              <w:bottom w:val="single" w:sz="4" w:space="0" w:color="auto"/>
              <w:right w:val="single" w:sz="4" w:space="0" w:color="auto"/>
            </w:tcBorders>
            <w:noWrap/>
            <w:vAlign w:val="bottom"/>
            <w:hideMark/>
          </w:tcPr>
          <w:p w14:paraId="45A0426F" w14:textId="77777777" w:rsidR="0046194F" w:rsidRPr="00C921DE" w:rsidRDefault="0046194F" w:rsidP="0046194F">
            <w:pPr>
              <w:spacing w:line="254" w:lineRule="auto"/>
              <w:rPr>
                <w:rFonts w:ascii="GHEA Grapalat" w:hAnsi="GHEA Grapalat" w:cs="Calibri"/>
                <w:b/>
                <w:bCs/>
                <w:sz w:val="18"/>
                <w:szCs w:val="18"/>
              </w:rPr>
            </w:pPr>
            <w:r w:rsidRPr="00C921DE">
              <w:rPr>
                <w:rFonts w:ascii="GHEA Grapalat" w:hAnsi="GHEA Grapalat" w:cs="Calibri"/>
                <w:bCs/>
                <w:iCs/>
                <w:color w:val="000000"/>
                <w:sz w:val="18"/>
                <w:szCs w:val="18"/>
              </w:rPr>
              <w:t xml:space="preserve">Վարկերի և փոխատվությունների տրամադրում </w:t>
            </w:r>
          </w:p>
        </w:tc>
        <w:tc>
          <w:tcPr>
            <w:tcW w:w="1261" w:type="dxa"/>
            <w:tcBorders>
              <w:top w:val="single" w:sz="4" w:space="0" w:color="auto"/>
              <w:left w:val="single" w:sz="4" w:space="0" w:color="auto"/>
              <w:bottom w:val="single" w:sz="4" w:space="0" w:color="auto"/>
              <w:right w:val="single" w:sz="4" w:space="0" w:color="auto"/>
            </w:tcBorders>
            <w:vAlign w:val="bottom"/>
            <w:hideMark/>
          </w:tcPr>
          <w:p w14:paraId="3021683A"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w:t>
            </w:r>
            <w:r w:rsidRPr="00C921DE">
              <w:rPr>
                <w:rFonts w:ascii="GHEA Grapalat" w:hAnsi="GHEA Grapalat" w:cs="Calibri"/>
                <w:iCs/>
                <w:sz w:val="18"/>
                <w:szCs w:val="18"/>
                <w:lang w:val="en-US"/>
              </w:rPr>
              <w:t>3.3</w:t>
            </w:r>
            <w:r w:rsidRPr="00C921DE">
              <w:rPr>
                <w:rFonts w:ascii="GHEA Grapalat" w:hAnsi="GHEA Grapalat" w:cs="Calibri"/>
                <w:iCs/>
                <w:sz w:val="18"/>
                <w:szCs w:val="18"/>
              </w:rPr>
              <w:t>)</w:t>
            </w: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0CA852FD"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(18.0)</w:t>
            </w: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30846630"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(13.6)</w:t>
            </w:r>
          </w:p>
        </w:tc>
        <w:tc>
          <w:tcPr>
            <w:tcW w:w="1441" w:type="dxa"/>
            <w:tcBorders>
              <w:top w:val="single" w:sz="4" w:space="0" w:color="auto"/>
              <w:left w:val="single" w:sz="4" w:space="0" w:color="auto"/>
              <w:bottom w:val="single" w:sz="4" w:space="0" w:color="auto"/>
              <w:right w:val="single" w:sz="4" w:space="0" w:color="auto"/>
            </w:tcBorders>
            <w:noWrap/>
            <w:vAlign w:val="bottom"/>
            <w:hideMark/>
          </w:tcPr>
          <w:p w14:paraId="625114B4"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75.3</w:t>
            </w:r>
          </w:p>
        </w:tc>
      </w:tr>
      <w:tr w:rsidR="0046194F" w:rsidRPr="00C921DE" w14:paraId="6DB4C8B3" w14:textId="77777777" w:rsidTr="0046194F">
        <w:trPr>
          <w:trHeight w:val="269"/>
        </w:trPr>
        <w:tc>
          <w:tcPr>
            <w:tcW w:w="4946" w:type="dxa"/>
            <w:tcBorders>
              <w:top w:val="single" w:sz="4" w:space="0" w:color="auto"/>
              <w:left w:val="single" w:sz="4" w:space="0" w:color="auto"/>
              <w:bottom w:val="single" w:sz="4" w:space="0" w:color="auto"/>
              <w:right w:val="single" w:sz="4" w:space="0" w:color="auto"/>
            </w:tcBorders>
            <w:noWrap/>
            <w:vAlign w:val="bottom"/>
            <w:hideMark/>
          </w:tcPr>
          <w:p w14:paraId="5F5C954A" w14:textId="77777777" w:rsidR="0046194F" w:rsidRPr="00C921DE" w:rsidRDefault="0046194F" w:rsidP="0046194F">
            <w:pPr>
              <w:spacing w:line="254" w:lineRule="auto"/>
              <w:rPr>
                <w:rFonts w:ascii="GHEA Grapalat" w:hAnsi="GHEA Grapalat" w:cs="Calibri"/>
                <w:bCs/>
                <w:iCs/>
                <w:color w:val="000000"/>
                <w:sz w:val="18"/>
                <w:szCs w:val="18"/>
              </w:rPr>
            </w:pPr>
            <w:r w:rsidRPr="00C921DE">
              <w:rPr>
                <w:rFonts w:ascii="GHEA Grapalat" w:hAnsi="GHEA Grapalat" w:cs="Calibri"/>
                <w:bCs/>
                <w:iCs/>
                <w:color w:val="000000"/>
                <w:sz w:val="18"/>
                <w:szCs w:val="18"/>
              </w:rPr>
              <w:t>Տրամադրված վարկերի և փոխատվությունների վերադարձից մուտքեր</w:t>
            </w:r>
          </w:p>
        </w:tc>
        <w:tc>
          <w:tcPr>
            <w:tcW w:w="1261" w:type="dxa"/>
            <w:tcBorders>
              <w:top w:val="single" w:sz="4" w:space="0" w:color="auto"/>
              <w:left w:val="single" w:sz="4" w:space="0" w:color="auto"/>
              <w:bottom w:val="single" w:sz="4" w:space="0" w:color="auto"/>
              <w:right w:val="single" w:sz="4" w:space="0" w:color="auto"/>
            </w:tcBorders>
            <w:vAlign w:val="bottom"/>
            <w:hideMark/>
          </w:tcPr>
          <w:p w14:paraId="7DD8159D" w14:textId="77777777" w:rsidR="0046194F" w:rsidRPr="00C921DE" w:rsidRDefault="0046194F" w:rsidP="0046194F">
            <w:pPr>
              <w:spacing w:line="254" w:lineRule="auto"/>
              <w:jc w:val="right"/>
              <w:rPr>
                <w:rFonts w:ascii="GHEA Grapalat" w:hAnsi="GHEA Grapalat" w:cs="Calibri"/>
                <w:iCs/>
                <w:sz w:val="18"/>
                <w:szCs w:val="18"/>
                <w:lang w:val="en-US"/>
              </w:rPr>
            </w:pPr>
            <w:r w:rsidRPr="00C921DE">
              <w:rPr>
                <w:rFonts w:ascii="GHEA Grapalat" w:hAnsi="GHEA Grapalat" w:cs="Calibri"/>
                <w:iCs/>
                <w:sz w:val="18"/>
                <w:szCs w:val="18"/>
                <w:lang w:val="en-US"/>
              </w:rPr>
              <w:t>31.2</w:t>
            </w: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65C23127"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3</w:t>
            </w:r>
            <w:r w:rsidRPr="00C921DE">
              <w:rPr>
                <w:rFonts w:ascii="GHEA Grapalat" w:hAnsi="GHEA Grapalat" w:cs="Calibri"/>
                <w:iCs/>
                <w:sz w:val="18"/>
                <w:szCs w:val="18"/>
                <w:lang w:val="en-US"/>
              </w:rPr>
              <w:t>5</w:t>
            </w:r>
            <w:r w:rsidRPr="00C921DE">
              <w:rPr>
                <w:rFonts w:ascii="GHEA Grapalat" w:hAnsi="GHEA Grapalat" w:cs="Calibri"/>
                <w:iCs/>
                <w:sz w:val="18"/>
                <w:szCs w:val="18"/>
              </w:rPr>
              <w:t>.1</w:t>
            </w: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65E48E97"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35.6</w:t>
            </w:r>
          </w:p>
        </w:tc>
        <w:tc>
          <w:tcPr>
            <w:tcW w:w="1441" w:type="dxa"/>
            <w:tcBorders>
              <w:top w:val="single" w:sz="4" w:space="0" w:color="auto"/>
              <w:left w:val="single" w:sz="4" w:space="0" w:color="auto"/>
              <w:bottom w:val="single" w:sz="4" w:space="0" w:color="auto"/>
              <w:right w:val="single" w:sz="4" w:space="0" w:color="auto"/>
            </w:tcBorders>
            <w:noWrap/>
            <w:vAlign w:val="bottom"/>
            <w:hideMark/>
          </w:tcPr>
          <w:p w14:paraId="0C3F2681" w14:textId="77777777" w:rsidR="0046194F" w:rsidRPr="00C921DE" w:rsidRDefault="0046194F" w:rsidP="0046194F">
            <w:pPr>
              <w:spacing w:line="254" w:lineRule="auto"/>
              <w:jc w:val="right"/>
              <w:rPr>
                <w:rFonts w:ascii="GHEA Grapalat" w:hAnsi="GHEA Grapalat" w:cs="Calibri"/>
                <w:iCs/>
                <w:sz w:val="18"/>
                <w:szCs w:val="18"/>
              </w:rPr>
            </w:pPr>
            <w:r w:rsidRPr="00C921DE">
              <w:rPr>
                <w:rFonts w:ascii="GHEA Grapalat" w:hAnsi="GHEA Grapalat" w:cs="Calibri"/>
                <w:iCs/>
                <w:sz w:val="18"/>
                <w:szCs w:val="18"/>
              </w:rPr>
              <w:t>101.4</w:t>
            </w:r>
          </w:p>
        </w:tc>
      </w:tr>
      <w:tr w:rsidR="0046194F" w:rsidRPr="00C921DE" w14:paraId="7F150AA0" w14:textId="77777777" w:rsidTr="0046194F">
        <w:trPr>
          <w:trHeight w:val="431"/>
        </w:trPr>
        <w:tc>
          <w:tcPr>
            <w:tcW w:w="4946" w:type="dxa"/>
            <w:tcBorders>
              <w:top w:val="single" w:sz="4" w:space="0" w:color="auto"/>
              <w:left w:val="single" w:sz="4" w:space="0" w:color="auto"/>
              <w:bottom w:val="single" w:sz="4" w:space="0" w:color="auto"/>
              <w:right w:val="single" w:sz="4" w:space="0" w:color="auto"/>
            </w:tcBorders>
            <w:noWrap/>
            <w:vAlign w:val="bottom"/>
            <w:hideMark/>
          </w:tcPr>
          <w:p w14:paraId="4B8470D0" w14:textId="77777777" w:rsidR="0046194F" w:rsidRPr="00C921DE" w:rsidRDefault="0046194F" w:rsidP="0046194F">
            <w:pPr>
              <w:spacing w:line="254" w:lineRule="auto"/>
              <w:rPr>
                <w:rFonts w:ascii="GHEA Grapalat" w:hAnsi="GHEA Grapalat" w:cs="Calibri"/>
                <w:bCs/>
                <w:iCs/>
                <w:color w:val="000000"/>
                <w:sz w:val="18"/>
                <w:szCs w:val="18"/>
              </w:rPr>
            </w:pPr>
            <w:r w:rsidRPr="00C921DE">
              <w:rPr>
                <w:rFonts w:ascii="GHEA Grapalat" w:hAnsi="GHEA Grapalat" w:cs="Calibri"/>
                <w:bCs/>
                <w:iCs/>
                <w:color w:val="000000"/>
                <w:sz w:val="18"/>
                <w:szCs w:val="18"/>
              </w:rPr>
              <w:t>Այլ ֆինանսական ակտիվներ</w:t>
            </w:r>
          </w:p>
        </w:tc>
        <w:tc>
          <w:tcPr>
            <w:tcW w:w="1261" w:type="dxa"/>
            <w:tcBorders>
              <w:top w:val="single" w:sz="4" w:space="0" w:color="auto"/>
              <w:left w:val="single" w:sz="4" w:space="0" w:color="auto"/>
              <w:bottom w:val="single" w:sz="4" w:space="0" w:color="auto"/>
              <w:right w:val="single" w:sz="4" w:space="0" w:color="auto"/>
            </w:tcBorders>
            <w:vAlign w:val="bottom"/>
            <w:hideMark/>
          </w:tcPr>
          <w:p w14:paraId="32E8CA15" w14:textId="77777777" w:rsidR="0046194F" w:rsidRPr="00C921DE" w:rsidRDefault="0046194F" w:rsidP="0046194F">
            <w:pPr>
              <w:spacing w:line="254" w:lineRule="auto"/>
              <w:jc w:val="right"/>
              <w:rPr>
                <w:rFonts w:ascii="GHEA Grapalat" w:hAnsi="GHEA Grapalat" w:cs="Calibri"/>
                <w:bCs/>
                <w:iCs/>
                <w:color w:val="000000"/>
                <w:sz w:val="18"/>
                <w:szCs w:val="18"/>
                <w:lang w:val="en-US"/>
              </w:rPr>
            </w:pPr>
            <w:r w:rsidRPr="00C921DE">
              <w:rPr>
                <w:rFonts w:ascii="GHEA Grapalat" w:hAnsi="GHEA Grapalat" w:cs="Calibri"/>
                <w:bCs/>
                <w:iCs/>
                <w:color w:val="000000"/>
                <w:sz w:val="18"/>
                <w:szCs w:val="18"/>
                <w:lang w:val="en-US"/>
              </w:rPr>
              <w:t>20.2</w:t>
            </w: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279D5E66" w14:textId="77777777" w:rsidR="0046194F" w:rsidRPr="00C921DE" w:rsidRDefault="0046194F" w:rsidP="0046194F">
            <w:pPr>
              <w:spacing w:line="254" w:lineRule="auto"/>
              <w:jc w:val="right"/>
              <w:rPr>
                <w:rFonts w:ascii="GHEA Grapalat" w:hAnsi="GHEA Grapalat" w:cs="Calibri"/>
                <w:bCs/>
                <w:iCs/>
                <w:color w:val="000000"/>
                <w:sz w:val="18"/>
                <w:szCs w:val="18"/>
              </w:rPr>
            </w:pPr>
            <w:r w:rsidRPr="00C921DE">
              <w:rPr>
                <w:rFonts w:ascii="GHEA Grapalat" w:hAnsi="GHEA Grapalat" w:cs="Calibri"/>
                <w:bCs/>
                <w:iCs/>
                <w:color w:val="000000"/>
                <w:sz w:val="18"/>
                <w:szCs w:val="18"/>
              </w:rPr>
              <w:t>45.8</w:t>
            </w:r>
          </w:p>
        </w:tc>
        <w:tc>
          <w:tcPr>
            <w:tcW w:w="1261" w:type="dxa"/>
            <w:tcBorders>
              <w:top w:val="single" w:sz="4" w:space="0" w:color="auto"/>
              <w:left w:val="single" w:sz="4" w:space="0" w:color="auto"/>
              <w:bottom w:val="single" w:sz="4" w:space="0" w:color="auto"/>
              <w:right w:val="single" w:sz="4" w:space="0" w:color="auto"/>
            </w:tcBorders>
            <w:noWrap/>
            <w:vAlign w:val="bottom"/>
            <w:hideMark/>
          </w:tcPr>
          <w:p w14:paraId="5B3B2F91" w14:textId="77777777" w:rsidR="0046194F" w:rsidRPr="00C921DE" w:rsidRDefault="0046194F" w:rsidP="0046194F">
            <w:pPr>
              <w:spacing w:line="254" w:lineRule="auto"/>
              <w:jc w:val="right"/>
              <w:rPr>
                <w:rFonts w:ascii="GHEA Grapalat" w:hAnsi="GHEA Grapalat" w:cs="Calibri"/>
                <w:bCs/>
                <w:iCs/>
                <w:color w:val="000000"/>
                <w:sz w:val="18"/>
                <w:szCs w:val="18"/>
              </w:rPr>
            </w:pPr>
            <w:r w:rsidRPr="00C921DE">
              <w:rPr>
                <w:rFonts w:ascii="GHEA Grapalat" w:hAnsi="GHEA Grapalat" w:cs="Calibri"/>
                <w:bCs/>
                <w:iCs/>
                <w:color w:val="000000"/>
                <w:sz w:val="18"/>
                <w:szCs w:val="18"/>
              </w:rPr>
              <w:t>48.2</w:t>
            </w:r>
          </w:p>
        </w:tc>
        <w:tc>
          <w:tcPr>
            <w:tcW w:w="1441" w:type="dxa"/>
            <w:tcBorders>
              <w:top w:val="single" w:sz="4" w:space="0" w:color="auto"/>
              <w:left w:val="single" w:sz="4" w:space="0" w:color="auto"/>
              <w:bottom w:val="single" w:sz="4" w:space="0" w:color="auto"/>
              <w:right w:val="single" w:sz="4" w:space="0" w:color="auto"/>
            </w:tcBorders>
            <w:noWrap/>
            <w:vAlign w:val="bottom"/>
            <w:hideMark/>
          </w:tcPr>
          <w:p w14:paraId="089CB694" w14:textId="77777777" w:rsidR="0046194F" w:rsidRPr="00C921DE" w:rsidRDefault="0046194F" w:rsidP="0046194F">
            <w:pPr>
              <w:spacing w:line="254" w:lineRule="auto"/>
              <w:jc w:val="right"/>
              <w:rPr>
                <w:rFonts w:ascii="GHEA Grapalat" w:hAnsi="GHEA Grapalat" w:cs="Calibri"/>
                <w:bCs/>
                <w:iCs/>
                <w:color w:val="000000"/>
                <w:sz w:val="18"/>
                <w:szCs w:val="18"/>
              </w:rPr>
            </w:pPr>
            <w:r w:rsidRPr="00C921DE">
              <w:rPr>
                <w:rFonts w:ascii="GHEA Grapalat" w:hAnsi="GHEA Grapalat" w:cs="Calibri"/>
                <w:bCs/>
                <w:iCs/>
                <w:color w:val="000000"/>
                <w:sz w:val="18"/>
                <w:szCs w:val="18"/>
              </w:rPr>
              <w:t>105.1</w:t>
            </w:r>
          </w:p>
        </w:tc>
      </w:tr>
    </w:tbl>
    <w:p w14:paraId="6545AB89" w14:textId="77777777"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lang w:val="en-US"/>
        </w:rPr>
      </w:pPr>
    </w:p>
    <w:p w14:paraId="6EF26AF6" w14:textId="46563B22" w:rsidR="007C4A2A" w:rsidRPr="00C921DE" w:rsidRDefault="0046194F" w:rsidP="0046194F">
      <w:pPr>
        <w:autoSpaceDE w:val="0"/>
        <w:autoSpaceDN w:val="0"/>
        <w:adjustRightInd w:val="0"/>
        <w:spacing w:line="360" w:lineRule="auto"/>
        <w:ind w:firstLine="567"/>
        <w:jc w:val="both"/>
        <w:rPr>
          <w:rFonts w:ascii="GHEA Grapalat" w:hAnsi="GHEA Grapalat"/>
          <w:sz w:val="22"/>
          <w:szCs w:val="22"/>
          <w:lang w:val="en-US"/>
        </w:rPr>
      </w:pPr>
      <w:r w:rsidRPr="00C921DE">
        <w:rPr>
          <w:rFonts w:ascii="GHEA Grapalat" w:hAnsi="GHEA Grapalat"/>
          <w:sz w:val="22"/>
          <w:szCs w:val="22"/>
          <w:lang w:val="en-US"/>
        </w:rPr>
        <w:t xml:space="preserve">2023 </w:t>
      </w:r>
      <w:r w:rsidRPr="00C921DE">
        <w:rPr>
          <w:rFonts w:ascii="GHEA Grapalat" w:hAnsi="GHEA Grapalat"/>
          <w:sz w:val="22"/>
          <w:szCs w:val="22"/>
        </w:rPr>
        <w:t>թվականին բաժնետոմսերի և կապիտալում այլ մասնակցության ձեռքբերման նպատակով</w:t>
      </w:r>
      <w:r w:rsidRPr="00C921DE">
        <w:rPr>
          <w:rFonts w:ascii="GHEA Grapalat" w:hAnsi="GHEA Grapalat"/>
          <w:sz w:val="22"/>
          <w:szCs w:val="22"/>
          <w:lang w:val="en-US"/>
        </w:rPr>
        <w:t xml:space="preserve"> նախատեսված </w:t>
      </w:r>
      <w:r w:rsidRPr="00C921DE">
        <w:rPr>
          <w:rFonts w:ascii="GHEA Grapalat" w:hAnsi="GHEA Grapalat"/>
          <w:sz w:val="22"/>
          <w:szCs w:val="22"/>
        </w:rPr>
        <w:t>20.8 մլրդ դրամ</w:t>
      </w:r>
      <w:r w:rsidRPr="00C921DE">
        <w:rPr>
          <w:rFonts w:ascii="GHEA Grapalat" w:hAnsi="GHEA Grapalat"/>
          <w:sz w:val="22"/>
          <w:szCs w:val="22"/>
          <w:lang w:val="en-US"/>
        </w:rPr>
        <w:t>ն ամբողջությամբ օգտագործվել է</w:t>
      </w:r>
      <w:r w:rsidRPr="00C921DE">
        <w:rPr>
          <w:rFonts w:ascii="GHEA Grapalat" w:hAnsi="GHEA Grapalat"/>
          <w:sz w:val="22"/>
          <w:szCs w:val="22"/>
        </w:rPr>
        <w:t>:</w:t>
      </w:r>
      <w:r w:rsidRPr="00C921DE">
        <w:rPr>
          <w:rFonts w:ascii="GHEA Grapalat" w:hAnsi="GHEA Grapalat"/>
          <w:sz w:val="22"/>
          <w:szCs w:val="22"/>
          <w:lang w:val="en-US"/>
        </w:rPr>
        <w:t xml:space="preserve"> </w:t>
      </w:r>
      <w:r w:rsidRPr="00C921DE">
        <w:rPr>
          <w:rFonts w:ascii="GHEA Grapalat" w:hAnsi="GHEA Grapalat"/>
          <w:sz w:val="22"/>
          <w:szCs w:val="22"/>
        </w:rPr>
        <w:t>Մասնավորապես՝</w:t>
      </w:r>
      <w:r w:rsidRPr="00C921DE">
        <w:rPr>
          <w:rFonts w:ascii="GHEA Grapalat" w:hAnsi="GHEA Grapalat"/>
          <w:sz w:val="22"/>
          <w:szCs w:val="22"/>
          <w:lang w:val="en-US"/>
        </w:rPr>
        <w:t xml:space="preserve"> </w:t>
      </w:r>
      <w:r w:rsidR="007C4A2A" w:rsidRPr="00C921DE">
        <w:rPr>
          <w:rFonts w:ascii="GHEA Grapalat" w:hAnsi="GHEA Grapalat"/>
          <w:sz w:val="22"/>
          <w:szCs w:val="22"/>
          <w:lang w:val="en-US"/>
        </w:rPr>
        <w:t>12.2 մլրդ դրամ</w:t>
      </w:r>
      <w:r w:rsidRPr="00C921DE">
        <w:rPr>
          <w:rFonts w:ascii="GHEA Grapalat" w:hAnsi="GHEA Grapalat"/>
          <w:sz w:val="22"/>
          <w:szCs w:val="22"/>
          <w:lang w:val="en-US"/>
        </w:rPr>
        <w:t xml:space="preserve"> </w:t>
      </w:r>
      <w:r w:rsidR="007C4A2A" w:rsidRPr="00C921DE">
        <w:rPr>
          <w:rFonts w:ascii="GHEA Grapalat" w:hAnsi="GHEA Grapalat"/>
          <w:sz w:val="22"/>
          <w:szCs w:val="22"/>
          <w:lang w:val="en-US"/>
        </w:rPr>
        <w:t>տրամադրվ</w:t>
      </w:r>
      <w:r w:rsidRPr="00C921DE">
        <w:rPr>
          <w:rFonts w:ascii="GHEA Grapalat" w:hAnsi="GHEA Grapalat"/>
          <w:sz w:val="22"/>
          <w:szCs w:val="22"/>
          <w:lang w:val="en-US"/>
        </w:rPr>
        <w:t xml:space="preserve">ել </w:t>
      </w:r>
      <w:r w:rsidRPr="00C921DE">
        <w:rPr>
          <w:rFonts w:ascii="GHEA Grapalat" w:hAnsi="GHEA Grapalat"/>
          <w:sz w:val="22"/>
          <w:szCs w:val="22"/>
        </w:rPr>
        <w:t xml:space="preserve">է </w:t>
      </w:r>
      <w:r w:rsidR="007C4A2A" w:rsidRPr="00C921DE">
        <w:rPr>
          <w:rFonts w:ascii="GHEA Grapalat" w:hAnsi="GHEA Grapalat"/>
          <w:sz w:val="22"/>
          <w:szCs w:val="22"/>
        </w:rPr>
        <w:t>«Ջրառ» ՓԲԸ-ի կանոնադրական կապիտալի ավելացմանը</w:t>
      </w:r>
      <w:r w:rsidR="004F5EC3" w:rsidRPr="00C921DE">
        <w:rPr>
          <w:rFonts w:ascii="GHEA Grapalat" w:hAnsi="GHEA Grapalat"/>
          <w:sz w:val="22"/>
          <w:szCs w:val="22"/>
        </w:rPr>
        <w:t xml:space="preserve">` </w:t>
      </w:r>
      <w:r w:rsidR="00FF3E3D" w:rsidRPr="00C921DE">
        <w:rPr>
          <w:rFonts w:ascii="GHEA Grapalat" w:hAnsi="GHEA Grapalat"/>
          <w:sz w:val="22"/>
          <w:szCs w:val="22"/>
        </w:rPr>
        <w:t>ՀԲ</w:t>
      </w:r>
      <w:r w:rsidR="004F5EC3" w:rsidRPr="00C921DE">
        <w:rPr>
          <w:rFonts w:ascii="GHEA Grapalat" w:hAnsi="GHEA Grapalat"/>
          <w:sz w:val="22"/>
          <w:szCs w:val="22"/>
        </w:rPr>
        <w:t xml:space="preserve"> աջակցությամբ իրականացված «Ոռոգման համակարգերի </w:t>
      </w:r>
      <w:r w:rsidR="00FF3E3D" w:rsidRPr="00C921DE">
        <w:rPr>
          <w:rFonts w:ascii="GHEA Grapalat" w:hAnsi="GHEA Grapalat"/>
          <w:sz w:val="22"/>
          <w:szCs w:val="22"/>
        </w:rPr>
        <w:t>բ</w:t>
      </w:r>
      <w:r w:rsidR="004F5EC3" w:rsidRPr="00C921DE">
        <w:rPr>
          <w:rFonts w:ascii="GHEA Grapalat" w:hAnsi="GHEA Grapalat"/>
          <w:sz w:val="22"/>
          <w:szCs w:val="22"/>
        </w:rPr>
        <w:t>արելավում» վարկային</w:t>
      </w:r>
      <w:r w:rsidR="007C4A2A" w:rsidRPr="00C921DE">
        <w:rPr>
          <w:rFonts w:ascii="GHEA Grapalat" w:hAnsi="GHEA Grapalat"/>
          <w:sz w:val="22"/>
          <w:szCs w:val="22"/>
        </w:rPr>
        <w:t xml:space="preserve"> </w:t>
      </w:r>
      <w:r w:rsidR="004F5EC3" w:rsidRPr="00C921DE">
        <w:rPr>
          <w:rFonts w:ascii="GHEA Grapalat" w:hAnsi="GHEA Grapalat"/>
          <w:sz w:val="22"/>
          <w:szCs w:val="22"/>
        </w:rPr>
        <w:t xml:space="preserve">ծրագրի շրջանակներում </w:t>
      </w:r>
      <w:r w:rsidR="00FF3E3D" w:rsidRPr="00C921DE">
        <w:rPr>
          <w:rFonts w:ascii="GHEA Grapalat" w:hAnsi="GHEA Grapalat"/>
          <w:sz w:val="22"/>
          <w:szCs w:val="22"/>
        </w:rPr>
        <w:t>կառուցված և վերականգնված հիդրոտեխնիկական կառուցվածքները, ձեռք բերված սարքերը, սարքավորումները և նյութերը (Վեդի ջրամբարի ոռոգման համակարգի մայր ջրատարը, ինչպես նաև ջրառ հանգույցները և ջրի փոխադրման համակարգը) համապատասխան շահագործողներին հանձնելու, դրանց օրինական շահագործումն ու պահպանումն ապահովելու, ինչպես նաև նպատակային նշանակությամբ օգտագործել</w:t>
      </w:r>
      <w:r w:rsidR="00AD0306" w:rsidRPr="00C921DE">
        <w:rPr>
          <w:rFonts w:ascii="GHEA Grapalat" w:hAnsi="GHEA Grapalat"/>
          <w:sz w:val="22"/>
          <w:szCs w:val="22"/>
        </w:rPr>
        <w:t>ու խնդիրը կարգավորելու նպատակով</w:t>
      </w:r>
      <w:r w:rsidR="00AD0306" w:rsidRPr="00C921DE">
        <w:rPr>
          <w:rFonts w:ascii="GHEA Grapalat" w:hAnsi="GHEA Grapalat"/>
          <w:sz w:val="22"/>
          <w:szCs w:val="22"/>
          <w:lang w:val="en-US"/>
        </w:rPr>
        <w:t>:</w:t>
      </w:r>
    </w:p>
    <w:p w14:paraId="38F33F0F" w14:textId="66C108CA" w:rsidR="0071596A" w:rsidRPr="00C921DE" w:rsidRDefault="0071596A" w:rsidP="0071596A">
      <w:pPr>
        <w:autoSpaceDE w:val="0"/>
        <w:autoSpaceDN w:val="0"/>
        <w:adjustRightInd w:val="0"/>
        <w:spacing w:line="360" w:lineRule="auto"/>
        <w:ind w:firstLine="567"/>
        <w:jc w:val="both"/>
        <w:rPr>
          <w:rFonts w:ascii="GHEA Grapalat" w:hAnsi="GHEA Grapalat"/>
          <w:sz w:val="22"/>
          <w:szCs w:val="22"/>
          <w:lang w:val="en-US"/>
        </w:rPr>
      </w:pPr>
      <w:r w:rsidRPr="00C921DE">
        <w:rPr>
          <w:rFonts w:ascii="GHEA Grapalat" w:hAnsi="GHEA Grapalat"/>
          <w:sz w:val="22"/>
          <w:szCs w:val="22"/>
        </w:rPr>
        <w:t>«Երևանի ջերմաէլեկտրակենտրոն» փակ բաժնետիրական ընկերության 2022 թվականի նոյեմբերի 1-ից մինչև 2023 թվականի ապրիլի 30-ն ընկած ժամանակահատվածում փաստացի գործունեությամբ պայմանավորված անհրաժեշտ հասույթի շեղման արդյունքում ընկերության մոտ ձևավորված վնասի և մասնակիորեն շահագործման ու պահպանման ծախսերի փոխհատուցման նպատակով</w:t>
      </w:r>
      <w:r w:rsidRPr="00C921DE">
        <w:rPr>
          <w:rFonts w:ascii="GHEA Grapalat" w:hAnsi="GHEA Grapalat"/>
          <w:sz w:val="22"/>
          <w:szCs w:val="22"/>
          <w:lang w:val="en-US"/>
        </w:rPr>
        <w:t xml:space="preserve"> </w:t>
      </w:r>
      <w:r w:rsidR="00E37749" w:rsidRPr="00C921DE">
        <w:rPr>
          <w:rFonts w:ascii="GHEA Grapalat" w:hAnsi="GHEA Grapalat"/>
          <w:sz w:val="22"/>
          <w:szCs w:val="22"/>
        </w:rPr>
        <w:t>2.7 մլրդ դրամ է տրամադրվել ը</w:t>
      </w:r>
      <w:r w:rsidR="00E37749" w:rsidRPr="00C921DE">
        <w:rPr>
          <w:rFonts w:ascii="GHEA Grapalat" w:hAnsi="GHEA Grapalat"/>
          <w:sz w:val="22"/>
          <w:szCs w:val="22"/>
          <w:lang w:val="en-US"/>
        </w:rPr>
        <w:t>նկերության կանոնադրական կապիտալի ավելացմանը:</w:t>
      </w:r>
    </w:p>
    <w:p w14:paraId="3CD29A16" w14:textId="05C4A434" w:rsidR="0046194F" w:rsidRPr="00C921DE" w:rsidRDefault="0046194F" w:rsidP="0046194F">
      <w:pPr>
        <w:autoSpaceDE w:val="0"/>
        <w:autoSpaceDN w:val="0"/>
        <w:adjustRightInd w:val="0"/>
        <w:spacing w:line="360" w:lineRule="auto"/>
        <w:ind w:firstLine="567"/>
        <w:jc w:val="both"/>
        <w:rPr>
          <w:rFonts w:ascii="GHEA Grapalat" w:hAnsi="GHEA Grapalat"/>
          <w:bCs/>
          <w:sz w:val="22"/>
          <w:szCs w:val="22"/>
        </w:rPr>
      </w:pPr>
      <w:r w:rsidRPr="00C921DE">
        <w:rPr>
          <w:rFonts w:ascii="GHEA Grapalat" w:hAnsi="GHEA Grapalat"/>
          <w:bCs/>
          <w:sz w:val="22"/>
          <w:szCs w:val="22"/>
        </w:rPr>
        <w:t>«Ձեռնարկատեր+Պետություն հակաճգնաժամային ներդրումներ» ոչ հրապարակային մասնագիտացված պայմանագրային ներդրումային ֆոնդ</w:t>
      </w:r>
      <w:r w:rsidR="00353D02" w:rsidRPr="00C921DE">
        <w:rPr>
          <w:rFonts w:ascii="GHEA Grapalat" w:hAnsi="GHEA Grapalat"/>
          <w:bCs/>
          <w:sz w:val="22"/>
          <w:szCs w:val="22"/>
          <w:lang w:val="en-US"/>
        </w:rPr>
        <w:t>ի</w:t>
      </w:r>
      <w:r w:rsidRPr="00C921DE">
        <w:rPr>
          <w:rFonts w:ascii="GHEA Grapalat" w:hAnsi="GHEA Grapalat"/>
          <w:bCs/>
          <w:sz w:val="22"/>
          <w:szCs w:val="22"/>
        </w:rPr>
        <w:t xml:space="preserve"> բաժնեմասերի ձեռքբերման նպատակով</w:t>
      </w:r>
      <w:r w:rsidR="00473829" w:rsidRPr="00C921DE">
        <w:rPr>
          <w:rFonts w:ascii="GHEA Grapalat" w:hAnsi="GHEA Grapalat"/>
          <w:bCs/>
          <w:sz w:val="22"/>
          <w:szCs w:val="22"/>
          <w:lang w:val="en-US"/>
        </w:rPr>
        <w:t xml:space="preserve"> նախատեսված </w:t>
      </w:r>
      <w:r w:rsidR="00473829" w:rsidRPr="00C921DE">
        <w:rPr>
          <w:rFonts w:ascii="GHEA Grapalat" w:hAnsi="GHEA Grapalat"/>
          <w:bCs/>
          <w:sz w:val="22"/>
          <w:szCs w:val="22"/>
        </w:rPr>
        <w:t>5 մլրդ դրամ</w:t>
      </w:r>
      <w:r w:rsidR="00473829" w:rsidRPr="00C921DE">
        <w:rPr>
          <w:rFonts w:ascii="GHEA Grapalat" w:hAnsi="GHEA Grapalat"/>
          <w:bCs/>
          <w:sz w:val="22"/>
          <w:szCs w:val="22"/>
          <w:lang w:val="en-US"/>
        </w:rPr>
        <w:t xml:space="preserve">ն ամբողջությամբ </w:t>
      </w:r>
      <w:r w:rsidR="004F0D7C" w:rsidRPr="00C921DE">
        <w:rPr>
          <w:rFonts w:ascii="GHEA Grapalat" w:hAnsi="GHEA Grapalat"/>
          <w:bCs/>
          <w:sz w:val="22"/>
          <w:szCs w:val="22"/>
          <w:lang w:val="en-US"/>
        </w:rPr>
        <w:t>տրամադրվել է</w:t>
      </w:r>
      <w:r w:rsidRPr="00C921DE">
        <w:rPr>
          <w:rFonts w:ascii="GHEA Grapalat" w:hAnsi="GHEA Grapalat"/>
          <w:bCs/>
          <w:sz w:val="22"/>
          <w:szCs w:val="22"/>
        </w:rPr>
        <w:t>: Ֆոնդը նախատեսված 5-ի դիմաց փաստացի կատարել է 3 ներդրում` 3.5</w:t>
      </w:r>
      <w:r w:rsidR="00353D02" w:rsidRPr="00C921DE">
        <w:rPr>
          <w:rFonts w:ascii="Calibri" w:hAnsi="Calibri" w:cs="Calibri"/>
          <w:bCs/>
          <w:sz w:val="22"/>
          <w:szCs w:val="22"/>
          <w:lang w:val="en-US"/>
        </w:rPr>
        <w:t> </w:t>
      </w:r>
      <w:r w:rsidRPr="00C921DE">
        <w:rPr>
          <w:rFonts w:ascii="GHEA Grapalat" w:hAnsi="GHEA Grapalat"/>
          <w:bCs/>
          <w:sz w:val="22"/>
          <w:szCs w:val="22"/>
        </w:rPr>
        <w:t xml:space="preserve">մլրդ դրամի չափով։ 1.5 մլրդ դրամի մնացորդի առկայությունը պայմանավորված է նրանով, </w:t>
      </w:r>
      <w:bookmarkStart w:id="265" w:name="_Hlk162260521"/>
      <w:r w:rsidRPr="00C921DE">
        <w:rPr>
          <w:rFonts w:ascii="GHEA Grapalat" w:hAnsi="GHEA Grapalat"/>
          <w:bCs/>
          <w:sz w:val="22"/>
          <w:szCs w:val="22"/>
        </w:rPr>
        <w:t>որ</w:t>
      </w:r>
      <w:bookmarkEnd w:id="265"/>
      <w:r w:rsidRPr="00C921DE">
        <w:rPr>
          <w:rFonts w:ascii="GHEA Grapalat" w:hAnsi="GHEA Grapalat"/>
          <w:bCs/>
          <w:sz w:val="22"/>
          <w:szCs w:val="22"/>
        </w:rPr>
        <w:t xml:space="preserve"> շարունակվում են հնարավոր ներդրումային ծրագրերի պայմանների, </w:t>
      </w:r>
      <w:r w:rsidR="00E37D6B" w:rsidRPr="00C921DE">
        <w:rPr>
          <w:rFonts w:ascii="GHEA Grapalat" w:hAnsi="GHEA Grapalat"/>
          <w:bCs/>
          <w:sz w:val="22"/>
          <w:szCs w:val="22"/>
          <w:lang w:val="en-US"/>
        </w:rPr>
        <w:t>ֆ</w:t>
      </w:r>
      <w:r w:rsidRPr="00C921DE">
        <w:rPr>
          <w:rFonts w:ascii="GHEA Grapalat" w:hAnsi="GHEA Grapalat"/>
          <w:bCs/>
          <w:sz w:val="22"/>
          <w:szCs w:val="22"/>
        </w:rPr>
        <w:t xml:space="preserve">ոնդի կողմից նախատեսվող ներդրման չափի և այլ հարցերի շուրջ բանակցությունները ներդրողների հետ, ընկերություններում </w:t>
      </w:r>
      <w:r w:rsidR="00E37D6B" w:rsidRPr="00C921DE">
        <w:rPr>
          <w:rFonts w:ascii="GHEA Grapalat" w:hAnsi="GHEA Grapalat"/>
          <w:bCs/>
          <w:sz w:val="22"/>
          <w:szCs w:val="22"/>
          <w:lang w:val="en-US"/>
        </w:rPr>
        <w:t>ֆ</w:t>
      </w:r>
      <w:r w:rsidRPr="00C921DE">
        <w:rPr>
          <w:rFonts w:ascii="GHEA Grapalat" w:hAnsi="GHEA Grapalat"/>
          <w:bCs/>
          <w:sz w:val="22"/>
          <w:szCs w:val="22"/>
        </w:rPr>
        <w:t xml:space="preserve">ոնդի կողմից իրականացվում </w:t>
      </w:r>
      <w:r w:rsidR="00353D02" w:rsidRPr="00C921DE">
        <w:rPr>
          <w:rFonts w:ascii="GHEA Grapalat" w:hAnsi="GHEA Grapalat"/>
          <w:bCs/>
          <w:sz w:val="22"/>
          <w:szCs w:val="22"/>
          <w:lang w:val="en-US"/>
        </w:rPr>
        <w:t>են</w:t>
      </w:r>
      <w:r w:rsidRPr="00C921DE">
        <w:rPr>
          <w:rFonts w:ascii="GHEA Grapalat" w:hAnsi="GHEA Grapalat"/>
          <w:bCs/>
          <w:sz w:val="22"/>
          <w:szCs w:val="22"/>
        </w:rPr>
        <w:t xml:space="preserve"> ուսումնասիրություն</w:t>
      </w:r>
      <w:r w:rsidR="00353D02" w:rsidRPr="00C921DE">
        <w:rPr>
          <w:rFonts w:ascii="GHEA Grapalat" w:hAnsi="GHEA Grapalat"/>
          <w:bCs/>
          <w:sz w:val="22"/>
          <w:szCs w:val="22"/>
          <w:lang w:val="en-US"/>
        </w:rPr>
        <w:t>ներ</w:t>
      </w:r>
      <w:r w:rsidRPr="00C921DE">
        <w:rPr>
          <w:rFonts w:ascii="GHEA Grapalat" w:hAnsi="GHEA Grapalat"/>
          <w:bCs/>
          <w:sz w:val="22"/>
          <w:szCs w:val="22"/>
        </w:rPr>
        <w:t xml:space="preserve">, ինչը </w:t>
      </w:r>
      <w:r w:rsidRPr="00C921DE">
        <w:rPr>
          <w:rFonts w:ascii="GHEA Grapalat" w:hAnsi="GHEA Grapalat"/>
          <w:bCs/>
          <w:sz w:val="22"/>
          <w:szCs w:val="22"/>
        </w:rPr>
        <w:lastRenderedPageBreak/>
        <w:t xml:space="preserve">ժամանակատար գործընթաց է: Միջոցառման առաջնային նպատակն է մասնավոր ներդրումների աճի խթանումը։ </w:t>
      </w:r>
    </w:p>
    <w:p w14:paraId="766E065F" w14:textId="4A252BCF"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Բաժնեմասերի ձեռքբերման նպատակով 787.1 մլն դրամ է տրամադրվել ՀՀ առողջապահության նախար</w:t>
      </w:r>
      <w:r w:rsidR="00FE79D2" w:rsidRPr="00C921DE">
        <w:rPr>
          <w:rFonts w:ascii="GHEA Grapalat" w:hAnsi="GHEA Grapalat"/>
          <w:sz w:val="22"/>
          <w:szCs w:val="22"/>
          <w:lang w:val="en-US"/>
        </w:rPr>
        <w:t>ար</w:t>
      </w:r>
      <w:r w:rsidRPr="00C921DE">
        <w:rPr>
          <w:rFonts w:ascii="GHEA Grapalat" w:hAnsi="GHEA Grapalat"/>
          <w:sz w:val="22"/>
          <w:szCs w:val="22"/>
        </w:rPr>
        <w:t>ությանը: Մասնավորապես</w:t>
      </w:r>
      <w:r w:rsidR="00E37D6B" w:rsidRPr="00C921DE">
        <w:rPr>
          <w:rFonts w:ascii="GHEA Grapalat" w:hAnsi="GHEA Grapalat"/>
          <w:sz w:val="22"/>
          <w:szCs w:val="22"/>
          <w:lang w:val="en-US"/>
        </w:rPr>
        <w:t>՝</w:t>
      </w:r>
      <w:r w:rsidRPr="00C921DE">
        <w:rPr>
          <w:rFonts w:ascii="GHEA Grapalat" w:hAnsi="GHEA Grapalat"/>
          <w:sz w:val="22"/>
          <w:szCs w:val="22"/>
        </w:rPr>
        <w:t xml:space="preserve"> բաժնետոմսերի անվանական արժեքը մեծացնելու միջոցով «Ակադեմիկոս Էմիլ Գաբրիելյանի անվան դեղերի և բժշկական տեխնոլոգիաների փորձագիտական կենտրոն» ՓԲԸ-ի կանոնադրական կապիտալն ավելացվել է 595 մլն դրամով: Միջոցառման շրջանակներում ապահովվել է</w:t>
      </w:r>
      <w:r w:rsidR="00517635" w:rsidRPr="00C921DE">
        <w:rPr>
          <w:rFonts w:ascii="GHEA Grapalat" w:hAnsi="GHEA Grapalat"/>
          <w:sz w:val="22"/>
          <w:szCs w:val="22"/>
        </w:rPr>
        <w:t xml:space="preserve"> </w:t>
      </w:r>
      <w:r w:rsidR="00E37D6B" w:rsidRPr="00C921DE">
        <w:rPr>
          <w:rFonts w:ascii="GHEA Grapalat" w:hAnsi="GHEA Grapalat"/>
          <w:sz w:val="22"/>
          <w:szCs w:val="22"/>
          <w:lang w:val="en-US"/>
        </w:rPr>
        <w:t>ը</w:t>
      </w:r>
      <w:r w:rsidRPr="00C921DE">
        <w:rPr>
          <w:rFonts w:ascii="GHEA Grapalat" w:hAnsi="GHEA Grapalat"/>
          <w:sz w:val="22"/>
          <w:szCs w:val="22"/>
        </w:rPr>
        <w:t>նկերության վերլուծական լաբորատորիայի վերազինումը։ «Ավան» հոգեկան առողջության կենտրոն» ՓԲԸ-ի կանոնադրական կապիտալն ավելացվել է 99.9 մլն դրամով՝ հոգեկան առողջության պահպանման ծառայությունների մատուցման որակի և հասանելիության բարձրացման, ինչպես նաև բժշկական կազմակերպությունների շենքային պայմանների բարելավման նպատակով: «Պրոֆեսոր Ռ. Օ. Յոլյանի անվան արյունաբանական կենտրոն» ՓԲԸ-ի կանոնադրական կապիտալն ավելացվել է 40.0 մլն դրամով՝ արյան բանկի կառուցման համար պայմաններ ստեղծելու, ինչպես նաև անհրաժեշտ սարքավորումներով հագեցվածության ապահովման նպատակով: «Սևան»</w:t>
      </w:r>
      <w:r w:rsidR="00E37D6B" w:rsidRPr="00C921DE">
        <w:rPr>
          <w:rFonts w:ascii="GHEA Grapalat" w:hAnsi="GHEA Grapalat"/>
          <w:sz w:val="22"/>
          <w:szCs w:val="22"/>
          <w:lang w:val="en-US"/>
        </w:rPr>
        <w:t xml:space="preserve"> </w:t>
      </w:r>
      <w:r w:rsidRPr="00C921DE">
        <w:rPr>
          <w:rFonts w:ascii="GHEA Grapalat" w:hAnsi="GHEA Grapalat"/>
          <w:sz w:val="22"/>
          <w:szCs w:val="22"/>
        </w:rPr>
        <w:t>հոգեկան առողջության կենտրոն ՓԲԸ</w:t>
      </w:r>
      <w:r w:rsidR="009D57B6" w:rsidRPr="00C921DE">
        <w:rPr>
          <w:rFonts w:ascii="GHEA Grapalat" w:hAnsi="GHEA Grapalat"/>
          <w:sz w:val="22"/>
          <w:szCs w:val="22"/>
        </w:rPr>
        <w:t>-ի կանոնադրական կապիտալն</w:t>
      </w:r>
      <w:r w:rsidRPr="00C921DE">
        <w:rPr>
          <w:rFonts w:ascii="GHEA Grapalat" w:hAnsi="GHEA Grapalat"/>
          <w:sz w:val="22"/>
          <w:szCs w:val="22"/>
        </w:rPr>
        <w:t xml:space="preserve"> ավելաց</w:t>
      </w:r>
      <w:r w:rsidR="009D57B6" w:rsidRPr="00C921DE">
        <w:rPr>
          <w:rFonts w:ascii="GHEA Grapalat" w:hAnsi="GHEA Grapalat"/>
          <w:sz w:val="22"/>
          <w:szCs w:val="22"/>
          <w:lang w:val="en-US"/>
        </w:rPr>
        <w:t>վ</w:t>
      </w:r>
      <w:r w:rsidRPr="00C921DE">
        <w:rPr>
          <w:rFonts w:ascii="GHEA Grapalat" w:hAnsi="GHEA Grapalat"/>
          <w:sz w:val="22"/>
          <w:szCs w:val="22"/>
        </w:rPr>
        <w:t>ել է 30.8 մլն դրամով՝ շենքային պայմանների բարելավման նպատակով: Բաժնետոմսերի անվանական արժեքը մեծացնելու միջոցով «Նևրոզների կլինիկա» ՓԲԸ-ի կանոնադրական կապիտալ</w:t>
      </w:r>
      <w:r w:rsidR="009D57B6" w:rsidRPr="00C921DE">
        <w:rPr>
          <w:rFonts w:ascii="GHEA Grapalat" w:hAnsi="GHEA Grapalat"/>
          <w:sz w:val="22"/>
          <w:szCs w:val="22"/>
          <w:lang w:val="en-US"/>
        </w:rPr>
        <w:t>ն</w:t>
      </w:r>
      <w:r w:rsidRPr="00C921DE">
        <w:rPr>
          <w:rFonts w:ascii="GHEA Grapalat" w:hAnsi="GHEA Grapalat"/>
          <w:sz w:val="22"/>
          <w:szCs w:val="22"/>
        </w:rPr>
        <w:t xml:space="preserve"> ավելաց</w:t>
      </w:r>
      <w:r w:rsidR="009D57B6" w:rsidRPr="00C921DE">
        <w:rPr>
          <w:rFonts w:ascii="GHEA Grapalat" w:hAnsi="GHEA Grapalat"/>
          <w:sz w:val="22"/>
          <w:szCs w:val="22"/>
          <w:lang w:val="en-US"/>
        </w:rPr>
        <w:t>վ</w:t>
      </w:r>
      <w:r w:rsidRPr="00C921DE">
        <w:rPr>
          <w:rFonts w:ascii="GHEA Grapalat" w:hAnsi="GHEA Grapalat"/>
          <w:sz w:val="22"/>
          <w:szCs w:val="22"/>
        </w:rPr>
        <w:t>ել է 21.4 մլն դրամով</w:t>
      </w:r>
      <w:r w:rsidR="009D57B6" w:rsidRPr="00C921DE">
        <w:rPr>
          <w:rFonts w:ascii="GHEA Grapalat" w:hAnsi="GHEA Grapalat"/>
          <w:sz w:val="22"/>
          <w:szCs w:val="22"/>
          <w:lang w:val="en-US"/>
        </w:rPr>
        <w:t>, քանի որ</w:t>
      </w:r>
      <w:r w:rsidRPr="00C921DE">
        <w:rPr>
          <w:rFonts w:ascii="GHEA Grapalat" w:hAnsi="GHEA Grapalat"/>
          <w:sz w:val="22"/>
          <w:szCs w:val="22"/>
        </w:rPr>
        <w:t xml:space="preserve"> </w:t>
      </w:r>
      <w:r w:rsidR="009D57B6" w:rsidRPr="00C921DE">
        <w:rPr>
          <w:rFonts w:ascii="GHEA Grapalat" w:hAnsi="GHEA Grapalat"/>
          <w:sz w:val="22"/>
          <w:szCs w:val="22"/>
          <w:lang w:val="en-US"/>
        </w:rPr>
        <w:t>ը</w:t>
      </w:r>
      <w:r w:rsidRPr="00C921DE">
        <w:rPr>
          <w:rFonts w:ascii="GHEA Grapalat" w:hAnsi="GHEA Grapalat"/>
          <w:sz w:val="22"/>
          <w:szCs w:val="22"/>
        </w:rPr>
        <w:t>նկերության զուտ ակտիվների արժեքը պակաս էր կանոնադրական կապիտալից, ինչը խոչընդոտ էր հանդիսանում «Ավան հոգեկան առողջության կենտրոն փակ բաժնետիրական ընկերության միավորման գործընթացին:</w:t>
      </w:r>
    </w:p>
    <w:p w14:paraId="75F7562E"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142 մլն դրամ է տրամադրվել ՀՀ ԲՏԱՆ-ին,</w:t>
      </w:r>
      <w:r w:rsidRPr="00C921DE">
        <w:rPr>
          <w:rFonts w:ascii="GHEA Grapalat" w:hAnsi="GHEA Grapalat"/>
          <w:bCs/>
          <w:sz w:val="22"/>
          <w:szCs w:val="22"/>
        </w:rPr>
        <w:t xml:space="preserve"> որն ուղղվել է</w:t>
      </w:r>
      <w:r w:rsidRPr="00C921DE">
        <w:rPr>
          <w:rFonts w:ascii="GHEA Grapalat" w:hAnsi="GHEA Grapalat"/>
          <w:sz w:val="22"/>
          <w:szCs w:val="22"/>
        </w:rPr>
        <w:t xml:space="preserve"> </w:t>
      </w:r>
      <w:bookmarkStart w:id="266" w:name="_Hlk71795737"/>
      <w:r w:rsidRPr="00C921DE">
        <w:rPr>
          <w:rFonts w:ascii="GHEA Grapalat" w:hAnsi="GHEA Grapalat"/>
          <w:sz w:val="22"/>
          <w:szCs w:val="22"/>
        </w:rPr>
        <w:t>«Գեոկոսմոս»</w:t>
      </w:r>
      <w:bookmarkEnd w:id="266"/>
      <w:r w:rsidRPr="00C921DE">
        <w:rPr>
          <w:rFonts w:ascii="GHEA Grapalat" w:hAnsi="GHEA Grapalat"/>
          <w:sz w:val="22"/>
          <w:szCs w:val="22"/>
        </w:rPr>
        <w:t xml:space="preserve"> ՓԲԸ-ի կանոնադրական կապիտալի ավելացմանը՝ բաժնետոմսերի անվանական արժեքը մեծացնելու ճանապարհով արբանյակի ձեռքբերման և Երկրային կառավարման կենտրոնի ու ընդունիչ կայանի ստեղծման նպատակով: </w:t>
      </w:r>
    </w:p>
    <w:p w14:paraId="2CB223AA" w14:textId="10BC60EE"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57.5 մլն դրամ տրամադրվել է ՀՀ ՏԿԵՆ պետական գույքի կառավարման կոմիտեին՝ «Կարեն Դեմիրճյանի անվան մարզահամերգային համալիր» ՓԲԸ-ի կանոնադրական կապիտալի ավելացման նպատակով: Կանոնադրական կապիտալի ավելացման նպատակն է եղել համալիրին ամրացված շենքի հակահրդեհային համակարգի ներդրման և կառուցման նախագծանախահաշվային փաստաթղթերի, ինչպես նաև շենքի օդափոխության համակարգի ստեղծման, արդիականացման, վերազինման և հիմնանորոգման նախագծանախահաշվային փաստաթղթերի ձեռքբերումը։</w:t>
      </w:r>
    </w:p>
    <w:p w14:paraId="490EFB76" w14:textId="6ED36648"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2023 թվականին նախատեսվել էր 18 մլրդ դրամ վարկերի տրամադրում ՀՀ ռեզիդենտներին, որից 14.4 մլրդ դրամը՝ արտաքին աջակցությամբ իրականացվող ծրագրերի շրջանակներում, 3.6 մլրդ դրամը՝ ներքին ռեսուրսների հաշվին: Արտաքին աջակցությամբ իրականացվող նպատակային </w:t>
      </w:r>
      <w:r w:rsidRPr="00C921DE">
        <w:rPr>
          <w:rFonts w:ascii="GHEA Grapalat" w:hAnsi="GHEA Grapalat" w:cs="GHEA Grapalat"/>
          <w:sz w:val="22"/>
          <w:szCs w:val="22"/>
        </w:rPr>
        <w:lastRenderedPageBreak/>
        <w:t>վարկային ծրագրերի շրջանակներում ՀՀ ռեզիդենտներին</w:t>
      </w:r>
      <w:r w:rsidR="00E41E15" w:rsidRPr="00C921DE">
        <w:rPr>
          <w:rFonts w:ascii="GHEA Grapalat" w:hAnsi="GHEA Grapalat" w:cs="GHEA Grapalat"/>
          <w:sz w:val="22"/>
          <w:szCs w:val="22"/>
          <w:lang w:val="en-US"/>
        </w:rPr>
        <w:t xml:space="preserve"> փաստացի տրամադրվել են</w:t>
      </w:r>
      <w:r w:rsidRPr="00C921DE">
        <w:rPr>
          <w:rFonts w:ascii="GHEA Grapalat" w:hAnsi="GHEA Grapalat" w:cs="GHEA Grapalat"/>
          <w:sz w:val="22"/>
          <w:szCs w:val="22"/>
        </w:rPr>
        <w:t xml:space="preserve"> շուրջ 10 մլրդ դրամ</w:t>
      </w:r>
      <w:r w:rsidR="00E41E15" w:rsidRPr="00C921DE">
        <w:rPr>
          <w:rFonts w:ascii="GHEA Grapalat" w:hAnsi="GHEA Grapalat" w:cs="GHEA Grapalat"/>
          <w:sz w:val="22"/>
          <w:szCs w:val="22"/>
          <w:lang w:val="en-US"/>
        </w:rPr>
        <w:t>ի</w:t>
      </w:r>
      <w:r w:rsidR="00E41E15" w:rsidRPr="00C921DE">
        <w:rPr>
          <w:rFonts w:ascii="GHEA Grapalat" w:hAnsi="GHEA Grapalat" w:cs="GHEA Grapalat"/>
          <w:sz w:val="22"/>
          <w:szCs w:val="22"/>
        </w:rPr>
        <w:t xml:space="preserve"> վարկեր, որոնց</w:t>
      </w:r>
      <w:r w:rsidRPr="00C921DE">
        <w:rPr>
          <w:rFonts w:ascii="GHEA Grapalat" w:hAnsi="GHEA Grapalat" w:cs="GHEA Grapalat"/>
          <w:sz w:val="22"/>
          <w:szCs w:val="22"/>
        </w:rPr>
        <w:t xml:space="preserve"> զգալի մասը՝ 6.8 մլրդ դրամը, տրամադրվել է Քաղաքային զարգացման ծրագրի շրջանակներում՝ կազմելով ծրագրված ցուցանիշի 93.5%-ը: </w:t>
      </w:r>
      <w:bookmarkStart w:id="267" w:name="_Hlk97213469"/>
      <w:r w:rsidRPr="00C921DE">
        <w:rPr>
          <w:rFonts w:ascii="GHEA Grapalat" w:hAnsi="GHEA Grapalat" w:cs="GHEA Grapalat"/>
          <w:sz w:val="22"/>
          <w:szCs w:val="22"/>
        </w:rPr>
        <w:t xml:space="preserve">Մասնավորապես՝ ՎԶԵԲ աջակցությամբ իրականացվող Երևան քաղաքի հանրային տրանսպորտի նոր երթուղային ցանցի շարժակազմերի ներդրման ֆինանսական աջակցության ծրագրի շրջանակներում տրամադրվել է </w:t>
      </w:r>
      <w:r w:rsidR="00044399" w:rsidRPr="00C921DE">
        <w:rPr>
          <w:rFonts w:ascii="GHEA Grapalat" w:hAnsi="GHEA Grapalat" w:cs="GHEA Grapalat"/>
          <w:sz w:val="22"/>
          <w:szCs w:val="22"/>
        </w:rPr>
        <w:t>6.7</w:t>
      </w:r>
      <w:r w:rsidR="00044399" w:rsidRPr="00C921DE">
        <w:rPr>
          <w:rFonts w:ascii="Calibri" w:hAnsi="Calibri" w:cs="Calibri"/>
          <w:sz w:val="22"/>
          <w:szCs w:val="22"/>
          <w:lang w:val="en-US"/>
        </w:rPr>
        <w:t> </w:t>
      </w:r>
      <w:r w:rsidRPr="00C921DE">
        <w:rPr>
          <w:rFonts w:ascii="GHEA Grapalat" w:hAnsi="GHEA Grapalat" w:cs="GHEA Grapalat"/>
          <w:sz w:val="22"/>
          <w:szCs w:val="22"/>
        </w:rPr>
        <w:t>մլրդ դրամ</w:t>
      </w:r>
      <w:r w:rsidR="00044399" w:rsidRPr="00C921DE">
        <w:rPr>
          <w:rFonts w:ascii="GHEA Grapalat" w:hAnsi="GHEA Grapalat" w:cs="GHEA Grapalat"/>
          <w:sz w:val="22"/>
          <w:szCs w:val="22"/>
          <w:lang w:val="en-US"/>
        </w:rPr>
        <w:t xml:space="preserve"> (100%)</w:t>
      </w:r>
      <w:r w:rsidRPr="00C921DE">
        <w:rPr>
          <w:rFonts w:ascii="GHEA Grapalat" w:hAnsi="GHEA Grapalat" w:cs="GHEA Grapalat"/>
          <w:sz w:val="22"/>
          <w:szCs w:val="22"/>
        </w:rPr>
        <w:t>: Միջոցառման շրջանակներում ձեռք են բերվել MAN մակնիշի 87 հատ 12 մետրանոց ավտոբուսներ: Նշենք, որ ավտոբուսների ձեռքբերման նպատակով միջոցներ են հատկացվել նաև Արևելյան Եվրոպայի էներգախն</w:t>
      </w:r>
      <w:r w:rsidR="009440FC" w:rsidRPr="00C921DE">
        <w:rPr>
          <w:rFonts w:ascii="GHEA Grapalat" w:hAnsi="GHEA Grapalat" w:cs="GHEA Grapalat"/>
          <w:sz w:val="22"/>
          <w:szCs w:val="22"/>
          <w:lang w:val="en-US"/>
        </w:rPr>
        <w:t>ա</w:t>
      </w:r>
      <w:r w:rsidRPr="00C921DE">
        <w:rPr>
          <w:rFonts w:ascii="GHEA Grapalat" w:hAnsi="GHEA Grapalat" w:cs="GHEA Grapalat"/>
          <w:sz w:val="22"/>
          <w:szCs w:val="22"/>
        </w:rPr>
        <w:t>յողության և շրջակա միջավայրի գործընկերության տարածաշրջանային հիմնադրամի աջակցությամբ իրականացվող Երևան քաղաքի հանրային տրանսպորտի նոր երթուղային ցանցի շարժակազմի ներդրման ֆինասական աջակցության դրամաշնորհային</w:t>
      </w:r>
      <w:r w:rsidR="00C16368" w:rsidRPr="00C921DE">
        <w:rPr>
          <w:rFonts w:ascii="GHEA Grapalat" w:hAnsi="GHEA Grapalat" w:cs="GHEA Grapalat"/>
          <w:sz w:val="22"/>
          <w:szCs w:val="22"/>
          <w:lang w:val="en-US"/>
        </w:rPr>
        <w:t xml:space="preserve"> ծախսային</w:t>
      </w:r>
      <w:r w:rsidRPr="00C921DE">
        <w:rPr>
          <w:rFonts w:ascii="GHEA Grapalat" w:hAnsi="GHEA Grapalat" w:cs="GHEA Grapalat"/>
          <w:sz w:val="22"/>
          <w:szCs w:val="22"/>
        </w:rPr>
        <w:t xml:space="preserve"> ծրագրի </w:t>
      </w:r>
      <w:r w:rsidR="00044399" w:rsidRPr="00C921DE">
        <w:rPr>
          <w:rFonts w:ascii="GHEA Grapalat" w:hAnsi="GHEA Grapalat" w:cs="GHEA Grapalat"/>
          <w:sz w:val="22"/>
          <w:szCs w:val="22"/>
          <w:lang w:val="en-US"/>
        </w:rPr>
        <w:t>շրջանակներում</w:t>
      </w:r>
      <w:r w:rsidRPr="00C921DE">
        <w:rPr>
          <w:rFonts w:ascii="GHEA Grapalat" w:hAnsi="GHEA Grapalat" w:cs="GHEA Grapalat"/>
          <w:sz w:val="22"/>
          <w:szCs w:val="22"/>
        </w:rPr>
        <w:t>:</w:t>
      </w:r>
    </w:p>
    <w:p w14:paraId="5ED1BB60" w14:textId="1CAAE0AB"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56.1 մլն դրամ տրամադրվել է </w:t>
      </w:r>
      <w:r w:rsidR="00044399" w:rsidRPr="00C921DE">
        <w:rPr>
          <w:rFonts w:ascii="GHEA Grapalat" w:hAnsi="GHEA Grapalat" w:cs="GHEA Grapalat"/>
          <w:sz w:val="22"/>
          <w:szCs w:val="22"/>
        </w:rPr>
        <w:t>«Երքաղլույս»</w:t>
      </w:r>
      <w:r w:rsidR="00517635" w:rsidRPr="00C921DE">
        <w:rPr>
          <w:rFonts w:ascii="GHEA Grapalat" w:hAnsi="GHEA Grapalat" w:cs="GHEA Grapalat"/>
          <w:sz w:val="22"/>
          <w:szCs w:val="22"/>
        </w:rPr>
        <w:t xml:space="preserve"> </w:t>
      </w:r>
      <w:r w:rsidR="00044399" w:rsidRPr="00C921DE">
        <w:rPr>
          <w:rFonts w:ascii="GHEA Grapalat" w:hAnsi="GHEA Grapalat" w:cs="GHEA Grapalat"/>
          <w:sz w:val="22"/>
          <w:szCs w:val="22"/>
        </w:rPr>
        <w:t>ՓԲԸ-ին</w:t>
      </w:r>
      <w:r w:rsidR="00044399" w:rsidRPr="00C921DE">
        <w:rPr>
          <w:rFonts w:ascii="GHEA Grapalat" w:hAnsi="GHEA Grapalat" w:cs="GHEA Grapalat"/>
          <w:sz w:val="22"/>
          <w:szCs w:val="22"/>
          <w:lang w:val="en-US"/>
        </w:rPr>
        <w:t>՝</w:t>
      </w:r>
      <w:r w:rsidR="00044399" w:rsidRPr="00C921DE">
        <w:rPr>
          <w:rFonts w:ascii="GHEA Grapalat" w:hAnsi="GHEA Grapalat" w:cs="GHEA Grapalat"/>
          <w:sz w:val="22"/>
          <w:szCs w:val="22"/>
        </w:rPr>
        <w:t xml:space="preserve"> </w:t>
      </w:r>
      <w:r w:rsidR="00044399" w:rsidRPr="00C921DE">
        <w:rPr>
          <w:rFonts w:ascii="GHEA Grapalat" w:hAnsi="GHEA Grapalat" w:cs="GHEA Grapalat"/>
          <w:sz w:val="22"/>
          <w:szCs w:val="22"/>
          <w:lang w:val="en-US"/>
        </w:rPr>
        <w:t>ՎԶԵԲ</w:t>
      </w:r>
      <w:r w:rsidRPr="00C921DE">
        <w:rPr>
          <w:rFonts w:ascii="GHEA Grapalat" w:hAnsi="GHEA Grapalat" w:cs="GHEA Grapalat"/>
          <w:sz w:val="22"/>
          <w:szCs w:val="22"/>
        </w:rPr>
        <w:t xml:space="preserve"> աջակցությամբ իրականացվող Երևանի քաղաքային լուս</w:t>
      </w:r>
      <w:r w:rsidR="00E2790E" w:rsidRPr="00C921DE">
        <w:rPr>
          <w:rFonts w:ascii="GHEA Grapalat" w:hAnsi="GHEA Grapalat" w:cs="GHEA Grapalat"/>
          <w:sz w:val="22"/>
          <w:szCs w:val="22"/>
        </w:rPr>
        <w:t>ավորության ծրագրի շրջանակներում</w:t>
      </w:r>
      <w:r w:rsidRPr="00C921DE">
        <w:rPr>
          <w:rFonts w:ascii="GHEA Grapalat" w:hAnsi="GHEA Grapalat" w:cs="GHEA Grapalat"/>
          <w:sz w:val="22"/>
          <w:szCs w:val="22"/>
        </w:rPr>
        <w:t xml:space="preserve">՝ նախատեսված 93.7 մլն դրամի դիմաց: </w:t>
      </w:r>
      <w:r w:rsidR="00100461" w:rsidRPr="00C921DE">
        <w:rPr>
          <w:rFonts w:ascii="GHEA Grapalat" w:hAnsi="GHEA Grapalat" w:cs="GHEA Grapalat"/>
          <w:sz w:val="22"/>
          <w:szCs w:val="22"/>
        </w:rPr>
        <w:t>Ծրագրի նպատակն է Երևան քաղաքի 28 փողոցների արտաքին լուսավորության ցանցերի արդիականացումը:</w:t>
      </w:r>
      <w:r w:rsidR="00100461"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Շեղումը պայմանավորված է նրանով, որ ի սկզբանե ծրագրում ներառված չեն եղել օպերատորների, լուսացու</w:t>
      </w:r>
      <w:r w:rsidR="00E2790E" w:rsidRPr="00C921DE">
        <w:rPr>
          <w:rFonts w:ascii="GHEA Grapalat" w:hAnsi="GHEA Grapalat" w:cs="GHEA Grapalat"/>
          <w:sz w:val="22"/>
          <w:szCs w:val="22"/>
          <w:lang w:val="en-US"/>
        </w:rPr>
        <w:t>յ</w:t>
      </w:r>
      <w:r w:rsidRPr="00C921DE">
        <w:rPr>
          <w:rFonts w:ascii="GHEA Grapalat" w:hAnsi="GHEA Grapalat" w:cs="GHEA Grapalat"/>
          <w:sz w:val="22"/>
          <w:szCs w:val="22"/>
        </w:rPr>
        <w:t>ցերի, տրանսպորտային միջոցների կայանման, տեսալուսանկարահանող սարքերի,</w:t>
      </w:r>
      <w:r w:rsidR="00517635" w:rsidRPr="00C921DE">
        <w:rPr>
          <w:rFonts w:ascii="GHEA Grapalat" w:hAnsi="GHEA Grapalat" w:cs="GHEA Grapalat"/>
          <w:sz w:val="22"/>
          <w:szCs w:val="22"/>
        </w:rPr>
        <w:t xml:space="preserve"> </w:t>
      </w:r>
      <w:r w:rsidRPr="00C921DE">
        <w:rPr>
          <w:rFonts w:ascii="GHEA Grapalat" w:hAnsi="GHEA Grapalat" w:cs="GHEA Grapalat"/>
          <w:sz w:val="22"/>
          <w:szCs w:val="22"/>
        </w:rPr>
        <w:t>ճանապարհային ոստիկանության տեսախցիկների համար նախատեսված աշխատանքներ</w:t>
      </w:r>
      <w:r w:rsidR="007D58AE" w:rsidRPr="00C921DE">
        <w:rPr>
          <w:rFonts w:ascii="GHEA Grapalat" w:hAnsi="GHEA Grapalat" w:cs="GHEA Grapalat"/>
          <w:sz w:val="22"/>
          <w:szCs w:val="22"/>
          <w:lang w:val="en-US"/>
        </w:rPr>
        <w:t>ը</w:t>
      </w:r>
      <w:r w:rsidRPr="00C921DE">
        <w:rPr>
          <w:rFonts w:ascii="GHEA Grapalat" w:hAnsi="GHEA Grapalat" w:cs="GHEA Grapalat"/>
          <w:sz w:val="22"/>
          <w:szCs w:val="22"/>
        </w:rPr>
        <w:t xml:space="preserve">, որոնք ավելացվել են նախագծում և միևնույն ժամանակ </w:t>
      </w:r>
      <w:r w:rsidR="007D58AE" w:rsidRPr="00C921DE">
        <w:rPr>
          <w:rFonts w:ascii="GHEA Grapalat" w:hAnsi="GHEA Grapalat" w:cs="GHEA Grapalat"/>
          <w:sz w:val="22"/>
          <w:szCs w:val="22"/>
          <w:lang w:val="en-US"/>
        </w:rPr>
        <w:t>առաջացրել</w:t>
      </w:r>
      <w:r w:rsidRPr="00C921DE">
        <w:rPr>
          <w:rFonts w:ascii="GHEA Grapalat" w:hAnsi="GHEA Grapalat" w:cs="GHEA Grapalat"/>
          <w:sz w:val="22"/>
          <w:szCs w:val="22"/>
        </w:rPr>
        <w:t xml:space="preserve"> նոր խնդիրներ</w:t>
      </w:r>
      <w:r w:rsidR="00517635"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կապված ստորգետնյա կոմունիկացիաների հետ: Ծրագրի շրջանակներում Մյասնիկյան պողոտայում, Աճառյան-Ամիրյան փողոցներում կատարվել են ստորգետնյա խողովակաշարի անցկացում մալուխ</w:t>
      </w:r>
      <w:r w:rsidR="00132080" w:rsidRPr="00C921DE">
        <w:rPr>
          <w:rFonts w:ascii="GHEA Grapalat" w:hAnsi="GHEA Grapalat" w:cs="GHEA Grapalat"/>
          <w:sz w:val="22"/>
          <w:szCs w:val="22"/>
        </w:rPr>
        <w:t>ների անցկացման համար, հենասյուն</w:t>
      </w:r>
      <w:r w:rsidRPr="00C921DE">
        <w:rPr>
          <w:rFonts w:ascii="GHEA Grapalat" w:hAnsi="GHEA Grapalat" w:cs="GHEA Grapalat"/>
          <w:sz w:val="22"/>
          <w:szCs w:val="22"/>
        </w:rPr>
        <w:t xml:space="preserve">երի հիմքերի պատրաստում, հենասյուների և բարձիկների տեղադրում, լուսատուների տեղադրում, հենասյան մոտ դիտահորերի տեղադրում և կառավարման համակարգի ներդրում: </w:t>
      </w:r>
    </w:p>
    <w:p w14:paraId="2F0E4617" w14:textId="20093765"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Եվրոպական</w:t>
      </w:r>
      <w:r w:rsidR="00517635" w:rsidRPr="00C921DE">
        <w:rPr>
          <w:rFonts w:ascii="GHEA Grapalat" w:hAnsi="GHEA Grapalat" w:cs="GHEA Grapalat"/>
          <w:sz w:val="22"/>
          <w:szCs w:val="22"/>
        </w:rPr>
        <w:t xml:space="preserve"> </w:t>
      </w:r>
      <w:r w:rsidRPr="00C921DE">
        <w:rPr>
          <w:rFonts w:ascii="GHEA Grapalat" w:hAnsi="GHEA Grapalat" w:cs="GHEA Grapalat"/>
          <w:sz w:val="22"/>
          <w:szCs w:val="22"/>
        </w:rPr>
        <w:t xml:space="preserve">ներդրումային բանկի աջակցությամբ իրականացվող Երևանի մետրոպոլիտենի վերակառուցման երկրորդ </w:t>
      </w:r>
      <w:bookmarkStart w:id="268" w:name="_Hlk97562294"/>
      <w:r w:rsidRPr="00C921DE">
        <w:rPr>
          <w:rFonts w:ascii="GHEA Grapalat" w:hAnsi="GHEA Grapalat" w:cs="GHEA Grapalat"/>
          <w:sz w:val="22"/>
          <w:szCs w:val="22"/>
        </w:rPr>
        <w:t xml:space="preserve">ծրագրի շրջանակներում </w:t>
      </w:r>
      <w:bookmarkEnd w:id="268"/>
      <w:r w:rsidRPr="00C921DE">
        <w:rPr>
          <w:rFonts w:ascii="GHEA Grapalat" w:hAnsi="GHEA Grapalat" w:cs="GHEA Grapalat"/>
          <w:sz w:val="22"/>
          <w:szCs w:val="22"/>
        </w:rPr>
        <w:t>նախատեսված 486</w:t>
      </w:r>
      <w:r w:rsidRPr="00C921DE">
        <w:rPr>
          <w:rFonts w:ascii="Calibri" w:hAnsi="Calibri" w:cs="Calibri"/>
          <w:sz w:val="22"/>
          <w:szCs w:val="22"/>
        </w:rPr>
        <w:t> </w:t>
      </w:r>
      <w:r w:rsidRPr="00C921DE">
        <w:rPr>
          <w:rFonts w:ascii="GHEA Grapalat" w:hAnsi="GHEA Grapalat" w:cs="GHEA Grapalat"/>
          <w:sz w:val="22"/>
          <w:szCs w:val="22"/>
        </w:rPr>
        <w:t>մլն դրամից տրամադրվել է 52.3 մլն դրամ կամ 10.9%-ը</w:t>
      </w:r>
      <w:r w:rsidR="006E3F08" w:rsidRPr="00C921DE">
        <w:rPr>
          <w:rFonts w:ascii="GHEA Grapalat" w:hAnsi="GHEA Grapalat" w:cs="GHEA Grapalat"/>
          <w:sz w:val="22"/>
          <w:szCs w:val="22"/>
          <w:lang w:val="en-US"/>
        </w:rPr>
        <w:t>՝ կապված</w:t>
      </w:r>
      <w:r w:rsidRPr="00C921DE">
        <w:rPr>
          <w:rFonts w:ascii="GHEA Grapalat" w:hAnsi="GHEA Grapalat" w:cs="GHEA Grapalat"/>
          <w:sz w:val="22"/>
          <w:szCs w:val="22"/>
        </w:rPr>
        <w:t xml:space="preserve"> կապալառուի թերի աշխատանքի, դանդաղ տեմպի և տարվա վերջին մետրոպոլիտենի ղեկավարության կողմից վճարման վրա արգելանք դնելու հետ՝ տեխնիկական գնացքի օգտագործման դիմաց պարտավորությունները չմարելու համար: Ծրագրի շրջանակներում կատարվել են դրենաժային թունելի հա</w:t>
      </w:r>
      <w:r w:rsidR="006E3F08" w:rsidRPr="00C921DE">
        <w:rPr>
          <w:rFonts w:ascii="GHEA Grapalat" w:hAnsi="GHEA Grapalat" w:cs="GHEA Grapalat"/>
          <w:sz w:val="22"/>
          <w:szCs w:val="22"/>
        </w:rPr>
        <w:t>տակի և պատի կառուց</w:t>
      </w:r>
      <w:r w:rsidR="006E3F08" w:rsidRPr="00C921DE">
        <w:rPr>
          <w:rFonts w:ascii="GHEA Grapalat" w:hAnsi="GHEA Grapalat" w:cs="GHEA Grapalat"/>
          <w:sz w:val="22"/>
          <w:szCs w:val="22"/>
          <w:lang w:val="en-US"/>
        </w:rPr>
        <w:t>ման</w:t>
      </w:r>
      <w:r w:rsidRPr="00C921DE">
        <w:rPr>
          <w:rFonts w:ascii="GHEA Grapalat" w:hAnsi="GHEA Grapalat" w:cs="GHEA Grapalat"/>
          <w:sz w:val="22"/>
          <w:szCs w:val="22"/>
        </w:rPr>
        <w:t xml:space="preserve">, բետոնապատման </w:t>
      </w:r>
      <w:r w:rsidR="006E3F08" w:rsidRPr="00C921DE">
        <w:rPr>
          <w:rFonts w:ascii="GHEA Grapalat" w:hAnsi="GHEA Grapalat" w:cs="GHEA Grapalat"/>
          <w:sz w:val="22"/>
          <w:szCs w:val="22"/>
          <w:lang w:val="en-US"/>
        </w:rPr>
        <w:t>և</w:t>
      </w:r>
      <w:r w:rsidRPr="00C921DE">
        <w:rPr>
          <w:rFonts w:ascii="GHEA Grapalat" w:hAnsi="GHEA Grapalat" w:cs="GHEA Grapalat"/>
          <w:sz w:val="22"/>
          <w:szCs w:val="22"/>
        </w:rPr>
        <w:t xml:space="preserve"> հակակոռ</w:t>
      </w:r>
      <w:r w:rsidR="006E3F08" w:rsidRPr="00C921DE">
        <w:rPr>
          <w:rFonts w:ascii="GHEA Grapalat" w:hAnsi="GHEA Grapalat" w:cs="GHEA Grapalat"/>
          <w:sz w:val="22"/>
          <w:szCs w:val="22"/>
          <w:lang w:val="en-US"/>
        </w:rPr>
        <w:t>ո</w:t>
      </w:r>
      <w:r w:rsidRPr="00C921DE">
        <w:rPr>
          <w:rFonts w:ascii="GHEA Grapalat" w:hAnsi="GHEA Grapalat" w:cs="GHEA Grapalat"/>
          <w:sz w:val="22"/>
          <w:szCs w:val="22"/>
        </w:rPr>
        <w:t xml:space="preserve">զիոն աշխատանքներ: Ծրագրի իրականացման համար միջոցներ են հատկացվել նաև </w:t>
      </w:r>
      <w:r w:rsidR="006E3F08" w:rsidRPr="00C921DE">
        <w:rPr>
          <w:rFonts w:ascii="GHEA Grapalat" w:hAnsi="GHEA Grapalat" w:cs="GHEA Grapalat"/>
          <w:sz w:val="22"/>
          <w:szCs w:val="22"/>
          <w:lang w:val="en-US"/>
        </w:rPr>
        <w:t>ԵՄ</w:t>
      </w:r>
      <w:r w:rsidRPr="00C921DE">
        <w:rPr>
          <w:rFonts w:ascii="GHEA Grapalat" w:hAnsi="GHEA Grapalat" w:cs="GHEA Grapalat"/>
          <w:sz w:val="22"/>
          <w:szCs w:val="22"/>
        </w:rPr>
        <w:t xml:space="preserve"> հարևանության ներդրումային բանկի աջակցությամբ իրականացվող Երևանի մետրոպոլիտենի վերակառուցման երկրորդ դրամաշնորհային</w:t>
      </w:r>
      <w:r w:rsidR="00C16368" w:rsidRPr="00C921DE">
        <w:rPr>
          <w:rFonts w:ascii="GHEA Grapalat" w:hAnsi="GHEA Grapalat" w:cs="GHEA Grapalat"/>
          <w:sz w:val="22"/>
          <w:szCs w:val="22"/>
          <w:lang w:val="en-US"/>
        </w:rPr>
        <w:t xml:space="preserve"> ծախսային</w:t>
      </w:r>
      <w:r w:rsidRPr="00C921DE">
        <w:rPr>
          <w:rFonts w:ascii="GHEA Grapalat" w:hAnsi="GHEA Grapalat" w:cs="GHEA Grapalat"/>
          <w:sz w:val="22"/>
          <w:szCs w:val="22"/>
        </w:rPr>
        <w:t xml:space="preserve"> ծրագրի</w:t>
      </w:r>
      <w:r w:rsidR="006E3F08" w:rsidRPr="00C921DE">
        <w:rPr>
          <w:rFonts w:ascii="GHEA Grapalat" w:hAnsi="GHEA Grapalat" w:cs="GHEA Grapalat"/>
          <w:sz w:val="22"/>
          <w:szCs w:val="22"/>
          <w:lang w:val="en-US"/>
        </w:rPr>
        <w:t xml:space="preserve"> շրջանակներում</w:t>
      </w:r>
      <w:r w:rsidRPr="00C921DE">
        <w:rPr>
          <w:rFonts w:ascii="GHEA Grapalat" w:hAnsi="GHEA Grapalat" w:cs="GHEA Grapalat"/>
          <w:sz w:val="22"/>
          <w:szCs w:val="22"/>
        </w:rPr>
        <w:t>:</w:t>
      </w:r>
    </w:p>
    <w:bookmarkEnd w:id="267"/>
    <w:p w14:paraId="51A3AFA1" w14:textId="55D62C40"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Նախատեսված ծավալով՝ 2.7 մլրդ դրամ</w:t>
      </w:r>
      <w:r w:rsidR="006E3F08" w:rsidRPr="00C921DE">
        <w:rPr>
          <w:rFonts w:ascii="GHEA Grapalat" w:hAnsi="GHEA Grapalat" w:cs="GHEA Grapalat"/>
          <w:sz w:val="22"/>
          <w:szCs w:val="22"/>
          <w:lang w:val="en-US"/>
        </w:rPr>
        <w:t>ի</w:t>
      </w:r>
      <w:r w:rsidRPr="00C921DE">
        <w:rPr>
          <w:rFonts w:ascii="GHEA Grapalat" w:hAnsi="GHEA Grapalat" w:cs="GHEA Grapalat"/>
          <w:sz w:val="22"/>
          <w:szCs w:val="22"/>
        </w:rPr>
        <w:t xml:space="preserve"> վարկեր են տրամադրվել Էլեկտրաէներգետիկ համակարգի զարգացման ծրագրի շրջանակներում: </w:t>
      </w:r>
      <w:r w:rsidR="004B636C" w:rsidRPr="00C921DE">
        <w:rPr>
          <w:rFonts w:ascii="GHEA Grapalat" w:hAnsi="GHEA Grapalat" w:cs="GHEA Grapalat"/>
          <w:sz w:val="22"/>
          <w:szCs w:val="22"/>
          <w:lang w:val="en-US"/>
        </w:rPr>
        <w:t>ՎԶՄԲ</w:t>
      </w:r>
      <w:r w:rsidRPr="00C921DE">
        <w:rPr>
          <w:rFonts w:ascii="GHEA Grapalat" w:hAnsi="GHEA Grapalat" w:cs="GHEA Grapalat"/>
          <w:sz w:val="22"/>
          <w:szCs w:val="22"/>
        </w:rPr>
        <w:t xml:space="preserve"> աջակցությամբ իրականացվող էլեկտրամատակարարման հուսալիության ծրագրի լրացուցիչ ֆինանսավորման ծրագրի շրջանակներում «Բարձրավոլտ էլեկտրացանցեր» ՓԲԸ-ին</w:t>
      </w:r>
      <w:r w:rsidR="00EA7BCD" w:rsidRPr="00C921DE">
        <w:rPr>
          <w:rFonts w:ascii="GHEA Grapalat" w:hAnsi="GHEA Grapalat" w:cs="GHEA Grapalat"/>
          <w:sz w:val="22"/>
          <w:szCs w:val="22"/>
          <w:lang w:val="en-US"/>
        </w:rPr>
        <w:t xml:space="preserve"> </w:t>
      </w:r>
      <w:r w:rsidR="00EA7BCD" w:rsidRPr="00C921DE">
        <w:rPr>
          <w:rFonts w:ascii="GHEA Grapalat" w:hAnsi="GHEA Grapalat" w:cs="GHEA Grapalat"/>
          <w:sz w:val="22"/>
          <w:szCs w:val="22"/>
        </w:rPr>
        <w:t>տրամադրվել է շուրջ 1.2 մլրդ դրամ</w:t>
      </w:r>
      <w:r w:rsidR="00EA7BCD" w:rsidRPr="00C921DE">
        <w:rPr>
          <w:rFonts w:ascii="GHEA Grapalat" w:hAnsi="GHEA Grapalat" w:cs="GHEA Grapalat"/>
          <w:sz w:val="22"/>
          <w:szCs w:val="22"/>
          <w:lang w:val="en-US"/>
        </w:rPr>
        <w:t xml:space="preserve"> ենթավարկ:</w:t>
      </w:r>
      <w:r w:rsidRPr="00C921DE">
        <w:rPr>
          <w:rFonts w:ascii="GHEA Grapalat" w:hAnsi="GHEA Grapalat" w:cs="GHEA Grapalat"/>
          <w:sz w:val="22"/>
          <w:szCs w:val="22"/>
        </w:rPr>
        <w:t xml:space="preserve"> </w:t>
      </w:r>
      <w:r w:rsidR="0024611F" w:rsidRPr="00C921DE">
        <w:rPr>
          <w:rFonts w:ascii="GHEA Grapalat" w:hAnsi="GHEA Grapalat" w:cs="GHEA Grapalat"/>
          <w:sz w:val="22"/>
          <w:szCs w:val="22"/>
          <w:lang w:val="en-US"/>
        </w:rPr>
        <w:t xml:space="preserve">Միջոցառման շրջանակներում </w:t>
      </w:r>
      <w:r w:rsidRPr="00C921DE">
        <w:rPr>
          <w:rFonts w:ascii="GHEA Grapalat" w:hAnsi="GHEA Grapalat" w:cs="GHEA Grapalat"/>
          <w:sz w:val="22"/>
          <w:szCs w:val="22"/>
        </w:rPr>
        <w:t>վերակառուցվել են «Հաղթանակ» 220 կՎ և «Վանաձոր-1» 110 կՎ ենթակայանները</w:t>
      </w:r>
      <w:r w:rsidR="0024611F" w:rsidRPr="00C921DE">
        <w:rPr>
          <w:rFonts w:ascii="GHEA Grapalat" w:hAnsi="GHEA Grapalat" w:cs="GHEA Grapalat"/>
          <w:sz w:val="22"/>
          <w:szCs w:val="22"/>
          <w:lang w:val="en-US"/>
        </w:rPr>
        <w:t>,</w:t>
      </w:r>
      <w:r w:rsidRPr="00C921DE">
        <w:rPr>
          <w:rFonts w:ascii="GHEA Grapalat" w:hAnsi="GHEA Grapalat" w:cs="GHEA Grapalat"/>
          <w:sz w:val="22"/>
          <w:szCs w:val="22"/>
        </w:rPr>
        <w:t xml:space="preserve"> և նախատեսվում է վերակառուցել «Չարենցավան-3» 110 կՎ և</w:t>
      </w:r>
      <w:r w:rsidR="0024611F" w:rsidRPr="00C921DE">
        <w:rPr>
          <w:rFonts w:ascii="GHEA Grapalat" w:hAnsi="GHEA Grapalat" w:cs="GHEA Grapalat"/>
          <w:sz w:val="22"/>
          <w:szCs w:val="22"/>
        </w:rPr>
        <w:t xml:space="preserve"> «Զովունի» 220 կՎ ենթակայանները</w:t>
      </w:r>
      <w:r w:rsidRPr="00C921DE">
        <w:rPr>
          <w:rFonts w:ascii="GHEA Grapalat" w:hAnsi="GHEA Grapalat" w:cs="GHEA Grapalat"/>
          <w:sz w:val="22"/>
          <w:szCs w:val="22"/>
        </w:rPr>
        <w:t>։</w:t>
      </w:r>
    </w:p>
    <w:p w14:paraId="695F2BE1" w14:textId="146C7509" w:rsidR="0024611F" w:rsidRPr="00C921DE" w:rsidRDefault="0024611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ՎԶՄԲ</w:t>
      </w:r>
      <w:r w:rsidR="0046194F" w:rsidRPr="00C921DE">
        <w:rPr>
          <w:rFonts w:ascii="GHEA Grapalat" w:hAnsi="GHEA Grapalat" w:cs="GHEA Grapalat"/>
          <w:sz w:val="22"/>
          <w:szCs w:val="22"/>
        </w:rPr>
        <w:t xml:space="preserve"> աջակցությամբ իրականացվող «Աշնակ» և «Արարատ» ենթակայանների վերակառուցման ծրագրի շրջանակներում «Բարձրավոլտ էլեկտրացանցեր»</w:t>
      </w:r>
      <w:r w:rsidR="00517635" w:rsidRPr="00C921DE">
        <w:rPr>
          <w:rFonts w:ascii="GHEA Grapalat" w:hAnsi="GHEA Grapalat" w:cs="GHEA Grapalat"/>
          <w:sz w:val="22"/>
          <w:szCs w:val="22"/>
        </w:rPr>
        <w:t xml:space="preserve"> </w:t>
      </w:r>
      <w:r w:rsidR="0046194F" w:rsidRPr="00C921DE">
        <w:rPr>
          <w:rFonts w:ascii="GHEA Grapalat" w:hAnsi="GHEA Grapalat" w:cs="GHEA Grapalat"/>
          <w:sz w:val="22"/>
          <w:szCs w:val="22"/>
        </w:rPr>
        <w:t>ՓԲԸ-ին</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տրամադրվել է շուրջ 1.5 մլրդ դրամ</w:t>
      </w:r>
      <w:r w:rsidRPr="00C921DE">
        <w:rPr>
          <w:rFonts w:ascii="GHEA Grapalat" w:hAnsi="GHEA Grapalat" w:cs="GHEA Grapalat"/>
          <w:sz w:val="22"/>
          <w:szCs w:val="22"/>
          <w:lang w:val="en-US"/>
        </w:rPr>
        <w:t xml:space="preserve"> ենթավարկ:</w:t>
      </w:r>
      <w:r w:rsidRPr="00C921DE">
        <w:rPr>
          <w:rFonts w:ascii="GHEA Grapalat" w:hAnsi="GHEA Grapalat" w:cs="GHEA Grapalat"/>
          <w:sz w:val="22"/>
          <w:szCs w:val="22"/>
        </w:rPr>
        <w:t xml:space="preserve"> </w:t>
      </w:r>
      <w:r w:rsidRPr="00C921DE">
        <w:rPr>
          <w:rFonts w:ascii="GHEA Grapalat" w:hAnsi="GHEA Grapalat" w:cs="GHEA Grapalat"/>
          <w:sz w:val="22"/>
          <w:szCs w:val="22"/>
          <w:lang w:val="en-US"/>
        </w:rPr>
        <w:t>Մ</w:t>
      </w:r>
      <w:r w:rsidR="0046194F" w:rsidRPr="00C921DE">
        <w:rPr>
          <w:rFonts w:ascii="GHEA Grapalat" w:hAnsi="GHEA Grapalat" w:cs="GHEA Grapalat"/>
          <w:sz w:val="22"/>
          <w:szCs w:val="22"/>
        </w:rPr>
        <w:t xml:space="preserve">իջոցառման </w:t>
      </w:r>
      <w:bookmarkStart w:id="269" w:name="_Hlk97556808"/>
      <w:r w:rsidR="0046194F" w:rsidRPr="00C921DE">
        <w:rPr>
          <w:rFonts w:ascii="GHEA Grapalat" w:hAnsi="GHEA Grapalat" w:cs="GHEA Grapalat"/>
          <w:sz w:val="22"/>
          <w:szCs w:val="22"/>
        </w:rPr>
        <w:t>շրջանակներում</w:t>
      </w:r>
      <w:r w:rsidR="00517635" w:rsidRPr="00C921DE">
        <w:rPr>
          <w:rFonts w:ascii="GHEA Grapalat" w:hAnsi="GHEA Grapalat" w:cs="GHEA Grapalat"/>
          <w:sz w:val="22"/>
          <w:szCs w:val="22"/>
        </w:rPr>
        <w:t xml:space="preserve"> </w:t>
      </w:r>
      <w:r w:rsidR="0046194F" w:rsidRPr="00C921DE">
        <w:rPr>
          <w:rFonts w:ascii="GHEA Grapalat" w:hAnsi="GHEA Grapalat" w:cs="GHEA Grapalat"/>
          <w:sz w:val="22"/>
          <w:szCs w:val="22"/>
        </w:rPr>
        <w:t>վերակառուցվել է «Աշնակ» ենթակայանը</w:t>
      </w:r>
      <w:r w:rsidRPr="00C921DE">
        <w:rPr>
          <w:rFonts w:ascii="GHEA Grapalat" w:hAnsi="GHEA Grapalat" w:cs="GHEA Grapalat"/>
          <w:sz w:val="22"/>
          <w:szCs w:val="22"/>
          <w:lang w:val="en-US"/>
        </w:rPr>
        <w:t>,</w:t>
      </w:r>
      <w:r w:rsidR="0046194F" w:rsidRPr="00C921DE">
        <w:rPr>
          <w:rFonts w:ascii="GHEA Grapalat" w:hAnsi="GHEA Grapalat" w:cs="GHEA Grapalat"/>
          <w:sz w:val="22"/>
          <w:szCs w:val="22"/>
        </w:rPr>
        <w:t xml:space="preserve"> և նախատեսվում է վերակառուցել «Արարատ-2» ենթակայանը: </w:t>
      </w:r>
    </w:p>
    <w:p w14:paraId="785E558C" w14:textId="54025788" w:rsidR="0046194F" w:rsidRPr="00C921DE" w:rsidRDefault="000E0BCE"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lang w:val="en-US"/>
        </w:rPr>
        <w:t>ՎԶԵԲ</w:t>
      </w:r>
      <w:r w:rsidR="0046194F" w:rsidRPr="00C921DE">
        <w:rPr>
          <w:rFonts w:ascii="GHEA Grapalat" w:hAnsi="GHEA Grapalat"/>
          <w:sz w:val="22"/>
          <w:szCs w:val="22"/>
        </w:rPr>
        <w:t xml:space="preserve"> աջակցությամբ իրականացվող Կոտայքի և Գեղարքունիքի մարզերի կոշտ թափոնների կառավարման ծրագրի շրջանակներում 472 մլն դրամ ենթավարկ</w:t>
      </w:r>
      <w:r w:rsidRPr="00C921DE">
        <w:rPr>
          <w:rFonts w:ascii="GHEA Grapalat" w:hAnsi="GHEA Grapalat"/>
          <w:sz w:val="22"/>
          <w:szCs w:val="22"/>
          <w:lang w:val="en-US"/>
        </w:rPr>
        <w:t xml:space="preserve"> է </w:t>
      </w:r>
      <w:r w:rsidRPr="00C921DE">
        <w:rPr>
          <w:rFonts w:ascii="GHEA Grapalat" w:hAnsi="GHEA Grapalat"/>
          <w:sz w:val="22"/>
          <w:szCs w:val="22"/>
        </w:rPr>
        <w:t xml:space="preserve">տրամադրվել </w:t>
      </w:r>
      <w:r w:rsidRPr="00C921DE">
        <w:rPr>
          <w:rFonts w:ascii="GHEA Grapalat" w:hAnsi="GHEA Grapalat"/>
          <w:sz w:val="22"/>
          <w:szCs w:val="22"/>
          <w:lang w:val="en-US"/>
        </w:rPr>
        <w:t>«Կոտայքի և Գեղարքունիքի Կոշտ կենցաղային թափոնների կառավարում» ՍՊԸ-ին</w:t>
      </w:r>
      <w:r w:rsidR="0046194F" w:rsidRPr="00C921DE">
        <w:rPr>
          <w:rFonts w:ascii="GHEA Grapalat" w:hAnsi="GHEA Grapalat"/>
          <w:sz w:val="22"/>
          <w:szCs w:val="22"/>
        </w:rPr>
        <w:t xml:space="preserve">, որը կազմել է ծրագրված ցուցանիշի 80.2%-ը: Ծրագրի շրջանակներում ավարտվել են Հրազդան համայնքում նոր սանիտարական աղբավայրի ու ենթակառուցվածքների և Մարտունի ու Ակունք բնակավայրերում աղբի փոխաբեռնման կայանների կառուցապատման աշխատանքները։ </w:t>
      </w:r>
      <w:r w:rsidR="00474636" w:rsidRPr="00C921DE">
        <w:rPr>
          <w:rFonts w:ascii="GHEA Grapalat" w:hAnsi="GHEA Grapalat"/>
          <w:sz w:val="22"/>
          <w:szCs w:val="22"/>
        </w:rPr>
        <w:t xml:space="preserve">Շեղումը պայմանավորված </w:t>
      </w:r>
      <w:r w:rsidR="00474636" w:rsidRPr="00C921DE">
        <w:rPr>
          <w:rFonts w:ascii="GHEA Grapalat" w:hAnsi="GHEA Grapalat"/>
          <w:sz w:val="22"/>
          <w:szCs w:val="22"/>
          <w:lang w:val="en-US"/>
        </w:rPr>
        <w:t xml:space="preserve">է </w:t>
      </w:r>
      <w:r w:rsidR="00474636" w:rsidRPr="00C921DE">
        <w:rPr>
          <w:rFonts w:ascii="GHEA Grapalat" w:hAnsi="GHEA Grapalat"/>
          <w:sz w:val="22"/>
          <w:szCs w:val="22"/>
        </w:rPr>
        <w:t>այն հանգամանքով, որ աղբավայրի ու փոխաբեռնման կայանների շինարարական աշխատանքների դիմաց կապալառու կազմակերպությանը նախատեսվող վճար</w:t>
      </w:r>
      <w:r w:rsidR="00474636" w:rsidRPr="00C921DE">
        <w:rPr>
          <w:rFonts w:ascii="GHEA Grapalat" w:hAnsi="GHEA Grapalat"/>
          <w:sz w:val="22"/>
          <w:szCs w:val="22"/>
          <w:lang w:val="en-US"/>
        </w:rPr>
        <w:t>ի մի մաս</w:t>
      </w:r>
      <w:r w:rsidR="00474636" w:rsidRPr="00C921DE">
        <w:rPr>
          <w:rFonts w:ascii="GHEA Grapalat" w:hAnsi="GHEA Grapalat"/>
          <w:sz w:val="22"/>
          <w:szCs w:val="22"/>
        </w:rPr>
        <w:t>ը 2023 թվականին չի փոխանցվել՝ ՎԶԵԲ-ի դիրքորոշմամբ ավարտական ակտի բացակայության պատճառով։</w:t>
      </w:r>
      <w:r w:rsidR="00474636" w:rsidRPr="00C921DE">
        <w:rPr>
          <w:rFonts w:ascii="GHEA Grapalat" w:hAnsi="GHEA Grapalat"/>
          <w:sz w:val="22"/>
          <w:szCs w:val="22"/>
          <w:lang w:val="en-US"/>
        </w:rPr>
        <w:t xml:space="preserve"> </w:t>
      </w:r>
      <w:r w:rsidR="009B1AE8" w:rsidRPr="00C921DE">
        <w:rPr>
          <w:rFonts w:ascii="GHEA Grapalat" w:hAnsi="GHEA Grapalat"/>
          <w:sz w:val="22"/>
          <w:szCs w:val="22"/>
        </w:rPr>
        <w:t>Նշենք</w:t>
      </w:r>
      <w:r w:rsidR="0046194F" w:rsidRPr="00C921DE">
        <w:rPr>
          <w:rFonts w:ascii="GHEA Grapalat" w:hAnsi="GHEA Grapalat"/>
          <w:sz w:val="22"/>
          <w:szCs w:val="22"/>
        </w:rPr>
        <w:t xml:space="preserve">, որ տվյալ աշխատանքներն իրականացնելու համար </w:t>
      </w:r>
      <w:r w:rsidR="009B1AE8" w:rsidRPr="00C921DE">
        <w:rPr>
          <w:rFonts w:ascii="GHEA Grapalat" w:hAnsi="GHEA Grapalat"/>
          <w:sz w:val="22"/>
          <w:szCs w:val="22"/>
          <w:lang w:val="en-US"/>
        </w:rPr>
        <w:t xml:space="preserve">միջոցներ են </w:t>
      </w:r>
      <w:r w:rsidR="0046194F" w:rsidRPr="00C921DE">
        <w:rPr>
          <w:rFonts w:ascii="GHEA Grapalat" w:hAnsi="GHEA Grapalat"/>
          <w:sz w:val="22"/>
          <w:szCs w:val="22"/>
        </w:rPr>
        <w:t xml:space="preserve">տրամադրվել </w:t>
      </w:r>
      <w:r w:rsidR="009B1AE8" w:rsidRPr="00C921DE">
        <w:rPr>
          <w:rFonts w:ascii="GHEA Grapalat" w:hAnsi="GHEA Grapalat"/>
          <w:sz w:val="22"/>
          <w:szCs w:val="22"/>
          <w:lang w:val="en-US"/>
        </w:rPr>
        <w:t>նաև</w:t>
      </w:r>
      <w:r w:rsidR="00474636" w:rsidRPr="00C921DE">
        <w:rPr>
          <w:rFonts w:ascii="GHEA Grapalat" w:hAnsi="GHEA Grapalat"/>
          <w:sz w:val="22"/>
          <w:szCs w:val="22"/>
          <w:lang w:val="en-US"/>
        </w:rPr>
        <w:t xml:space="preserve"> ՎԶԵԲ</w:t>
      </w:r>
      <w:r w:rsidR="00474636" w:rsidRPr="00C921DE">
        <w:rPr>
          <w:rFonts w:ascii="GHEA Grapalat" w:hAnsi="GHEA Grapalat"/>
          <w:sz w:val="22"/>
          <w:szCs w:val="22"/>
        </w:rPr>
        <w:t xml:space="preserve"> աջակցությամբ իրականացվող Կոտայքի և Գեղարքունիքի մարզերի կոշտ թափոնների կառավարման </w:t>
      </w:r>
      <w:r w:rsidR="00474636" w:rsidRPr="00C921DE">
        <w:rPr>
          <w:rFonts w:ascii="GHEA Grapalat" w:hAnsi="GHEA Grapalat"/>
          <w:sz w:val="22"/>
          <w:szCs w:val="22"/>
          <w:lang w:val="en-US"/>
        </w:rPr>
        <w:t xml:space="preserve">ծախսային </w:t>
      </w:r>
      <w:r w:rsidR="00474636" w:rsidRPr="00C921DE">
        <w:rPr>
          <w:rFonts w:ascii="GHEA Grapalat" w:hAnsi="GHEA Grapalat"/>
          <w:sz w:val="22"/>
          <w:szCs w:val="22"/>
        </w:rPr>
        <w:t>ծրագրի շրջանակներում</w:t>
      </w:r>
      <w:r w:rsidR="0046194F" w:rsidRPr="00C921DE">
        <w:rPr>
          <w:rFonts w:ascii="GHEA Grapalat" w:hAnsi="GHEA Grapalat"/>
          <w:sz w:val="22"/>
          <w:szCs w:val="22"/>
        </w:rPr>
        <w:t xml:space="preserve">: </w:t>
      </w:r>
    </w:p>
    <w:bookmarkEnd w:id="269"/>
    <w:p w14:paraId="5604C1FC" w14:textId="227D27A2" w:rsidR="0046194F" w:rsidRPr="00C921DE" w:rsidRDefault="001324FD"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ՀԲ</w:t>
      </w:r>
      <w:r w:rsidR="0046194F" w:rsidRPr="00C921DE">
        <w:rPr>
          <w:rFonts w:ascii="GHEA Grapalat" w:hAnsi="GHEA Grapalat" w:cs="GHEA Grapalat"/>
          <w:sz w:val="22"/>
          <w:szCs w:val="22"/>
        </w:rPr>
        <w:t xml:space="preserve"> աջակցությամբ իրականացվող առևտրի և ենթակառուցվածքների զարգացման ծրագրի շրջանակներում նախատեսված շուրջ 3.9 մլրդ դրամ </w:t>
      </w:r>
      <w:r w:rsidR="007C61BC" w:rsidRPr="00C921DE">
        <w:rPr>
          <w:rFonts w:ascii="GHEA Grapalat" w:hAnsi="GHEA Grapalat" w:cs="GHEA Grapalat"/>
          <w:sz w:val="22"/>
          <w:szCs w:val="22"/>
        </w:rPr>
        <w:t>Ազգային վ</w:t>
      </w:r>
      <w:r w:rsidR="0046194F" w:rsidRPr="00C921DE">
        <w:rPr>
          <w:rFonts w:ascii="GHEA Grapalat" w:hAnsi="GHEA Grapalat" w:cs="GHEA Grapalat"/>
          <w:sz w:val="22"/>
          <w:szCs w:val="22"/>
        </w:rPr>
        <w:t xml:space="preserve">ենչուրային </w:t>
      </w:r>
      <w:r w:rsidR="007C61BC" w:rsidRPr="00C921DE">
        <w:rPr>
          <w:rFonts w:ascii="GHEA Grapalat" w:hAnsi="GHEA Grapalat" w:cs="GHEA Grapalat"/>
          <w:sz w:val="22"/>
          <w:szCs w:val="22"/>
          <w:lang w:val="en-US"/>
        </w:rPr>
        <w:t>ֆ</w:t>
      </w:r>
      <w:r w:rsidR="0046194F" w:rsidRPr="00C921DE">
        <w:rPr>
          <w:rFonts w:ascii="GHEA Grapalat" w:hAnsi="GHEA Grapalat" w:cs="GHEA Grapalat"/>
          <w:sz w:val="22"/>
          <w:szCs w:val="22"/>
        </w:rPr>
        <w:t>ոնդի ներդրումները չեն կատարվել՝</w:t>
      </w:r>
      <w:r w:rsidR="0046194F" w:rsidRPr="00C921DE">
        <w:rPr>
          <w:rFonts w:ascii="GHEA Grapalat" w:eastAsia="Calibri" w:hAnsi="GHEA Grapalat" w:cs="Sylfaen"/>
          <w:noProof w:val="0"/>
          <w:sz w:val="22"/>
          <w:szCs w:val="22"/>
        </w:rPr>
        <w:t xml:space="preserve"> </w:t>
      </w:r>
      <w:r w:rsidR="0046194F" w:rsidRPr="00C921DE">
        <w:rPr>
          <w:rFonts w:ascii="GHEA Grapalat" w:hAnsi="GHEA Grapalat" w:cs="GHEA Grapalat"/>
          <w:sz w:val="22"/>
          <w:szCs w:val="22"/>
        </w:rPr>
        <w:t xml:space="preserve">պայմանավորված նրանով, որ </w:t>
      </w:r>
      <w:r w:rsidR="007C61BC" w:rsidRPr="00C921DE">
        <w:rPr>
          <w:rFonts w:ascii="GHEA Grapalat" w:hAnsi="GHEA Grapalat" w:cs="GHEA Grapalat"/>
          <w:sz w:val="22"/>
          <w:szCs w:val="22"/>
          <w:lang w:val="en-US"/>
        </w:rPr>
        <w:t>ֆոնդի</w:t>
      </w:r>
      <w:r w:rsidR="0046194F" w:rsidRPr="00C921DE">
        <w:rPr>
          <w:rFonts w:ascii="GHEA Grapalat" w:hAnsi="GHEA Grapalat" w:cs="GHEA Grapalat"/>
          <w:sz w:val="22"/>
          <w:szCs w:val="22"/>
        </w:rPr>
        <w:t xml:space="preserve"> կառավարչի ընտրության մրցույթը չեղարկվել </w:t>
      </w:r>
      <w:r w:rsidRPr="00C921DE">
        <w:rPr>
          <w:rFonts w:ascii="GHEA Grapalat" w:hAnsi="GHEA Grapalat" w:cs="GHEA Grapalat"/>
          <w:sz w:val="22"/>
          <w:szCs w:val="22"/>
          <w:lang w:val="en-US"/>
        </w:rPr>
        <w:t>է</w:t>
      </w:r>
      <w:r w:rsidR="0046194F" w:rsidRPr="00C921DE">
        <w:rPr>
          <w:rFonts w:ascii="GHEA Grapalat" w:hAnsi="GHEA Grapalat" w:cs="GHEA Grapalat"/>
          <w:sz w:val="22"/>
          <w:szCs w:val="22"/>
        </w:rPr>
        <w:t xml:space="preserve">, քանի որ արդյունքները չեն հաստատվել </w:t>
      </w:r>
      <w:r w:rsidR="007C61BC" w:rsidRPr="00C921DE">
        <w:rPr>
          <w:rFonts w:ascii="GHEA Grapalat" w:hAnsi="GHEA Grapalat" w:cs="GHEA Grapalat"/>
          <w:sz w:val="22"/>
          <w:szCs w:val="22"/>
        </w:rPr>
        <w:t>ՀԲ</w:t>
      </w:r>
      <w:r w:rsidR="0046194F" w:rsidRPr="00C921DE">
        <w:rPr>
          <w:rFonts w:ascii="GHEA Grapalat" w:hAnsi="GHEA Grapalat" w:cs="GHEA Grapalat"/>
          <w:sz w:val="22"/>
          <w:szCs w:val="22"/>
        </w:rPr>
        <w:t xml:space="preserve"> կողմից:</w:t>
      </w:r>
    </w:p>
    <w:p w14:paraId="0F92D091" w14:textId="29018DF6"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 xml:space="preserve">Ներքին ռեսուրսների հաշվին նախատեսված 3.6 մլն դրամ </w:t>
      </w:r>
      <w:r w:rsidR="007C61BC" w:rsidRPr="00C921DE">
        <w:rPr>
          <w:rFonts w:ascii="GHEA Grapalat" w:hAnsi="GHEA Grapalat" w:cs="GHEA Grapalat"/>
          <w:sz w:val="22"/>
          <w:szCs w:val="22"/>
        </w:rPr>
        <w:t xml:space="preserve">բյուջետային </w:t>
      </w:r>
      <w:r w:rsidRPr="00C921DE">
        <w:rPr>
          <w:rFonts w:ascii="GHEA Grapalat" w:hAnsi="GHEA Grapalat" w:cs="GHEA Grapalat"/>
          <w:sz w:val="22"/>
          <w:szCs w:val="22"/>
        </w:rPr>
        <w:t>վարկը տրամադրվել է ողջ ծավալով: Մասնավորապես</w:t>
      </w:r>
      <w:r w:rsidR="007C61BC" w:rsidRPr="00C921DE">
        <w:rPr>
          <w:rFonts w:ascii="GHEA Grapalat" w:hAnsi="GHEA Grapalat" w:cs="GHEA Grapalat"/>
          <w:sz w:val="22"/>
          <w:szCs w:val="22"/>
        </w:rPr>
        <w:t>՝</w:t>
      </w:r>
      <w:r w:rsidRPr="00C921DE">
        <w:rPr>
          <w:rFonts w:ascii="GHEA Grapalat" w:hAnsi="GHEA Grapalat" w:cs="GHEA Grapalat"/>
          <w:sz w:val="22"/>
          <w:szCs w:val="22"/>
        </w:rPr>
        <w:t xml:space="preserve"> </w:t>
      </w:r>
      <w:r w:rsidR="007C61BC" w:rsidRPr="00C921DE">
        <w:rPr>
          <w:rFonts w:ascii="GHEA Grapalat" w:hAnsi="GHEA Grapalat" w:cs="GHEA Grapalat"/>
          <w:sz w:val="22"/>
          <w:szCs w:val="22"/>
        </w:rPr>
        <w:t xml:space="preserve">2 մլրդ դրամ է տրամադրվել </w:t>
      </w:r>
      <w:r w:rsidRPr="00C921DE">
        <w:rPr>
          <w:rFonts w:ascii="GHEA Grapalat" w:hAnsi="GHEA Grapalat" w:cs="GHEA Grapalat"/>
          <w:sz w:val="22"/>
          <w:szCs w:val="22"/>
        </w:rPr>
        <w:t xml:space="preserve">«Հայ-Ալմաստ» </w:t>
      </w:r>
      <w:r w:rsidR="007C61BC" w:rsidRPr="00C921DE">
        <w:rPr>
          <w:rFonts w:ascii="GHEA Grapalat" w:hAnsi="GHEA Grapalat" w:cs="GHEA Grapalat"/>
          <w:sz w:val="22"/>
          <w:szCs w:val="22"/>
        </w:rPr>
        <w:t>ՓԲԸ-ին</w:t>
      </w:r>
      <w:r w:rsidRPr="00C921DE">
        <w:rPr>
          <w:rFonts w:ascii="GHEA Grapalat" w:hAnsi="GHEA Grapalat" w:cs="GHEA Grapalat"/>
          <w:sz w:val="22"/>
          <w:szCs w:val="22"/>
        </w:rPr>
        <w:t xml:space="preserve"> 2023 թվականի խաղողի ավելց</w:t>
      </w:r>
      <w:r w:rsidR="00EE1414" w:rsidRPr="00C921DE">
        <w:rPr>
          <w:rFonts w:ascii="GHEA Grapalat" w:hAnsi="GHEA Grapalat" w:cs="GHEA Grapalat"/>
          <w:sz w:val="22"/>
          <w:szCs w:val="22"/>
        </w:rPr>
        <w:t>ուկային բերքի մթերման գործընթացի</w:t>
      </w:r>
      <w:r w:rsidRPr="00C921DE">
        <w:rPr>
          <w:rFonts w:ascii="GHEA Grapalat" w:hAnsi="GHEA Grapalat" w:cs="GHEA Grapalat"/>
          <w:sz w:val="22"/>
          <w:szCs w:val="22"/>
        </w:rPr>
        <w:t xml:space="preserve"> կազմակերպ</w:t>
      </w:r>
      <w:r w:rsidR="00EE1414" w:rsidRPr="00C921DE">
        <w:rPr>
          <w:rFonts w:ascii="GHEA Grapalat" w:hAnsi="GHEA Grapalat" w:cs="GHEA Grapalat"/>
          <w:sz w:val="22"/>
          <w:szCs w:val="22"/>
        </w:rPr>
        <w:t>ման շրջանակներում</w:t>
      </w:r>
      <w:r w:rsidRPr="00C921DE">
        <w:rPr>
          <w:rFonts w:ascii="GHEA Grapalat" w:hAnsi="GHEA Grapalat" w:cs="GHEA Grapalat"/>
          <w:sz w:val="22"/>
          <w:szCs w:val="22"/>
        </w:rPr>
        <w:t>՝ տարեկան 0</w:t>
      </w:r>
      <w:r w:rsidRPr="00C921DE">
        <w:rPr>
          <w:rFonts w:ascii="Cambria Math" w:hAnsi="Cambria Math" w:cs="Cambria Math"/>
          <w:sz w:val="22"/>
          <w:szCs w:val="22"/>
        </w:rPr>
        <w:t>․</w:t>
      </w:r>
      <w:r w:rsidRPr="00C921DE">
        <w:rPr>
          <w:rFonts w:ascii="GHEA Grapalat" w:hAnsi="GHEA Grapalat" w:cs="GHEA Grapalat"/>
          <w:sz w:val="22"/>
          <w:szCs w:val="22"/>
        </w:rPr>
        <w:t>01 տոկոս տոկոսադրույքով, 2 տարի մարման ժամկետով՝ հայկական կոնյակի սպիրտի արտադրությամբ զբաղվող կազմակերպությունից հայկական կոնյակի սպիրտ ձեռք բերելու համար։</w:t>
      </w:r>
    </w:p>
    <w:p w14:paraId="6E20F5FC" w14:textId="782E02CF" w:rsidR="0068289D" w:rsidRPr="00C921DE" w:rsidRDefault="0068289D"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Զարգացման ֆրանսիական գործակալության (ԶՖԳ) և ՀՀ կառավարության համաֆինանսավորման միջոցներով</w:t>
      </w:r>
      <w:r w:rsidR="00466820" w:rsidRPr="00C921DE">
        <w:rPr>
          <w:rFonts w:ascii="GHEA Grapalat" w:hAnsi="GHEA Grapalat" w:cs="GHEA Grapalat"/>
          <w:sz w:val="22"/>
          <w:szCs w:val="22"/>
        </w:rPr>
        <w:t xml:space="preserve"> </w:t>
      </w:r>
      <w:r w:rsidRPr="00C921DE">
        <w:rPr>
          <w:rFonts w:ascii="GHEA Grapalat" w:hAnsi="GHEA Grapalat" w:cs="GHEA Grapalat"/>
          <w:sz w:val="22"/>
          <w:szCs w:val="22"/>
        </w:rPr>
        <w:t>Հայաստանի տարածքային զարգացման հիմնադրամի կողմից իրականացվո</w:t>
      </w:r>
      <w:r w:rsidRPr="00C921DE">
        <w:rPr>
          <w:rFonts w:ascii="GHEA Grapalat" w:hAnsi="GHEA Grapalat" w:cs="GHEA Grapalat"/>
          <w:sz w:val="22"/>
          <w:szCs w:val="22"/>
          <w:lang w:val="en-US"/>
        </w:rPr>
        <w:t>ղ</w:t>
      </w:r>
      <w:r w:rsidRPr="00C921DE">
        <w:rPr>
          <w:rFonts w:ascii="GHEA Grapalat" w:hAnsi="GHEA Grapalat" w:cs="GHEA Grapalat"/>
          <w:sz w:val="22"/>
          <w:szCs w:val="22"/>
        </w:rPr>
        <w:t xml:space="preserve"> «Վեդի ջրամբարի և ոռոգման համակար</w:t>
      </w:r>
      <w:r w:rsidRPr="00C921DE">
        <w:rPr>
          <w:rFonts w:ascii="GHEA Grapalat" w:hAnsi="GHEA Grapalat" w:cs="GHEA Grapalat"/>
          <w:sz w:val="22"/>
          <w:szCs w:val="22"/>
          <w:lang w:val="en-US"/>
        </w:rPr>
        <w:t>գ</w:t>
      </w:r>
      <w:r w:rsidRPr="00C921DE">
        <w:rPr>
          <w:rFonts w:ascii="GHEA Grapalat" w:hAnsi="GHEA Grapalat" w:cs="GHEA Grapalat"/>
          <w:sz w:val="22"/>
          <w:szCs w:val="22"/>
        </w:rPr>
        <w:t>ի կառուցում» ծրագ</w:t>
      </w:r>
      <w:r w:rsidRPr="00C921DE">
        <w:rPr>
          <w:rFonts w:ascii="GHEA Grapalat" w:hAnsi="GHEA Grapalat" w:cs="GHEA Grapalat"/>
          <w:sz w:val="22"/>
          <w:szCs w:val="22"/>
          <w:lang w:val="en-US"/>
        </w:rPr>
        <w:t>րի շրջանակներում</w:t>
      </w:r>
      <w:r w:rsidR="0046194F" w:rsidRPr="00C921DE">
        <w:rPr>
          <w:rFonts w:ascii="GHEA Grapalat" w:hAnsi="GHEA Grapalat" w:cs="GHEA Grapalat"/>
          <w:sz w:val="22"/>
          <w:szCs w:val="22"/>
        </w:rPr>
        <w:t xml:space="preserve"> «ՍԱՀԱԿՅԱՆՇԻՆ» ՓԲԸ-ին </w:t>
      </w:r>
      <w:r w:rsidRPr="00C921DE">
        <w:rPr>
          <w:rFonts w:ascii="GHEA Grapalat" w:hAnsi="GHEA Grapalat" w:cs="GHEA Grapalat"/>
          <w:sz w:val="22"/>
          <w:szCs w:val="22"/>
          <w:lang w:val="en-US"/>
        </w:rPr>
        <w:t xml:space="preserve">տրամադրվել է </w:t>
      </w:r>
      <w:r w:rsidR="0046194F" w:rsidRPr="00C921DE">
        <w:rPr>
          <w:rFonts w:ascii="GHEA Grapalat" w:hAnsi="GHEA Grapalat" w:cs="GHEA Grapalat"/>
          <w:sz w:val="22"/>
          <w:szCs w:val="22"/>
        </w:rPr>
        <w:t>1.6 մլրդ դրամ բյուջետային վարկ</w:t>
      </w:r>
      <w:r w:rsidRPr="00C921DE">
        <w:rPr>
          <w:rFonts w:ascii="GHEA Grapalat" w:hAnsi="GHEA Grapalat" w:cs="GHEA Grapalat"/>
          <w:sz w:val="22"/>
          <w:szCs w:val="22"/>
          <w:lang w:val="en-US"/>
        </w:rPr>
        <w:t xml:space="preserve"> (100%), որն ուղղվել </w:t>
      </w:r>
      <w:r w:rsidR="0046194F" w:rsidRPr="00C921DE">
        <w:rPr>
          <w:rFonts w:ascii="GHEA Grapalat" w:hAnsi="GHEA Grapalat" w:cs="GHEA Grapalat"/>
          <w:sz w:val="22"/>
          <w:szCs w:val="22"/>
        </w:rPr>
        <w:t>է Վեդու ջրամբարի պատվարի և փականային հանգ</w:t>
      </w:r>
      <w:r w:rsidRPr="00C921DE">
        <w:rPr>
          <w:rFonts w:ascii="GHEA Grapalat" w:hAnsi="GHEA Grapalat" w:cs="GHEA Grapalat"/>
          <w:sz w:val="22"/>
          <w:szCs w:val="22"/>
        </w:rPr>
        <w:t>ույցների կառուցման աշխատանքներին։</w:t>
      </w:r>
    </w:p>
    <w:p w14:paraId="63EB6B3D" w14:textId="1D272DFD"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cs="GHEA Grapalat"/>
          <w:sz w:val="22"/>
          <w:szCs w:val="22"/>
        </w:rPr>
        <w:t>Նախկինում պետական բյուջեից ռեզիդենտներին տրամադրված վարկերից 2023 թվականի ընթացքում վերադարձվել է 35.6 մլրդ դրամ՝ 101.4%-ով ապահովելով ծրագրված ցուցանիշը, ինչը հիմնականում պայմանավորված է</w:t>
      </w:r>
      <w:r w:rsidRPr="00C921DE">
        <w:rPr>
          <w:rFonts w:ascii="GHEA Grapalat" w:hAnsi="GHEA Grapalat"/>
          <w:noProof w:val="0"/>
          <w:sz w:val="22"/>
          <w:szCs w:val="22"/>
        </w:rPr>
        <w:t xml:space="preserve"> </w:t>
      </w:r>
      <w:r w:rsidRPr="00C921DE">
        <w:rPr>
          <w:rFonts w:ascii="GHEA Grapalat" w:hAnsi="GHEA Grapalat" w:cs="GHEA Grapalat"/>
          <w:sz w:val="22"/>
          <w:szCs w:val="22"/>
        </w:rPr>
        <w:t>արտարժույթի՝ կանխատեսվածից բարձր փոխարժեքով և լողացող տոկոսադրույքի աճով: Վերադարձված միջոցներից 14.1</w:t>
      </w:r>
      <w:r w:rsidRPr="00C921DE">
        <w:rPr>
          <w:rFonts w:ascii="Calibri" w:hAnsi="Calibri" w:cs="Calibri"/>
          <w:sz w:val="22"/>
          <w:szCs w:val="22"/>
        </w:rPr>
        <w:t> </w:t>
      </w:r>
      <w:r w:rsidRPr="00C921DE">
        <w:rPr>
          <w:rFonts w:ascii="GHEA Grapalat" w:hAnsi="GHEA Grapalat" w:cs="GHEA Grapalat"/>
          <w:sz w:val="22"/>
          <w:szCs w:val="22"/>
        </w:rPr>
        <w:t>մլրդ դրամը վճարվել է «Հայկական ատոմակայան» ՓԲԸ-ի կողմից՝ ապահովելով 100% կատարողական: «Բարձրավոլտ էլեկտրական ցանցեր» ՓԲԸ-ի կողմից վերադարձվել է 2.3 մլրդ դրամ, որը կազմել է ծրագր</w:t>
      </w:r>
      <w:r w:rsidR="000D5E0C" w:rsidRPr="00C921DE">
        <w:rPr>
          <w:rFonts w:ascii="GHEA Grapalat" w:hAnsi="GHEA Grapalat" w:cs="GHEA Grapalat"/>
          <w:sz w:val="22"/>
          <w:szCs w:val="22"/>
          <w:lang w:val="en-US"/>
        </w:rPr>
        <w:t>ված ցուցանիշ</w:t>
      </w:r>
      <w:r w:rsidR="000D5E0C" w:rsidRPr="00C921DE">
        <w:rPr>
          <w:rFonts w:ascii="GHEA Grapalat" w:hAnsi="GHEA Grapalat" w:cs="GHEA Grapalat"/>
          <w:sz w:val="22"/>
          <w:szCs w:val="22"/>
        </w:rPr>
        <w:t>ի 102.8%</w:t>
      </w:r>
      <w:r w:rsidR="000D5E0C" w:rsidRPr="00C921DE">
        <w:rPr>
          <w:rFonts w:ascii="GHEA Grapalat" w:hAnsi="GHEA Grapalat" w:cs="GHEA Grapalat"/>
          <w:sz w:val="22"/>
          <w:szCs w:val="22"/>
        </w:rPr>
        <w:noBreakHyphen/>
      </w:r>
      <w:r w:rsidRPr="00C921DE">
        <w:rPr>
          <w:rFonts w:ascii="GHEA Grapalat" w:hAnsi="GHEA Grapalat" w:cs="GHEA Grapalat"/>
          <w:sz w:val="22"/>
          <w:szCs w:val="22"/>
        </w:rPr>
        <w:t>ը, իսկ 2.4 մլրդ դրամը՝ «Երևանի Ջերմաէլեկտրակենտրոն» ՓԲԸ-ի կողմից՝</w:t>
      </w:r>
      <w:r w:rsidR="000D5E0C" w:rsidRPr="00C921DE">
        <w:rPr>
          <w:rFonts w:ascii="GHEA Grapalat" w:hAnsi="GHEA Grapalat" w:cs="GHEA Grapalat"/>
          <w:sz w:val="22"/>
          <w:szCs w:val="22"/>
          <w:lang w:val="en-US"/>
        </w:rPr>
        <w:t xml:space="preserve"> </w:t>
      </w:r>
      <w:r w:rsidR="000D5E0C" w:rsidRPr="00C921DE">
        <w:rPr>
          <w:rFonts w:ascii="GHEA Grapalat" w:hAnsi="GHEA Grapalat" w:cs="GHEA Grapalat"/>
          <w:sz w:val="22"/>
          <w:szCs w:val="22"/>
        </w:rPr>
        <w:t>4.4%-</w:t>
      </w:r>
      <w:r w:rsidR="000D5E0C" w:rsidRPr="00C921DE">
        <w:rPr>
          <w:rFonts w:ascii="GHEA Grapalat" w:hAnsi="GHEA Grapalat" w:cs="GHEA Grapalat"/>
          <w:sz w:val="22"/>
          <w:szCs w:val="22"/>
          <w:lang w:val="en-US"/>
        </w:rPr>
        <w:t>ով գերազանցելով ծրագրված ցուցանիշը</w:t>
      </w:r>
      <w:r w:rsidRPr="00C921DE">
        <w:rPr>
          <w:rFonts w:ascii="GHEA Grapalat" w:hAnsi="GHEA Grapalat" w:cs="GHEA Grapalat"/>
          <w:sz w:val="22"/>
          <w:szCs w:val="22"/>
        </w:rPr>
        <w:t xml:space="preserve">: </w:t>
      </w:r>
      <w:r w:rsidRPr="00C921DE">
        <w:rPr>
          <w:rFonts w:ascii="GHEA Grapalat" w:hAnsi="GHEA Grapalat"/>
          <w:sz w:val="22"/>
          <w:szCs w:val="22"/>
        </w:rPr>
        <w:t>ՀՀ կենտ</w:t>
      </w:r>
      <w:r w:rsidR="000D5165" w:rsidRPr="00C921DE">
        <w:rPr>
          <w:rFonts w:ascii="GHEA Grapalat" w:hAnsi="GHEA Grapalat"/>
          <w:sz w:val="22"/>
          <w:szCs w:val="22"/>
          <w:lang w:val="en-US"/>
        </w:rPr>
        <w:t>ր</w:t>
      </w:r>
      <w:r w:rsidRPr="00C921DE">
        <w:rPr>
          <w:rFonts w:ascii="GHEA Grapalat" w:hAnsi="GHEA Grapalat"/>
          <w:sz w:val="22"/>
          <w:szCs w:val="22"/>
        </w:rPr>
        <w:t>ոնական բանկի կողմից՝</w:t>
      </w:r>
      <w:r w:rsidRPr="00C921DE">
        <w:rPr>
          <w:rFonts w:ascii="GHEA Grapalat" w:hAnsi="GHEA Grapalat" w:cs="GHEA Grapalat"/>
          <w:sz w:val="22"/>
          <w:szCs w:val="22"/>
        </w:rPr>
        <w:t xml:space="preserve"> Տնտեսության կայունացման վարկավորման ծրագրի շրջանակներում տրամադրված վարկերի գծով նախատեսված 3.5 մլրդ դրամը վերադարձվել է ամբողջությամբ:</w:t>
      </w:r>
    </w:p>
    <w:p w14:paraId="597DF38D" w14:textId="5807D4A8"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թվականին ՀՀ պետական բյուջեի պակասուրդի ֆինանսավորման</w:t>
      </w:r>
      <w:r w:rsidR="0081127D" w:rsidRPr="00C921DE">
        <w:rPr>
          <w:rFonts w:ascii="GHEA Grapalat" w:hAnsi="GHEA Grapalat" w:cs="GHEA Grapalat"/>
          <w:sz w:val="22"/>
          <w:szCs w:val="22"/>
          <w:lang w:val="en-US"/>
        </w:rPr>
        <w:t xml:space="preserve"> </w:t>
      </w:r>
      <w:r w:rsidR="0081127D" w:rsidRPr="00C921DE">
        <w:rPr>
          <w:rFonts w:ascii="GHEA Grapalat" w:hAnsi="GHEA Grapalat" w:cs="GHEA Grapalat"/>
          <w:sz w:val="22"/>
          <w:szCs w:val="22"/>
        </w:rPr>
        <w:t>արտաքին</w:t>
      </w:r>
      <w:r w:rsidRPr="00C921DE">
        <w:rPr>
          <w:rFonts w:ascii="GHEA Grapalat" w:hAnsi="GHEA Grapalat" w:cs="GHEA Grapalat"/>
          <w:sz w:val="22"/>
          <w:szCs w:val="22"/>
        </w:rPr>
        <w:t xml:space="preserve"> աղբյուրներում </w:t>
      </w:r>
      <w:r w:rsidR="00E72169" w:rsidRPr="00C921DE">
        <w:rPr>
          <w:rFonts w:ascii="GHEA Grapalat" w:hAnsi="GHEA Grapalat" w:cs="GHEA Grapalat"/>
          <w:sz w:val="22"/>
          <w:szCs w:val="22"/>
          <w:lang w:val="en-US"/>
        </w:rPr>
        <w:t>-73.3</w:t>
      </w:r>
      <w:r w:rsidRPr="00C921DE">
        <w:rPr>
          <w:rFonts w:ascii="GHEA Grapalat" w:hAnsi="GHEA Grapalat" w:cs="GHEA Grapalat"/>
          <w:sz w:val="22"/>
          <w:szCs w:val="22"/>
        </w:rPr>
        <w:t xml:space="preserve"> մլրդ դրամ են կազմել </w:t>
      </w:r>
      <w:r w:rsidRPr="00C921DE">
        <w:rPr>
          <w:rFonts w:ascii="GHEA Grapalat" w:hAnsi="GHEA Grapalat" w:cs="GHEA Grapalat"/>
          <w:i/>
          <w:sz w:val="22"/>
          <w:szCs w:val="22"/>
        </w:rPr>
        <w:t>փոխառու զուտ միջոցները</w:t>
      </w:r>
      <w:r w:rsidRPr="00C921DE">
        <w:rPr>
          <w:rFonts w:ascii="GHEA Grapalat" w:hAnsi="GHEA Grapalat" w:cs="GHEA Grapalat"/>
          <w:sz w:val="22"/>
          <w:szCs w:val="22"/>
        </w:rPr>
        <w:t xml:space="preserve">: </w:t>
      </w:r>
    </w:p>
    <w:p w14:paraId="4FF553BE" w14:textId="77777777" w:rsidR="0046194F" w:rsidRPr="00C921DE" w:rsidRDefault="0046194F" w:rsidP="0046194F">
      <w:pPr>
        <w:autoSpaceDE w:val="0"/>
        <w:autoSpaceDN w:val="0"/>
        <w:adjustRightInd w:val="0"/>
        <w:ind w:firstLine="567"/>
        <w:jc w:val="both"/>
        <w:rPr>
          <w:rFonts w:ascii="GHEA Grapalat" w:hAnsi="GHEA Grapalat" w:cs="GHEA Grapalat"/>
          <w:sz w:val="22"/>
          <w:szCs w:val="22"/>
        </w:rPr>
      </w:pPr>
    </w:p>
    <w:p w14:paraId="119A92F7" w14:textId="77777777" w:rsidR="0046194F" w:rsidRPr="00C921DE" w:rsidRDefault="0046194F" w:rsidP="0046194F">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Արտաքին փոխառու միջոցների հաշվին դեֆիցիտի ֆինանսավորումը (մլրդ դրամ)</w:t>
      </w:r>
    </w:p>
    <w:tbl>
      <w:tblPr>
        <w:tblW w:w="10314" w:type="dxa"/>
        <w:tblLayout w:type="fixed"/>
        <w:tblLook w:val="04A0" w:firstRow="1" w:lastRow="0" w:firstColumn="1" w:lastColumn="0" w:noHBand="0" w:noVBand="1"/>
      </w:tblPr>
      <w:tblGrid>
        <w:gridCol w:w="3416"/>
        <w:gridCol w:w="1260"/>
        <w:gridCol w:w="1351"/>
        <w:gridCol w:w="1261"/>
        <w:gridCol w:w="1609"/>
        <w:gridCol w:w="1417"/>
      </w:tblGrid>
      <w:tr w:rsidR="0046194F" w:rsidRPr="00C921DE" w14:paraId="60C77C8E" w14:textId="77777777" w:rsidTr="0046194F">
        <w:trPr>
          <w:trHeight w:val="855"/>
        </w:trPr>
        <w:tc>
          <w:tcPr>
            <w:tcW w:w="3416" w:type="dxa"/>
            <w:tcBorders>
              <w:top w:val="single" w:sz="4" w:space="0" w:color="auto"/>
              <w:left w:val="single" w:sz="4" w:space="0" w:color="auto"/>
              <w:bottom w:val="single" w:sz="4" w:space="0" w:color="auto"/>
              <w:right w:val="single" w:sz="4" w:space="0" w:color="auto"/>
            </w:tcBorders>
            <w:noWrap/>
            <w:vAlign w:val="bottom"/>
            <w:hideMark/>
          </w:tcPr>
          <w:p w14:paraId="7204D9A1" w14:textId="77777777" w:rsidR="0046194F" w:rsidRPr="00C921DE" w:rsidRDefault="0046194F" w:rsidP="0046194F">
            <w:pPr>
              <w:spacing w:line="256" w:lineRule="auto"/>
              <w:rPr>
                <w:rFonts w:ascii="GHEA Grapalat" w:hAnsi="GHEA Grapalat" w:cs="Calibri"/>
                <w:sz w:val="18"/>
                <w:szCs w:val="18"/>
              </w:rPr>
            </w:pPr>
            <w:r w:rsidRPr="00C921DE">
              <w:rPr>
                <w:rFonts w:ascii="Courier New" w:hAnsi="Courier New" w:cs="Courier New"/>
                <w:sz w:val="18"/>
                <w:szCs w:val="18"/>
              </w:rPr>
              <w:t> </w:t>
            </w:r>
          </w:p>
        </w:tc>
        <w:tc>
          <w:tcPr>
            <w:tcW w:w="1260" w:type="dxa"/>
            <w:tcBorders>
              <w:top w:val="single" w:sz="4" w:space="0" w:color="auto"/>
              <w:left w:val="nil"/>
              <w:bottom w:val="single" w:sz="4" w:space="0" w:color="auto"/>
              <w:right w:val="single" w:sz="4" w:space="0" w:color="auto"/>
            </w:tcBorders>
            <w:vAlign w:val="center"/>
            <w:hideMark/>
          </w:tcPr>
          <w:p w14:paraId="3F1DF5C4" w14:textId="77777777" w:rsidR="0046194F" w:rsidRPr="00C921DE" w:rsidRDefault="0046194F" w:rsidP="0046194F">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2022թ. փաստ</w:t>
            </w:r>
          </w:p>
        </w:tc>
        <w:tc>
          <w:tcPr>
            <w:tcW w:w="13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A38D7" w14:textId="2A557F05" w:rsidR="0046194F" w:rsidRPr="00C921DE" w:rsidRDefault="0046194F" w:rsidP="0015307C">
            <w:pPr>
              <w:jc w:val="center"/>
              <w:rPr>
                <w:rFonts w:ascii="GHEA Grapalat" w:hAnsi="GHEA Grapalat" w:cs="Calibri"/>
                <w:b/>
                <w:bCs/>
                <w:color w:val="000000"/>
                <w:sz w:val="18"/>
                <w:szCs w:val="18"/>
                <w:lang w:val="en-US"/>
              </w:rPr>
            </w:pPr>
            <w:r w:rsidRPr="00C921DE">
              <w:rPr>
                <w:rFonts w:ascii="GHEA Grapalat" w:hAnsi="GHEA Grapalat" w:cs="Calibri"/>
                <w:b/>
                <w:bCs/>
                <w:color w:val="000000"/>
                <w:sz w:val="18"/>
                <w:szCs w:val="18"/>
              </w:rPr>
              <w:t xml:space="preserve">2023թ. ճշտված </w:t>
            </w:r>
            <w:r w:rsidR="0015307C" w:rsidRPr="00C921DE">
              <w:rPr>
                <w:rFonts w:ascii="GHEA Grapalat" w:hAnsi="GHEA Grapalat" w:cs="Calibri"/>
                <w:b/>
                <w:bCs/>
                <w:color w:val="000000"/>
                <w:sz w:val="18"/>
                <w:szCs w:val="18"/>
                <w:lang w:val="en-US"/>
              </w:rPr>
              <w:t>ծրագիր</w:t>
            </w:r>
          </w:p>
        </w:tc>
        <w:tc>
          <w:tcPr>
            <w:tcW w:w="1261" w:type="dxa"/>
            <w:tcBorders>
              <w:top w:val="single" w:sz="4" w:space="0" w:color="auto"/>
              <w:left w:val="nil"/>
              <w:bottom w:val="single" w:sz="4" w:space="0" w:color="auto"/>
              <w:right w:val="single" w:sz="4" w:space="0" w:color="auto"/>
            </w:tcBorders>
            <w:shd w:val="clear" w:color="auto" w:fill="FFFFFF"/>
            <w:vAlign w:val="center"/>
            <w:hideMark/>
          </w:tcPr>
          <w:p w14:paraId="35138BBD" w14:textId="77777777" w:rsidR="0046194F" w:rsidRPr="00C921DE" w:rsidRDefault="0046194F" w:rsidP="0046194F">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2023թ. փաստ</w:t>
            </w:r>
          </w:p>
        </w:tc>
        <w:tc>
          <w:tcPr>
            <w:tcW w:w="1609" w:type="dxa"/>
            <w:tcBorders>
              <w:top w:val="single" w:sz="4" w:space="0" w:color="auto"/>
              <w:left w:val="nil"/>
              <w:bottom w:val="single" w:sz="4" w:space="0" w:color="auto"/>
              <w:right w:val="single" w:sz="4" w:space="0" w:color="auto"/>
            </w:tcBorders>
            <w:shd w:val="clear" w:color="auto" w:fill="FFFFFF"/>
            <w:vAlign w:val="center"/>
            <w:hideMark/>
          </w:tcPr>
          <w:p w14:paraId="49E4A069" w14:textId="79F9C7F2" w:rsidR="0046194F" w:rsidRPr="00C921DE" w:rsidRDefault="0046194F" w:rsidP="0015307C">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0015307C" w:rsidRPr="00C921DE">
              <w:rPr>
                <w:rFonts w:ascii="GHEA Grapalat" w:hAnsi="GHEA Grapalat" w:cs="Calibri"/>
                <w:b/>
                <w:bCs/>
                <w:sz w:val="18"/>
                <w:szCs w:val="18"/>
                <w:lang w:val="en-US"/>
              </w:rPr>
              <w:t>ծրագր</w:t>
            </w:r>
            <w:r w:rsidRPr="00C921DE">
              <w:rPr>
                <w:rFonts w:ascii="GHEA Grapalat" w:hAnsi="GHEA Grapalat" w:cs="Calibri"/>
                <w:b/>
                <w:bCs/>
                <w:sz w:val="18"/>
                <w:szCs w:val="18"/>
              </w:rPr>
              <w:t>ի նկատմամբ (%)</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14:paraId="62EAB24F" w14:textId="77777777" w:rsidR="0046194F" w:rsidRPr="00C921DE" w:rsidRDefault="0046194F" w:rsidP="0046194F">
            <w:pPr>
              <w:jc w:val="center"/>
              <w:rPr>
                <w:rFonts w:ascii="GHEA Grapalat" w:hAnsi="GHEA Grapalat" w:cs="Calibri"/>
                <w:b/>
                <w:bCs/>
                <w:sz w:val="18"/>
                <w:szCs w:val="18"/>
                <w:lang w:val="en-US"/>
              </w:rPr>
            </w:pPr>
            <w:r w:rsidRPr="00C921DE">
              <w:rPr>
                <w:rFonts w:ascii="GHEA Grapalat" w:hAnsi="GHEA Grapalat" w:cs="Calibri"/>
                <w:b/>
                <w:bCs/>
                <w:sz w:val="18"/>
                <w:szCs w:val="18"/>
              </w:rPr>
              <w:t>2023թ. 2022թ.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r>
      <w:tr w:rsidR="0046194F" w:rsidRPr="00C921DE" w14:paraId="4C07DBD1" w14:textId="77777777" w:rsidTr="0046194F">
        <w:trPr>
          <w:trHeight w:val="377"/>
        </w:trPr>
        <w:tc>
          <w:tcPr>
            <w:tcW w:w="3416" w:type="dxa"/>
            <w:tcBorders>
              <w:top w:val="nil"/>
              <w:left w:val="single" w:sz="4" w:space="0" w:color="auto"/>
              <w:bottom w:val="single" w:sz="4" w:space="0" w:color="auto"/>
              <w:right w:val="single" w:sz="4" w:space="0" w:color="auto"/>
            </w:tcBorders>
            <w:vAlign w:val="bottom"/>
            <w:hideMark/>
          </w:tcPr>
          <w:p w14:paraId="60023717" w14:textId="77777777" w:rsidR="0046194F" w:rsidRPr="00C921DE" w:rsidRDefault="0046194F" w:rsidP="0046194F">
            <w:pPr>
              <w:spacing w:line="256" w:lineRule="auto"/>
              <w:rPr>
                <w:rFonts w:ascii="GHEA Grapalat" w:hAnsi="GHEA Grapalat" w:cs="Calibri"/>
                <w:b/>
                <w:color w:val="000000"/>
                <w:sz w:val="18"/>
                <w:szCs w:val="18"/>
              </w:rPr>
            </w:pPr>
            <w:r w:rsidRPr="00C921DE">
              <w:rPr>
                <w:rFonts w:ascii="GHEA Grapalat" w:hAnsi="GHEA Grapalat" w:cs="Calibri"/>
                <w:b/>
                <w:color w:val="000000"/>
                <w:sz w:val="18"/>
                <w:szCs w:val="18"/>
              </w:rPr>
              <w:t>Փոխառու զուտ միջոցներ</w:t>
            </w:r>
          </w:p>
        </w:tc>
        <w:tc>
          <w:tcPr>
            <w:tcW w:w="1260" w:type="dxa"/>
            <w:tcBorders>
              <w:top w:val="nil"/>
              <w:left w:val="nil"/>
              <w:bottom w:val="single" w:sz="4" w:space="0" w:color="auto"/>
              <w:right w:val="single" w:sz="4" w:space="0" w:color="auto"/>
            </w:tcBorders>
            <w:vAlign w:val="bottom"/>
            <w:hideMark/>
          </w:tcPr>
          <w:p w14:paraId="50084F96"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66.2</w:t>
            </w:r>
          </w:p>
        </w:tc>
        <w:tc>
          <w:tcPr>
            <w:tcW w:w="1351" w:type="dxa"/>
            <w:tcBorders>
              <w:top w:val="nil"/>
              <w:left w:val="single" w:sz="4" w:space="0" w:color="auto"/>
              <w:bottom w:val="single" w:sz="4" w:space="0" w:color="auto"/>
              <w:right w:val="single" w:sz="4" w:space="0" w:color="auto"/>
            </w:tcBorders>
            <w:noWrap/>
            <w:vAlign w:val="bottom"/>
            <w:hideMark/>
          </w:tcPr>
          <w:p w14:paraId="69E20C59"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(8.7)</w:t>
            </w:r>
          </w:p>
        </w:tc>
        <w:tc>
          <w:tcPr>
            <w:tcW w:w="1261" w:type="dxa"/>
            <w:tcBorders>
              <w:top w:val="nil"/>
              <w:left w:val="nil"/>
              <w:bottom w:val="single" w:sz="4" w:space="0" w:color="auto"/>
              <w:right w:val="single" w:sz="4" w:space="0" w:color="auto"/>
            </w:tcBorders>
            <w:noWrap/>
            <w:vAlign w:val="bottom"/>
            <w:hideMark/>
          </w:tcPr>
          <w:p w14:paraId="2000B0E3"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(73.3)</w:t>
            </w:r>
          </w:p>
        </w:tc>
        <w:tc>
          <w:tcPr>
            <w:tcW w:w="1609" w:type="dxa"/>
            <w:tcBorders>
              <w:top w:val="nil"/>
              <w:left w:val="nil"/>
              <w:bottom w:val="single" w:sz="4" w:space="0" w:color="auto"/>
              <w:right w:val="single" w:sz="4" w:space="0" w:color="auto"/>
            </w:tcBorders>
            <w:noWrap/>
            <w:vAlign w:val="bottom"/>
            <w:hideMark/>
          </w:tcPr>
          <w:p w14:paraId="558EC649"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847.5</w:t>
            </w:r>
          </w:p>
        </w:tc>
        <w:tc>
          <w:tcPr>
            <w:tcW w:w="1417" w:type="dxa"/>
            <w:tcBorders>
              <w:top w:val="nil"/>
              <w:left w:val="nil"/>
              <w:bottom w:val="single" w:sz="4" w:space="0" w:color="auto"/>
              <w:right w:val="single" w:sz="4" w:space="0" w:color="auto"/>
            </w:tcBorders>
            <w:vAlign w:val="bottom"/>
            <w:hideMark/>
          </w:tcPr>
          <w:p w14:paraId="6159C5D8"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(110.7)</w:t>
            </w:r>
          </w:p>
        </w:tc>
      </w:tr>
      <w:tr w:rsidR="0046194F" w:rsidRPr="00C921DE" w14:paraId="3855C9C4" w14:textId="77777777" w:rsidTr="0046194F">
        <w:trPr>
          <w:trHeight w:val="377"/>
        </w:trPr>
        <w:tc>
          <w:tcPr>
            <w:tcW w:w="3416" w:type="dxa"/>
            <w:tcBorders>
              <w:top w:val="nil"/>
              <w:left w:val="single" w:sz="4" w:space="0" w:color="auto"/>
              <w:bottom w:val="single" w:sz="4" w:space="0" w:color="auto"/>
              <w:right w:val="single" w:sz="4" w:space="0" w:color="auto"/>
            </w:tcBorders>
            <w:tcMar>
              <w:left w:w="170" w:type="dxa"/>
            </w:tcMar>
            <w:vAlign w:val="bottom"/>
            <w:hideMark/>
          </w:tcPr>
          <w:p w14:paraId="6488AD6D" w14:textId="77777777" w:rsidR="0046194F" w:rsidRPr="00C921DE" w:rsidRDefault="0046194F" w:rsidP="0046194F">
            <w:pPr>
              <w:spacing w:line="256" w:lineRule="auto"/>
              <w:rPr>
                <w:rFonts w:ascii="GHEA Grapalat" w:hAnsi="GHEA Grapalat" w:cs="Calibri"/>
                <w:b/>
                <w:bCs/>
                <w:sz w:val="18"/>
                <w:szCs w:val="18"/>
              </w:rPr>
            </w:pPr>
            <w:r w:rsidRPr="00C921DE">
              <w:rPr>
                <w:rFonts w:ascii="GHEA Grapalat" w:hAnsi="GHEA Grapalat" w:cs="Calibri"/>
                <w:sz w:val="18"/>
                <w:szCs w:val="18"/>
              </w:rPr>
              <w:t>Վարկերի և փոխատվությունների ստացում</w:t>
            </w:r>
          </w:p>
        </w:tc>
        <w:tc>
          <w:tcPr>
            <w:tcW w:w="1260" w:type="dxa"/>
            <w:tcBorders>
              <w:top w:val="nil"/>
              <w:left w:val="nil"/>
              <w:bottom w:val="single" w:sz="4" w:space="0" w:color="auto"/>
              <w:right w:val="single" w:sz="4" w:space="0" w:color="auto"/>
            </w:tcBorders>
            <w:vAlign w:val="bottom"/>
            <w:hideMark/>
          </w:tcPr>
          <w:p w14:paraId="6A7219E5"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165.8</w:t>
            </w:r>
          </w:p>
        </w:tc>
        <w:tc>
          <w:tcPr>
            <w:tcW w:w="1351" w:type="dxa"/>
            <w:tcBorders>
              <w:top w:val="nil"/>
              <w:left w:val="single" w:sz="4" w:space="0" w:color="auto"/>
              <w:bottom w:val="single" w:sz="4" w:space="0" w:color="auto"/>
              <w:right w:val="single" w:sz="4" w:space="0" w:color="auto"/>
            </w:tcBorders>
            <w:noWrap/>
            <w:vAlign w:val="bottom"/>
            <w:hideMark/>
          </w:tcPr>
          <w:p w14:paraId="3658443A"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192.3</w:t>
            </w:r>
          </w:p>
        </w:tc>
        <w:tc>
          <w:tcPr>
            <w:tcW w:w="1261" w:type="dxa"/>
            <w:tcBorders>
              <w:top w:val="nil"/>
              <w:left w:val="nil"/>
              <w:bottom w:val="single" w:sz="4" w:space="0" w:color="auto"/>
              <w:right w:val="single" w:sz="4" w:space="0" w:color="auto"/>
            </w:tcBorders>
            <w:noWrap/>
            <w:vAlign w:val="bottom"/>
            <w:hideMark/>
          </w:tcPr>
          <w:p w14:paraId="733E3D55"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124.6</w:t>
            </w:r>
          </w:p>
        </w:tc>
        <w:tc>
          <w:tcPr>
            <w:tcW w:w="1609" w:type="dxa"/>
            <w:tcBorders>
              <w:top w:val="nil"/>
              <w:left w:val="nil"/>
              <w:bottom w:val="single" w:sz="4" w:space="0" w:color="auto"/>
              <w:right w:val="single" w:sz="4" w:space="0" w:color="auto"/>
            </w:tcBorders>
            <w:noWrap/>
            <w:vAlign w:val="bottom"/>
            <w:hideMark/>
          </w:tcPr>
          <w:p w14:paraId="35C3E508"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64.8</w:t>
            </w:r>
          </w:p>
        </w:tc>
        <w:tc>
          <w:tcPr>
            <w:tcW w:w="1417" w:type="dxa"/>
            <w:tcBorders>
              <w:top w:val="nil"/>
              <w:left w:val="nil"/>
              <w:bottom w:val="single" w:sz="4" w:space="0" w:color="auto"/>
              <w:right w:val="single" w:sz="4" w:space="0" w:color="auto"/>
            </w:tcBorders>
            <w:vAlign w:val="bottom"/>
            <w:hideMark/>
          </w:tcPr>
          <w:p w14:paraId="37364730" w14:textId="77777777" w:rsidR="0046194F" w:rsidRPr="00C921DE" w:rsidRDefault="0046194F" w:rsidP="0046194F">
            <w:pPr>
              <w:spacing w:line="256" w:lineRule="auto"/>
              <w:jc w:val="right"/>
              <w:rPr>
                <w:rFonts w:ascii="GHEA Grapalat" w:hAnsi="GHEA Grapalat" w:cs="Calibri"/>
                <w:bCs/>
                <w:sz w:val="18"/>
                <w:szCs w:val="18"/>
                <w:lang w:val="en-US"/>
              </w:rPr>
            </w:pPr>
            <w:r w:rsidRPr="00C921DE">
              <w:rPr>
                <w:rFonts w:ascii="GHEA Grapalat" w:hAnsi="GHEA Grapalat" w:cs="Calibri"/>
                <w:bCs/>
                <w:sz w:val="18"/>
                <w:szCs w:val="18"/>
                <w:lang w:val="en-US"/>
              </w:rPr>
              <w:t>75.1</w:t>
            </w:r>
          </w:p>
        </w:tc>
      </w:tr>
      <w:tr w:rsidR="0046194F" w:rsidRPr="00C921DE" w14:paraId="0160DC3A" w14:textId="77777777" w:rsidTr="0046194F">
        <w:trPr>
          <w:trHeight w:val="431"/>
        </w:trPr>
        <w:tc>
          <w:tcPr>
            <w:tcW w:w="3416" w:type="dxa"/>
            <w:tcBorders>
              <w:top w:val="nil"/>
              <w:left w:val="single" w:sz="4" w:space="0" w:color="auto"/>
              <w:bottom w:val="single" w:sz="4" w:space="0" w:color="auto"/>
              <w:right w:val="single" w:sz="4" w:space="0" w:color="auto"/>
            </w:tcBorders>
            <w:noWrap/>
            <w:tcMar>
              <w:left w:w="170" w:type="dxa"/>
            </w:tcMar>
            <w:vAlign w:val="bottom"/>
            <w:hideMark/>
          </w:tcPr>
          <w:p w14:paraId="4E2A2910" w14:textId="77777777" w:rsidR="0046194F" w:rsidRPr="00C921DE" w:rsidRDefault="0046194F" w:rsidP="0046194F">
            <w:pPr>
              <w:spacing w:line="256" w:lineRule="auto"/>
              <w:rPr>
                <w:rFonts w:ascii="GHEA Grapalat" w:hAnsi="GHEA Grapalat" w:cs="Calibri"/>
                <w:sz w:val="18"/>
                <w:szCs w:val="18"/>
              </w:rPr>
            </w:pPr>
            <w:r w:rsidRPr="00C921DE">
              <w:rPr>
                <w:rFonts w:ascii="GHEA Grapalat" w:hAnsi="GHEA Grapalat" w:cs="Calibri"/>
                <w:sz w:val="18"/>
                <w:szCs w:val="18"/>
              </w:rPr>
              <w:t>Ստացված վարկերի և փոխատվությունների մարում</w:t>
            </w:r>
          </w:p>
        </w:tc>
        <w:tc>
          <w:tcPr>
            <w:tcW w:w="1260" w:type="dxa"/>
            <w:tcBorders>
              <w:top w:val="nil"/>
              <w:left w:val="nil"/>
              <w:bottom w:val="single" w:sz="4" w:space="0" w:color="auto"/>
              <w:right w:val="single" w:sz="4" w:space="0" w:color="auto"/>
            </w:tcBorders>
            <w:vAlign w:val="bottom"/>
            <w:hideMark/>
          </w:tcPr>
          <w:p w14:paraId="427621E1"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(99.6)</w:t>
            </w:r>
          </w:p>
        </w:tc>
        <w:tc>
          <w:tcPr>
            <w:tcW w:w="1351" w:type="dxa"/>
            <w:tcBorders>
              <w:top w:val="nil"/>
              <w:left w:val="single" w:sz="4" w:space="0" w:color="auto"/>
              <w:bottom w:val="single" w:sz="4" w:space="0" w:color="auto"/>
              <w:right w:val="single" w:sz="4" w:space="0" w:color="auto"/>
            </w:tcBorders>
            <w:noWrap/>
            <w:vAlign w:val="bottom"/>
            <w:hideMark/>
          </w:tcPr>
          <w:p w14:paraId="48FE9120"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(127.0)</w:t>
            </w:r>
          </w:p>
        </w:tc>
        <w:tc>
          <w:tcPr>
            <w:tcW w:w="1261" w:type="dxa"/>
            <w:tcBorders>
              <w:top w:val="nil"/>
              <w:left w:val="nil"/>
              <w:bottom w:val="single" w:sz="4" w:space="0" w:color="auto"/>
              <w:right w:val="single" w:sz="4" w:space="0" w:color="auto"/>
            </w:tcBorders>
            <w:noWrap/>
            <w:vAlign w:val="bottom"/>
            <w:hideMark/>
          </w:tcPr>
          <w:p w14:paraId="6912510A"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(124.5)</w:t>
            </w:r>
          </w:p>
        </w:tc>
        <w:tc>
          <w:tcPr>
            <w:tcW w:w="1609" w:type="dxa"/>
            <w:tcBorders>
              <w:top w:val="nil"/>
              <w:left w:val="nil"/>
              <w:bottom w:val="single" w:sz="4" w:space="0" w:color="auto"/>
              <w:right w:val="single" w:sz="4" w:space="0" w:color="auto"/>
            </w:tcBorders>
            <w:noWrap/>
            <w:vAlign w:val="bottom"/>
            <w:hideMark/>
          </w:tcPr>
          <w:p w14:paraId="7EBBD35B"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98.0</w:t>
            </w:r>
          </w:p>
        </w:tc>
        <w:tc>
          <w:tcPr>
            <w:tcW w:w="1417" w:type="dxa"/>
            <w:tcBorders>
              <w:top w:val="nil"/>
              <w:left w:val="nil"/>
              <w:bottom w:val="single" w:sz="4" w:space="0" w:color="auto"/>
              <w:right w:val="single" w:sz="4" w:space="0" w:color="auto"/>
            </w:tcBorders>
            <w:vAlign w:val="bottom"/>
            <w:hideMark/>
          </w:tcPr>
          <w:p w14:paraId="06A84B63"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125.0</w:t>
            </w:r>
          </w:p>
        </w:tc>
      </w:tr>
      <w:tr w:rsidR="0046194F" w:rsidRPr="00C921DE" w14:paraId="11C83792" w14:textId="77777777" w:rsidTr="0046194F">
        <w:trPr>
          <w:trHeight w:val="431"/>
        </w:trPr>
        <w:tc>
          <w:tcPr>
            <w:tcW w:w="3416" w:type="dxa"/>
            <w:tcBorders>
              <w:top w:val="nil"/>
              <w:left w:val="single" w:sz="4" w:space="0" w:color="auto"/>
              <w:bottom w:val="single" w:sz="4" w:space="0" w:color="auto"/>
              <w:right w:val="single" w:sz="4" w:space="0" w:color="auto"/>
            </w:tcBorders>
            <w:noWrap/>
            <w:tcMar>
              <w:left w:w="170" w:type="dxa"/>
            </w:tcMar>
            <w:vAlign w:val="bottom"/>
            <w:hideMark/>
          </w:tcPr>
          <w:p w14:paraId="7BED4694" w14:textId="77777777" w:rsidR="0046194F" w:rsidRPr="00C921DE" w:rsidRDefault="0046194F" w:rsidP="0046194F">
            <w:pPr>
              <w:spacing w:line="256" w:lineRule="auto"/>
              <w:rPr>
                <w:rFonts w:ascii="GHEA Grapalat" w:hAnsi="GHEA Grapalat" w:cs="Calibri"/>
                <w:sz w:val="18"/>
                <w:szCs w:val="18"/>
              </w:rPr>
            </w:pPr>
            <w:r w:rsidRPr="00C921DE">
              <w:rPr>
                <w:rFonts w:ascii="GHEA Grapalat" w:hAnsi="GHEA Grapalat" w:cs="Calibri"/>
                <w:sz w:val="18"/>
                <w:szCs w:val="18"/>
              </w:rPr>
              <w:t>Արժեթղթերի (բացառությամբ բաժնետոմսերի և կապիտալում այլ մասնակցության) թողարկումից և տեղաբաշխումից զուտ մուտքեր</w:t>
            </w:r>
          </w:p>
        </w:tc>
        <w:tc>
          <w:tcPr>
            <w:tcW w:w="1260" w:type="dxa"/>
            <w:tcBorders>
              <w:top w:val="nil"/>
              <w:left w:val="nil"/>
              <w:bottom w:val="single" w:sz="4" w:space="0" w:color="auto"/>
              <w:right w:val="single" w:sz="4" w:space="0" w:color="auto"/>
            </w:tcBorders>
            <w:vAlign w:val="bottom"/>
            <w:hideMark/>
          </w:tcPr>
          <w:p w14:paraId="58B98DBB"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p>
        </w:tc>
        <w:tc>
          <w:tcPr>
            <w:tcW w:w="1351" w:type="dxa"/>
            <w:tcBorders>
              <w:top w:val="nil"/>
              <w:left w:val="single" w:sz="4" w:space="0" w:color="auto"/>
              <w:bottom w:val="single" w:sz="4" w:space="0" w:color="auto"/>
              <w:right w:val="single" w:sz="4" w:space="0" w:color="auto"/>
            </w:tcBorders>
            <w:noWrap/>
            <w:vAlign w:val="bottom"/>
            <w:hideMark/>
          </w:tcPr>
          <w:p w14:paraId="617F2EF3"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(74.0)</w:t>
            </w:r>
          </w:p>
        </w:tc>
        <w:tc>
          <w:tcPr>
            <w:tcW w:w="1261" w:type="dxa"/>
            <w:tcBorders>
              <w:top w:val="nil"/>
              <w:left w:val="nil"/>
              <w:bottom w:val="single" w:sz="4" w:space="0" w:color="auto"/>
              <w:right w:val="single" w:sz="4" w:space="0" w:color="auto"/>
            </w:tcBorders>
            <w:noWrap/>
            <w:vAlign w:val="bottom"/>
            <w:hideMark/>
          </w:tcPr>
          <w:p w14:paraId="67390F52"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(73.4)</w:t>
            </w:r>
          </w:p>
        </w:tc>
        <w:tc>
          <w:tcPr>
            <w:tcW w:w="1609" w:type="dxa"/>
            <w:tcBorders>
              <w:top w:val="nil"/>
              <w:left w:val="nil"/>
              <w:bottom w:val="single" w:sz="4" w:space="0" w:color="auto"/>
              <w:right w:val="single" w:sz="4" w:space="0" w:color="auto"/>
            </w:tcBorders>
            <w:noWrap/>
            <w:vAlign w:val="bottom"/>
            <w:hideMark/>
          </w:tcPr>
          <w:p w14:paraId="130D9DF9"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99.2</w:t>
            </w:r>
          </w:p>
        </w:tc>
        <w:tc>
          <w:tcPr>
            <w:tcW w:w="1417" w:type="dxa"/>
            <w:tcBorders>
              <w:top w:val="nil"/>
              <w:left w:val="nil"/>
              <w:bottom w:val="single" w:sz="4" w:space="0" w:color="auto"/>
              <w:right w:val="single" w:sz="4" w:space="0" w:color="auto"/>
            </w:tcBorders>
            <w:vAlign w:val="bottom"/>
            <w:hideMark/>
          </w:tcPr>
          <w:p w14:paraId="0C72237D"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p>
        </w:tc>
      </w:tr>
    </w:tbl>
    <w:p w14:paraId="4908A89E" w14:textId="77777777"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p>
    <w:p w14:paraId="31B0617B" w14:textId="6FCDFAE6" w:rsidR="00202664" w:rsidRPr="00C921DE" w:rsidRDefault="0046194F" w:rsidP="00BF6D40">
      <w:pPr>
        <w:autoSpaceDE w:val="0"/>
        <w:autoSpaceDN w:val="0"/>
        <w:adjustRightInd w:val="0"/>
        <w:spacing w:line="360" w:lineRule="auto"/>
        <w:ind w:firstLine="567"/>
        <w:jc w:val="both"/>
        <w:rPr>
          <w:rFonts w:ascii="GHEA Grapalat" w:hAnsi="GHEA Grapalat" w:cs="GHEA Grapalat"/>
          <w:sz w:val="22"/>
          <w:szCs w:val="22"/>
          <w:lang w:val="en-US"/>
        </w:rPr>
      </w:pPr>
      <w:r w:rsidRPr="00C921DE">
        <w:rPr>
          <w:rFonts w:ascii="GHEA Grapalat" w:hAnsi="GHEA Grapalat" w:cs="GHEA Grapalat"/>
          <w:sz w:val="22"/>
          <w:szCs w:val="22"/>
        </w:rPr>
        <w:t>Արտաքին աղբյուրներից ստացված վարկերի ցածր ցուցանիշ</w:t>
      </w:r>
      <w:r w:rsidR="00202664" w:rsidRPr="00C921DE">
        <w:rPr>
          <w:rFonts w:ascii="GHEA Grapalat" w:hAnsi="GHEA Grapalat" w:cs="GHEA Grapalat"/>
          <w:sz w:val="22"/>
          <w:szCs w:val="22"/>
          <w:lang w:val="en-US"/>
        </w:rPr>
        <w:t xml:space="preserve"> է արձանագրվել ինչպես</w:t>
      </w:r>
      <w:r w:rsidRPr="00C921DE">
        <w:rPr>
          <w:rFonts w:ascii="GHEA Grapalat" w:hAnsi="GHEA Grapalat" w:cs="GHEA Grapalat"/>
          <w:sz w:val="22"/>
          <w:szCs w:val="22"/>
        </w:rPr>
        <w:t xml:space="preserve"> բյուջետային աջակցության, </w:t>
      </w:r>
      <w:r w:rsidR="00202664" w:rsidRPr="00C921DE">
        <w:rPr>
          <w:rFonts w:ascii="GHEA Grapalat" w:hAnsi="GHEA Grapalat" w:cs="GHEA Grapalat"/>
          <w:sz w:val="22"/>
          <w:szCs w:val="22"/>
          <w:lang w:val="en-US"/>
        </w:rPr>
        <w:t>այնպես էլ</w:t>
      </w:r>
      <w:r w:rsidRPr="00C921DE">
        <w:rPr>
          <w:rFonts w:ascii="GHEA Grapalat" w:hAnsi="GHEA Grapalat" w:cs="GHEA Grapalat"/>
          <w:sz w:val="22"/>
          <w:szCs w:val="22"/>
        </w:rPr>
        <w:t xml:space="preserve"> նպատակային </w:t>
      </w:r>
      <w:r w:rsidR="00202664" w:rsidRPr="00C921DE">
        <w:rPr>
          <w:rFonts w:ascii="GHEA Grapalat" w:hAnsi="GHEA Grapalat" w:cs="GHEA Grapalat"/>
          <w:sz w:val="22"/>
          <w:szCs w:val="22"/>
          <w:lang w:val="en-US"/>
        </w:rPr>
        <w:t>վարկերի գծով</w:t>
      </w:r>
      <w:r w:rsidRPr="00C921DE">
        <w:rPr>
          <w:rFonts w:ascii="GHEA Grapalat" w:hAnsi="GHEA Grapalat" w:cs="GHEA Grapalat"/>
          <w:sz w:val="22"/>
          <w:szCs w:val="22"/>
        </w:rPr>
        <w:t>: Նախատեսված 118.2 մլրդ դրամ բյուջետային աջակցության վարկի դիմ</w:t>
      </w:r>
      <w:r w:rsidR="00202664" w:rsidRPr="00C921DE">
        <w:rPr>
          <w:rFonts w:ascii="GHEA Grapalat" w:hAnsi="GHEA Grapalat" w:cs="GHEA Grapalat"/>
          <w:sz w:val="22"/>
          <w:szCs w:val="22"/>
        </w:rPr>
        <w:t>աց ստացվել է շուրջ 62 մլրդ դրամ</w:t>
      </w:r>
      <w:r w:rsidR="00202664" w:rsidRPr="00C921DE">
        <w:rPr>
          <w:rFonts w:ascii="GHEA Grapalat" w:hAnsi="GHEA Grapalat" w:cs="GHEA Grapalat"/>
          <w:sz w:val="22"/>
          <w:szCs w:val="22"/>
          <w:lang w:val="en-US"/>
        </w:rPr>
        <w:t>:</w:t>
      </w:r>
      <w:r w:rsidRPr="00C921DE">
        <w:rPr>
          <w:rFonts w:ascii="GHEA Grapalat" w:hAnsi="GHEA Grapalat" w:cs="GHEA Grapalat"/>
          <w:sz w:val="22"/>
          <w:szCs w:val="22"/>
        </w:rPr>
        <w:t xml:space="preserve"> </w:t>
      </w:r>
      <w:r w:rsidR="00BF6D40" w:rsidRPr="00C921DE">
        <w:rPr>
          <w:rFonts w:ascii="GHEA Grapalat" w:hAnsi="GHEA Grapalat" w:cs="GHEA Grapalat"/>
          <w:sz w:val="22"/>
          <w:szCs w:val="22"/>
          <w:lang w:val="en-US"/>
        </w:rPr>
        <w:t>Մասնավորապես՝</w:t>
      </w:r>
      <w:r w:rsidR="00202664" w:rsidRPr="00C921DE">
        <w:rPr>
          <w:rFonts w:ascii="GHEA Grapalat" w:hAnsi="GHEA Grapalat" w:cs="GHEA Grapalat"/>
          <w:sz w:val="22"/>
          <w:szCs w:val="22"/>
        </w:rPr>
        <w:t xml:space="preserve"> Հարկաբյուջետային կայունության և ֆինանսական շուկաների զարգացման ծրագ</w:t>
      </w:r>
      <w:r w:rsidR="00BF6D40" w:rsidRPr="00C921DE">
        <w:rPr>
          <w:rFonts w:ascii="GHEA Grapalat" w:hAnsi="GHEA Grapalat" w:cs="GHEA Grapalat"/>
          <w:sz w:val="22"/>
          <w:szCs w:val="22"/>
        </w:rPr>
        <w:t>րի շր</w:t>
      </w:r>
      <w:r w:rsidR="00202664" w:rsidRPr="00C921DE">
        <w:rPr>
          <w:rFonts w:ascii="GHEA Grapalat" w:hAnsi="GHEA Grapalat" w:cs="GHEA Grapalat"/>
          <w:sz w:val="22"/>
          <w:szCs w:val="22"/>
        </w:rPr>
        <w:t xml:space="preserve">ջանակներում ԱԶԲ-ի կողմից նախատեսված 19.8 մլրդ դրամ և նույն ծրագրի համաֆինանսավորման նպատակով </w:t>
      </w:r>
      <w:r w:rsidR="00202664" w:rsidRPr="00C921DE">
        <w:rPr>
          <w:rFonts w:ascii="GHEA Grapalat" w:hAnsi="GHEA Grapalat" w:cs="GHEA Grapalat"/>
          <w:sz w:val="22"/>
          <w:szCs w:val="22"/>
        </w:rPr>
        <w:lastRenderedPageBreak/>
        <w:t xml:space="preserve">Ֆրանսիայի հանրապետության կողմից նախատեսված 39.3 մլրդ դրամ վարկային միջոցները չեն ստացվել, ինչը պայմանավորված է նրանով, որ Հարկաբյուջետային կայունության և ֆինանսական շուկաների զարգացման ծրագրի ենթածրագիր II-ի գծով ԱԶԲ-ից և Ֆրանսիայից բյուջետային </w:t>
      </w:r>
      <w:r w:rsidR="00202664" w:rsidRPr="00C921DE">
        <w:rPr>
          <w:rFonts w:ascii="GHEA Grapalat" w:hAnsi="GHEA Grapalat" w:cs="GHEA Grapalat"/>
          <w:sz w:val="22"/>
          <w:szCs w:val="22"/>
          <w:lang w:val="en-US"/>
        </w:rPr>
        <w:t>աջակցության վարկերի գծով համապատասխանաբար 50 մլն ԱՄՆ դոլար և 50 մլն եվրո գումարով վարկերի ստացումը տեղափոխվել է 2024 թվական, իսկ նույն ծրագրի ենթածրագիր I-ի գծով Ֆրանսիայից բյուջետային աջակցության 50 մլն եվրո վարկը ստացվել է 2022 թվականի տարեվերջին:</w:t>
      </w:r>
      <w:r w:rsidR="00BF6D40" w:rsidRPr="00C921DE">
        <w:rPr>
          <w:rFonts w:ascii="GHEA Grapalat" w:hAnsi="GHEA Grapalat" w:cs="GHEA Grapalat"/>
          <w:sz w:val="22"/>
          <w:szCs w:val="22"/>
          <w:lang w:val="en-US"/>
        </w:rPr>
        <w:t xml:space="preserve"> Ցածր կատարողականը պայմանավորված է նաև ստացված բյուջետային աջակցության վարկերի գծով կանխատեսումային և փաստացի ձևավորված փոխարժեքների տարբերությամբ:</w:t>
      </w:r>
    </w:p>
    <w:p w14:paraId="6C39814C" w14:textId="0B4E03FE" w:rsidR="0046194F" w:rsidRPr="00C921DE" w:rsidRDefault="005A3444"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lang w:val="en-US"/>
        </w:rPr>
        <w:t xml:space="preserve">2023 թվականին </w:t>
      </w:r>
      <w:r w:rsidRPr="00C921DE">
        <w:rPr>
          <w:rFonts w:ascii="GHEA Grapalat" w:hAnsi="GHEA Grapalat" w:cs="GHEA Grapalat"/>
          <w:sz w:val="22"/>
          <w:szCs w:val="22"/>
        </w:rPr>
        <w:t>39.9 մլրդ դրամ</w:t>
      </w:r>
      <w:r w:rsidRPr="00C921DE">
        <w:rPr>
          <w:rFonts w:ascii="GHEA Grapalat" w:hAnsi="GHEA Grapalat" w:cs="GHEA Grapalat"/>
          <w:sz w:val="22"/>
          <w:szCs w:val="22"/>
          <w:lang w:val="en-US"/>
        </w:rPr>
        <w:t xml:space="preserve"> վարկ է ստացվել </w:t>
      </w:r>
      <w:r w:rsidR="0046194F" w:rsidRPr="00C921DE">
        <w:rPr>
          <w:rFonts w:ascii="GHEA Grapalat" w:hAnsi="GHEA Grapalat" w:cs="GHEA Grapalat"/>
          <w:sz w:val="22"/>
          <w:szCs w:val="22"/>
        </w:rPr>
        <w:t>ՎԶՄԲ-ից՝ «Կանաչ, դիմակայուն և ներառական զարգացման քաղաքականության վարկ» բյուջետային աջակցության վարկային համաձայնագրի շրջանակներում՝ կազմելով ծրագրված ցուցանիշի 101%-ը և</w:t>
      </w:r>
      <w:r w:rsidRPr="00C921DE">
        <w:rPr>
          <w:rFonts w:ascii="GHEA Grapalat" w:hAnsi="GHEA Grapalat" w:cs="GHEA Grapalat"/>
          <w:sz w:val="22"/>
          <w:szCs w:val="22"/>
          <w:lang w:val="en-US"/>
        </w:rPr>
        <w:t xml:space="preserve"> </w:t>
      </w:r>
      <w:r w:rsidRPr="00C921DE">
        <w:rPr>
          <w:rFonts w:ascii="GHEA Grapalat" w:hAnsi="GHEA Grapalat" w:cs="GHEA Grapalat"/>
          <w:sz w:val="22"/>
          <w:szCs w:val="22"/>
        </w:rPr>
        <w:t>22.1 մլրդ դրամ</w:t>
      </w:r>
      <w:r w:rsidR="0046194F" w:rsidRPr="00C921DE">
        <w:rPr>
          <w:rFonts w:ascii="GHEA Grapalat" w:hAnsi="GHEA Grapalat" w:cs="GHEA Grapalat"/>
          <w:sz w:val="22"/>
          <w:szCs w:val="22"/>
        </w:rPr>
        <w:t xml:space="preserve"> նույն վարկի համաֆինանսավորման նպատակով</w:t>
      </w:r>
      <w:r w:rsidRPr="00C921DE">
        <w:rPr>
          <w:rFonts w:ascii="GHEA Grapalat" w:hAnsi="GHEA Grapalat" w:cs="GHEA Grapalat"/>
          <w:sz w:val="22"/>
          <w:szCs w:val="22"/>
          <w:lang w:val="en-US"/>
        </w:rPr>
        <w:t>՝</w:t>
      </w:r>
      <w:r w:rsidR="0046194F" w:rsidRPr="00C921DE">
        <w:rPr>
          <w:rFonts w:ascii="GHEA Grapalat" w:hAnsi="GHEA Grapalat" w:cs="GHEA Grapalat"/>
          <w:sz w:val="22"/>
          <w:szCs w:val="22"/>
        </w:rPr>
        <w:t xml:space="preserve"> ՕՊԵԿ-ի Միջազգային զար</w:t>
      </w:r>
      <w:r w:rsidRPr="00C921DE">
        <w:rPr>
          <w:rFonts w:ascii="GHEA Grapalat" w:hAnsi="GHEA Grapalat" w:cs="GHEA Grapalat"/>
          <w:sz w:val="22"/>
          <w:szCs w:val="22"/>
        </w:rPr>
        <w:t>գացման հիմնադրամի (ՕՄԶՀ) կողմից</w:t>
      </w:r>
      <w:r w:rsidR="0046194F" w:rsidRPr="00C921DE">
        <w:rPr>
          <w:rFonts w:ascii="GHEA Grapalat" w:hAnsi="GHEA Grapalat" w:cs="GHEA Grapalat"/>
          <w:sz w:val="22"/>
          <w:szCs w:val="22"/>
        </w:rPr>
        <w:t>՝</w:t>
      </w:r>
      <w:r w:rsidRPr="00C921DE">
        <w:rPr>
          <w:rFonts w:ascii="GHEA Grapalat" w:hAnsi="GHEA Grapalat" w:cs="GHEA Grapalat"/>
          <w:sz w:val="22"/>
          <w:szCs w:val="22"/>
          <w:lang w:val="en-US"/>
        </w:rPr>
        <w:t xml:space="preserve"> կազմելով</w:t>
      </w:r>
      <w:r w:rsidR="0046194F" w:rsidRPr="00C921DE">
        <w:rPr>
          <w:rFonts w:ascii="GHEA Grapalat" w:hAnsi="GHEA Grapalat" w:cs="GHEA Grapalat"/>
          <w:sz w:val="22"/>
          <w:szCs w:val="22"/>
        </w:rPr>
        <w:t xml:space="preserve"> ծրագր</w:t>
      </w:r>
      <w:r w:rsidRPr="00C921DE">
        <w:rPr>
          <w:rFonts w:ascii="GHEA Grapalat" w:hAnsi="GHEA Grapalat" w:cs="GHEA Grapalat"/>
          <w:sz w:val="22"/>
          <w:szCs w:val="22"/>
          <w:lang w:val="en-US"/>
        </w:rPr>
        <w:t>ված ցուցանիշ</w:t>
      </w:r>
      <w:r w:rsidR="0046194F" w:rsidRPr="00C921DE">
        <w:rPr>
          <w:rFonts w:ascii="GHEA Grapalat" w:hAnsi="GHEA Grapalat" w:cs="GHEA Grapalat"/>
          <w:sz w:val="22"/>
          <w:szCs w:val="22"/>
        </w:rPr>
        <w:t xml:space="preserve">ի 112.5%-ը: </w:t>
      </w:r>
    </w:p>
    <w:p w14:paraId="752240E2" w14:textId="1AC97932"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Նպատակային վարկ</w:t>
      </w:r>
      <w:r w:rsidR="0031220C" w:rsidRPr="00C921DE">
        <w:rPr>
          <w:rFonts w:ascii="GHEA Grapalat" w:hAnsi="GHEA Grapalat" w:cs="GHEA Grapalat"/>
          <w:sz w:val="22"/>
          <w:szCs w:val="22"/>
          <w:lang w:val="en-US"/>
        </w:rPr>
        <w:t>ային ծրագր</w:t>
      </w:r>
      <w:r w:rsidRPr="00C921DE">
        <w:rPr>
          <w:rFonts w:ascii="GHEA Grapalat" w:hAnsi="GHEA Grapalat" w:cs="GHEA Grapalat"/>
          <w:sz w:val="22"/>
          <w:szCs w:val="22"/>
        </w:rPr>
        <w:t>երի շրջանակներում ստացվել են 62.6</w:t>
      </w:r>
      <w:r w:rsidRPr="00C921DE">
        <w:rPr>
          <w:rFonts w:ascii="Courier New" w:hAnsi="Courier New" w:cs="Courier New"/>
          <w:sz w:val="22"/>
          <w:szCs w:val="22"/>
        </w:rPr>
        <w:t> </w:t>
      </w:r>
      <w:r w:rsidRPr="00C921DE">
        <w:rPr>
          <w:rFonts w:ascii="GHEA Grapalat" w:hAnsi="GHEA Grapalat" w:cs="GHEA Grapalat"/>
          <w:sz w:val="22"/>
          <w:szCs w:val="22"/>
        </w:rPr>
        <w:t>մլրդ դրամ վարկային միջոցներ՝ կազմելով ծրագրված ցուցանիշի 84.4%-ը:</w:t>
      </w:r>
      <w:r w:rsidRPr="00C921DE">
        <w:rPr>
          <w:rFonts w:ascii="GHEA Grapalat" w:hAnsi="GHEA Grapalat" w:cs="GHEA Grapalat"/>
          <w:noProof w:val="0"/>
          <w:sz w:val="22"/>
          <w:szCs w:val="22"/>
        </w:rPr>
        <w:t xml:space="preserve"> </w:t>
      </w:r>
      <w:r w:rsidR="0031220C" w:rsidRPr="00C921DE">
        <w:rPr>
          <w:rFonts w:ascii="GHEA Grapalat" w:hAnsi="GHEA Grapalat" w:cs="GHEA Grapalat"/>
          <w:sz w:val="22"/>
          <w:szCs w:val="22"/>
          <w:lang w:val="en-US"/>
        </w:rPr>
        <w:t>Նշված</w:t>
      </w:r>
      <w:r w:rsidRPr="00C921DE">
        <w:rPr>
          <w:rFonts w:ascii="GHEA Grapalat" w:hAnsi="GHEA Grapalat" w:cs="GHEA Grapalat"/>
          <w:sz w:val="22"/>
          <w:szCs w:val="22"/>
        </w:rPr>
        <w:t xml:space="preserve"> միջոցների զգալի մասը տրամադրվել </w:t>
      </w:r>
      <w:r w:rsidR="0031220C" w:rsidRPr="00C921DE">
        <w:rPr>
          <w:rFonts w:ascii="GHEA Grapalat" w:hAnsi="GHEA Grapalat" w:cs="GHEA Grapalat"/>
          <w:sz w:val="22"/>
          <w:szCs w:val="22"/>
          <w:lang w:val="en-US"/>
        </w:rPr>
        <w:t>է</w:t>
      </w:r>
      <w:r w:rsidRPr="00C921DE">
        <w:rPr>
          <w:rFonts w:ascii="GHEA Grapalat" w:hAnsi="GHEA Grapalat" w:cs="GHEA Grapalat"/>
          <w:sz w:val="22"/>
          <w:szCs w:val="22"/>
        </w:rPr>
        <w:t xml:space="preserve"> ԱԶԲ և ՀԲ կողմից:</w:t>
      </w:r>
    </w:p>
    <w:p w14:paraId="3E201D1B" w14:textId="77777777"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p>
    <w:p w14:paraId="71096A26" w14:textId="77777777" w:rsidR="0046194F" w:rsidRPr="00C921DE" w:rsidRDefault="0046194F" w:rsidP="004C12B8">
      <w:pPr>
        <w:pStyle w:val="a"/>
      </w:pPr>
      <w:r w:rsidRPr="00C921DE">
        <w:t xml:space="preserve">Արտաքին աղբյուրներից նպատակային վարկերի ստացումն ըստ վարկատուների (մլրդ դրամ) </w:t>
      </w:r>
    </w:p>
    <w:p w14:paraId="113A2FBD" w14:textId="7715CA0E" w:rsidR="0046194F" w:rsidRPr="00C921DE" w:rsidRDefault="0046194F" w:rsidP="0046194F">
      <w:pPr>
        <w:autoSpaceDE w:val="0"/>
        <w:autoSpaceDN w:val="0"/>
        <w:adjustRightInd w:val="0"/>
        <w:spacing w:line="360" w:lineRule="auto"/>
        <w:jc w:val="both"/>
        <w:rPr>
          <w:rFonts w:ascii="GHEA Grapalat" w:hAnsi="GHEA Grapalat"/>
          <w:sz w:val="22"/>
          <w:szCs w:val="22"/>
          <w:lang w:val="en-US"/>
        </w:rPr>
      </w:pPr>
      <w:r w:rsidRPr="00C921DE">
        <w:rPr>
          <w:lang w:val="en-US"/>
        </w:rPr>
        <w:drawing>
          <wp:inline distT="0" distB="0" distL="0" distR="0" wp14:anchorId="5FDDD09E" wp14:editId="4D06CF17">
            <wp:extent cx="6209665" cy="3244215"/>
            <wp:effectExtent l="0" t="0" r="0" b="0"/>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04629ED" w14:textId="77777777" w:rsidR="0046194F" w:rsidRPr="00C921DE" w:rsidRDefault="0046194F" w:rsidP="0046194F">
      <w:pPr>
        <w:autoSpaceDE w:val="0"/>
        <w:autoSpaceDN w:val="0"/>
        <w:adjustRightInd w:val="0"/>
        <w:spacing w:line="360" w:lineRule="auto"/>
        <w:jc w:val="both"/>
        <w:rPr>
          <w:rFonts w:ascii="GHEA Grapalat" w:hAnsi="GHEA Grapalat"/>
          <w:sz w:val="22"/>
          <w:szCs w:val="22"/>
          <w:lang w:val="en-US"/>
        </w:rPr>
      </w:pPr>
    </w:p>
    <w:p w14:paraId="1EC3086C"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nb-NO"/>
        </w:rPr>
      </w:pPr>
      <w:r w:rsidRPr="00C921DE">
        <w:rPr>
          <w:rFonts w:ascii="GHEA Grapalat" w:hAnsi="GHEA Grapalat"/>
          <w:sz w:val="22"/>
          <w:szCs w:val="22"/>
          <w:lang w:val="nb-NO"/>
        </w:rPr>
        <w:lastRenderedPageBreak/>
        <w:t>202</w:t>
      </w:r>
      <w:r w:rsidRPr="00C921DE">
        <w:rPr>
          <w:rFonts w:ascii="GHEA Grapalat" w:hAnsi="GHEA Grapalat"/>
          <w:sz w:val="22"/>
          <w:szCs w:val="22"/>
        </w:rPr>
        <w:t>3</w:t>
      </w:r>
      <w:r w:rsidRPr="00C921DE">
        <w:rPr>
          <w:rFonts w:ascii="GHEA Grapalat" w:hAnsi="GHEA Grapalat"/>
          <w:sz w:val="22"/>
          <w:szCs w:val="22"/>
          <w:lang w:val="nb-NO"/>
        </w:rPr>
        <w:t xml:space="preserve"> թվականի ընթացքում վարկերի մարմանն ուղղվել է </w:t>
      </w:r>
      <w:r w:rsidRPr="00C921DE">
        <w:rPr>
          <w:rFonts w:ascii="GHEA Grapalat" w:hAnsi="GHEA Grapalat"/>
          <w:sz w:val="22"/>
          <w:szCs w:val="22"/>
        </w:rPr>
        <w:t>124.5</w:t>
      </w:r>
      <w:r w:rsidRPr="00C921DE">
        <w:rPr>
          <w:rFonts w:ascii="Calibri" w:hAnsi="Calibri" w:cs="Calibri"/>
          <w:sz w:val="22"/>
          <w:szCs w:val="22"/>
          <w:lang w:val="nb-NO"/>
        </w:rPr>
        <w:t> </w:t>
      </w:r>
      <w:r w:rsidRPr="00C921DE">
        <w:rPr>
          <w:rFonts w:ascii="GHEA Grapalat" w:hAnsi="GHEA Grapalat" w:cs="GHEA Grapalat"/>
          <w:sz w:val="22"/>
          <w:szCs w:val="22"/>
          <w:lang w:val="nb-NO"/>
        </w:rPr>
        <w:t>մլրդ</w:t>
      </w:r>
      <w:r w:rsidRPr="00C921DE">
        <w:rPr>
          <w:rFonts w:ascii="GHEA Grapalat" w:hAnsi="GHEA Grapalat"/>
          <w:sz w:val="22"/>
          <w:szCs w:val="22"/>
          <w:lang w:val="nb-NO"/>
        </w:rPr>
        <w:t xml:space="preserve"> դրամ՝ կազմելով ծրագրի 98%-ը: Շեղումը պայմանավորված է հետևյալ գործոններով.</w:t>
      </w:r>
    </w:p>
    <w:p w14:paraId="3B26C7DD" w14:textId="0C771BB4" w:rsidR="0046194F" w:rsidRPr="00C921DE" w:rsidRDefault="0046194F" w:rsidP="00D9331C">
      <w:pPr>
        <w:numPr>
          <w:ilvl w:val="0"/>
          <w:numId w:val="35"/>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C921DE">
        <w:rPr>
          <w:rFonts w:ascii="GHEA Grapalat" w:hAnsi="GHEA Grapalat"/>
          <w:sz w:val="22"/>
          <w:szCs w:val="22"/>
        </w:rPr>
        <w:t>ա</w:t>
      </w:r>
      <w:r w:rsidRPr="00C921DE">
        <w:rPr>
          <w:rFonts w:ascii="GHEA Grapalat" w:hAnsi="GHEA Grapalat"/>
          <w:sz w:val="22"/>
          <w:szCs w:val="22"/>
          <w:lang w:val="en-US"/>
        </w:rPr>
        <w:t>րտաքին</w:t>
      </w:r>
      <w:r w:rsidRPr="00C921DE">
        <w:rPr>
          <w:rFonts w:ascii="GHEA Grapalat" w:hAnsi="GHEA Grapalat"/>
          <w:sz w:val="22"/>
          <w:szCs w:val="22"/>
          <w:lang w:val="nb-NO"/>
        </w:rPr>
        <w:t xml:space="preserve"> </w:t>
      </w:r>
      <w:r w:rsidRPr="00C921DE">
        <w:rPr>
          <w:rFonts w:ascii="GHEA Grapalat" w:hAnsi="GHEA Grapalat"/>
          <w:sz w:val="22"/>
          <w:szCs w:val="22"/>
          <w:lang w:val="en-US"/>
        </w:rPr>
        <w:t>վարկերի</w:t>
      </w:r>
      <w:r w:rsidRPr="00C921DE">
        <w:rPr>
          <w:rFonts w:ascii="GHEA Grapalat" w:hAnsi="GHEA Grapalat"/>
          <w:sz w:val="22"/>
          <w:szCs w:val="22"/>
          <w:lang w:val="nb-NO"/>
        </w:rPr>
        <w:t xml:space="preserve"> </w:t>
      </w:r>
      <w:r w:rsidRPr="00C921DE">
        <w:rPr>
          <w:rFonts w:ascii="GHEA Grapalat" w:hAnsi="GHEA Grapalat"/>
          <w:sz w:val="22"/>
          <w:szCs w:val="22"/>
          <w:lang w:val="en-US"/>
        </w:rPr>
        <w:t>գծով</w:t>
      </w:r>
      <w:r w:rsidRPr="00C921DE">
        <w:rPr>
          <w:rFonts w:ascii="GHEA Grapalat" w:hAnsi="GHEA Grapalat"/>
          <w:sz w:val="22"/>
          <w:szCs w:val="22"/>
          <w:lang w:val="nb-NO"/>
        </w:rPr>
        <w:t xml:space="preserve"> </w:t>
      </w:r>
      <w:r w:rsidRPr="00C921DE">
        <w:rPr>
          <w:rFonts w:ascii="GHEA Grapalat" w:hAnsi="GHEA Grapalat"/>
          <w:sz w:val="22"/>
          <w:szCs w:val="22"/>
          <w:lang w:val="en-US"/>
        </w:rPr>
        <w:t>ստացումների</w:t>
      </w:r>
      <w:r w:rsidRPr="00C921DE">
        <w:rPr>
          <w:rFonts w:ascii="GHEA Grapalat" w:hAnsi="GHEA Grapalat"/>
          <w:sz w:val="22"/>
          <w:szCs w:val="22"/>
          <w:lang w:val="nb-NO"/>
        </w:rPr>
        <w:t xml:space="preserve"> </w:t>
      </w:r>
      <w:r w:rsidRPr="00C921DE">
        <w:rPr>
          <w:rFonts w:ascii="GHEA Grapalat" w:hAnsi="GHEA Grapalat"/>
          <w:sz w:val="22"/>
          <w:szCs w:val="22"/>
          <w:lang w:val="en-US"/>
        </w:rPr>
        <w:t>պլանի</w:t>
      </w:r>
      <w:r w:rsidRPr="00C921DE">
        <w:rPr>
          <w:rFonts w:ascii="GHEA Grapalat" w:hAnsi="GHEA Grapalat"/>
          <w:sz w:val="22"/>
          <w:szCs w:val="22"/>
          <w:lang w:val="nb-NO"/>
        </w:rPr>
        <w:t xml:space="preserve"> </w:t>
      </w:r>
      <w:r w:rsidR="00B53228" w:rsidRPr="00C921DE">
        <w:rPr>
          <w:rFonts w:ascii="GHEA Grapalat" w:hAnsi="GHEA Grapalat"/>
          <w:sz w:val="22"/>
          <w:szCs w:val="22"/>
          <w:lang w:val="en-US"/>
        </w:rPr>
        <w:t>թերակատարմամբ՝</w:t>
      </w:r>
      <w:r w:rsidRPr="00C921DE">
        <w:rPr>
          <w:rFonts w:ascii="GHEA Grapalat" w:hAnsi="GHEA Grapalat"/>
          <w:sz w:val="22"/>
          <w:szCs w:val="22"/>
          <w:lang w:val="nb-NO"/>
        </w:rPr>
        <w:t xml:space="preserve"> </w:t>
      </w:r>
      <w:r w:rsidRPr="00C921DE">
        <w:rPr>
          <w:rFonts w:ascii="GHEA Grapalat" w:hAnsi="GHEA Grapalat"/>
          <w:sz w:val="22"/>
          <w:szCs w:val="22"/>
          <w:lang w:val="en-US"/>
        </w:rPr>
        <w:t>ըստ</w:t>
      </w:r>
      <w:r w:rsidRPr="00C921DE">
        <w:rPr>
          <w:rFonts w:ascii="GHEA Grapalat" w:hAnsi="GHEA Grapalat"/>
          <w:sz w:val="22"/>
          <w:szCs w:val="22"/>
          <w:lang w:val="nb-NO"/>
        </w:rPr>
        <w:t xml:space="preserve"> </w:t>
      </w:r>
      <w:r w:rsidRPr="00C921DE">
        <w:rPr>
          <w:rFonts w:ascii="GHEA Grapalat" w:hAnsi="GHEA Grapalat"/>
          <w:sz w:val="22"/>
          <w:szCs w:val="22"/>
          <w:lang w:val="en-US"/>
        </w:rPr>
        <w:t>առանձին</w:t>
      </w:r>
      <w:r w:rsidRPr="00C921DE">
        <w:rPr>
          <w:rFonts w:ascii="GHEA Grapalat" w:hAnsi="GHEA Grapalat"/>
          <w:sz w:val="22"/>
          <w:szCs w:val="22"/>
          <w:lang w:val="nb-NO"/>
        </w:rPr>
        <w:t xml:space="preserve"> </w:t>
      </w:r>
      <w:r w:rsidRPr="00C921DE">
        <w:rPr>
          <w:rFonts w:ascii="GHEA Grapalat" w:hAnsi="GHEA Grapalat"/>
          <w:sz w:val="22"/>
          <w:szCs w:val="22"/>
          <w:lang w:val="en-US"/>
        </w:rPr>
        <w:t>վարկային</w:t>
      </w:r>
      <w:r w:rsidRPr="00C921DE">
        <w:rPr>
          <w:rFonts w:ascii="GHEA Grapalat" w:hAnsi="GHEA Grapalat"/>
          <w:sz w:val="22"/>
          <w:szCs w:val="22"/>
          <w:lang w:val="nb-NO"/>
        </w:rPr>
        <w:t xml:space="preserve"> </w:t>
      </w:r>
      <w:r w:rsidRPr="00C921DE">
        <w:rPr>
          <w:rFonts w:ascii="GHEA Grapalat" w:hAnsi="GHEA Grapalat"/>
          <w:sz w:val="22"/>
          <w:szCs w:val="22"/>
          <w:lang w:val="en-US"/>
        </w:rPr>
        <w:t>ծրագրերի</w:t>
      </w:r>
      <w:r w:rsidRPr="00C921DE">
        <w:rPr>
          <w:rFonts w:ascii="GHEA Grapalat" w:hAnsi="GHEA Grapalat"/>
          <w:sz w:val="22"/>
          <w:szCs w:val="22"/>
          <w:lang w:val="nb-NO"/>
        </w:rPr>
        <w:t xml:space="preserve">: </w:t>
      </w:r>
      <w:r w:rsidRPr="00C921DE">
        <w:rPr>
          <w:rFonts w:ascii="GHEA Grapalat" w:hAnsi="GHEA Grapalat"/>
          <w:sz w:val="22"/>
          <w:szCs w:val="22"/>
          <w:lang w:val="en-US"/>
        </w:rPr>
        <w:t>Մասնավորապես</w:t>
      </w:r>
      <w:r w:rsidR="003528FA" w:rsidRPr="00C921DE">
        <w:rPr>
          <w:rFonts w:ascii="GHEA Grapalat" w:hAnsi="GHEA Grapalat"/>
          <w:sz w:val="22"/>
          <w:szCs w:val="22"/>
          <w:lang w:val="en-US"/>
        </w:rPr>
        <w:t>՝</w:t>
      </w:r>
      <w:r w:rsidRPr="00C921DE">
        <w:rPr>
          <w:rFonts w:ascii="GHEA Grapalat" w:hAnsi="GHEA Grapalat"/>
          <w:sz w:val="22"/>
          <w:szCs w:val="22"/>
          <w:lang w:val="nb-NO"/>
        </w:rPr>
        <w:t xml:space="preserve"> </w:t>
      </w:r>
      <w:r w:rsidRPr="00C921DE">
        <w:rPr>
          <w:rFonts w:ascii="GHEA Grapalat" w:hAnsi="GHEA Grapalat"/>
          <w:sz w:val="22"/>
          <w:szCs w:val="22"/>
          <w:lang w:val="en-US"/>
        </w:rPr>
        <w:t>մեծ</w:t>
      </w:r>
      <w:r w:rsidRPr="00C921DE">
        <w:rPr>
          <w:rFonts w:ascii="GHEA Grapalat" w:hAnsi="GHEA Grapalat"/>
          <w:sz w:val="22"/>
          <w:szCs w:val="22"/>
          <w:lang w:val="nb-NO"/>
        </w:rPr>
        <w:t xml:space="preserve"> </w:t>
      </w:r>
      <w:r w:rsidRPr="00C921DE">
        <w:rPr>
          <w:rFonts w:ascii="GHEA Grapalat" w:hAnsi="GHEA Grapalat"/>
          <w:sz w:val="22"/>
          <w:szCs w:val="22"/>
          <w:lang w:val="en-US"/>
        </w:rPr>
        <w:t>ազդեցություն</w:t>
      </w:r>
      <w:r w:rsidRPr="00C921DE">
        <w:rPr>
          <w:rFonts w:ascii="GHEA Grapalat" w:hAnsi="GHEA Grapalat"/>
          <w:sz w:val="22"/>
          <w:szCs w:val="22"/>
          <w:lang w:val="nb-NO"/>
        </w:rPr>
        <w:t xml:space="preserve"> </w:t>
      </w:r>
      <w:r w:rsidRPr="00C921DE">
        <w:rPr>
          <w:rFonts w:ascii="GHEA Grapalat" w:hAnsi="GHEA Grapalat"/>
          <w:sz w:val="22"/>
          <w:szCs w:val="22"/>
          <w:lang w:val="en-US"/>
        </w:rPr>
        <w:t>է</w:t>
      </w:r>
      <w:r w:rsidRPr="00C921DE">
        <w:rPr>
          <w:rFonts w:ascii="GHEA Grapalat" w:hAnsi="GHEA Grapalat"/>
          <w:sz w:val="22"/>
          <w:szCs w:val="22"/>
          <w:lang w:val="nb-NO"/>
        </w:rPr>
        <w:t xml:space="preserve"> </w:t>
      </w:r>
      <w:r w:rsidRPr="00C921DE">
        <w:rPr>
          <w:rFonts w:ascii="GHEA Grapalat" w:hAnsi="GHEA Grapalat"/>
          <w:sz w:val="22"/>
          <w:szCs w:val="22"/>
          <w:lang w:val="en-US"/>
        </w:rPr>
        <w:t>թողել</w:t>
      </w:r>
      <w:r w:rsidRPr="00C921DE">
        <w:rPr>
          <w:rFonts w:ascii="GHEA Grapalat" w:hAnsi="GHEA Grapalat"/>
          <w:sz w:val="22"/>
          <w:szCs w:val="22"/>
          <w:lang w:val="nb-NO"/>
        </w:rPr>
        <w:t xml:space="preserve"> </w:t>
      </w:r>
      <w:r w:rsidRPr="00C921DE">
        <w:rPr>
          <w:rFonts w:ascii="GHEA Grapalat" w:hAnsi="GHEA Grapalat"/>
          <w:sz w:val="22"/>
          <w:szCs w:val="22"/>
          <w:lang w:val="en-US"/>
        </w:rPr>
        <w:t>Գերմանիայի</w:t>
      </w:r>
      <w:r w:rsidRPr="00C921DE">
        <w:rPr>
          <w:rFonts w:ascii="GHEA Grapalat" w:hAnsi="GHEA Grapalat"/>
          <w:sz w:val="22"/>
          <w:szCs w:val="22"/>
          <w:lang w:val="nb-NO"/>
        </w:rPr>
        <w:t xml:space="preserve"> KfW «</w:t>
      </w:r>
      <w:r w:rsidRPr="00C921DE">
        <w:rPr>
          <w:rFonts w:ascii="GHEA Grapalat" w:hAnsi="GHEA Grapalat"/>
          <w:sz w:val="22"/>
          <w:szCs w:val="22"/>
          <w:lang w:val="en-US"/>
        </w:rPr>
        <w:t>Ախուրյան</w:t>
      </w:r>
      <w:r w:rsidRPr="00C921DE">
        <w:rPr>
          <w:rFonts w:ascii="GHEA Grapalat" w:hAnsi="GHEA Grapalat"/>
          <w:sz w:val="22"/>
          <w:szCs w:val="22"/>
          <w:lang w:val="nb-NO"/>
        </w:rPr>
        <w:t xml:space="preserve"> </w:t>
      </w:r>
      <w:r w:rsidRPr="00C921DE">
        <w:rPr>
          <w:rFonts w:ascii="GHEA Grapalat" w:hAnsi="GHEA Grapalat"/>
          <w:sz w:val="22"/>
          <w:szCs w:val="22"/>
          <w:lang w:val="en-US"/>
        </w:rPr>
        <w:t>գետի</w:t>
      </w:r>
      <w:r w:rsidRPr="00C921DE">
        <w:rPr>
          <w:rFonts w:ascii="GHEA Grapalat" w:hAnsi="GHEA Grapalat"/>
          <w:sz w:val="22"/>
          <w:szCs w:val="22"/>
          <w:lang w:val="nb-NO"/>
        </w:rPr>
        <w:t xml:space="preserve"> </w:t>
      </w:r>
      <w:r w:rsidRPr="00C921DE">
        <w:rPr>
          <w:rFonts w:ascii="GHEA Grapalat" w:hAnsi="GHEA Grapalat"/>
          <w:sz w:val="22"/>
          <w:szCs w:val="22"/>
          <w:lang w:val="en-US"/>
        </w:rPr>
        <w:t>ջրային</w:t>
      </w:r>
      <w:r w:rsidRPr="00C921DE">
        <w:rPr>
          <w:rFonts w:ascii="GHEA Grapalat" w:hAnsi="GHEA Grapalat"/>
          <w:sz w:val="22"/>
          <w:szCs w:val="22"/>
          <w:lang w:val="nb-NO"/>
        </w:rPr>
        <w:t xml:space="preserve"> </w:t>
      </w:r>
      <w:r w:rsidRPr="00C921DE">
        <w:rPr>
          <w:rFonts w:ascii="GHEA Grapalat" w:hAnsi="GHEA Grapalat"/>
          <w:sz w:val="22"/>
          <w:szCs w:val="22"/>
          <w:lang w:val="en-US"/>
        </w:rPr>
        <w:t>ռեսուրսների</w:t>
      </w:r>
      <w:r w:rsidRPr="00C921DE">
        <w:rPr>
          <w:rFonts w:ascii="GHEA Grapalat" w:hAnsi="GHEA Grapalat"/>
          <w:sz w:val="22"/>
          <w:szCs w:val="22"/>
          <w:lang w:val="nb-NO"/>
        </w:rPr>
        <w:t xml:space="preserve"> </w:t>
      </w:r>
      <w:r w:rsidRPr="00C921DE">
        <w:rPr>
          <w:rFonts w:ascii="GHEA Grapalat" w:hAnsi="GHEA Grapalat"/>
          <w:sz w:val="22"/>
          <w:szCs w:val="22"/>
          <w:lang w:val="en-US"/>
        </w:rPr>
        <w:t>ինտեգրված</w:t>
      </w:r>
      <w:r w:rsidRPr="00C921DE">
        <w:rPr>
          <w:rFonts w:ascii="GHEA Grapalat" w:hAnsi="GHEA Grapalat"/>
          <w:sz w:val="22"/>
          <w:szCs w:val="22"/>
          <w:lang w:val="nb-NO"/>
        </w:rPr>
        <w:t xml:space="preserve"> </w:t>
      </w:r>
      <w:r w:rsidRPr="00C921DE">
        <w:rPr>
          <w:rFonts w:ascii="GHEA Grapalat" w:hAnsi="GHEA Grapalat"/>
          <w:sz w:val="22"/>
          <w:szCs w:val="22"/>
          <w:lang w:val="en-US"/>
        </w:rPr>
        <w:t>կառավարման</w:t>
      </w:r>
      <w:r w:rsidRPr="00C921DE">
        <w:rPr>
          <w:rFonts w:ascii="GHEA Grapalat" w:hAnsi="GHEA Grapalat"/>
          <w:sz w:val="22"/>
          <w:szCs w:val="22"/>
          <w:lang w:val="nb-NO"/>
        </w:rPr>
        <w:t xml:space="preserve"> </w:t>
      </w:r>
      <w:r w:rsidRPr="00C921DE">
        <w:rPr>
          <w:rFonts w:ascii="GHEA Grapalat" w:hAnsi="GHEA Grapalat"/>
          <w:sz w:val="22"/>
          <w:szCs w:val="22"/>
          <w:lang w:val="en-US"/>
        </w:rPr>
        <w:t>ծրագիր</w:t>
      </w:r>
      <w:r w:rsidRPr="00C921DE">
        <w:rPr>
          <w:rFonts w:ascii="GHEA Grapalat" w:hAnsi="GHEA Grapalat"/>
          <w:sz w:val="22"/>
          <w:szCs w:val="22"/>
          <w:lang w:val="nb-NO"/>
        </w:rPr>
        <w:t xml:space="preserve">, I </w:t>
      </w:r>
      <w:r w:rsidRPr="00C921DE">
        <w:rPr>
          <w:rFonts w:ascii="GHEA Grapalat" w:hAnsi="GHEA Grapalat"/>
          <w:sz w:val="22"/>
          <w:szCs w:val="22"/>
          <w:lang w:val="en-US"/>
        </w:rPr>
        <w:t>փուլ</w:t>
      </w:r>
      <w:r w:rsidRPr="00C921DE">
        <w:rPr>
          <w:rFonts w:ascii="GHEA Grapalat" w:hAnsi="GHEA Grapalat"/>
          <w:sz w:val="22"/>
          <w:szCs w:val="22"/>
          <w:lang w:val="nb-NO"/>
        </w:rPr>
        <w:t xml:space="preserve">» </w:t>
      </w:r>
      <w:r w:rsidRPr="00C921DE">
        <w:rPr>
          <w:rFonts w:ascii="GHEA Grapalat" w:hAnsi="GHEA Grapalat"/>
          <w:sz w:val="22"/>
          <w:szCs w:val="22"/>
          <w:lang w:val="en-US"/>
        </w:rPr>
        <w:t>վարկի</w:t>
      </w:r>
      <w:r w:rsidRPr="00C921DE">
        <w:rPr>
          <w:rFonts w:ascii="GHEA Grapalat" w:hAnsi="GHEA Grapalat"/>
          <w:sz w:val="22"/>
          <w:szCs w:val="22"/>
          <w:lang w:val="nb-NO"/>
        </w:rPr>
        <w:t xml:space="preserve"> </w:t>
      </w:r>
      <w:r w:rsidRPr="00C921DE">
        <w:rPr>
          <w:rFonts w:ascii="GHEA Grapalat" w:hAnsi="GHEA Grapalat"/>
          <w:sz w:val="22"/>
          <w:szCs w:val="22"/>
          <w:lang w:val="en-US"/>
        </w:rPr>
        <w:t>գծով</w:t>
      </w:r>
      <w:r w:rsidRPr="00C921DE">
        <w:rPr>
          <w:rFonts w:ascii="GHEA Grapalat" w:hAnsi="GHEA Grapalat"/>
          <w:sz w:val="22"/>
          <w:szCs w:val="22"/>
          <w:lang w:val="nb-NO"/>
        </w:rPr>
        <w:t xml:space="preserve"> </w:t>
      </w:r>
      <w:r w:rsidRPr="00C921DE">
        <w:rPr>
          <w:rFonts w:ascii="GHEA Grapalat" w:hAnsi="GHEA Grapalat"/>
          <w:sz w:val="22"/>
          <w:szCs w:val="22"/>
          <w:lang w:val="en-US"/>
        </w:rPr>
        <w:t>մասհանման</w:t>
      </w:r>
      <w:r w:rsidRPr="00C921DE">
        <w:rPr>
          <w:rFonts w:ascii="GHEA Grapalat" w:hAnsi="GHEA Grapalat"/>
          <w:sz w:val="22"/>
          <w:szCs w:val="22"/>
          <w:lang w:val="nb-NO"/>
        </w:rPr>
        <w:t xml:space="preserve"> </w:t>
      </w:r>
      <w:r w:rsidRPr="00C921DE">
        <w:rPr>
          <w:rFonts w:ascii="GHEA Grapalat" w:hAnsi="GHEA Grapalat"/>
          <w:sz w:val="22"/>
          <w:szCs w:val="22"/>
          <w:lang w:val="en-US"/>
        </w:rPr>
        <w:t>պլանի</w:t>
      </w:r>
      <w:r w:rsidRPr="00C921DE">
        <w:rPr>
          <w:rFonts w:ascii="GHEA Grapalat" w:hAnsi="GHEA Grapalat"/>
          <w:sz w:val="22"/>
          <w:szCs w:val="22"/>
          <w:lang w:val="nb-NO"/>
        </w:rPr>
        <w:t xml:space="preserve"> </w:t>
      </w:r>
      <w:r w:rsidRPr="00C921DE">
        <w:rPr>
          <w:rFonts w:ascii="GHEA Grapalat" w:hAnsi="GHEA Grapalat"/>
          <w:sz w:val="22"/>
          <w:szCs w:val="22"/>
          <w:lang w:val="en-US"/>
        </w:rPr>
        <w:t>թերակատարումը</w:t>
      </w:r>
      <w:r w:rsidRPr="00C921DE">
        <w:rPr>
          <w:rFonts w:ascii="GHEA Grapalat" w:hAnsi="GHEA Grapalat"/>
          <w:sz w:val="22"/>
          <w:szCs w:val="22"/>
          <w:lang w:val="nb-NO"/>
        </w:rPr>
        <w:t xml:space="preserve">, </w:t>
      </w:r>
      <w:r w:rsidRPr="00C921DE">
        <w:rPr>
          <w:rFonts w:ascii="GHEA Grapalat" w:hAnsi="GHEA Grapalat"/>
          <w:sz w:val="22"/>
          <w:szCs w:val="22"/>
          <w:lang w:val="en-US"/>
        </w:rPr>
        <w:t>ինչով</w:t>
      </w:r>
      <w:r w:rsidRPr="00C921DE">
        <w:rPr>
          <w:rFonts w:ascii="GHEA Grapalat" w:hAnsi="GHEA Grapalat"/>
          <w:sz w:val="22"/>
          <w:szCs w:val="22"/>
          <w:lang w:val="nb-NO"/>
        </w:rPr>
        <w:t xml:space="preserve"> </w:t>
      </w:r>
      <w:r w:rsidRPr="00C921DE">
        <w:rPr>
          <w:rFonts w:ascii="GHEA Grapalat" w:hAnsi="GHEA Grapalat"/>
          <w:sz w:val="22"/>
          <w:szCs w:val="22"/>
          <w:lang w:val="en-US"/>
        </w:rPr>
        <w:t>պայմանավորված</w:t>
      </w:r>
      <w:r w:rsidR="003528FA" w:rsidRPr="00C921DE">
        <w:rPr>
          <w:rFonts w:ascii="GHEA Grapalat" w:hAnsi="GHEA Grapalat"/>
          <w:sz w:val="22"/>
          <w:szCs w:val="22"/>
          <w:lang w:val="en-US"/>
        </w:rPr>
        <w:t>՝</w:t>
      </w:r>
      <w:r w:rsidRPr="00C921DE">
        <w:rPr>
          <w:rFonts w:ascii="GHEA Grapalat" w:hAnsi="GHEA Grapalat"/>
          <w:sz w:val="22"/>
          <w:szCs w:val="22"/>
          <w:lang w:val="nb-NO"/>
        </w:rPr>
        <w:t xml:space="preserve"> </w:t>
      </w:r>
      <w:r w:rsidR="003528FA" w:rsidRPr="00C921DE">
        <w:rPr>
          <w:rFonts w:ascii="GHEA Grapalat" w:hAnsi="GHEA Grapalat"/>
          <w:sz w:val="22"/>
          <w:szCs w:val="22"/>
          <w:lang w:val="nb-NO"/>
        </w:rPr>
        <w:t>նախատես</w:t>
      </w:r>
      <w:r w:rsidRPr="00C921DE">
        <w:rPr>
          <w:rFonts w:ascii="GHEA Grapalat" w:hAnsi="GHEA Grapalat"/>
          <w:sz w:val="22"/>
          <w:szCs w:val="22"/>
          <w:lang w:val="en-US"/>
        </w:rPr>
        <w:t>ված</w:t>
      </w:r>
      <w:r w:rsidRPr="00C921DE">
        <w:rPr>
          <w:rFonts w:ascii="GHEA Grapalat" w:hAnsi="GHEA Grapalat"/>
          <w:sz w:val="22"/>
          <w:szCs w:val="22"/>
          <w:lang w:val="nb-NO"/>
        </w:rPr>
        <w:t xml:space="preserve"> 2,671.5</w:t>
      </w:r>
      <w:r w:rsidRPr="00C921DE">
        <w:rPr>
          <w:rFonts w:ascii="GHEA Grapalat" w:hAnsi="GHEA Grapalat"/>
          <w:sz w:val="22"/>
          <w:szCs w:val="22"/>
        </w:rPr>
        <w:t xml:space="preserve"> </w:t>
      </w:r>
      <w:r w:rsidRPr="00C921DE">
        <w:rPr>
          <w:rFonts w:ascii="GHEA Grapalat" w:hAnsi="GHEA Grapalat"/>
          <w:sz w:val="22"/>
          <w:szCs w:val="22"/>
          <w:lang w:val="en-US"/>
        </w:rPr>
        <w:t>մլն</w:t>
      </w:r>
      <w:r w:rsidRPr="00C921DE">
        <w:rPr>
          <w:rFonts w:ascii="GHEA Grapalat" w:hAnsi="GHEA Grapalat"/>
          <w:sz w:val="22"/>
          <w:szCs w:val="22"/>
          <w:lang w:val="nb-NO"/>
        </w:rPr>
        <w:t xml:space="preserve"> </w:t>
      </w:r>
      <w:r w:rsidRPr="00C921DE">
        <w:rPr>
          <w:rFonts w:ascii="GHEA Grapalat" w:hAnsi="GHEA Grapalat"/>
          <w:sz w:val="22"/>
          <w:szCs w:val="22"/>
          <w:lang w:val="en-US"/>
        </w:rPr>
        <w:t>դրամ</w:t>
      </w:r>
      <w:r w:rsidRPr="00C921DE">
        <w:rPr>
          <w:rFonts w:ascii="GHEA Grapalat" w:hAnsi="GHEA Grapalat"/>
          <w:sz w:val="22"/>
          <w:szCs w:val="22"/>
          <w:lang w:val="nb-NO"/>
        </w:rPr>
        <w:t xml:space="preserve"> </w:t>
      </w:r>
      <w:r w:rsidRPr="00C921DE">
        <w:rPr>
          <w:rFonts w:ascii="GHEA Grapalat" w:hAnsi="GHEA Grapalat"/>
          <w:sz w:val="22"/>
          <w:szCs w:val="22"/>
          <w:lang w:val="en-US"/>
        </w:rPr>
        <w:t>մարման</w:t>
      </w:r>
      <w:r w:rsidRPr="00C921DE">
        <w:rPr>
          <w:rFonts w:ascii="GHEA Grapalat" w:hAnsi="GHEA Grapalat"/>
          <w:sz w:val="22"/>
          <w:szCs w:val="22"/>
          <w:lang w:val="nb-NO"/>
        </w:rPr>
        <w:t xml:space="preserve"> </w:t>
      </w:r>
      <w:r w:rsidRPr="00C921DE">
        <w:rPr>
          <w:rFonts w:ascii="GHEA Grapalat" w:hAnsi="GHEA Grapalat"/>
          <w:sz w:val="22"/>
          <w:szCs w:val="22"/>
          <w:lang w:val="en-US"/>
        </w:rPr>
        <w:t>փոխարեն</w:t>
      </w:r>
      <w:r w:rsidRPr="00C921DE">
        <w:rPr>
          <w:rFonts w:ascii="GHEA Grapalat" w:hAnsi="GHEA Grapalat"/>
          <w:sz w:val="22"/>
          <w:szCs w:val="22"/>
          <w:lang w:val="nb-NO"/>
        </w:rPr>
        <w:t xml:space="preserve"> </w:t>
      </w:r>
      <w:r w:rsidRPr="00C921DE">
        <w:rPr>
          <w:rFonts w:ascii="GHEA Grapalat" w:hAnsi="GHEA Grapalat"/>
          <w:sz w:val="22"/>
          <w:szCs w:val="22"/>
          <w:lang w:val="en-US"/>
        </w:rPr>
        <w:t>փաստացի</w:t>
      </w:r>
      <w:r w:rsidRPr="00C921DE">
        <w:rPr>
          <w:rFonts w:ascii="GHEA Grapalat" w:hAnsi="GHEA Grapalat"/>
          <w:sz w:val="22"/>
          <w:szCs w:val="22"/>
          <w:lang w:val="nb-NO"/>
        </w:rPr>
        <w:t xml:space="preserve"> </w:t>
      </w:r>
      <w:r w:rsidRPr="00C921DE">
        <w:rPr>
          <w:rFonts w:ascii="GHEA Grapalat" w:hAnsi="GHEA Grapalat"/>
          <w:sz w:val="22"/>
          <w:szCs w:val="22"/>
          <w:lang w:val="en-US"/>
        </w:rPr>
        <w:t>մարվել</w:t>
      </w:r>
      <w:r w:rsidRPr="00C921DE">
        <w:rPr>
          <w:rFonts w:ascii="GHEA Grapalat" w:hAnsi="GHEA Grapalat"/>
          <w:sz w:val="22"/>
          <w:szCs w:val="22"/>
          <w:lang w:val="nb-NO"/>
        </w:rPr>
        <w:t xml:space="preserve"> </w:t>
      </w:r>
      <w:r w:rsidRPr="00C921DE">
        <w:rPr>
          <w:rFonts w:ascii="GHEA Grapalat" w:hAnsi="GHEA Grapalat"/>
          <w:sz w:val="22"/>
          <w:szCs w:val="22"/>
          <w:lang w:val="en-US"/>
        </w:rPr>
        <w:t>է</w:t>
      </w:r>
      <w:r w:rsidRPr="00C921DE">
        <w:rPr>
          <w:rFonts w:ascii="GHEA Grapalat" w:hAnsi="GHEA Grapalat"/>
          <w:sz w:val="22"/>
          <w:szCs w:val="22"/>
          <w:lang w:val="nb-NO"/>
        </w:rPr>
        <w:t xml:space="preserve"> 251.8</w:t>
      </w:r>
      <w:r w:rsidRPr="00C921DE">
        <w:rPr>
          <w:rFonts w:ascii="GHEA Grapalat" w:hAnsi="GHEA Grapalat"/>
          <w:sz w:val="22"/>
          <w:szCs w:val="22"/>
        </w:rPr>
        <w:t xml:space="preserve"> </w:t>
      </w:r>
      <w:r w:rsidRPr="00C921DE">
        <w:rPr>
          <w:rFonts w:ascii="GHEA Grapalat" w:hAnsi="GHEA Grapalat"/>
          <w:sz w:val="22"/>
          <w:szCs w:val="22"/>
          <w:lang w:val="en-US"/>
        </w:rPr>
        <w:t>մլն</w:t>
      </w:r>
      <w:r w:rsidRPr="00C921DE">
        <w:rPr>
          <w:rFonts w:ascii="GHEA Grapalat" w:hAnsi="GHEA Grapalat"/>
          <w:sz w:val="22"/>
          <w:szCs w:val="22"/>
          <w:lang w:val="nb-NO"/>
        </w:rPr>
        <w:t xml:space="preserve"> </w:t>
      </w:r>
      <w:r w:rsidRPr="00C921DE">
        <w:rPr>
          <w:rFonts w:ascii="GHEA Grapalat" w:hAnsi="GHEA Grapalat"/>
          <w:sz w:val="22"/>
          <w:szCs w:val="22"/>
          <w:lang w:val="en-US"/>
        </w:rPr>
        <w:t>դրամ</w:t>
      </w:r>
      <w:r w:rsidRPr="00C921DE">
        <w:rPr>
          <w:rFonts w:ascii="GHEA Grapalat" w:hAnsi="GHEA Grapalat"/>
          <w:sz w:val="22"/>
          <w:szCs w:val="22"/>
          <w:lang w:val="nb-NO"/>
        </w:rPr>
        <w:t>,</w:t>
      </w:r>
    </w:p>
    <w:p w14:paraId="59CE4D17" w14:textId="716869F5" w:rsidR="0046194F" w:rsidRPr="00C921DE" w:rsidRDefault="0046194F" w:rsidP="00D9331C">
      <w:pPr>
        <w:numPr>
          <w:ilvl w:val="0"/>
          <w:numId w:val="35"/>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C921DE">
        <w:rPr>
          <w:rFonts w:ascii="GHEA Grapalat" w:hAnsi="GHEA Grapalat"/>
          <w:sz w:val="22"/>
          <w:szCs w:val="22"/>
          <w:lang w:val="nb-NO"/>
        </w:rPr>
        <w:t>SDR-ի</w:t>
      </w:r>
      <w:r w:rsidR="00B53228" w:rsidRPr="00C921DE">
        <w:rPr>
          <w:rFonts w:ascii="GHEA Grapalat" w:hAnsi="GHEA Grapalat"/>
          <w:sz w:val="22"/>
          <w:szCs w:val="22"/>
          <w:lang w:val="nb-NO"/>
        </w:rPr>
        <w:t>՝</w:t>
      </w:r>
      <w:r w:rsidRPr="00C921DE">
        <w:rPr>
          <w:rFonts w:ascii="GHEA Grapalat" w:hAnsi="GHEA Grapalat"/>
          <w:sz w:val="22"/>
          <w:szCs w:val="22"/>
          <w:lang w:val="nb-NO"/>
        </w:rPr>
        <w:t xml:space="preserve"> ԱՄՆ դոլարի նկատմամբ կանխատեսումային և փաստացի ձևավորված </w:t>
      </w:r>
      <w:r w:rsidR="00B53228" w:rsidRPr="00C921DE">
        <w:rPr>
          <w:rFonts w:ascii="GHEA Grapalat" w:hAnsi="GHEA Grapalat"/>
          <w:sz w:val="22"/>
          <w:szCs w:val="22"/>
          <w:lang w:val="nb-NO"/>
        </w:rPr>
        <w:t>փոխարժեքների տարբերությա</w:t>
      </w:r>
      <w:r w:rsidRPr="00C921DE">
        <w:rPr>
          <w:rFonts w:ascii="GHEA Grapalat" w:hAnsi="GHEA Grapalat"/>
          <w:sz w:val="22"/>
          <w:szCs w:val="22"/>
          <w:lang w:val="nb-NO"/>
        </w:rPr>
        <w:t>մբ,</w:t>
      </w:r>
    </w:p>
    <w:p w14:paraId="5A704318" w14:textId="31BEF5FF" w:rsidR="0046194F" w:rsidRPr="00C921DE" w:rsidRDefault="0046194F" w:rsidP="00D9331C">
      <w:pPr>
        <w:numPr>
          <w:ilvl w:val="0"/>
          <w:numId w:val="35"/>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C921DE">
        <w:rPr>
          <w:rFonts w:ascii="GHEA Grapalat" w:hAnsi="GHEA Grapalat"/>
          <w:sz w:val="22"/>
          <w:szCs w:val="22"/>
        </w:rPr>
        <w:t>ա</w:t>
      </w:r>
      <w:r w:rsidRPr="00C921DE">
        <w:rPr>
          <w:rFonts w:ascii="GHEA Grapalat" w:hAnsi="GHEA Grapalat"/>
          <w:sz w:val="22"/>
          <w:szCs w:val="22"/>
          <w:lang w:val="nb-NO"/>
        </w:rPr>
        <w:t xml:space="preserve">րտարժույթների նկատմամբ ՀՀ դրամի կանխատեսումային և փաստացի </w:t>
      </w:r>
      <w:r w:rsidRPr="00C921DE">
        <w:rPr>
          <w:rFonts w:ascii="GHEA Grapalat" w:hAnsi="GHEA Grapalat"/>
          <w:sz w:val="22"/>
          <w:szCs w:val="22"/>
        </w:rPr>
        <w:t>վճարումների համար կիրառված</w:t>
      </w:r>
      <w:r w:rsidRPr="00C921DE">
        <w:rPr>
          <w:rFonts w:ascii="GHEA Grapalat" w:hAnsi="GHEA Grapalat"/>
          <w:sz w:val="22"/>
          <w:szCs w:val="22"/>
          <w:lang w:val="nb-NO"/>
        </w:rPr>
        <w:t xml:space="preserve"> փոխարժեքների տարբերությ</w:t>
      </w:r>
      <w:r w:rsidR="00B53228" w:rsidRPr="00C921DE">
        <w:rPr>
          <w:rFonts w:ascii="GHEA Grapalat" w:hAnsi="GHEA Grapalat"/>
          <w:sz w:val="22"/>
          <w:szCs w:val="22"/>
          <w:lang w:val="nb-NO"/>
        </w:rPr>
        <w:t>ամբ</w:t>
      </w:r>
      <w:r w:rsidRPr="00C921DE">
        <w:rPr>
          <w:rFonts w:ascii="GHEA Grapalat" w:hAnsi="GHEA Grapalat"/>
          <w:sz w:val="22"/>
          <w:szCs w:val="22"/>
          <w:lang w:val="nb-NO"/>
        </w:rPr>
        <w:t>:</w:t>
      </w:r>
      <w:r w:rsidRPr="00C921DE">
        <w:rPr>
          <w:rFonts w:ascii="GHEA Grapalat" w:hAnsi="GHEA Grapalat"/>
          <w:sz w:val="22"/>
          <w:szCs w:val="22"/>
        </w:rPr>
        <w:t xml:space="preserve"> Այսպես՝ կառավարության </w:t>
      </w:r>
      <w:r w:rsidRPr="00C921DE">
        <w:rPr>
          <w:rFonts w:ascii="GHEA Grapalat" w:hAnsi="GHEA Grapalat"/>
          <w:sz w:val="22"/>
          <w:szCs w:val="22"/>
          <w:lang w:val="nb-NO"/>
        </w:rPr>
        <w:t>արտաքին վարկերի</w:t>
      </w:r>
      <w:r w:rsidRPr="00C921DE">
        <w:rPr>
          <w:rFonts w:ascii="GHEA Grapalat" w:hAnsi="GHEA Grapalat"/>
          <w:sz w:val="22"/>
          <w:szCs w:val="22"/>
        </w:rPr>
        <w:t xml:space="preserve"> </w:t>
      </w:r>
      <w:r w:rsidRPr="00C921DE">
        <w:rPr>
          <w:rFonts w:ascii="GHEA Grapalat" w:hAnsi="GHEA Grapalat"/>
          <w:sz w:val="22"/>
          <w:szCs w:val="22"/>
          <w:lang w:val="en-US"/>
        </w:rPr>
        <w:t>մարման</w:t>
      </w:r>
      <w:r w:rsidRPr="00C921DE">
        <w:rPr>
          <w:rFonts w:ascii="GHEA Grapalat" w:hAnsi="GHEA Grapalat"/>
          <w:sz w:val="22"/>
          <w:szCs w:val="22"/>
        </w:rPr>
        <w:t xml:space="preserve"> գծով վճարումների համար 2023 թվականի ընթացքում կիրառված ԱՄՆ դոլար / ՀՀ դրամ միջին կշռված փաստացի փոխարժեքը կազմել է 3</w:t>
      </w:r>
      <w:r w:rsidRPr="00C921DE">
        <w:rPr>
          <w:rFonts w:ascii="GHEA Grapalat" w:hAnsi="GHEA Grapalat"/>
          <w:sz w:val="22"/>
          <w:szCs w:val="22"/>
          <w:lang w:val="nb-NO"/>
        </w:rPr>
        <w:t>9</w:t>
      </w:r>
      <w:r w:rsidRPr="00C921DE">
        <w:rPr>
          <w:rFonts w:ascii="GHEA Grapalat" w:hAnsi="GHEA Grapalat"/>
          <w:sz w:val="22"/>
          <w:szCs w:val="22"/>
        </w:rPr>
        <w:t>4.51, մինչդեռ 2023 թվականի պետական բյուջեի ծրագրավորման ընթացքում</w:t>
      </w:r>
      <w:r w:rsidR="00517635" w:rsidRPr="00C921DE">
        <w:rPr>
          <w:rFonts w:ascii="GHEA Grapalat" w:hAnsi="GHEA Grapalat"/>
          <w:sz w:val="22"/>
          <w:szCs w:val="22"/>
        </w:rPr>
        <w:t xml:space="preserve"> </w:t>
      </w:r>
      <w:r w:rsidRPr="00C921DE">
        <w:rPr>
          <w:rFonts w:ascii="GHEA Grapalat" w:hAnsi="GHEA Grapalat"/>
          <w:sz w:val="22"/>
          <w:szCs w:val="22"/>
        </w:rPr>
        <w:t xml:space="preserve">արտարժութային մուտքերի և ելքերի փոխարկման համար կիրառվել է 395.19 փոխարժեքը </w:t>
      </w:r>
      <w:r w:rsidRPr="00C921DE">
        <w:rPr>
          <w:rFonts w:ascii="GHEA Grapalat" w:hAnsi="GHEA Grapalat"/>
          <w:sz w:val="22"/>
          <w:szCs w:val="22"/>
          <w:lang w:val="nb-NO"/>
        </w:rPr>
        <w:t>(0</w:t>
      </w:r>
      <w:r w:rsidRPr="00C921DE">
        <w:rPr>
          <w:rFonts w:ascii="GHEA Grapalat" w:hAnsi="GHEA Grapalat"/>
          <w:sz w:val="22"/>
          <w:szCs w:val="22"/>
        </w:rPr>
        <w:t>1</w:t>
      </w:r>
      <w:r w:rsidRPr="00C921DE">
        <w:rPr>
          <w:rFonts w:ascii="GHEA Grapalat" w:hAnsi="GHEA Grapalat"/>
          <w:sz w:val="22"/>
          <w:szCs w:val="22"/>
          <w:lang w:val="nb-NO"/>
        </w:rPr>
        <w:t>.11.202</w:t>
      </w:r>
      <w:r w:rsidRPr="00C921DE">
        <w:rPr>
          <w:rFonts w:ascii="GHEA Grapalat" w:hAnsi="GHEA Grapalat"/>
          <w:sz w:val="22"/>
          <w:szCs w:val="22"/>
        </w:rPr>
        <w:t>2թ. դրությամբ ՀՀ կենտրոնական բանկի կողմից հրապարակված միջին փոխարժեք</w:t>
      </w:r>
      <w:r w:rsidRPr="00C921DE">
        <w:rPr>
          <w:rFonts w:ascii="GHEA Grapalat" w:hAnsi="GHEA Grapalat"/>
          <w:sz w:val="22"/>
          <w:szCs w:val="22"/>
          <w:lang w:val="nb-NO"/>
        </w:rPr>
        <w:t>):</w:t>
      </w:r>
    </w:p>
    <w:p w14:paraId="1FCAE476" w14:textId="4CD3CD26"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lang w:val="nb-NO"/>
        </w:rPr>
      </w:pPr>
      <w:r w:rsidRPr="00C921DE">
        <w:rPr>
          <w:rFonts w:ascii="GHEA Grapalat" w:hAnsi="GHEA Grapalat"/>
          <w:sz w:val="22"/>
          <w:szCs w:val="22"/>
        </w:rPr>
        <w:t xml:space="preserve">Նախորդ տարվա </w:t>
      </w:r>
      <w:r w:rsidRPr="00C921DE">
        <w:rPr>
          <w:rFonts w:ascii="GHEA Grapalat" w:hAnsi="GHEA Grapalat" w:cs="GHEA Grapalat"/>
          <w:sz w:val="22"/>
          <w:szCs w:val="22"/>
        </w:rPr>
        <w:t>համեմատ ստացված արտաքին վարկերի և փոխատվությունների մարմանն ուղղված փաստացի վճարումներ</w:t>
      </w:r>
      <w:r w:rsidR="00B53228"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աճել են 25%-ով կամ 24.9 մլրդ դրամով, իսկ դոլարային արտահայտությամբ՝ </w:t>
      </w:r>
      <w:r w:rsidR="0032333B" w:rsidRPr="00C921DE">
        <w:rPr>
          <w:rFonts w:ascii="GHEA Grapalat" w:hAnsi="GHEA Grapalat" w:cs="GHEA Grapalat"/>
          <w:sz w:val="22"/>
          <w:szCs w:val="22"/>
          <w:lang w:val="en-US"/>
        </w:rPr>
        <w:t xml:space="preserve">38.1%-ով կամ </w:t>
      </w:r>
      <w:r w:rsidRPr="00C921DE">
        <w:rPr>
          <w:rFonts w:ascii="GHEA Grapalat" w:hAnsi="GHEA Grapalat" w:cs="GHEA Grapalat"/>
          <w:sz w:val="22"/>
          <w:szCs w:val="22"/>
        </w:rPr>
        <w:t>87</w:t>
      </w:r>
      <w:r w:rsidRPr="00C921DE">
        <w:rPr>
          <w:rFonts w:ascii="Cambria Math" w:hAnsi="Cambria Math" w:cs="Cambria Math"/>
          <w:sz w:val="22"/>
          <w:szCs w:val="22"/>
        </w:rPr>
        <w:t>․</w:t>
      </w:r>
      <w:r w:rsidRPr="00C921DE">
        <w:rPr>
          <w:rFonts w:ascii="GHEA Grapalat" w:hAnsi="GHEA Grapalat" w:cs="GHEA Grapalat"/>
          <w:sz w:val="22"/>
          <w:szCs w:val="22"/>
        </w:rPr>
        <w:t>1 մլն ԱՄՆ դոլարով: Տարբերությունները</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հիմնականում պայմանավորված</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են եղել արտաքին վարկերի ծավալների աճով, Արժույթի Միջազգային Հիմնադրամի, Վերակառուցման և զարգացման միջազգային բանկի, Ասիական զարգացման բանկի և Ֆրանսիայի զարգացման գործակալության կողմից տրամադրված բյուջետային աջակցության վարկերի մայր գումար</w:t>
      </w:r>
      <w:r w:rsidR="00B53228" w:rsidRPr="00C921DE">
        <w:rPr>
          <w:rFonts w:ascii="GHEA Grapalat" w:hAnsi="GHEA Grapalat" w:cs="GHEA Grapalat"/>
          <w:sz w:val="22"/>
          <w:szCs w:val="22"/>
          <w:lang w:val="en-US"/>
        </w:rPr>
        <w:t>ներ</w:t>
      </w:r>
      <w:r w:rsidRPr="00C921DE">
        <w:rPr>
          <w:rFonts w:ascii="GHEA Grapalat" w:hAnsi="GHEA Grapalat" w:cs="GHEA Grapalat"/>
          <w:sz w:val="22"/>
          <w:szCs w:val="22"/>
        </w:rPr>
        <w:t>ի մարման արտոնյալ ժամկետների ավարտմամբ և</w:t>
      </w:r>
      <w:r w:rsidRPr="00C921DE">
        <w:rPr>
          <w:rFonts w:ascii="GHEA Grapalat" w:hAnsi="GHEA Grapalat" w:cs="GHEA Grapalat"/>
          <w:sz w:val="22"/>
          <w:szCs w:val="22"/>
          <w:lang w:val="nb-NO"/>
        </w:rPr>
        <w:t xml:space="preserve"> արտարժույթների նկատմամբ ՀՀ դրամի փոխարժեքների </w:t>
      </w:r>
      <w:r w:rsidRPr="00C921DE">
        <w:rPr>
          <w:rFonts w:ascii="GHEA Grapalat" w:hAnsi="GHEA Grapalat" w:cs="GHEA Grapalat"/>
          <w:sz w:val="22"/>
          <w:szCs w:val="22"/>
        </w:rPr>
        <w:t>փոփոխությամբ</w:t>
      </w:r>
      <w:r w:rsidRPr="00C921DE">
        <w:rPr>
          <w:rFonts w:ascii="GHEA Grapalat" w:hAnsi="GHEA Grapalat" w:cs="GHEA Grapalat"/>
          <w:sz w:val="22"/>
          <w:szCs w:val="22"/>
          <w:lang w:val="nb-NO"/>
        </w:rPr>
        <w:t>:</w:t>
      </w:r>
      <w:r w:rsidRPr="00C921DE">
        <w:rPr>
          <w:rFonts w:ascii="GHEA Grapalat" w:hAnsi="GHEA Grapalat" w:cs="GHEA Grapalat"/>
          <w:sz w:val="22"/>
          <w:szCs w:val="22"/>
        </w:rPr>
        <w:t xml:space="preserve"> Այսպես, 2022 թվականի ընթացքում կիրառված ԱՄՆ դոլար / ՀՀ դրամ միջին կշռված փաստացի փոխարժեքը կազմել էր 435.9՝ 2023 թվականի 394.51 փոխարժեքի դիմաց: </w:t>
      </w:r>
    </w:p>
    <w:p w14:paraId="45AB3631" w14:textId="155B6F2A"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Կատարված</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մարումների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շուրջ</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86.5</w:t>
      </w:r>
      <w:r w:rsidRPr="00C921DE">
        <w:rPr>
          <w:rFonts w:ascii="GHEA Grapalat" w:hAnsi="GHEA Grapalat" w:cs="GHEA Grapalat"/>
          <w:sz w:val="22"/>
          <w:szCs w:val="22"/>
          <w:lang w:val="nb-NO"/>
        </w:rPr>
        <w:t>%-</w:t>
      </w:r>
      <w:r w:rsidRPr="00C921DE">
        <w:rPr>
          <w:rFonts w:ascii="GHEA Grapalat" w:hAnsi="GHEA Grapalat" w:cs="GHEA Grapalat"/>
          <w:sz w:val="22"/>
          <w:szCs w:val="22"/>
        </w:rPr>
        <w:t>ը</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բաժին</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է</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ընկնում</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6</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վարկատուների՝ Զարգացման</w:t>
      </w:r>
      <w:r w:rsidRPr="00C921DE">
        <w:rPr>
          <w:rFonts w:ascii="GHEA Grapalat" w:hAnsi="GHEA Grapalat" w:cs="GHEA Grapalat"/>
          <w:sz w:val="22"/>
          <w:szCs w:val="22"/>
          <w:lang w:val="nb-NO"/>
        </w:rPr>
        <w:t xml:space="preserve"> </w:t>
      </w:r>
      <w:r w:rsidR="006D059D" w:rsidRPr="00C921DE">
        <w:rPr>
          <w:rFonts w:ascii="GHEA Grapalat" w:hAnsi="GHEA Grapalat" w:cs="GHEA Grapalat"/>
          <w:sz w:val="22"/>
          <w:szCs w:val="22"/>
        </w:rPr>
        <w:t>մ</w:t>
      </w:r>
      <w:r w:rsidRPr="00C921DE">
        <w:rPr>
          <w:rFonts w:ascii="GHEA Grapalat" w:hAnsi="GHEA Grapalat" w:cs="GHEA Grapalat"/>
          <w:sz w:val="22"/>
          <w:szCs w:val="22"/>
        </w:rPr>
        <w:t>իջազգային</w:t>
      </w:r>
      <w:r w:rsidRPr="00C921DE">
        <w:rPr>
          <w:rFonts w:ascii="GHEA Grapalat" w:hAnsi="GHEA Grapalat" w:cs="GHEA Grapalat"/>
          <w:sz w:val="22"/>
          <w:szCs w:val="22"/>
          <w:lang w:val="nb-NO"/>
        </w:rPr>
        <w:t xml:space="preserve"> </w:t>
      </w:r>
      <w:r w:rsidR="006D059D" w:rsidRPr="00C921DE">
        <w:rPr>
          <w:rFonts w:ascii="GHEA Grapalat" w:hAnsi="GHEA Grapalat" w:cs="GHEA Grapalat"/>
          <w:sz w:val="22"/>
          <w:szCs w:val="22"/>
          <w:lang w:val="nb-NO"/>
        </w:rPr>
        <w:t>ը</w:t>
      </w:r>
      <w:r w:rsidRPr="00C921DE">
        <w:rPr>
          <w:rFonts w:ascii="GHEA Grapalat" w:hAnsi="GHEA Grapalat" w:cs="GHEA Grapalat"/>
          <w:sz w:val="22"/>
          <w:szCs w:val="22"/>
        </w:rPr>
        <w:t>նկերակցություն</w:t>
      </w:r>
      <w:r w:rsidRPr="00C921DE">
        <w:rPr>
          <w:rFonts w:ascii="GHEA Grapalat" w:hAnsi="GHEA Grapalat" w:cs="GHEA Grapalat"/>
          <w:sz w:val="22"/>
          <w:szCs w:val="22"/>
          <w:lang w:val="nb-NO"/>
        </w:rPr>
        <w:t xml:space="preserve"> (2</w:t>
      </w:r>
      <w:r w:rsidRPr="00C921DE">
        <w:rPr>
          <w:rFonts w:ascii="GHEA Grapalat" w:hAnsi="GHEA Grapalat" w:cs="GHEA Grapalat"/>
          <w:sz w:val="22"/>
          <w:szCs w:val="22"/>
        </w:rPr>
        <w:t>1</w:t>
      </w:r>
      <w:r w:rsidRPr="00C921DE">
        <w:rPr>
          <w:rFonts w:ascii="GHEA Grapalat" w:hAnsi="GHEA Grapalat" w:cs="GHEA Grapalat"/>
          <w:sz w:val="22"/>
          <w:szCs w:val="22"/>
          <w:lang w:val="nb-NO"/>
        </w:rPr>
        <w:t>.</w:t>
      </w:r>
      <w:r w:rsidRPr="00C921DE">
        <w:rPr>
          <w:rFonts w:ascii="GHEA Grapalat" w:hAnsi="GHEA Grapalat" w:cs="GHEA Grapalat"/>
          <w:sz w:val="22"/>
          <w:szCs w:val="22"/>
        </w:rPr>
        <w:t>7</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 xml:space="preserve">Արժույթի </w:t>
      </w:r>
      <w:r w:rsidR="006D059D" w:rsidRPr="00C921DE">
        <w:rPr>
          <w:rFonts w:ascii="GHEA Grapalat" w:hAnsi="GHEA Grapalat" w:cs="GHEA Grapalat"/>
          <w:sz w:val="22"/>
          <w:szCs w:val="22"/>
          <w:lang w:val="en-US"/>
        </w:rPr>
        <w:t>մ</w:t>
      </w:r>
      <w:r w:rsidR="006D059D" w:rsidRPr="00C921DE">
        <w:rPr>
          <w:rFonts w:ascii="GHEA Grapalat" w:hAnsi="GHEA Grapalat" w:cs="GHEA Grapalat"/>
          <w:sz w:val="22"/>
          <w:szCs w:val="22"/>
        </w:rPr>
        <w:t>իջազգային հ</w:t>
      </w:r>
      <w:r w:rsidRPr="00C921DE">
        <w:rPr>
          <w:rFonts w:ascii="GHEA Grapalat" w:hAnsi="GHEA Grapalat" w:cs="GHEA Grapalat"/>
          <w:sz w:val="22"/>
          <w:szCs w:val="22"/>
        </w:rPr>
        <w:t>իմնադրամ</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21</w:t>
      </w:r>
      <w:r w:rsidRPr="00C921DE">
        <w:rPr>
          <w:rFonts w:ascii="GHEA Grapalat" w:hAnsi="GHEA Grapalat" w:cs="GHEA Grapalat"/>
          <w:sz w:val="22"/>
          <w:szCs w:val="22"/>
          <w:lang w:val="nb-NO"/>
        </w:rPr>
        <w:t>.</w:t>
      </w:r>
      <w:r w:rsidRPr="00C921DE">
        <w:rPr>
          <w:rFonts w:ascii="GHEA Grapalat" w:hAnsi="GHEA Grapalat" w:cs="GHEA Grapalat"/>
          <w:sz w:val="22"/>
          <w:szCs w:val="22"/>
        </w:rPr>
        <w:t>7</w:t>
      </w:r>
      <w:r w:rsidRPr="00C921DE">
        <w:rPr>
          <w:rFonts w:ascii="GHEA Grapalat" w:hAnsi="GHEA Grapalat" w:cs="GHEA Grapalat"/>
          <w:sz w:val="22"/>
          <w:szCs w:val="22"/>
          <w:lang w:val="nb-NO"/>
        </w:rPr>
        <w:t>%)</w:t>
      </w:r>
      <w:r w:rsidRPr="00C921DE">
        <w:rPr>
          <w:rFonts w:ascii="GHEA Grapalat" w:hAnsi="GHEA Grapalat" w:cs="GHEA Grapalat"/>
          <w:sz w:val="22"/>
          <w:szCs w:val="22"/>
        </w:rPr>
        <w:t>, Ասիական</w:t>
      </w:r>
      <w:r w:rsidRPr="00C921DE">
        <w:rPr>
          <w:rFonts w:ascii="GHEA Grapalat" w:hAnsi="GHEA Grapalat" w:cs="GHEA Grapalat"/>
          <w:sz w:val="22"/>
          <w:szCs w:val="22"/>
          <w:lang w:val="nb-NO"/>
        </w:rPr>
        <w:t xml:space="preserve"> </w:t>
      </w:r>
      <w:r w:rsidR="006D059D" w:rsidRPr="00C921DE">
        <w:rPr>
          <w:rFonts w:ascii="GHEA Grapalat" w:hAnsi="GHEA Grapalat" w:cs="GHEA Grapalat"/>
          <w:sz w:val="22"/>
          <w:szCs w:val="22"/>
        </w:rPr>
        <w:t>զ</w:t>
      </w:r>
      <w:r w:rsidRPr="00C921DE">
        <w:rPr>
          <w:rFonts w:ascii="GHEA Grapalat" w:hAnsi="GHEA Grapalat" w:cs="GHEA Grapalat"/>
          <w:sz w:val="22"/>
          <w:szCs w:val="22"/>
        </w:rPr>
        <w:t>արգացման</w:t>
      </w:r>
      <w:r w:rsidRPr="00C921DE">
        <w:rPr>
          <w:rFonts w:ascii="GHEA Grapalat" w:hAnsi="GHEA Grapalat" w:cs="GHEA Grapalat"/>
          <w:sz w:val="22"/>
          <w:szCs w:val="22"/>
          <w:lang w:val="nb-NO"/>
        </w:rPr>
        <w:t xml:space="preserve"> </w:t>
      </w:r>
      <w:r w:rsidR="006D059D" w:rsidRPr="00C921DE">
        <w:rPr>
          <w:rFonts w:ascii="GHEA Grapalat" w:hAnsi="GHEA Grapalat" w:cs="GHEA Grapalat"/>
          <w:sz w:val="22"/>
          <w:szCs w:val="22"/>
        </w:rPr>
        <w:t>բ</w:t>
      </w:r>
      <w:r w:rsidRPr="00C921DE">
        <w:rPr>
          <w:rFonts w:ascii="GHEA Grapalat" w:hAnsi="GHEA Grapalat" w:cs="GHEA Grapalat"/>
          <w:sz w:val="22"/>
          <w:szCs w:val="22"/>
        </w:rPr>
        <w:t>անկ</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15</w:t>
      </w:r>
      <w:r w:rsidRPr="00C921DE">
        <w:rPr>
          <w:rFonts w:ascii="GHEA Grapalat" w:hAnsi="GHEA Grapalat" w:cs="GHEA Grapalat"/>
          <w:sz w:val="22"/>
          <w:szCs w:val="22"/>
          <w:lang w:val="nb-NO"/>
        </w:rPr>
        <w:t>.</w:t>
      </w:r>
      <w:r w:rsidRPr="00C921DE">
        <w:rPr>
          <w:rFonts w:ascii="GHEA Grapalat" w:hAnsi="GHEA Grapalat" w:cs="GHEA Grapalat"/>
          <w:sz w:val="22"/>
          <w:szCs w:val="22"/>
        </w:rPr>
        <w:t>8</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Ռուսաստանի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Դաշնություն</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(12.7%),</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Գերմանիա (7.5%)</w:t>
      </w:r>
      <w:r w:rsidRPr="00C921DE">
        <w:rPr>
          <w:rFonts w:ascii="GHEA Grapalat" w:hAnsi="GHEA Grapalat" w:cs="GHEA Grapalat"/>
          <w:sz w:val="22"/>
          <w:szCs w:val="22"/>
          <w:lang w:val="nb-NO"/>
        </w:rPr>
        <w:t xml:space="preserve"> </w:t>
      </w:r>
      <w:r w:rsidR="006D059D" w:rsidRPr="00C921DE">
        <w:rPr>
          <w:rFonts w:ascii="GHEA Grapalat" w:hAnsi="GHEA Grapalat" w:cs="GHEA Grapalat"/>
          <w:sz w:val="22"/>
          <w:szCs w:val="22"/>
        </w:rPr>
        <w:t>և Վերակառուցման և զարգացման մ</w:t>
      </w:r>
      <w:r w:rsidRPr="00C921DE">
        <w:rPr>
          <w:rFonts w:ascii="GHEA Grapalat" w:hAnsi="GHEA Grapalat" w:cs="GHEA Grapalat"/>
          <w:sz w:val="22"/>
          <w:szCs w:val="22"/>
        </w:rPr>
        <w:t xml:space="preserve">իջազգային </w:t>
      </w:r>
      <w:r w:rsidR="006D059D" w:rsidRPr="00C921DE">
        <w:rPr>
          <w:rFonts w:ascii="GHEA Grapalat" w:hAnsi="GHEA Grapalat" w:cs="GHEA Grapalat"/>
          <w:sz w:val="22"/>
          <w:szCs w:val="22"/>
          <w:lang w:val="en-US"/>
        </w:rPr>
        <w:t>բ</w:t>
      </w:r>
      <w:r w:rsidRPr="00C921DE">
        <w:rPr>
          <w:rFonts w:ascii="GHEA Grapalat" w:hAnsi="GHEA Grapalat" w:cs="GHEA Grapalat"/>
          <w:sz w:val="22"/>
          <w:szCs w:val="22"/>
        </w:rPr>
        <w:t xml:space="preserve">անկ (7.1%): </w:t>
      </w:r>
    </w:p>
    <w:p w14:paraId="544ADFE6" w14:textId="77777777" w:rsidR="0046194F" w:rsidRPr="00C921DE" w:rsidRDefault="0046194F" w:rsidP="0046194F">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lastRenderedPageBreak/>
        <w:t>Կատարված</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մարումների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կառուցվածքում</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լողացող</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տոկոսադրույքով</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վարկերի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գծով</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վճարումների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տեսակարար</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կշիռը</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կազմել</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է</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40</w:t>
      </w:r>
      <w:r w:rsidRPr="00C921DE">
        <w:rPr>
          <w:rFonts w:ascii="GHEA Grapalat" w:hAnsi="GHEA Grapalat" w:cs="GHEA Grapalat"/>
          <w:sz w:val="22"/>
          <w:szCs w:val="22"/>
          <w:lang w:val="nb-NO"/>
        </w:rPr>
        <w:t>%</w:t>
      </w:r>
      <w:r w:rsidRPr="00C921DE">
        <w:rPr>
          <w:rFonts w:ascii="GHEA Grapalat" w:hAnsi="GHEA Grapalat" w:cs="GHEA Grapalat"/>
          <w:sz w:val="22"/>
          <w:szCs w:val="22"/>
        </w:rPr>
        <w:t>, ֆիքսված</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տոկոսադրույքով</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վարկերի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գծով</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վճարումների</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տեսակարար</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կշիռը՝</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60</w:t>
      </w:r>
      <w:r w:rsidRPr="00C921DE">
        <w:rPr>
          <w:rFonts w:ascii="GHEA Grapalat" w:hAnsi="GHEA Grapalat" w:cs="GHEA Grapalat"/>
          <w:sz w:val="22"/>
          <w:szCs w:val="22"/>
          <w:lang w:val="nb-NO"/>
        </w:rPr>
        <w:t>%:</w:t>
      </w:r>
    </w:p>
    <w:p w14:paraId="577C5C2F" w14:textId="77777777" w:rsidR="0046194F" w:rsidRPr="00C921DE" w:rsidRDefault="0046194F" w:rsidP="0046194F">
      <w:pPr>
        <w:autoSpaceDE w:val="0"/>
        <w:autoSpaceDN w:val="0"/>
        <w:adjustRightInd w:val="0"/>
        <w:ind w:firstLine="567"/>
        <w:jc w:val="both"/>
        <w:rPr>
          <w:rFonts w:ascii="GHEA Grapalat" w:hAnsi="GHEA Grapalat" w:cs="GHEA Grapalat"/>
          <w:sz w:val="22"/>
          <w:szCs w:val="22"/>
        </w:rPr>
      </w:pPr>
    </w:p>
    <w:p w14:paraId="58E96AEA" w14:textId="77777777" w:rsidR="0046194F" w:rsidRPr="00C921DE" w:rsidRDefault="0046194F" w:rsidP="0046194F">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բյուջեից արտաքին վարկերի մարմանն ուղղված միջոցները (մլրդ դրամ)</w:t>
      </w:r>
    </w:p>
    <w:tbl>
      <w:tblPr>
        <w:tblW w:w="10173" w:type="dxa"/>
        <w:tblLayout w:type="fixed"/>
        <w:tblLook w:val="04A0" w:firstRow="1" w:lastRow="0" w:firstColumn="1" w:lastColumn="0" w:noHBand="0" w:noVBand="1"/>
      </w:tblPr>
      <w:tblGrid>
        <w:gridCol w:w="3936"/>
        <w:gridCol w:w="1559"/>
        <w:gridCol w:w="1559"/>
        <w:gridCol w:w="1559"/>
        <w:gridCol w:w="1560"/>
      </w:tblGrid>
      <w:tr w:rsidR="0046194F" w:rsidRPr="00C921DE" w14:paraId="4312446F" w14:textId="77777777" w:rsidTr="0046194F">
        <w:trPr>
          <w:trHeight w:val="855"/>
        </w:trPr>
        <w:tc>
          <w:tcPr>
            <w:tcW w:w="3936" w:type="dxa"/>
            <w:tcBorders>
              <w:top w:val="single" w:sz="4" w:space="0" w:color="auto"/>
              <w:left w:val="single" w:sz="4" w:space="0" w:color="auto"/>
              <w:bottom w:val="single" w:sz="4" w:space="0" w:color="auto"/>
              <w:right w:val="single" w:sz="4" w:space="0" w:color="auto"/>
            </w:tcBorders>
            <w:noWrap/>
            <w:vAlign w:val="bottom"/>
            <w:hideMark/>
          </w:tcPr>
          <w:p w14:paraId="0DB765CF" w14:textId="77777777" w:rsidR="0046194F" w:rsidRPr="00C921DE" w:rsidRDefault="0046194F" w:rsidP="0046194F">
            <w:pPr>
              <w:spacing w:line="256" w:lineRule="auto"/>
              <w:rPr>
                <w:rFonts w:ascii="GHEA Grapalat" w:hAnsi="GHEA Grapalat" w:cs="Calibri"/>
                <w:sz w:val="18"/>
                <w:szCs w:val="18"/>
              </w:rPr>
            </w:pPr>
            <w:r w:rsidRPr="00C921DE">
              <w:rPr>
                <w:rFonts w:ascii="Courier New" w:hAnsi="Courier New" w:cs="Courier New"/>
                <w:sz w:val="18"/>
                <w:szCs w:val="18"/>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C95EA9" w14:textId="77777777" w:rsidR="0046194F" w:rsidRPr="00C921DE" w:rsidRDefault="0046194F" w:rsidP="0046194F">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202</w:t>
            </w:r>
            <w:r w:rsidRPr="00C921DE">
              <w:rPr>
                <w:rFonts w:ascii="GHEA Grapalat" w:hAnsi="GHEA Grapalat" w:cs="Calibri"/>
                <w:b/>
                <w:bCs/>
                <w:sz w:val="18"/>
                <w:szCs w:val="18"/>
                <w:lang w:val="en-US"/>
              </w:rPr>
              <w:t>2</w:t>
            </w:r>
            <w:r w:rsidRPr="00C921DE">
              <w:rPr>
                <w:rFonts w:ascii="GHEA Grapalat" w:hAnsi="GHEA Grapalat" w:cs="Calibri"/>
                <w:b/>
                <w:bCs/>
                <w:sz w:val="18"/>
                <w:szCs w:val="18"/>
              </w:rPr>
              <w:t>թ. փաստ</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415687" w14:textId="77777777" w:rsidR="0046194F" w:rsidRPr="00C921DE" w:rsidRDefault="0046194F" w:rsidP="0046194F">
            <w:pPr>
              <w:spacing w:line="256" w:lineRule="auto"/>
              <w:jc w:val="center"/>
              <w:rPr>
                <w:rFonts w:ascii="GHEA Grapalat" w:hAnsi="GHEA Grapalat" w:cs="Calibri"/>
                <w:b/>
                <w:bCs/>
                <w:sz w:val="18"/>
                <w:szCs w:val="18"/>
                <w:lang w:val="en-US"/>
              </w:rPr>
            </w:pPr>
            <w:r w:rsidRPr="00C921DE">
              <w:rPr>
                <w:rFonts w:ascii="GHEA Grapalat" w:hAnsi="GHEA Grapalat" w:cs="Calibri"/>
                <w:b/>
                <w:bCs/>
                <w:sz w:val="18"/>
                <w:szCs w:val="18"/>
              </w:rPr>
              <w:t>Կշիռն ընդամենը մարումներում</w:t>
            </w:r>
            <w:r w:rsidRPr="00C921DE">
              <w:rPr>
                <w:rFonts w:ascii="GHEA Grapalat" w:hAnsi="GHEA Grapalat" w:cs="Calibri"/>
                <w:b/>
                <w:bCs/>
                <w:sz w:val="18"/>
                <w:szCs w:val="18"/>
                <w:lang w:val="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A170C8" w14:textId="77777777" w:rsidR="0046194F" w:rsidRPr="00C921DE" w:rsidRDefault="0046194F" w:rsidP="0046194F">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2023թ. փաստ</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706653" w14:textId="77777777" w:rsidR="0046194F" w:rsidRPr="00C921DE" w:rsidRDefault="0046194F" w:rsidP="0046194F">
            <w:pPr>
              <w:spacing w:line="256" w:lineRule="auto"/>
              <w:jc w:val="center"/>
              <w:rPr>
                <w:rFonts w:ascii="GHEA Grapalat" w:hAnsi="GHEA Grapalat" w:cs="Calibri"/>
                <w:b/>
                <w:bCs/>
                <w:sz w:val="18"/>
                <w:szCs w:val="18"/>
                <w:lang w:val="en-US"/>
              </w:rPr>
            </w:pPr>
            <w:r w:rsidRPr="00C921DE">
              <w:rPr>
                <w:rFonts w:ascii="GHEA Grapalat" w:hAnsi="GHEA Grapalat" w:cs="Calibri"/>
                <w:b/>
                <w:bCs/>
                <w:sz w:val="18"/>
                <w:szCs w:val="18"/>
              </w:rPr>
              <w:t>Կշիռն ընդամենը մարումներում</w:t>
            </w:r>
            <w:r w:rsidRPr="00C921DE">
              <w:rPr>
                <w:rFonts w:ascii="GHEA Grapalat" w:hAnsi="GHEA Grapalat" w:cs="Calibri"/>
                <w:b/>
                <w:bCs/>
                <w:sz w:val="18"/>
                <w:szCs w:val="18"/>
                <w:lang w:val="en-US"/>
              </w:rPr>
              <w:t xml:space="preserve"> (%)</w:t>
            </w:r>
          </w:p>
        </w:tc>
      </w:tr>
      <w:tr w:rsidR="0046194F" w:rsidRPr="00C921DE" w14:paraId="42EA17BD" w14:textId="77777777" w:rsidTr="0046194F">
        <w:trPr>
          <w:trHeight w:val="377"/>
        </w:trPr>
        <w:tc>
          <w:tcPr>
            <w:tcW w:w="3936" w:type="dxa"/>
            <w:tcBorders>
              <w:top w:val="single" w:sz="4" w:space="0" w:color="auto"/>
              <w:left w:val="single" w:sz="4" w:space="0" w:color="auto"/>
              <w:bottom w:val="single" w:sz="4" w:space="0" w:color="auto"/>
              <w:right w:val="single" w:sz="4" w:space="0" w:color="auto"/>
            </w:tcBorders>
            <w:vAlign w:val="bottom"/>
            <w:hideMark/>
          </w:tcPr>
          <w:p w14:paraId="2ED83EB3" w14:textId="77777777" w:rsidR="0046194F" w:rsidRPr="00C921DE" w:rsidRDefault="0046194F" w:rsidP="0046194F">
            <w:pPr>
              <w:spacing w:line="256" w:lineRule="auto"/>
              <w:rPr>
                <w:rFonts w:ascii="GHEA Grapalat" w:hAnsi="GHEA Grapalat" w:cs="Calibri"/>
                <w:b/>
                <w:bCs/>
                <w:sz w:val="18"/>
                <w:szCs w:val="18"/>
              </w:rPr>
            </w:pPr>
            <w:r w:rsidRPr="00C921DE">
              <w:rPr>
                <w:rFonts w:ascii="GHEA Grapalat" w:hAnsi="GHEA Grapalat"/>
                <w:b/>
                <w:sz w:val="18"/>
                <w:szCs w:val="18"/>
              </w:rPr>
              <w:t>Արտաքին վարկերի մարում</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8EA33D7"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99.6</w:t>
            </w:r>
          </w:p>
        </w:tc>
        <w:tc>
          <w:tcPr>
            <w:tcW w:w="1559" w:type="dxa"/>
            <w:tcBorders>
              <w:top w:val="single" w:sz="4" w:space="0" w:color="auto"/>
              <w:left w:val="single" w:sz="4" w:space="0" w:color="auto"/>
              <w:bottom w:val="single" w:sz="4" w:space="0" w:color="auto"/>
              <w:right w:val="single" w:sz="4" w:space="0" w:color="auto"/>
            </w:tcBorders>
            <w:vAlign w:val="bottom"/>
          </w:tcPr>
          <w:p w14:paraId="0BD39EA4"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rPr>
              <w:t>100.0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079C3C2"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124.5</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6A57BC92"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rPr>
              <w:t>100.0</w:t>
            </w:r>
          </w:p>
        </w:tc>
      </w:tr>
      <w:tr w:rsidR="0046194F" w:rsidRPr="00C921DE" w14:paraId="666666F8" w14:textId="77777777" w:rsidTr="0046194F">
        <w:trPr>
          <w:trHeight w:val="431"/>
        </w:trPr>
        <w:tc>
          <w:tcPr>
            <w:tcW w:w="3936" w:type="dxa"/>
            <w:tcBorders>
              <w:top w:val="single" w:sz="4" w:space="0" w:color="auto"/>
              <w:left w:val="single" w:sz="4" w:space="0" w:color="auto"/>
              <w:bottom w:val="single" w:sz="4" w:space="0" w:color="auto"/>
              <w:right w:val="single" w:sz="4" w:space="0" w:color="auto"/>
            </w:tcBorders>
            <w:noWrap/>
            <w:vAlign w:val="bottom"/>
            <w:hideMark/>
          </w:tcPr>
          <w:p w14:paraId="299D7A50" w14:textId="77777777" w:rsidR="0046194F" w:rsidRPr="00C921DE" w:rsidRDefault="0046194F" w:rsidP="0046194F">
            <w:pPr>
              <w:spacing w:line="256" w:lineRule="auto"/>
              <w:ind w:firstLineChars="71" w:firstLine="128"/>
              <w:rPr>
                <w:rFonts w:ascii="GHEA Grapalat" w:hAnsi="GHEA Grapalat" w:cs="Calibri"/>
                <w:sz w:val="18"/>
                <w:szCs w:val="18"/>
              </w:rPr>
            </w:pPr>
            <w:r w:rsidRPr="00C921DE">
              <w:rPr>
                <w:rFonts w:ascii="GHEA Grapalat" w:hAnsi="GHEA Grapalat" w:cs="Calibri"/>
                <w:sz w:val="18"/>
                <w:szCs w:val="18"/>
              </w:rPr>
              <w:t>Միջազգային կազմակերպություններ</w:t>
            </w:r>
          </w:p>
        </w:tc>
        <w:tc>
          <w:tcPr>
            <w:tcW w:w="1559" w:type="dxa"/>
            <w:tcBorders>
              <w:top w:val="single" w:sz="4" w:space="0" w:color="auto"/>
              <w:left w:val="single" w:sz="4" w:space="0" w:color="auto"/>
              <w:bottom w:val="single" w:sz="4" w:space="0" w:color="auto"/>
              <w:right w:val="single" w:sz="4" w:space="0" w:color="auto"/>
            </w:tcBorders>
            <w:vAlign w:val="bottom"/>
            <w:hideMark/>
          </w:tcPr>
          <w:p w14:paraId="196A21F0"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66.4</w:t>
            </w:r>
          </w:p>
        </w:tc>
        <w:tc>
          <w:tcPr>
            <w:tcW w:w="1559" w:type="dxa"/>
            <w:tcBorders>
              <w:top w:val="single" w:sz="4" w:space="0" w:color="auto"/>
              <w:left w:val="single" w:sz="4" w:space="0" w:color="auto"/>
              <w:bottom w:val="single" w:sz="4" w:space="0" w:color="auto"/>
              <w:right w:val="single" w:sz="4" w:space="0" w:color="auto"/>
            </w:tcBorders>
            <w:vAlign w:val="bottom"/>
          </w:tcPr>
          <w:p w14:paraId="17A4A39F"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66.7</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225BD6A"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90.2</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1CE05D42"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72.5</w:t>
            </w:r>
          </w:p>
        </w:tc>
      </w:tr>
      <w:tr w:rsidR="0046194F" w:rsidRPr="00C921DE" w14:paraId="52D6FE92" w14:textId="77777777" w:rsidTr="0046194F">
        <w:trPr>
          <w:trHeight w:val="431"/>
        </w:trPr>
        <w:tc>
          <w:tcPr>
            <w:tcW w:w="3936" w:type="dxa"/>
            <w:tcBorders>
              <w:top w:val="single" w:sz="4" w:space="0" w:color="auto"/>
              <w:left w:val="single" w:sz="4" w:space="0" w:color="auto"/>
              <w:bottom w:val="single" w:sz="4" w:space="0" w:color="auto"/>
              <w:right w:val="single" w:sz="4" w:space="0" w:color="auto"/>
            </w:tcBorders>
            <w:noWrap/>
            <w:vAlign w:val="bottom"/>
            <w:hideMark/>
          </w:tcPr>
          <w:p w14:paraId="01892891" w14:textId="77777777" w:rsidR="0046194F" w:rsidRPr="00C921DE" w:rsidRDefault="0046194F" w:rsidP="0046194F">
            <w:pPr>
              <w:spacing w:line="256" w:lineRule="auto"/>
              <w:ind w:firstLine="142"/>
              <w:rPr>
                <w:rFonts w:ascii="GHEA Grapalat" w:hAnsi="GHEA Grapalat" w:cs="Calibri"/>
                <w:sz w:val="18"/>
                <w:szCs w:val="18"/>
              </w:rPr>
            </w:pPr>
            <w:r w:rsidRPr="00C921DE">
              <w:rPr>
                <w:rFonts w:ascii="GHEA Grapalat" w:hAnsi="GHEA Grapalat" w:cs="Calibri"/>
                <w:sz w:val="18"/>
                <w:szCs w:val="18"/>
              </w:rPr>
              <w:t>Օտարերկրյա պետություններ</w:t>
            </w:r>
          </w:p>
        </w:tc>
        <w:tc>
          <w:tcPr>
            <w:tcW w:w="1559" w:type="dxa"/>
            <w:tcBorders>
              <w:top w:val="single" w:sz="4" w:space="0" w:color="auto"/>
              <w:left w:val="single" w:sz="4" w:space="0" w:color="auto"/>
              <w:bottom w:val="single" w:sz="4" w:space="0" w:color="auto"/>
              <w:right w:val="single" w:sz="4" w:space="0" w:color="auto"/>
            </w:tcBorders>
            <w:vAlign w:val="bottom"/>
            <w:hideMark/>
          </w:tcPr>
          <w:p w14:paraId="05E5E872"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32.3</w:t>
            </w:r>
          </w:p>
        </w:tc>
        <w:tc>
          <w:tcPr>
            <w:tcW w:w="1559" w:type="dxa"/>
            <w:tcBorders>
              <w:top w:val="single" w:sz="4" w:space="0" w:color="auto"/>
              <w:left w:val="single" w:sz="4" w:space="0" w:color="auto"/>
              <w:bottom w:val="single" w:sz="4" w:space="0" w:color="auto"/>
              <w:right w:val="single" w:sz="4" w:space="0" w:color="auto"/>
            </w:tcBorders>
            <w:vAlign w:val="bottom"/>
          </w:tcPr>
          <w:p w14:paraId="6012FF82"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32.4</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3E0F600"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33.5</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784A3B6F"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26.9</w:t>
            </w:r>
          </w:p>
        </w:tc>
      </w:tr>
      <w:tr w:rsidR="0046194F" w:rsidRPr="00C921DE" w14:paraId="1D7F0D2B" w14:textId="77777777" w:rsidTr="0046194F">
        <w:trPr>
          <w:trHeight w:val="431"/>
        </w:trPr>
        <w:tc>
          <w:tcPr>
            <w:tcW w:w="3936" w:type="dxa"/>
            <w:tcBorders>
              <w:top w:val="single" w:sz="4" w:space="0" w:color="auto"/>
              <w:left w:val="single" w:sz="4" w:space="0" w:color="auto"/>
              <w:bottom w:val="single" w:sz="4" w:space="0" w:color="auto"/>
              <w:right w:val="single" w:sz="4" w:space="0" w:color="auto"/>
            </w:tcBorders>
            <w:noWrap/>
            <w:vAlign w:val="bottom"/>
            <w:hideMark/>
          </w:tcPr>
          <w:p w14:paraId="1CF0FA96" w14:textId="77777777" w:rsidR="0046194F" w:rsidRPr="00C921DE" w:rsidRDefault="0046194F" w:rsidP="0046194F">
            <w:pPr>
              <w:spacing w:line="256" w:lineRule="auto"/>
              <w:ind w:firstLine="142"/>
              <w:rPr>
                <w:rFonts w:ascii="GHEA Grapalat" w:hAnsi="GHEA Grapalat" w:cs="Calibri"/>
                <w:sz w:val="18"/>
                <w:szCs w:val="18"/>
              </w:rPr>
            </w:pPr>
            <w:r w:rsidRPr="00C921DE">
              <w:rPr>
                <w:rFonts w:ascii="GHEA Grapalat" w:hAnsi="GHEA Grapalat" w:cs="Calibri"/>
                <w:sz w:val="18"/>
                <w:szCs w:val="18"/>
              </w:rPr>
              <w:t>Առևտրային բանկեր</w:t>
            </w:r>
          </w:p>
        </w:tc>
        <w:tc>
          <w:tcPr>
            <w:tcW w:w="1559" w:type="dxa"/>
            <w:tcBorders>
              <w:top w:val="single" w:sz="4" w:space="0" w:color="auto"/>
              <w:left w:val="single" w:sz="4" w:space="0" w:color="auto"/>
              <w:bottom w:val="single" w:sz="4" w:space="0" w:color="auto"/>
              <w:right w:val="single" w:sz="4" w:space="0" w:color="auto"/>
            </w:tcBorders>
            <w:vAlign w:val="bottom"/>
            <w:hideMark/>
          </w:tcPr>
          <w:p w14:paraId="63CA1446"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0.9</w:t>
            </w:r>
          </w:p>
        </w:tc>
        <w:tc>
          <w:tcPr>
            <w:tcW w:w="1559" w:type="dxa"/>
            <w:tcBorders>
              <w:top w:val="single" w:sz="4" w:space="0" w:color="auto"/>
              <w:left w:val="single" w:sz="4" w:space="0" w:color="auto"/>
              <w:bottom w:val="single" w:sz="4" w:space="0" w:color="auto"/>
              <w:right w:val="single" w:sz="4" w:space="0" w:color="auto"/>
            </w:tcBorders>
            <w:vAlign w:val="bottom"/>
          </w:tcPr>
          <w:p w14:paraId="5A789BB8"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0.9</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FFAB6F6"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lang w:val="en-US"/>
              </w:rPr>
              <w:t>0.</w:t>
            </w:r>
            <w:r w:rsidRPr="00C921DE">
              <w:rPr>
                <w:rFonts w:ascii="GHEA Grapalat" w:hAnsi="GHEA Grapalat" w:cs="Calibri"/>
                <w:sz w:val="18"/>
                <w:szCs w:val="18"/>
              </w:rPr>
              <w:t>8</w:t>
            </w:r>
          </w:p>
        </w:tc>
        <w:tc>
          <w:tcPr>
            <w:tcW w:w="1560" w:type="dxa"/>
            <w:tcBorders>
              <w:top w:val="single" w:sz="4" w:space="0" w:color="auto"/>
              <w:left w:val="single" w:sz="4" w:space="0" w:color="auto"/>
              <w:bottom w:val="single" w:sz="4" w:space="0" w:color="auto"/>
              <w:right w:val="single" w:sz="4" w:space="0" w:color="auto"/>
            </w:tcBorders>
            <w:noWrap/>
            <w:vAlign w:val="bottom"/>
            <w:hideMark/>
          </w:tcPr>
          <w:p w14:paraId="3049E265"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lang w:val="en-US"/>
              </w:rPr>
              <w:t>0.</w:t>
            </w:r>
            <w:r w:rsidRPr="00C921DE">
              <w:rPr>
                <w:rFonts w:ascii="GHEA Grapalat" w:hAnsi="GHEA Grapalat" w:cs="Calibri"/>
                <w:sz w:val="18"/>
                <w:szCs w:val="18"/>
              </w:rPr>
              <w:t>7</w:t>
            </w:r>
          </w:p>
        </w:tc>
      </w:tr>
    </w:tbl>
    <w:p w14:paraId="2E28E13F"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en-US"/>
        </w:rPr>
      </w:pPr>
    </w:p>
    <w:p w14:paraId="7155F152" w14:textId="3DA94170"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 xml:space="preserve">2023 թվականի </w:t>
      </w:r>
      <w:r w:rsidR="0070158B" w:rsidRPr="00C921DE">
        <w:rPr>
          <w:rFonts w:ascii="GHEA Grapalat" w:hAnsi="GHEA Grapalat"/>
          <w:sz w:val="22"/>
          <w:szCs w:val="22"/>
          <w:lang w:val="en-US"/>
        </w:rPr>
        <w:t>հոկ</w:t>
      </w:r>
      <w:r w:rsidRPr="00C921DE">
        <w:rPr>
          <w:rFonts w:ascii="GHEA Grapalat" w:hAnsi="GHEA Grapalat"/>
          <w:sz w:val="22"/>
          <w:szCs w:val="22"/>
        </w:rPr>
        <w:t>տեմբերի 2-ին իրականացվել է 2025 թվականի</w:t>
      </w:r>
      <w:r w:rsidR="001A19E9" w:rsidRPr="00C921DE">
        <w:rPr>
          <w:rFonts w:ascii="GHEA Grapalat" w:hAnsi="GHEA Grapalat"/>
          <w:sz w:val="22"/>
          <w:szCs w:val="22"/>
          <w:lang w:val="en-US"/>
        </w:rPr>
        <w:t>ն</w:t>
      </w:r>
      <w:r w:rsidRPr="00C921DE">
        <w:rPr>
          <w:rFonts w:ascii="GHEA Grapalat" w:hAnsi="GHEA Grapalat"/>
          <w:sz w:val="22"/>
          <w:szCs w:val="22"/>
        </w:rPr>
        <w:t xml:space="preserve"> մարվող արտարժութային պարտատոմսերի մասնակի հետգնում, որի գծով մայր գումարի վճարումը կազմել է 186.8 մլն ԱՄՆ դոլար կամ 73.4 մլրդ դրամ. փոխարկվել է 1 ԱՄՆ դոլարի դիմաց 392.83 դրամ փոխարժեքով:</w:t>
      </w:r>
    </w:p>
    <w:p w14:paraId="0917C2EA" w14:textId="7DD271C5"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i/>
          <w:sz w:val="22"/>
          <w:szCs w:val="22"/>
        </w:rPr>
        <w:t>Արտաքին ֆինանսական զուտ ակտիվների</w:t>
      </w:r>
      <w:r w:rsidRPr="00C921DE">
        <w:rPr>
          <w:rFonts w:ascii="GHEA Grapalat" w:hAnsi="GHEA Grapalat"/>
          <w:sz w:val="22"/>
          <w:szCs w:val="22"/>
        </w:rPr>
        <w:t xml:space="preserve"> հաշվին պետական բյուջեի ֆինանսավորումը հաշվետու </w:t>
      </w:r>
      <w:r w:rsidR="001A19E9" w:rsidRPr="00C921DE">
        <w:rPr>
          <w:rFonts w:ascii="GHEA Grapalat" w:hAnsi="GHEA Grapalat"/>
          <w:sz w:val="22"/>
          <w:szCs w:val="22"/>
          <w:lang w:val="en-US"/>
        </w:rPr>
        <w:t>տար</w:t>
      </w:r>
      <w:r w:rsidRPr="00C921DE">
        <w:rPr>
          <w:rFonts w:ascii="GHEA Grapalat" w:hAnsi="GHEA Grapalat"/>
          <w:sz w:val="22"/>
          <w:szCs w:val="22"/>
        </w:rPr>
        <w:t xml:space="preserve">ում կազմել է </w:t>
      </w:r>
      <w:r w:rsidRPr="00C921DE">
        <w:rPr>
          <w:rFonts w:ascii="GHEA Grapalat" w:hAnsi="GHEA Grapalat"/>
          <w:sz w:val="22"/>
          <w:szCs w:val="22"/>
        </w:rPr>
        <w:noBreakHyphen/>
        <w:t xml:space="preserve">150.2 մլրդ դրամ` 98%-ով ապահովելով կանխատեսված ցուցանիշը: Շեղումը հիմնականում պայմանավորված է արտաքին աղբյուրներից ստացված վարկային և դրամաշնորհային միջոցների մնացորդից 2.5 մլրդ դրամի օգտագործմամբ՝ նախատեսված 160.5 մլն դրամի </w:t>
      </w:r>
      <w:r w:rsidR="001A19E9" w:rsidRPr="00C921DE">
        <w:rPr>
          <w:rFonts w:ascii="GHEA Grapalat" w:hAnsi="GHEA Grapalat"/>
          <w:sz w:val="22"/>
          <w:szCs w:val="22"/>
          <w:lang w:val="en-US"/>
        </w:rPr>
        <w:t>փոխարեն</w:t>
      </w:r>
      <w:r w:rsidRPr="00C921DE">
        <w:rPr>
          <w:rFonts w:ascii="GHEA Grapalat" w:hAnsi="GHEA Grapalat"/>
          <w:sz w:val="22"/>
          <w:szCs w:val="22"/>
        </w:rPr>
        <w:t>:</w:t>
      </w:r>
    </w:p>
    <w:p w14:paraId="6F9D42AD"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 xml:space="preserve">Վրաստանի կողմից ՀՀ նկատմամբ ունեցած վարկային պարտավորությունների մարումը կազմել է 343.6 մլն դրամ կամ ծրագրային ցուցանիշի 97.6%-ը՝ պայմանավորված ԱՄՆ դոլարի նկատմամբ ՀՀ դրամի կանխատեսված և փաստացի փոխարժեքների տարբերությամբ: </w:t>
      </w:r>
    </w:p>
    <w:p w14:paraId="7F13E579" w14:textId="484F5672"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Բաժնետոմսերի և կապիտալում այլ մասնակցության ձեռքբերման նպատակով օգտագործվել է շուրջ 2.1 մլրդ դրամ և ապահովել ծրագրի 75.6% կատարում: Մասնավորապես Միջազգային ֆինանսական կազմակերպությունների կապիտալում մասնակցության գծով ստանձնած պարտավորությունները կատարվել են շուրջ 1.4 մլրդ դրամի չափով՝ նախատեսված 1.6 մլրդ դրամի դիմաց: Շեղումը հիմնականում պայմանավորված է նրանով, որ Սևծովյան առևտրի և զարգացման բանկին Հայաստանի անդամակցության շրջանակներում առաջարկվել է 2-րդ փուլի բաժանորդագրու</w:t>
      </w:r>
      <w:r w:rsidR="00F4129D" w:rsidRPr="00C921DE">
        <w:rPr>
          <w:rFonts w:ascii="GHEA Grapalat" w:hAnsi="GHEA Grapalat"/>
          <w:sz w:val="22"/>
          <w:szCs w:val="22"/>
        </w:rPr>
        <w:t>թյունը, որին Հայաստանը համաձայն</w:t>
      </w:r>
      <w:r w:rsidRPr="00C921DE">
        <w:rPr>
          <w:rFonts w:ascii="GHEA Grapalat" w:hAnsi="GHEA Grapalat"/>
          <w:sz w:val="22"/>
          <w:szCs w:val="22"/>
        </w:rPr>
        <w:t>ել է</w:t>
      </w:r>
      <w:r w:rsidR="002E7E06" w:rsidRPr="00C921DE">
        <w:rPr>
          <w:rFonts w:ascii="GHEA Grapalat" w:hAnsi="GHEA Grapalat"/>
          <w:sz w:val="22"/>
          <w:szCs w:val="22"/>
          <w:lang w:val="en-US"/>
        </w:rPr>
        <w:t>,</w:t>
      </w:r>
      <w:r w:rsidRPr="00C921DE">
        <w:rPr>
          <w:rFonts w:ascii="GHEA Grapalat" w:hAnsi="GHEA Grapalat"/>
          <w:sz w:val="22"/>
          <w:szCs w:val="22"/>
        </w:rPr>
        <w:t xml:space="preserve"> և դրա հիման վրա համ</w:t>
      </w:r>
      <w:r w:rsidR="00F4129D" w:rsidRPr="00C921DE">
        <w:rPr>
          <w:rFonts w:ascii="GHEA Grapalat" w:hAnsi="GHEA Grapalat"/>
          <w:sz w:val="22"/>
          <w:szCs w:val="22"/>
          <w:lang w:val="en-US"/>
        </w:rPr>
        <w:t>ա</w:t>
      </w:r>
      <w:r w:rsidRPr="00C921DE">
        <w:rPr>
          <w:rFonts w:ascii="GHEA Grapalat" w:hAnsi="GHEA Grapalat"/>
          <w:sz w:val="22"/>
          <w:szCs w:val="22"/>
        </w:rPr>
        <w:t xml:space="preserve">պատասխան գումար է նախատեսվել պետական բյուջեում, սակայն փաստացի վճարման պահանջ չի ներկայացվել: </w:t>
      </w:r>
      <w:r w:rsidRPr="00C921DE">
        <w:rPr>
          <w:rFonts w:ascii="GHEA Grapalat" w:hAnsi="GHEA Grapalat"/>
          <w:sz w:val="22"/>
          <w:szCs w:val="22"/>
          <w:lang w:val="nb-NO"/>
        </w:rPr>
        <w:t xml:space="preserve">Եվրասիական վերաապահովագրական ընկերության բաժնեմասերի ձեռքբերման նպատակով </w:t>
      </w:r>
      <w:r w:rsidRPr="00C921DE">
        <w:rPr>
          <w:rFonts w:ascii="GHEA Grapalat" w:hAnsi="GHEA Grapalat"/>
          <w:sz w:val="22"/>
          <w:szCs w:val="22"/>
          <w:lang w:val="nb-NO"/>
        </w:rPr>
        <w:lastRenderedPageBreak/>
        <w:t>նախատեսված 725.6 մլն դրամ</w:t>
      </w:r>
      <w:r w:rsidRPr="00C921DE">
        <w:rPr>
          <w:rFonts w:ascii="GHEA Grapalat" w:hAnsi="GHEA Grapalat"/>
          <w:sz w:val="22"/>
          <w:szCs w:val="22"/>
        </w:rPr>
        <w:t xml:space="preserve">ի </w:t>
      </w:r>
      <w:r w:rsidR="002E7E06" w:rsidRPr="00C921DE">
        <w:rPr>
          <w:rFonts w:ascii="GHEA Grapalat" w:hAnsi="GHEA Grapalat"/>
          <w:sz w:val="22"/>
          <w:szCs w:val="22"/>
          <w:lang w:val="en-US"/>
        </w:rPr>
        <w:t>փոխարեն</w:t>
      </w:r>
      <w:r w:rsidRPr="00C921DE">
        <w:rPr>
          <w:rFonts w:ascii="GHEA Grapalat" w:hAnsi="GHEA Grapalat"/>
          <w:sz w:val="22"/>
          <w:szCs w:val="22"/>
          <w:lang w:val="nb-NO"/>
        </w:rPr>
        <w:t xml:space="preserve"> օգտագործ</w:t>
      </w:r>
      <w:r w:rsidR="002E7E06" w:rsidRPr="00C921DE">
        <w:rPr>
          <w:rFonts w:ascii="GHEA Grapalat" w:hAnsi="GHEA Grapalat"/>
          <w:sz w:val="22"/>
          <w:szCs w:val="22"/>
        </w:rPr>
        <w:t>վել է 509.6 մլն դրամ</w:t>
      </w:r>
      <w:r w:rsidRPr="00C921DE">
        <w:rPr>
          <w:rFonts w:ascii="GHEA Grapalat" w:hAnsi="GHEA Grapalat"/>
          <w:sz w:val="22"/>
          <w:szCs w:val="22"/>
        </w:rPr>
        <w:t>`</w:t>
      </w:r>
      <w:r w:rsidR="00517635" w:rsidRPr="00C921DE">
        <w:rPr>
          <w:rFonts w:ascii="GHEA Grapalat" w:hAnsi="GHEA Grapalat"/>
          <w:sz w:val="22"/>
          <w:szCs w:val="22"/>
        </w:rPr>
        <w:t xml:space="preserve"> </w:t>
      </w:r>
      <w:r w:rsidR="002E7E06" w:rsidRPr="00C921DE">
        <w:rPr>
          <w:rFonts w:ascii="GHEA Grapalat" w:hAnsi="GHEA Grapalat"/>
          <w:sz w:val="22"/>
          <w:szCs w:val="22"/>
          <w:lang w:val="nb-NO"/>
        </w:rPr>
        <w:t>պայմանավորված</w:t>
      </w:r>
      <w:r w:rsidR="002E7E06" w:rsidRPr="00C921DE">
        <w:rPr>
          <w:rFonts w:ascii="GHEA Grapalat" w:hAnsi="GHEA Grapalat"/>
          <w:sz w:val="22"/>
          <w:szCs w:val="22"/>
        </w:rPr>
        <w:t xml:space="preserve"> </w:t>
      </w:r>
      <w:r w:rsidRPr="00C921DE">
        <w:rPr>
          <w:rFonts w:ascii="GHEA Grapalat" w:hAnsi="GHEA Grapalat"/>
          <w:sz w:val="22"/>
          <w:szCs w:val="22"/>
        </w:rPr>
        <w:t>կանխատեսված և փաստացի փոխարժեքների տարբերությամբ:</w:t>
      </w:r>
      <w:r w:rsidRPr="00C921DE">
        <w:rPr>
          <w:rFonts w:ascii="GHEA Grapalat" w:hAnsi="GHEA Grapalat"/>
          <w:sz w:val="22"/>
          <w:szCs w:val="22"/>
          <w:lang w:val="nb-NO"/>
        </w:rPr>
        <w:t xml:space="preserve"> </w:t>
      </w:r>
      <w:r w:rsidRPr="00C921DE">
        <w:rPr>
          <w:rFonts w:ascii="GHEA Grapalat" w:hAnsi="GHEA Grapalat"/>
          <w:sz w:val="22"/>
          <w:szCs w:val="22"/>
        </w:rPr>
        <w:t xml:space="preserve">«ԵՄ-Հայաստան ՓՄՁ ֆոնդ» ներդրումային ֆոնդի փայերի ձեռքբերման նպատակով նախատեսված 387 մլն դրամի դիմաց օգտագործվել է 212.8 մլն դրամ, քանի որ բանակցությունների արդյունքում ավելի քիչ գումար է ներդրվել ընկերությունում: Միջոցառման նպատակն է տնտեսական երկարաժամկետ զարգացման ապահովումը՝ թիրախային ընկերությունների հետ ներդրումային ծրագրերի իրականացման միջոցով առանձին ոլորտներում ներդրումներ կատարելով: </w:t>
      </w:r>
    </w:p>
    <w:p w14:paraId="39575243" w14:textId="77777777" w:rsidR="0046194F" w:rsidRPr="00C921DE" w:rsidRDefault="0046194F" w:rsidP="0046194F">
      <w:pPr>
        <w:autoSpaceDE w:val="0"/>
        <w:autoSpaceDN w:val="0"/>
        <w:adjustRightInd w:val="0"/>
        <w:ind w:firstLine="567"/>
        <w:jc w:val="both"/>
        <w:rPr>
          <w:rFonts w:ascii="GHEA Grapalat" w:hAnsi="GHEA Grapalat"/>
          <w:sz w:val="22"/>
          <w:szCs w:val="22"/>
        </w:rPr>
      </w:pPr>
    </w:p>
    <w:p w14:paraId="65FB9F31" w14:textId="77777777" w:rsidR="0046194F" w:rsidRPr="00C921DE" w:rsidRDefault="0046194F" w:rsidP="0046194F">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 xml:space="preserve"> ՀՀ պետական բյուջեի պակասուրդի արտաքին ֆինանսական զուտ ակտիվները (մլրդ դրամ)</w:t>
      </w:r>
    </w:p>
    <w:tbl>
      <w:tblPr>
        <w:tblW w:w="10350" w:type="dxa"/>
        <w:tblLayout w:type="fixed"/>
        <w:tblLook w:val="04A0" w:firstRow="1" w:lastRow="0" w:firstColumn="1" w:lastColumn="0" w:noHBand="0" w:noVBand="1"/>
      </w:tblPr>
      <w:tblGrid>
        <w:gridCol w:w="4219"/>
        <w:gridCol w:w="1134"/>
        <w:gridCol w:w="1134"/>
        <w:gridCol w:w="1134"/>
        <w:gridCol w:w="1418"/>
        <w:gridCol w:w="1311"/>
      </w:tblGrid>
      <w:tr w:rsidR="0046194F" w:rsidRPr="00C921DE" w14:paraId="2EFECFC9" w14:textId="77777777" w:rsidTr="0046194F">
        <w:trPr>
          <w:trHeight w:val="855"/>
        </w:trPr>
        <w:tc>
          <w:tcPr>
            <w:tcW w:w="4219" w:type="dxa"/>
            <w:tcBorders>
              <w:top w:val="single" w:sz="4" w:space="0" w:color="auto"/>
              <w:left w:val="single" w:sz="4" w:space="0" w:color="auto"/>
              <w:bottom w:val="single" w:sz="4" w:space="0" w:color="auto"/>
              <w:right w:val="single" w:sz="4" w:space="0" w:color="auto"/>
            </w:tcBorders>
            <w:noWrap/>
            <w:vAlign w:val="bottom"/>
            <w:hideMark/>
          </w:tcPr>
          <w:p w14:paraId="01170641" w14:textId="77777777" w:rsidR="0046194F" w:rsidRPr="00C921DE" w:rsidRDefault="0046194F" w:rsidP="0046194F">
            <w:pPr>
              <w:spacing w:line="256" w:lineRule="auto"/>
              <w:rPr>
                <w:rFonts w:ascii="GHEA Grapalat" w:hAnsi="GHEA Grapalat" w:cs="Calibri"/>
                <w:sz w:val="18"/>
                <w:szCs w:val="18"/>
              </w:rPr>
            </w:pPr>
            <w:r w:rsidRPr="00C921DE">
              <w:rPr>
                <w:rFonts w:ascii="Courier New" w:hAnsi="Courier New" w:cs="Courier New"/>
                <w:sz w:val="18"/>
                <w:szCs w:val="18"/>
              </w:rPr>
              <w:t> </w:t>
            </w:r>
          </w:p>
        </w:tc>
        <w:tc>
          <w:tcPr>
            <w:tcW w:w="1134" w:type="dxa"/>
            <w:tcBorders>
              <w:top w:val="single" w:sz="4" w:space="0" w:color="auto"/>
              <w:left w:val="nil"/>
              <w:bottom w:val="single" w:sz="4" w:space="0" w:color="auto"/>
              <w:right w:val="single" w:sz="4" w:space="0" w:color="auto"/>
            </w:tcBorders>
            <w:vAlign w:val="center"/>
            <w:hideMark/>
          </w:tcPr>
          <w:p w14:paraId="6B578ADB" w14:textId="77777777" w:rsidR="0046194F" w:rsidRPr="00C921DE" w:rsidRDefault="0046194F" w:rsidP="0046194F">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2022թ. փաստ</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76E9F3" w14:textId="2F953091" w:rsidR="0046194F" w:rsidRPr="00C921DE" w:rsidRDefault="0046194F" w:rsidP="00FB2BAE">
            <w:pPr>
              <w:jc w:val="center"/>
              <w:rPr>
                <w:rFonts w:ascii="GHEA Grapalat" w:hAnsi="GHEA Grapalat" w:cs="Calibri"/>
                <w:b/>
                <w:bCs/>
                <w:color w:val="000000"/>
                <w:sz w:val="18"/>
                <w:szCs w:val="18"/>
                <w:lang w:val="en-US"/>
              </w:rPr>
            </w:pPr>
            <w:r w:rsidRPr="00C921DE">
              <w:rPr>
                <w:rFonts w:ascii="GHEA Grapalat" w:hAnsi="GHEA Grapalat" w:cs="Calibri"/>
                <w:b/>
                <w:bCs/>
                <w:color w:val="000000"/>
                <w:sz w:val="18"/>
                <w:szCs w:val="18"/>
              </w:rPr>
              <w:t xml:space="preserve">2023թ. ճշտված </w:t>
            </w:r>
            <w:r w:rsidR="00FB2BAE" w:rsidRPr="00C921DE">
              <w:rPr>
                <w:rFonts w:ascii="GHEA Grapalat" w:hAnsi="GHEA Grapalat" w:cs="Calibri"/>
                <w:b/>
                <w:bCs/>
                <w:color w:val="000000"/>
                <w:sz w:val="18"/>
                <w:szCs w:val="18"/>
                <w:lang w:val="en-US"/>
              </w:rPr>
              <w:t>ծրագիր</w:t>
            </w:r>
          </w:p>
        </w:tc>
        <w:tc>
          <w:tcPr>
            <w:tcW w:w="1134" w:type="dxa"/>
            <w:tcBorders>
              <w:top w:val="single" w:sz="4" w:space="0" w:color="auto"/>
              <w:left w:val="nil"/>
              <w:bottom w:val="single" w:sz="4" w:space="0" w:color="auto"/>
              <w:right w:val="single" w:sz="4" w:space="0" w:color="auto"/>
            </w:tcBorders>
            <w:shd w:val="clear" w:color="auto" w:fill="FFFFFF"/>
            <w:vAlign w:val="center"/>
            <w:hideMark/>
          </w:tcPr>
          <w:p w14:paraId="24F9CDFF" w14:textId="77777777" w:rsidR="0046194F" w:rsidRPr="00C921DE" w:rsidRDefault="0046194F" w:rsidP="0046194F">
            <w:pPr>
              <w:jc w:val="center"/>
              <w:rPr>
                <w:rFonts w:ascii="GHEA Grapalat" w:hAnsi="GHEA Grapalat" w:cs="Calibri"/>
                <w:b/>
                <w:bCs/>
                <w:color w:val="000000"/>
                <w:sz w:val="18"/>
                <w:szCs w:val="18"/>
              </w:rPr>
            </w:pPr>
            <w:r w:rsidRPr="00C921DE">
              <w:rPr>
                <w:rFonts w:ascii="GHEA Grapalat" w:hAnsi="GHEA Grapalat" w:cs="Calibri"/>
                <w:b/>
                <w:bCs/>
                <w:color w:val="000000"/>
                <w:sz w:val="18"/>
                <w:szCs w:val="18"/>
              </w:rPr>
              <w:t>2023թ. փաստ</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14:paraId="1E606463" w14:textId="6B1B0A78" w:rsidR="0046194F" w:rsidRPr="00C921DE" w:rsidRDefault="0046194F" w:rsidP="00FB2BAE">
            <w:pPr>
              <w:jc w:val="center"/>
              <w:rPr>
                <w:rFonts w:ascii="GHEA Grapalat" w:hAnsi="GHEA Grapalat" w:cs="Calibri"/>
                <w:b/>
                <w:bCs/>
                <w:sz w:val="18"/>
                <w:szCs w:val="18"/>
              </w:rPr>
            </w:pPr>
            <w:r w:rsidRPr="00C921DE">
              <w:rPr>
                <w:rFonts w:ascii="GHEA Grapalat" w:hAnsi="GHEA Grapalat" w:cs="Calibri"/>
                <w:b/>
                <w:bCs/>
                <w:sz w:val="18"/>
                <w:szCs w:val="18"/>
              </w:rPr>
              <w:t xml:space="preserve">Կատարողա-կանը ճշտված </w:t>
            </w:r>
            <w:r w:rsidR="00FB2BAE" w:rsidRPr="00C921DE">
              <w:rPr>
                <w:rFonts w:ascii="GHEA Grapalat" w:hAnsi="GHEA Grapalat" w:cs="Calibri"/>
                <w:b/>
                <w:bCs/>
                <w:sz w:val="18"/>
                <w:szCs w:val="18"/>
                <w:lang w:val="en-US"/>
              </w:rPr>
              <w:t>ծրագրի</w:t>
            </w:r>
            <w:r w:rsidRPr="00C921DE">
              <w:rPr>
                <w:rFonts w:ascii="GHEA Grapalat" w:hAnsi="GHEA Grapalat" w:cs="Calibri"/>
                <w:b/>
                <w:bCs/>
                <w:sz w:val="18"/>
                <w:szCs w:val="18"/>
              </w:rPr>
              <w:t xml:space="preserve"> նկատմամբ (%)</w:t>
            </w:r>
          </w:p>
        </w:tc>
        <w:tc>
          <w:tcPr>
            <w:tcW w:w="1311" w:type="dxa"/>
            <w:tcBorders>
              <w:top w:val="single" w:sz="4" w:space="0" w:color="auto"/>
              <w:left w:val="nil"/>
              <w:bottom w:val="single" w:sz="4" w:space="0" w:color="auto"/>
              <w:right w:val="single" w:sz="4" w:space="0" w:color="auto"/>
            </w:tcBorders>
            <w:shd w:val="clear" w:color="auto" w:fill="FFFFFF"/>
            <w:vAlign w:val="center"/>
            <w:hideMark/>
          </w:tcPr>
          <w:p w14:paraId="72F7FF01" w14:textId="77777777" w:rsidR="0046194F" w:rsidRPr="00C921DE" w:rsidRDefault="0046194F" w:rsidP="0046194F">
            <w:pPr>
              <w:jc w:val="center"/>
              <w:rPr>
                <w:rFonts w:ascii="GHEA Grapalat" w:hAnsi="GHEA Grapalat" w:cs="Calibri"/>
                <w:b/>
                <w:bCs/>
                <w:sz w:val="18"/>
                <w:szCs w:val="18"/>
                <w:lang w:val="en-US"/>
              </w:rPr>
            </w:pPr>
            <w:r w:rsidRPr="00C921DE">
              <w:rPr>
                <w:rFonts w:ascii="GHEA Grapalat" w:hAnsi="GHEA Grapalat" w:cs="Calibri"/>
                <w:b/>
                <w:bCs/>
                <w:sz w:val="18"/>
                <w:szCs w:val="18"/>
              </w:rPr>
              <w:t>2023թ. 2022թ.</w:t>
            </w:r>
            <w:r w:rsidRPr="00C921DE">
              <w:rPr>
                <w:rFonts w:ascii="GHEA Grapalat" w:hAnsi="GHEA Grapalat" w:cs="Calibri"/>
                <w:b/>
                <w:bCs/>
                <w:sz w:val="18"/>
                <w:szCs w:val="18"/>
                <w:lang w:val="en-US"/>
              </w:rPr>
              <w:t>-</w:t>
            </w:r>
            <w:r w:rsidRPr="00C921DE">
              <w:rPr>
                <w:rFonts w:ascii="GHEA Grapalat" w:hAnsi="GHEA Grapalat" w:cs="Calibri"/>
                <w:b/>
                <w:bCs/>
                <w:sz w:val="18"/>
                <w:szCs w:val="18"/>
              </w:rPr>
              <w:t>ի նկատմամբ</w:t>
            </w:r>
            <w:r w:rsidRPr="00C921DE">
              <w:rPr>
                <w:rFonts w:ascii="GHEA Grapalat" w:hAnsi="GHEA Grapalat" w:cs="Calibri"/>
                <w:b/>
                <w:bCs/>
                <w:sz w:val="18"/>
                <w:szCs w:val="18"/>
                <w:lang w:val="en-US"/>
              </w:rPr>
              <w:t xml:space="preserve"> (%)</w:t>
            </w:r>
          </w:p>
        </w:tc>
      </w:tr>
      <w:tr w:rsidR="0046194F" w:rsidRPr="00C921DE" w14:paraId="1B64F541" w14:textId="77777777" w:rsidTr="0046194F">
        <w:trPr>
          <w:trHeight w:val="377"/>
        </w:trPr>
        <w:tc>
          <w:tcPr>
            <w:tcW w:w="4219" w:type="dxa"/>
            <w:tcBorders>
              <w:top w:val="nil"/>
              <w:left w:val="single" w:sz="4" w:space="0" w:color="auto"/>
              <w:bottom w:val="single" w:sz="4" w:space="0" w:color="auto"/>
              <w:right w:val="single" w:sz="4" w:space="0" w:color="auto"/>
            </w:tcBorders>
            <w:hideMark/>
          </w:tcPr>
          <w:p w14:paraId="007626C5" w14:textId="77777777" w:rsidR="0046194F" w:rsidRPr="00C921DE" w:rsidRDefault="0046194F" w:rsidP="0046194F">
            <w:pPr>
              <w:spacing w:line="256" w:lineRule="auto"/>
              <w:rPr>
                <w:rFonts w:ascii="GHEA Grapalat" w:hAnsi="GHEA Grapalat" w:cs="Calibri"/>
                <w:b/>
                <w:bCs/>
                <w:sz w:val="18"/>
                <w:szCs w:val="18"/>
              </w:rPr>
            </w:pPr>
            <w:r w:rsidRPr="00C921DE">
              <w:rPr>
                <w:rFonts w:ascii="GHEA Grapalat" w:hAnsi="GHEA Grapalat" w:cs="Calibri"/>
                <w:b/>
                <w:sz w:val="18"/>
                <w:szCs w:val="18"/>
              </w:rPr>
              <w:t>Ֆինանսական զուտ ակտիվներ, այդ թվում`</w:t>
            </w:r>
          </w:p>
        </w:tc>
        <w:tc>
          <w:tcPr>
            <w:tcW w:w="1134" w:type="dxa"/>
            <w:tcBorders>
              <w:top w:val="nil"/>
              <w:left w:val="nil"/>
              <w:bottom w:val="single" w:sz="4" w:space="0" w:color="auto"/>
              <w:right w:val="single" w:sz="4" w:space="0" w:color="auto"/>
            </w:tcBorders>
            <w:hideMark/>
          </w:tcPr>
          <w:p w14:paraId="4FB9F163"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(174.8)</w:t>
            </w:r>
          </w:p>
        </w:tc>
        <w:tc>
          <w:tcPr>
            <w:tcW w:w="1134" w:type="dxa"/>
            <w:tcBorders>
              <w:top w:val="nil"/>
              <w:left w:val="single" w:sz="4" w:space="0" w:color="auto"/>
              <w:bottom w:val="single" w:sz="4" w:space="0" w:color="auto"/>
              <w:right w:val="single" w:sz="4" w:space="0" w:color="auto"/>
            </w:tcBorders>
            <w:noWrap/>
            <w:hideMark/>
          </w:tcPr>
          <w:p w14:paraId="2B6E480C"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w:t>
            </w:r>
            <w:r w:rsidRPr="00C921DE">
              <w:rPr>
                <w:rFonts w:ascii="GHEA Grapalat" w:hAnsi="GHEA Grapalat" w:cs="Calibri"/>
                <w:b/>
                <w:bCs/>
                <w:sz w:val="18"/>
                <w:szCs w:val="18"/>
              </w:rPr>
              <w:t>153.2</w:t>
            </w:r>
            <w:r w:rsidRPr="00C921DE">
              <w:rPr>
                <w:rFonts w:ascii="GHEA Grapalat" w:hAnsi="GHEA Grapalat" w:cs="Calibri"/>
                <w:b/>
                <w:bCs/>
                <w:sz w:val="18"/>
                <w:szCs w:val="18"/>
                <w:lang w:val="en-US"/>
              </w:rPr>
              <w:t>)</w:t>
            </w:r>
          </w:p>
        </w:tc>
        <w:tc>
          <w:tcPr>
            <w:tcW w:w="1134" w:type="dxa"/>
            <w:tcBorders>
              <w:top w:val="nil"/>
              <w:left w:val="nil"/>
              <w:bottom w:val="single" w:sz="4" w:space="0" w:color="auto"/>
              <w:right w:val="single" w:sz="4" w:space="0" w:color="auto"/>
            </w:tcBorders>
            <w:noWrap/>
            <w:hideMark/>
          </w:tcPr>
          <w:p w14:paraId="40CEB493"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w:t>
            </w:r>
            <w:r w:rsidRPr="00C921DE">
              <w:rPr>
                <w:rFonts w:ascii="GHEA Grapalat" w:hAnsi="GHEA Grapalat" w:cs="Calibri"/>
                <w:b/>
                <w:bCs/>
                <w:sz w:val="18"/>
                <w:szCs w:val="18"/>
              </w:rPr>
              <w:t>150.2</w:t>
            </w:r>
            <w:r w:rsidRPr="00C921DE">
              <w:rPr>
                <w:rFonts w:ascii="GHEA Grapalat" w:hAnsi="GHEA Grapalat" w:cs="Calibri"/>
                <w:b/>
                <w:bCs/>
                <w:sz w:val="18"/>
                <w:szCs w:val="18"/>
                <w:lang w:val="en-US"/>
              </w:rPr>
              <w:t>)</w:t>
            </w:r>
          </w:p>
        </w:tc>
        <w:tc>
          <w:tcPr>
            <w:tcW w:w="1418" w:type="dxa"/>
            <w:tcBorders>
              <w:top w:val="nil"/>
              <w:left w:val="nil"/>
              <w:bottom w:val="single" w:sz="4" w:space="0" w:color="auto"/>
              <w:right w:val="single" w:sz="4" w:space="0" w:color="auto"/>
            </w:tcBorders>
            <w:noWrap/>
            <w:hideMark/>
          </w:tcPr>
          <w:p w14:paraId="54F2386D"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lang w:val="en-US"/>
              </w:rPr>
              <w:t>98.</w:t>
            </w:r>
            <w:r w:rsidRPr="00C921DE">
              <w:rPr>
                <w:rFonts w:ascii="GHEA Grapalat" w:hAnsi="GHEA Grapalat" w:cs="Calibri"/>
                <w:b/>
                <w:bCs/>
                <w:sz w:val="18"/>
                <w:szCs w:val="18"/>
              </w:rPr>
              <w:t>0</w:t>
            </w:r>
          </w:p>
        </w:tc>
        <w:tc>
          <w:tcPr>
            <w:tcW w:w="1311" w:type="dxa"/>
            <w:tcBorders>
              <w:top w:val="nil"/>
              <w:left w:val="nil"/>
              <w:bottom w:val="single" w:sz="4" w:space="0" w:color="auto"/>
              <w:right w:val="single" w:sz="4" w:space="0" w:color="auto"/>
            </w:tcBorders>
            <w:hideMark/>
          </w:tcPr>
          <w:p w14:paraId="6B6BA34F"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rPr>
              <w:t>85.9</w:t>
            </w:r>
          </w:p>
        </w:tc>
      </w:tr>
      <w:tr w:rsidR="0046194F" w:rsidRPr="00C921DE" w14:paraId="3A08EA77" w14:textId="77777777" w:rsidTr="0046194F">
        <w:trPr>
          <w:trHeight w:val="431"/>
        </w:trPr>
        <w:tc>
          <w:tcPr>
            <w:tcW w:w="4219" w:type="dxa"/>
            <w:tcBorders>
              <w:top w:val="nil"/>
              <w:left w:val="single" w:sz="4" w:space="0" w:color="auto"/>
              <w:bottom w:val="single" w:sz="4" w:space="0" w:color="auto"/>
              <w:right w:val="single" w:sz="4" w:space="0" w:color="auto"/>
            </w:tcBorders>
            <w:noWrap/>
            <w:hideMark/>
          </w:tcPr>
          <w:p w14:paraId="0B21734B" w14:textId="73BF0AC6" w:rsidR="0046194F" w:rsidRPr="00C921DE" w:rsidRDefault="0046194F" w:rsidP="002E7E06">
            <w:pPr>
              <w:spacing w:line="256" w:lineRule="auto"/>
              <w:rPr>
                <w:rFonts w:ascii="GHEA Grapalat" w:hAnsi="GHEA Grapalat" w:cs="Calibri"/>
                <w:sz w:val="18"/>
                <w:szCs w:val="18"/>
              </w:rPr>
            </w:pPr>
            <w:r w:rsidRPr="00C921DE">
              <w:rPr>
                <w:rFonts w:ascii="GHEA Grapalat" w:hAnsi="GHEA Grapalat" w:cs="Calibri"/>
                <w:sz w:val="18"/>
                <w:szCs w:val="18"/>
              </w:rPr>
              <w:t>Վարկերի և փոխատվությունների տրամադրում (</w:t>
            </w:r>
            <w:r w:rsidR="002E7E06" w:rsidRPr="00C921DE">
              <w:rPr>
                <w:rFonts w:ascii="GHEA Grapalat" w:hAnsi="GHEA Grapalat" w:cs="Calibri"/>
                <w:sz w:val="18"/>
                <w:szCs w:val="18"/>
                <w:lang w:val="en-US"/>
              </w:rPr>
              <w:t>Լեռնային Ղարաբաղին</w:t>
            </w:r>
            <w:r w:rsidRPr="00C921DE">
              <w:rPr>
                <w:rFonts w:ascii="GHEA Grapalat" w:hAnsi="GHEA Grapalat" w:cs="Calibri"/>
                <w:sz w:val="18"/>
                <w:szCs w:val="18"/>
              </w:rPr>
              <w:t>)</w:t>
            </w:r>
          </w:p>
        </w:tc>
        <w:tc>
          <w:tcPr>
            <w:tcW w:w="1134" w:type="dxa"/>
            <w:tcBorders>
              <w:top w:val="nil"/>
              <w:left w:val="nil"/>
              <w:bottom w:val="single" w:sz="4" w:space="0" w:color="auto"/>
              <w:right w:val="single" w:sz="4" w:space="0" w:color="auto"/>
            </w:tcBorders>
            <w:hideMark/>
          </w:tcPr>
          <w:p w14:paraId="1D50ABF6"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(176.0)</w:t>
            </w:r>
          </w:p>
        </w:tc>
        <w:tc>
          <w:tcPr>
            <w:tcW w:w="1134" w:type="dxa"/>
            <w:tcBorders>
              <w:top w:val="nil"/>
              <w:left w:val="single" w:sz="4" w:space="0" w:color="auto"/>
              <w:bottom w:val="single" w:sz="4" w:space="0" w:color="auto"/>
              <w:right w:val="single" w:sz="4" w:space="0" w:color="auto"/>
            </w:tcBorders>
            <w:noWrap/>
          </w:tcPr>
          <w:p w14:paraId="3AE1BA2F"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151.0</w:t>
            </w:r>
            <w:r w:rsidRPr="00C921DE">
              <w:rPr>
                <w:rFonts w:ascii="GHEA Grapalat" w:hAnsi="GHEA Grapalat" w:cs="Calibri"/>
                <w:sz w:val="18"/>
                <w:szCs w:val="18"/>
                <w:lang w:val="en-US"/>
              </w:rPr>
              <w:t>)</w:t>
            </w:r>
          </w:p>
        </w:tc>
        <w:tc>
          <w:tcPr>
            <w:tcW w:w="1134" w:type="dxa"/>
            <w:tcBorders>
              <w:top w:val="nil"/>
              <w:left w:val="nil"/>
              <w:bottom w:val="single" w:sz="4" w:space="0" w:color="auto"/>
              <w:right w:val="single" w:sz="4" w:space="0" w:color="auto"/>
            </w:tcBorders>
            <w:noWrap/>
            <w:hideMark/>
          </w:tcPr>
          <w:p w14:paraId="00B0714C"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151.0</w:t>
            </w:r>
            <w:r w:rsidRPr="00C921DE">
              <w:rPr>
                <w:rFonts w:ascii="GHEA Grapalat" w:hAnsi="GHEA Grapalat" w:cs="Calibri"/>
                <w:sz w:val="18"/>
                <w:szCs w:val="18"/>
                <w:lang w:val="en-US"/>
              </w:rPr>
              <w:t>)</w:t>
            </w:r>
          </w:p>
        </w:tc>
        <w:tc>
          <w:tcPr>
            <w:tcW w:w="1418" w:type="dxa"/>
            <w:tcBorders>
              <w:top w:val="nil"/>
              <w:left w:val="nil"/>
              <w:bottom w:val="single" w:sz="4" w:space="0" w:color="auto"/>
              <w:right w:val="single" w:sz="4" w:space="0" w:color="auto"/>
            </w:tcBorders>
            <w:noWrap/>
          </w:tcPr>
          <w:p w14:paraId="0BF72A62"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100.0</w:t>
            </w:r>
          </w:p>
        </w:tc>
        <w:tc>
          <w:tcPr>
            <w:tcW w:w="1311" w:type="dxa"/>
            <w:tcBorders>
              <w:top w:val="nil"/>
              <w:left w:val="nil"/>
              <w:bottom w:val="single" w:sz="4" w:space="0" w:color="auto"/>
              <w:right w:val="single" w:sz="4" w:space="0" w:color="auto"/>
            </w:tcBorders>
            <w:hideMark/>
          </w:tcPr>
          <w:p w14:paraId="2421A6CE"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85.8</w:t>
            </w:r>
          </w:p>
        </w:tc>
      </w:tr>
      <w:tr w:rsidR="0046194F" w:rsidRPr="00C921DE" w14:paraId="1D0057EC" w14:textId="77777777" w:rsidTr="0046194F">
        <w:trPr>
          <w:trHeight w:val="431"/>
        </w:trPr>
        <w:tc>
          <w:tcPr>
            <w:tcW w:w="4219" w:type="dxa"/>
            <w:tcBorders>
              <w:top w:val="nil"/>
              <w:left w:val="single" w:sz="4" w:space="0" w:color="auto"/>
              <w:bottom w:val="single" w:sz="4" w:space="0" w:color="auto"/>
              <w:right w:val="single" w:sz="4" w:space="0" w:color="auto"/>
            </w:tcBorders>
            <w:noWrap/>
            <w:hideMark/>
          </w:tcPr>
          <w:p w14:paraId="0317AD37" w14:textId="77777777" w:rsidR="0046194F" w:rsidRPr="00C921DE" w:rsidRDefault="0046194F" w:rsidP="0046194F">
            <w:pPr>
              <w:spacing w:line="256" w:lineRule="auto"/>
              <w:ind w:firstLineChars="100" w:firstLine="180"/>
              <w:rPr>
                <w:rFonts w:ascii="GHEA Grapalat" w:hAnsi="GHEA Grapalat" w:cs="Calibri"/>
                <w:sz w:val="18"/>
                <w:szCs w:val="18"/>
              </w:rPr>
            </w:pPr>
            <w:r w:rsidRPr="00C921DE">
              <w:rPr>
                <w:rFonts w:ascii="GHEA Grapalat" w:hAnsi="GHEA Grapalat" w:cs="Calibri"/>
                <w:sz w:val="18"/>
                <w:szCs w:val="18"/>
              </w:rPr>
              <w:t>Տրամադրված վարկերի և փոխատվությունների վերադարձից մուտքեր (Վրաստանից)</w:t>
            </w:r>
          </w:p>
        </w:tc>
        <w:tc>
          <w:tcPr>
            <w:tcW w:w="1134" w:type="dxa"/>
            <w:tcBorders>
              <w:top w:val="nil"/>
              <w:left w:val="nil"/>
              <w:bottom w:val="single" w:sz="4" w:space="0" w:color="auto"/>
              <w:right w:val="single" w:sz="4" w:space="0" w:color="auto"/>
            </w:tcBorders>
            <w:hideMark/>
          </w:tcPr>
          <w:p w14:paraId="3E5CC7D6"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0.</w:t>
            </w:r>
            <w:r w:rsidRPr="00C921DE">
              <w:rPr>
                <w:rFonts w:ascii="GHEA Grapalat" w:hAnsi="GHEA Grapalat" w:cs="Calibri"/>
                <w:sz w:val="18"/>
                <w:szCs w:val="18"/>
                <w:lang w:val="en-US"/>
              </w:rPr>
              <w:t>4</w:t>
            </w:r>
          </w:p>
        </w:tc>
        <w:tc>
          <w:tcPr>
            <w:tcW w:w="1134" w:type="dxa"/>
            <w:tcBorders>
              <w:top w:val="nil"/>
              <w:left w:val="single" w:sz="4" w:space="0" w:color="auto"/>
              <w:bottom w:val="single" w:sz="4" w:space="0" w:color="auto"/>
              <w:right w:val="single" w:sz="4" w:space="0" w:color="auto"/>
            </w:tcBorders>
            <w:noWrap/>
            <w:hideMark/>
          </w:tcPr>
          <w:p w14:paraId="086B20B5"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0.</w:t>
            </w:r>
            <w:r w:rsidRPr="00C921DE">
              <w:rPr>
                <w:rFonts w:ascii="GHEA Grapalat" w:hAnsi="GHEA Grapalat" w:cs="Calibri"/>
                <w:sz w:val="18"/>
                <w:szCs w:val="18"/>
                <w:lang w:val="en-US"/>
              </w:rPr>
              <w:t>4</w:t>
            </w:r>
          </w:p>
        </w:tc>
        <w:tc>
          <w:tcPr>
            <w:tcW w:w="1134" w:type="dxa"/>
            <w:tcBorders>
              <w:top w:val="nil"/>
              <w:left w:val="nil"/>
              <w:bottom w:val="single" w:sz="4" w:space="0" w:color="auto"/>
              <w:right w:val="single" w:sz="4" w:space="0" w:color="auto"/>
            </w:tcBorders>
            <w:noWrap/>
            <w:hideMark/>
          </w:tcPr>
          <w:p w14:paraId="10D28092"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0.3</w:t>
            </w:r>
          </w:p>
        </w:tc>
        <w:tc>
          <w:tcPr>
            <w:tcW w:w="1418" w:type="dxa"/>
            <w:tcBorders>
              <w:top w:val="nil"/>
              <w:left w:val="nil"/>
              <w:bottom w:val="single" w:sz="4" w:space="0" w:color="auto"/>
              <w:right w:val="single" w:sz="4" w:space="0" w:color="auto"/>
            </w:tcBorders>
            <w:noWrap/>
            <w:hideMark/>
          </w:tcPr>
          <w:p w14:paraId="769B1915"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97.6</w:t>
            </w:r>
          </w:p>
        </w:tc>
        <w:tc>
          <w:tcPr>
            <w:tcW w:w="1311" w:type="dxa"/>
            <w:tcBorders>
              <w:top w:val="nil"/>
              <w:left w:val="nil"/>
              <w:bottom w:val="single" w:sz="4" w:space="0" w:color="auto"/>
              <w:right w:val="single" w:sz="4" w:space="0" w:color="auto"/>
            </w:tcBorders>
            <w:hideMark/>
          </w:tcPr>
          <w:p w14:paraId="371E35BD"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93.4</w:t>
            </w:r>
          </w:p>
        </w:tc>
      </w:tr>
      <w:tr w:rsidR="0046194F" w:rsidRPr="00C921DE" w14:paraId="2B26DECC" w14:textId="77777777" w:rsidTr="0046194F">
        <w:trPr>
          <w:trHeight w:val="431"/>
        </w:trPr>
        <w:tc>
          <w:tcPr>
            <w:tcW w:w="4219" w:type="dxa"/>
            <w:tcBorders>
              <w:top w:val="nil"/>
              <w:left w:val="single" w:sz="4" w:space="0" w:color="auto"/>
              <w:bottom w:val="single" w:sz="4" w:space="0" w:color="auto"/>
              <w:right w:val="single" w:sz="4" w:space="0" w:color="auto"/>
            </w:tcBorders>
            <w:noWrap/>
            <w:hideMark/>
          </w:tcPr>
          <w:p w14:paraId="3139BE6B" w14:textId="77777777" w:rsidR="0046194F" w:rsidRPr="00C921DE" w:rsidRDefault="0046194F" w:rsidP="0046194F">
            <w:pPr>
              <w:spacing w:line="256" w:lineRule="auto"/>
              <w:ind w:firstLineChars="100" w:firstLine="180"/>
              <w:rPr>
                <w:rFonts w:ascii="GHEA Grapalat" w:hAnsi="GHEA Grapalat" w:cs="Calibri"/>
                <w:sz w:val="18"/>
                <w:szCs w:val="18"/>
              </w:rPr>
            </w:pPr>
            <w:r w:rsidRPr="00C921DE">
              <w:rPr>
                <w:rFonts w:ascii="GHEA Grapalat" w:hAnsi="GHEA Grapalat" w:cs="Calibri"/>
                <w:sz w:val="18"/>
                <w:szCs w:val="18"/>
              </w:rPr>
              <w:t>Բաժնետոմսերի և կապիտալում այլ մասնակցության ձեռքբերում</w:t>
            </w:r>
          </w:p>
        </w:tc>
        <w:tc>
          <w:tcPr>
            <w:tcW w:w="1134" w:type="dxa"/>
            <w:tcBorders>
              <w:top w:val="nil"/>
              <w:left w:val="nil"/>
              <w:bottom w:val="single" w:sz="4" w:space="0" w:color="auto"/>
              <w:right w:val="single" w:sz="4" w:space="0" w:color="auto"/>
            </w:tcBorders>
            <w:hideMark/>
          </w:tcPr>
          <w:p w14:paraId="0F4AE5DE"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1.</w:t>
            </w:r>
            <w:r w:rsidRPr="00C921DE">
              <w:rPr>
                <w:rFonts w:ascii="GHEA Grapalat" w:hAnsi="GHEA Grapalat" w:cs="Calibri"/>
                <w:sz w:val="18"/>
                <w:szCs w:val="18"/>
                <w:lang w:val="en-US"/>
              </w:rPr>
              <w:t>1)</w:t>
            </w:r>
          </w:p>
        </w:tc>
        <w:tc>
          <w:tcPr>
            <w:tcW w:w="1134" w:type="dxa"/>
            <w:tcBorders>
              <w:top w:val="nil"/>
              <w:left w:val="single" w:sz="4" w:space="0" w:color="auto"/>
              <w:bottom w:val="single" w:sz="4" w:space="0" w:color="auto"/>
              <w:right w:val="single" w:sz="4" w:space="0" w:color="auto"/>
            </w:tcBorders>
            <w:noWrap/>
            <w:hideMark/>
          </w:tcPr>
          <w:p w14:paraId="476124B4"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2.7</w:t>
            </w:r>
            <w:r w:rsidRPr="00C921DE">
              <w:rPr>
                <w:rFonts w:ascii="GHEA Grapalat" w:hAnsi="GHEA Grapalat" w:cs="Calibri"/>
                <w:sz w:val="18"/>
                <w:szCs w:val="18"/>
                <w:lang w:val="en-US"/>
              </w:rPr>
              <w:t>)</w:t>
            </w:r>
          </w:p>
        </w:tc>
        <w:tc>
          <w:tcPr>
            <w:tcW w:w="1134" w:type="dxa"/>
            <w:tcBorders>
              <w:top w:val="nil"/>
              <w:left w:val="nil"/>
              <w:bottom w:val="single" w:sz="4" w:space="0" w:color="auto"/>
              <w:right w:val="single" w:sz="4" w:space="0" w:color="auto"/>
            </w:tcBorders>
            <w:noWrap/>
            <w:hideMark/>
          </w:tcPr>
          <w:p w14:paraId="74C9E9ED"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w:t>
            </w:r>
            <w:r w:rsidRPr="00C921DE">
              <w:rPr>
                <w:rFonts w:ascii="GHEA Grapalat" w:hAnsi="GHEA Grapalat" w:cs="Calibri"/>
                <w:sz w:val="18"/>
                <w:szCs w:val="18"/>
              </w:rPr>
              <w:t>2.</w:t>
            </w:r>
            <w:r w:rsidRPr="00C921DE">
              <w:rPr>
                <w:rFonts w:ascii="GHEA Grapalat" w:hAnsi="GHEA Grapalat" w:cs="Calibri"/>
                <w:sz w:val="18"/>
                <w:szCs w:val="18"/>
                <w:lang w:val="en-US"/>
              </w:rPr>
              <w:t>1)</w:t>
            </w:r>
          </w:p>
        </w:tc>
        <w:tc>
          <w:tcPr>
            <w:tcW w:w="1418" w:type="dxa"/>
            <w:tcBorders>
              <w:top w:val="nil"/>
              <w:left w:val="nil"/>
              <w:bottom w:val="single" w:sz="4" w:space="0" w:color="auto"/>
              <w:right w:val="single" w:sz="4" w:space="0" w:color="auto"/>
            </w:tcBorders>
            <w:noWrap/>
            <w:hideMark/>
          </w:tcPr>
          <w:p w14:paraId="01200F74"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75.6</w:t>
            </w:r>
          </w:p>
        </w:tc>
        <w:tc>
          <w:tcPr>
            <w:tcW w:w="1311" w:type="dxa"/>
            <w:tcBorders>
              <w:top w:val="nil"/>
              <w:left w:val="nil"/>
              <w:bottom w:val="single" w:sz="4" w:space="0" w:color="auto"/>
              <w:right w:val="single" w:sz="4" w:space="0" w:color="auto"/>
            </w:tcBorders>
            <w:hideMark/>
          </w:tcPr>
          <w:p w14:paraId="45FD8D69"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196.6</w:t>
            </w:r>
          </w:p>
        </w:tc>
      </w:tr>
      <w:tr w:rsidR="0046194F" w:rsidRPr="00C921DE" w14:paraId="25514A7D" w14:textId="77777777" w:rsidTr="0046194F">
        <w:trPr>
          <w:trHeight w:val="300"/>
        </w:trPr>
        <w:tc>
          <w:tcPr>
            <w:tcW w:w="4219" w:type="dxa"/>
            <w:tcBorders>
              <w:top w:val="nil"/>
              <w:left w:val="single" w:sz="4" w:space="0" w:color="auto"/>
              <w:bottom w:val="single" w:sz="4" w:space="0" w:color="auto"/>
              <w:right w:val="single" w:sz="4" w:space="0" w:color="auto"/>
            </w:tcBorders>
            <w:noWrap/>
            <w:hideMark/>
          </w:tcPr>
          <w:p w14:paraId="0D3DFB66" w14:textId="77777777" w:rsidR="0046194F" w:rsidRPr="00C921DE" w:rsidRDefault="0046194F" w:rsidP="0046194F">
            <w:pPr>
              <w:spacing w:line="256" w:lineRule="auto"/>
              <w:ind w:firstLineChars="100" w:firstLine="180"/>
              <w:rPr>
                <w:rFonts w:ascii="GHEA Grapalat" w:hAnsi="GHEA Grapalat" w:cs="Calibri"/>
                <w:sz w:val="18"/>
                <w:szCs w:val="18"/>
              </w:rPr>
            </w:pPr>
            <w:r w:rsidRPr="00C921DE">
              <w:rPr>
                <w:rFonts w:ascii="GHEA Grapalat" w:hAnsi="GHEA Grapalat" w:cs="Calibri"/>
                <w:sz w:val="18"/>
                <w:szCs w:val="18"/>
              </w:rPr>
              <w:t>Այլ</w:t>
            </w:r>
          </w:p>
        </w:tc>
        <w:tc>
          <w:tcPr>
            <w:tcW w:w="1134" w:type="dxa"/>
            <w:tcBorders>
              <w:top w:val="nil"/>
              <w:left w:val="nil"/>
              <w:bottom w:val="single" w:sz="4" w:space="0" w:color="auto"/>
              <w:right w:val="single" w:sz="4" w:space="0" w:color="auto"/>
            </w:tcBorders>
            <w:hideMark/>
          </w:tcPr>
          <w:p w14:paraId="1DE22FE1"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1.9</w:t>
            </w:r>
          </w:p>
        </w:tc>
        <w:tc>
          <w:tcPr>
            <w:tcW w:w="1134" w:type="dxa"/>
            <w:tcBorders>
              <w:top w:val="nil"/>
              <w:left w:val="single" w:sz="4" w:space="0" w:color="auto"/>
              <w:bottom w:val="single" w:sz="4" w:space="0" w:color="auto"/>
              <w:right w:val="single" w:sz="4" w:space="0" w:color="auto"/>
            </w:tcBorders>
            <w:noWrap/>
            <w:hideMark/>
          </w:tcPr>
          <w:p w14:paraId="09538A95"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0.2</w:t>
            </w:r>
          </w:p>
        </w:tc>
        <w:tc>
          <w:tcPr>
            <w:tcW w:w="1134" w:type="dxa"/>
            <w:tcBorders>
              <w:top w:val="nil"/>
              <w:left w:val="nil"/>
              <w:bottom w:val="single" w:sz="4" w:space="0" w:color="auto"/>
              <w:right w:val="single" w:sz="4" w:space="0" w:color="auto"/>
            </w:tcBorders>
            <w:noWrap/>
            <w:hideMark/>
          </w:tcPr>
          <w:p w14:paraId="64F82050"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2.5</w:t>
            </w:r>
          </w:p>
        </w:tc>
        <w:tc>
          <w:tcPr>
            <w:tcW w:w="1418" w:type="dxa"/>
            <w:tcBorders>
              <w:top w:val="nil"/>
              <w:left w:val="nil"/>
              <w:bottom w:val="single" w:sz="4" w:space="0" w:color="auto"/>
              <w:right w:val="single" w:sz="4" w:space="0" w:color="auto"/>
            </w:tcBorders>
            <w:noWrap/>
            <w:hideMark/>
          </w:tcPr>
          <w:p w14:paraId="1DFC8105" w14:textId="77777777" w:rsidR="0046194F" w:rsidRPr="00C921DE" w:rsidRDefault="0046194F" w:rsidP="0046194F">
            <w:pPr>
              <w:spacing w:line="360" w:lineRule="auto"/>
              <w:jc w:val="right"/>
              <w:rPr>
                <w:rFonts w:ascii="GHEA Grapalat" w:hAnsi="GHEA Grapalat" w:cs="Calibri"/>
                <w:sz w:val="18"/>
                <w:szCs w:val="18"/>
                <w:lang w:val="en-US"/>
              </w:rPr>
            </w:pPr>
            <w:r w:rsidRPr="00C921DE">
              <w:rPr>
                <w:rFonts w:ascii="GHEA Grapalat" w:hAnsi="GHEA Grapalat" w:cs="Calibri"/>
                <w:sz w:val="18"/>
                <w:szCs w:val="18"/>
                <w:lang w:val="en-US"/>
              </w:rPr>
              <w:t>1589.0</w:t>
            </w:r>
          </w:p>
        </w:tc>
        <w:tc>
          <w:tcPr>
            <w:tcW w:w="1311" w:type="dxa"/>
            <w:tcBorders>
              <w:top w:val="nil"/>
              <w:left w:val="nil"/>
              <w:bottom w:val="single" w:sz="4" w:space="0" w:color="auto"/>
              <w:right w:val="single" w:sz="4" w:space="0" w:color="auto"/>
            </w:tcBorders>
            <w:hideMark/>
          </w:tcPr>
          <w:p w14:paraId="7AEE5C21"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136.5</w:t>
            </w:r>
          </w:p>
        </w:tc>
      </w:tr>
    </w:tbl>
    <w:p w14:paraId="10A942E2" w14:textId="77777777" w:rsidR="00C56BD7" w:rsidRPr="00C921DE" w:rsidRDefault="00C56BD7" w:rsidP="00C56BD7">
      <w:pPr>
        <w:autoSpaceDE w:val="0"/>
        <w:autoSpaceDN w:val="0"/>
        <w:adjustRightInd w:val="0"/>
        <w:spacing w:line="360" w:lineRule="auto"/>
        <w:ind w:firstLine="567"/>
        <w:jc w:val="both"/>
        <w:rPr>
          <w:rFonts w:ascii="GHEA Grapalat" w:hAnsi="GHEA Grapalat" w:cs="GHEA Grapalat"/>
          <w:sz w:val="22"/>
          <w:szCs w:val="22"/>
        </w:rPr>
        <w:sectPr w:rsidR="00C56BD7" w:rsidRPr="00C921DE" w:rsidSect="00A41AD1">
          <w:headerReference w:type="default" r:id="rId90"/>
          <w:pgSz w:w="11909" w:h="16834" w:code="9"/>
          <w:pgMar w:top="1134" w:right="567" w:bottom="567" w:left="1134" w:header="720" w:footer="397" w:gutter="0"/>
          <w:cols w:space="720"/>
          <w:docGrid w:linePitch="360"/>
        </w:sectPr>
      </w:pPr>
    </w:p>
    <w:p w14:paraId="487782CF" w14:textId="0DAB3AA2" w:rsidR="001C411D" w:rsidRPr="00C921DE" w:rsidRDefault="001C411D" w:rsidP="00DD39CD">
      <w:pPr>
        <w:pStyle w:val="Heading1"/>
        <w:spacing w:line="480" w:lineRule="auto"/>
        <w:rPr>
          <w:rFonts w:ascii="GHEA Grapalat" w:hAnsi="GHEA Grapalat" w:cs="Sylfaen"/>
          <w:sz w:val="22"/>
          <w:szCs w:val="22"/>
          <w:lang w:val="en-US"/>
        </w:rPr>
      </w:pPr>
      <w:bookmarkStart w:id="270" w:name="_Toc163745460"/>
      <w:r w:rsidRPr="00C921DE">
        <w:rPr>
          <w:rFonts w:ascii="GHEA Grapalat" w:hAnsi="GHEA Grapalat" w:cs="Sylfaen"/>
          <w:sz w:val="22"/>
          <w:szCs w:val="22"/>
        </w:rPr>
        <w:lastRenderedPageBreak/>
        <w:t>Հ</w:t>
      </w:r>
      <w:r w:rsidRPr="00C921DE">
        <w:rPr>
          <w:rFonts w:ascii="GHEA Grapalat" w:hAnsi="GHEA Grapalat" w:cs="Sylfaen"/>
          <w:sz w:val="22"/>
          <w:szCs w:val="22"/>
          <w:lang w:val="en-US"/>
        </w:rPr>
        <w:t xml:space="preserve">ԱՅԱՍՏԱՆԻ </w:t>
      </w:r>
      <w:r w:rsidRPr="00C921DE">
        <w:rPr>
          <w:rFonts w:ascii="GHEA Grapalat" w:hAnsi="GHEA Grapalat" w:cs="Sylfaen"/>
          <w:sz w:val="22"/>
          <w:szCs w:val="22"/>
        </w:rPr>
        <w:t>Հ</w:t>
      </w:r>
      <w:r w:rsidRPr="00C921DE">
        <w:rPr>
          <w:rFonts w:ascii="GHEA Grapalat" w:hAnsi="GHEA Grapalat" w:cs="Sylfaen"/>
          <w:sz w:val="22"/>
          <w:szCs w:val="22"/>
          <w:lang w:val="en-US"/>
        </w:rPr>
        <w:t>ԱՆՐԱՊԵՏՈՒԹՅԱՆ</w:t>
      </w:r>
      <w:r w:rsidRPr="00C921DE">
        <w:rPr>
          <w:rFonts w:ascii="GHEA Grapalat" w:hAnsi="GHEA Grapalat" w:cs="Sylfaen"/>
          <w:sz w:val="22"/>
          <w:szCs w:val="22"/>
        </w:rPr>
        <w:t xml:space="preserve"> ՊԵՏԱԿԱՆ ՊԱՐՏՔԸ</w:t>
      </w:r>
      <w:r w:rsidR="00A57E39" w:rsidRPr="00C921DE">
        <w:rPr>
          <w:rFonts w:ascii="GHEA Grapalat" w:hAnsi="GHEA Grapalat" w:cs="Sylfaen"/>
          <w:sz w:val="22"/>
          <w:szCs w:val="22"/>
          <w:lang w:val="en-US"/>
        </w:rPr>
        <w:t xml:space="preserve"> 2023 ԹՎԱԿԱՆԻՆ</w:t>
      </w:r>
      <w:r w:rsidRPr="00C921DE">
        <w:rPr>
          <w:rStyle w:val="FootnoteReference"/>
          <w:rFonts w:ascii="GHEA Grapalat" w:hAnsi="GHEA Grapalat"/>
          <w:sz w:val="22"/>
          <w:szCs w:val="22"/>
        </w:rPr>
        <w:footnoteReference w:id="42"/>
      </w:r>
      <w:bookmarkEnd w:id="270"/>
    </w:p>
    <w:p w14:paraId="460ED659" w14:textId="7358798D"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202</w:t>
      </w:r>
      <w:r w:rsidRPr="00C921DE">
        <w:rPr>
          <w:rFonts w:ascii="GHEA Grapalat" w:hAnsi="GHEA Grapalat"/>
          <w:sz w:val="22"/>
          <w:szCs w:val="22"/>
          <w:lang w:val="en-US"/>
        </w:rPr>
        <w:t>3</w:t>
      </w:r>
      <w:r w:rsidRPr="00C921DE">
        <w:rPr>
          <w:rFonts w:ascii="GHEA Grapalat" w:hAnsi="GHEA Grapalat"/>
          <w:sz w:val="22"/>
          <w:szCs w:val="22"/>
        </w:rPr>
        <w:t xml:space="preserve"> թվականի դեկտեմբերի 31-ի դրությամբ ՀՀ պետական պարտքը կազմել է 4,</w:t>
      </w:r>
      <w:r w:rsidRPr="00C921DE">
        <w:rPr>
          <w:rFonts w:ascii="GHEA Grapalat" w:hAnsi="GHEA Grapalat"/>
          <w:sz w:val="22"/>
          <w:szCs w:val="22"/>
          <w:lang w:val="en-US"/>
        </w:rPr>
        <w:t>794.9</w:t>
      </w:r>
      <w:r w:rsidRPr="00C921DE">
        <w:rPr>
          <w:rFonts w:ascii="GHEA Grapalat" w:hAnsi="GHEA Grapalat"/>
          <w:sz w:val="22"/>
          <w:szCs w:val="22"/>
        </w:rPr>
        <w:t xml:space="preserve"> մլրդ դրամ (</w:t>
      </w:r>
      <w:r w:rsidRPr="00C921DE">
        <w:rPr>
          <w:rFonts w:ascii="GHEA Grapalat" w:hAnsi="GHEA Grapalat"/>
          <w:sz w:val="22"/>
          <w:szCs w:val="22"/>
          <w:lang w:val="en-US"/>
        </w:rPr>
        <w:t>11,845.3</w:t>
      </w:r>
      <w:r w:rsidRPr="00C921DE">
        <w:rPr>
          <w:rFonts w:ascii="GHEA Grapalat" w:hAnsi="GHEA Grapalat"/>
          <w:sz w:val="22"/>
          <w:szCs w:val="22"/>
        </w:rPr>
        <w:t xml:space="preserve"> մլն ԱՄՆ դոլար): ՀՀ դրամով և ԱՄՆ դոլարով արտահայտված` ՀՀ պետական պարտքի ցուցանիշների աճը նախորդ տարեվերջի համեմատությամբ կազմել է համապատասխանաբար 14.5% և 11.4%: ՀՀ պետական պարտքում 2,631.7 մլրդ դրամը (6,501.5 մլն ԱՄՆ դոլարը) կազմել է արտաքին պարտքը, 2,163.2 մլրդ դրամը (5,343.9 մլն ԱՄՆ դոլարը)՝ ներքին պարտքը:</w:t>
      </w:r>
    </w:p>
    <w:p w14:paraId="4241DB70" w14:textId="77777777" w:rsidR="0046194F" w:rsidRPr="00C921DE" w:rsidRDefault="0046194F" w:rsidP="0046194F">
      <w:pPr>
        <w:autoSpaceDE w:val="0"/>
        <w:autoSpaceDN w:val="0"/>
        <w:adjustRightInd w:val="0"/>
        <w:ind w:firstLine="567"/>
        <w:jc w:val="both"/>
        <w:rPr>
          <w:rFonts w:ascii="GHEA Grapalat" w:hAnsi="GHEA Grapalat"/>
          <w:sz w:val="22"/>
          <w:szCs w:val="22"/>
        </w:rPr>
      </w:pPr>
    </w:p>
    <w:p w14:paraId="738C3FFC" w14:textId="214047D9" w:rsidR="0046194F" w:rsidRPr="00C921DE" w:rsidRDefault="0046194F" w:rsidP="0046194F">
      <w:pPr>
        <w:pStyle w:val="Caption"/>
        <w:keepNext/>
        <w:numPr>
          <w:ilvl w:val="0"/>
          <w:numId w:val="16"/>
        </w:numPr>
        <w:tabs>
          <w:tab w:val="left" w:pos="1276"/>
        </w:tabs>
        <w:ind w:left="0" w:firstLine="0"/>
        <w:jc w:val="left"/>
        <w:rPr>
          <w:rFonts w:ascii="GHEA Grapalat" w:hAnsi="GHEA Grapalat"/>
          <w:i/>
          <w:sz w:val="18"/>
          <w:szCs w:val="18"/>
          <w:lang w:val="hy-AM"/>
        </w:rPr>
      </w:pPr>
      <w:r w:rsidRPr="00C921DE">
        <w:rPr>
          <w:rFonts w:ascii="GHEA Grapalat" w:hAnsi="GHEA Grapalat"/>
          <w:i/>
          <w:sz w:val="18"/>
          <w:szCs w:val="18"/>
          <w:lang w:val="hy-AM"/>
        </w:rPr>
        <w:t>ՀՀ պետական պարտքը</w:t>
      </w:r>
    </w:p>
    <w:tbl>
      <w:tblPr>
        <w:tblW w:w="10200" w:type="dxa"/>
        <w:tblInd w:w="108" w:type="dxa"/>
        <w:tblLayout w:type="fixed"/>
        <w:tblLook w:val="04A0" w:firstRow="1" w:lastRow="0" w:firstColumn="1" w:lastColumn="0" w:noHBand="0" w:noVBand="1"/>
      </w:tblPr>
      <w:tblGrid>
        <w:gridCol w:w="4140"/>
        <w:gridCol w:w="1417"/>
        <w:gridCol w:w="1418"/>
        <w:gridCol w:w="1701"/>
        <w:gridCol w:w="1524"/>
      </w:tblGrid>
      <w:tr w:rsidR="0046194F" w:rsidRPr="00C921DE" w14:paraId="7D2A439B" w14:textId="77777777" w:rsidTr="00A90995">
        <w:trPr>
          <w:trHeight w:val="513"/>
        </w:trPr>
        <w:tc>
          <w:tcPr>
            <w:tcW w:w="4140" w:type="dxa"/>
            <w:tcBorders>
              <w:top w:val="single" w:sz="4" w:space="0" w:color="auto"/>
              <w:left w:val="single" w:sz="4" w:space="0" w:color="auto"/>
              <w:bottom w:val="single" w:sz="4" w:space="0" w:color="auto"/>
              <w:right w:val="single" w:sz="4" w:space="0" w:color="auto"/>
            </w:tcBorders>
            <w:noWrap/>
            <w:vAlign w:val="bottom"/>
            <w:hideMark/>
          </w:tcPr>
          <w:p w14:paraId="667FA0C1" w14:textId="77777777" w:rsidR="0046194F" w:rsidRPr="00C921DE" w:rsidRDefault="0046194F" w:rsidP="0046194F">
            <w:pPr>
              <w:pStyle w:val="ListParagraph"/>
              <w:spacing w:line="256" w:lineRule="auto"/>
              <w:ind w:left="2771"/>
              <w:rPr>
                <w:rFonts w:ascii="GHEA Grapalat" w:hAnsi="GHEA Grapalat"/>
                <w:sz w:val="18"/>
                <w:szCs w:val="18"/>
                <w:lang w:val="hy-AM"/>
              </w:rPr>
            </w:pPr>
            <w:r w:rsidRPr="00C921DE">
              <w:rPr>
                <w:rFonts w:ascii="Courier New" w:hAnsi="Courier New" w:cs="Courier New"/>
                <w:sz w:val="18"/>
                <w:szCs w:val="18"/>
                <w:lang w:val="hy-AM"/>
              </w:rPr>
              <w:t> </w:t>
            </w:r>
          </w:p>
        </w:tc>
        <w:tc>
          <w:tcPr>
            <w:tcW w:w="1417" w:type="dxa"/>
            <w:tcBorders>
              <w:top w:val="single" w:sz="4" w:space="0" w:color="auto"/>
              <w:left w:val="nil"/>
              <w:bottom w:val="single" w:sz="4" w:space="0" w:color="auto"/>
              <w:right w:val="single" w:sz="4" w:space="0" w:color="auto"/>
            </w:tcBorders>
            <w:vAlign w:val="center"/>
            <w:hideMark/>
          </w:tcPr>
          <w:p w14:paraId="4946EFD8" w14:textId="77777777" w:rsidR="0046194F" w:rsidRPr="00C921DE" w:rsidRDefault="0046194F" w:rsidP="0046194F">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Առ 31.12.2022թ.</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6C023E" w14:textId="77777777" w:rsidR="0046194F" w:rsidRPr="00C921DE" w:rsidRDefault="0046194F" w:rsidP="0046194F">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Առ 31.12.2023թ.</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3A46DF2B" w14:textId="77777777" w:rsidR="00A90995" w:rsidRPr="00C921DE" w:rsidRDefault="00A90995" w:rsidP="00A90995">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Փոփոխություն</w:t>
            </w:r>
          </w:p>
          <w:p w14:paraId="679ED704" w14:textId="1D72056D" w:rsidR="0046194F" w:rsidRPr="00C921DE" w:rsidRDefault="0046194F" w:rsidP="00A90995">
            <w:pPr>
              <w:spacing w:line="256" w:lineRule="auto"/>
              <w:jc w:val="center"/>
              <w:rPr>
                <w:rFonts w:ascii="GHEA Grapalat" w:hAnsi="GHEA Grapalat" w:cs="Calibri"/>
                <w:b/>
                <w:bCs/>
                <w:sz w:val="18"/>
                <w:szCs w:val="18"/>
              </w:rPr>
            </w:pPr>
            <w:r w:rsidRPr="00C921DE">
              <w:rPr>
                <w:rFonts w:ascii="GHEA Grapalat" w:hAnsi="GHEA Grapalat" w:cs="Calibri"/>
                <w:b/>
                <w:bCs/>
                <w:sz w:val="18"/>
                <w:szCs w:val="18"/>
              </w:rPr>
              <w:t>գումար</w:t>
            </w:r>
          </w:p>
        </w:tc>
        <w:tc>
          <w:tcPr>
            <w:tcW w:w="1524" w:type="dxa"/>
            <w:tcBorders>
              <w:top w:val="single" w:sz="4" w:space="0" w:color="auto"/>
              <w:left w:val="nil"/>
              <w:bottom w:val="single" w:sz="4" w:space="0" w:color="auto"/>
              <w:right w:val="single" w:sz="4" w:space="0" w:color="auto"/>
            </w:tcBorders>
            <w:shd w:val="clear" w:color="auto" w:fill="FFFFFF"/>
            <w:vAlign w:val="center"/>
            <w:hideMark/>
          </w:tcPr>
          <w:p w14:paraId="53ABB421" w14:textId="744E8987" w:rsidR="0046194F" w:rsidRPr="00C921DE" w:rsidRDefault="0046194F" w:rsidP="00A90995">
            <w:pPr>
              <w:spacing w:line="256" w:lineRule="auto"/>
              <w:jc w:val="center"/>
              <w:rPr>
                <w:rFonts w:ascii="GHEA Grapalat" w:hAnsi="GHEA Grapalat" w:cs="Calibri"/>
                <w:b/>
                <w:bCs/>
                <w:sz w:val="18"/>
                <w:szCs w:val="18"/>
                <w:lang w:val="en-US"/>
              </w:rPr>
            </w:pPr>
            <w:r w:rsidRPr="00C921DE">
              <w:rPr>
                <w:rFonts w:ascii="GHEA Grapalat" w:hAnsi="GHEA Grapalat" w:cs="Calibri"/>
                <w:b/>
                <w:bCs/>
                <w:sz w:val="18"/>
                <w:szCs w:val="18"/>
              </w:rPr>
              <w:t>Փոփոխություն</w:t>
            </w:r>
            <w:r w:rsidRPr="00C921DE">
              <w:rPr>
                <w:rFonts w:ascii="GHEA Grapalat" w:hAnsi="GHEA Grapalat" w:cs="Calibri"/>
                <w:b/>
                <w:bCs/>
                <w:sz w:val="18"/>
                <w:szCs w:val="18"/>
                <w:lang w:val="en-US"/>
              </w:rPr>
              <w:t>%</w:t>
            </w:r>
          </w:p>
        </w:tc>
      </w:tr>
      <w:tr w:rsidR="0046194F" w:rsidRPr="00C921DE" w14:paraId="6F9CAB55" w14:textId="77777777" w:rsidTr="00A90995">
        <w:trPr>
          <w:trHeight w:val="272"/>
        </w:trPr>
        <w:tc>
          <w:tcPr>
            <w:tcW w:w="4140" w:type="dxa"/>
            <w:tcBorders>
              <w:top w:val="nil"/>
              <w:left w:val="single" w:sz="4" w:space="0" w:color="auto"/>
              <w:bottom w:val="single" w:sz="4" w:space="0" w:color="auto"/>
              <w:right w:val="single" w:sz="4" w:space="0" w:color="auto"/>
            </w:tcBorders>
            <w:hideMark/>
          </w:tcPr>
          <w:p w14:paraId="5970878B" w14:textId="77777777" w:rsidR="0046194F" w:rsidRPr="00C921DE" w:rsidRDefault="0046194F" w:rsidP="0046194F">
            <w:pPr>
              <w:spacing w:line="256" w:lineRule="auto"/>
              <w:jc w:val="right"/>
              <w:rPr>
                <w:rFonts w:ascii="GHEA Grapalat" w:hAnsi="GHEA Grapalat" w:cs="Calibri"/>
                <w:b/>
                <w:i/>
                <w:sz w:val="18"/>
                <w:szCs w:val="18"/>
              </w:rPr>
            </w:pPr>
            <w:r w:rsidRPr="00C921DE">
              <w:rPr>
                <w:rFonts w:ascii="GHEA Grapalat" w:hAnsi="GHEA Grapalat" w:cs="Calibri"/>
                <w:b/>
                <w:i/>
                <w:sz w:val="18"/>
                <w:szCs w:val="18"/>
              </w:rPr>
              <w:t>(մլրդ դրամ)</w:t>
            </w:r>
          </w:p>
        </w:tc>
        <w:tc>
          <w:tcPr>
            <w:tcW w:w="1417" w:type="dxa"/>
            <w:tcBorders>
              <w:top w:val="single" w:sz="4" w:space="0" w:color="auto"/>
              <w:left w:val="single" w:sz="4" w:space="0" w:color="auto"/>
              <w:bottom w:val="single" w:sz="4" w:space="0" w:color="auto"/>
              <w:right w:val="single" w:sz="4" w:space="0" w:color="auto"/>
            </w:tcBorders>
          </w:tcPr>
          <w:p w14:paraId="4D0CD19D" w14:textId="77777777" w:rsidR="0046194F" w:rsidRPr="00C921DE" w:rsidRDefault="0046194F" w:rsidP="0046194F">
            <w:pPr>
              <w:spacing w:line="256" w:lineRule="auto"/>
              <w:jc w:val="right"/>
              <w:rPr>
                <w:rFonts w:ascii="GHEA Grapalat" w:hAnsi="GHEA Grapalat" w:cs="Calibri"/>
                <w:b/>
                <w:bCs/>
                <w:sz w:val="18"/>
                <w:szCs w:val="18"/>
              </w:rPr>
            </w:pPr>
          </w:p>
        </w:tc>
        <w:tc>
          <w:tcPr>
            <w:tcW w:w="1418" w:type="dxa"/>
            <w:tcBorders>
              <w:top w:val="nil"/>
              <w:left w:val="single" w:sz="4" w:space="0" w:color="auto"/>
              <w:bottom w:val="single" w:sz="4" w:space="0" w:color="auto"/>
              <w:right w:val="single" w:sz="4" w:space="0" w:color="auto"/>
            </w:tcBorders>
            <w:noWrap/>
          </w:tcPr>
          <w:p w14:paraId="7FD24002" w14:textId="77777777" w:rsidR="0046194F" w:rsidRPr="00C921DE" w:rsidRDefault="0046194F" w:rsidP="0046194F">
            <w:pPr>
              <w:spacing w:line="256" w:lineRule="auto"/>
              <w:jc w:val="right"/>
              <w:rPr>
                <w:rFonts w:ascii="GHEA Grapalat" w:hAnsi="GHEA Grapalat" w:cs="Calibri"/>
                <w:b/>
                <w:bCs/>
                <w:sz w:val="18"/>
                <w:szCs w:val="18"/>
              </w:rPr>
            </w:pPr>
          </w:p>
        </w:tc>
        <w:tc>
          <w:tcPr>
            <w:tcW w:w="1701" w:type="dxa"/>
            <w:tcBorders>
              <w:top w:val="nil"/>
              <w:left w:val="nil"/>
              <w:bottom w:val="single" w:sz="4" w:space="0" w:color="auto"/>
              <w:right w:val="single" w:sz="4" w:space="0" w:color="auto"/>
            </w:tcBorders>
            <w:noWrap/>
          </w:tcPr>
          <w:p w14:paraId="3FEE93F9" w14:textId="77777777" w:rsidR="0046194F" w:rsidRPr="00C921DE" w:rsidRDefault="0046194F" w:rsidP="0046194F">
            <w:pPr>
              <w:spacing w:line="256" w:lineRule="auto"/>
              <w:jc w:val="right"/>
              <w:rPr>
                <w:rFonts w:ascii="GHEA Grapalat" w:hAnsi="GHEA Grapalat" w:cs="Calibri"/>
                <w:b/>
                <w:bCs/>
                <w:sz w:val="18"/>
                <w:szCs w:val="18"/>
              </w:rPr>
            </w:pPr>
          </w:p>
        </w:tc>
        <w:tc>
          <w:tcPr>
            <w:tcW w:w="1524" w:type="dxa"/>
            <w:tcBorders>
              <w:top w:val="nil"/>
              <w:left w:val="nil"/>
              <w:bottom w:val="single" w:sz="4" w:space="0" w:color="auto"/>
              <w:right w:val="single" w:sz="4" w:space="0" w:color="auto"/>
            </w:tcBorders>
            <w:noWrap/>
          </w:tcPr>
          <w:p w14:paraId="3EAF8C0D" w14:textId="77777777" w:rsidR="0046194F" w:rsidRPr="00C921DE" w:rsidRDefault="0046194F" w:rsidP="0046194F">
            <w:pPr>
              <w:spacing w:line="256" w:lineRule="auto"/>
              <w:jc w:val="right"/>
              <w:rPr>
                <w:rFonts w:ascii="GHEA Grapalat" w:hAnsi="GHEA Grapalat" w:cs="Calibri"/>
                <w:b/>
                <w:bCs/>
                <w:sz w:val="18"/>
                <w:szCs w:val="18"/>
              </w:rPr>
            </w:pPr>
          </w:p>
        </w:tc>
      </w:tr>
      <w:tr w:rsidR="0046194F" w:rsidRPr="00C921DE" w14:paraId="7E851B63" w14:textId="77777777" w:rsidTr="00A90995">
        <w:trPr>
          <w:trHeight w:val="217"/>
        </w:trPr>
        <w:tc>
          <w:tcPr>
            <w:tcW w:w="4140" w:type="dxa"/>
            <w:tcBorders>
              <w:top w:val="nil"/>
              <w:left w:val="single" w:sz="4" w:space="0" w:color="auto"/>
              <w:bottom w:val="single" w:sz="4" w:space="0" w:color="auto"/>
              <w:right w:val="single" w:sz="4" w:space="0" w:color="auto"/>
            </w:tcBorders>
            <w:hideMark/>
          </w:tcPr>
          <w:p w14:paraId="6865C932" w14:textId="77777777" w:rsidR="0046194F" w:rsidRPr="00C921DE" w:rsidRDefault="0046194F" w:rsidP="0046194F">
            <w:pPr>
              <w:spacing w:line="256" w:lineRule="auto"/>
              <w:rPr>
                <w:rFonts w:ascii="GHEA Grapalat" w:hAnsi="GHEA Grapalat" w:cs="Calibri"/>
                <w:b/>
                <w:bCs/>
                <w:sz w:val="18"/>
                <w:szCs w:val="18"/>
                <w:lang w:val="en-US"/>
              </w:rPr>
            </w:pPr>
            <w:r w:rsidRPr="00C921DE">
              <w:rPr>
                <w:rFonts w:ascii="GHEA Grapalat" w:hAnsi="GHEA Grapalat" w:cs="Calibri"/>
                <w:b/>
                <w:sz w:val="18"/>
                <w:szCs w:val="18"/>
              </w:rPr>
              <w:t>ՀՀ պետական պարտք</w:t>
            </w:r>
          </w:p>
        </w:tc>
        <w:tc>
          <w:tcPr>
            <w:tcW w:w="1417" w:type="dxa"/>
            <w:tcBorders>
              <w:top w:val="nil"/>
              <w:left w:val="single" w:sz="4" w:space="0" w:color="auto"/>
              <w:bottom w:val="single" w:sz="4" w:space="0" w:color="auto"/>
              <w:right w:val="single" w:sz="4" w:space="0" w:color="auto"/>
            </w:tcBorders>
            <w:hideMark/>
          </w:tcPr>
          <w:p w14:paraId="23E483F8"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rPr>
              <w:t>4,</w:t>
            </w:r>
            <w:r w:rsidRPr="00C921DE">
              <w:rPr>
                <w:rFonts w:ascii="GHEA Grapalat" w:hAnsi="GHEA Grapalat" w:cs="Calibri"/>
                <w:b/>
                <w:bCs/>
                <w:sz w:val="18"/>
                <w:szCs w:val="18"/>
                <w:lang w:val="en-US"/>
              </w:rPr>
              <w:t>186.7</w:t>
            </w:r>
          </w:p>
        </w:tc>
        <w:tc>
          <w:tcPr>
            <w:tcW w:w="1418" w:type="dxa"/>
            <w:tcBorders>
              <w:top w:val="nil"/>
              <w:left w:val="single" w:sz="4" w:space="0" w:color="auto"/>
              <w:bottom w:val="single" w:sz="4" w:space="0" w:color="auto"/>
              <w:right w:val="single" w:sz="4" w:space="0" w:color="auto"/>
            </w:tcBorders>
            <w:noWrap/>
            <w:hideMark/>
          </w:tcPr>
          <w:p w14:paraId="10A77DCA"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4,794.9</w:t>
            </w:r>
          </w:p>
        </w:tc>
        <w:tc>
          <w:tcPr>
            <w:tcW w:w="1701" w:type="dxa"/>
            <w:tcBorders>
              <w:top w:val="nil"/>
              <w:left w:val="nil"/>
              <w:bottom w:val="single" w:sz="4" w:space="0" w:color="auto"/>
              <w:right w:val="single" w:sz="4" w:space="0" w:color="auto"/>
            </w:tcBorders>
            <w:noWrap/>
            <w:hideMark/>
          </w:tcPr>
          <w:p w14:paraId="049166CF"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608.2</w:t>
            </w:r>
          </w:p>
        </w:tc>
        <w:tc>
          <w:tcPr>
            <w:tcW w:w="1524" w:type="dxa"/>
            <w:tcBorders>
              <w:top w:val="nil"/>
              <w:left w:val="nil"/>
              <w:bottom w:val="single" w:sz="4" w:space="0" w:color="auto"/>
              <w:right w:val="single" w:sz="4" w:space="0" w:color="auto"/>
            </w:tcBorders>
            <w:noWrap/>
            <w:hideMark/>
          </w:tcPr>
          <w:p w14:paraId="5921BE0F" w14:textId="77777777" w:rsidR="0046194F" w:rsidRPr="00C921DE" w:rsidRDefault="0046194F" w:rsidP="0046194F">
            <w:pPr>
              <w:spacing w:line="256" w:lineRule="auto"/>
              <w:jc w:val="right"/>
              <w:rPr>
                <w:rFonts w:ascii="GHEA Grapalat" w:hAnsi="GHEA Grapalat" w:cs="Calibri"/>
                <w:b/>
                <w:bCs/>
                <w:sz w:val="18"/>
                <w:szCs w:val="18"/>
              </w:rPr>
            </w:pPr>
            <w:r w:rsidRPr="00C921DE">
              <w:rPr>
                <w:rFonts w:ascii="GHEA Grapalat" w:hAnsi="GHEA Grapalat" w:cs="Calibri"/>
                <w:b/>
                <w:bCs/>
                <w:sz w:val="18"/>
                <w:szCs w:val="18"/>
              </w:rPr>
              <w:t>14.5</w:t>
            </w:r>
          </w:p>
        </w:tc>
      </w:tr>
      <w:tr w:rsidR="0046194F" w:rsidRPr="00C921DE" w14:paraId="76BBDD2D" w14:textId="77777777" w:rsidTr="00A90995">
        <w:trPr>
          <w:trHeight w:val="309"/>
        </w:trPr>
        <w:tc>
          <w:tcPr>
            <w:tcW w:w="4140" w:type="dxa"/>
            <w:tcBorders>
              <w:top w:val="nil"/>
              <w:left w:val="single" w:sz="4" w:space="0" w:color="auto"/>
              <w:bottom w:val="single" w:sz="4" w:space="0" w:color="auto"/>
              <w:right w:val="single" w:sz="4" w:space="0" w:color="auto"/>
            </w:tcBorders>
            <w:noWrap/>
            <w:hideMark/>
          </w:tcPr>
          <w:p w14:paraId="5378B247" w14:textId="77777777" w:rsidR="0046194F" w:rsidRPr="00C921DE" w:rsidRDefault="0046194F" w:rsidP="0046194F">
            <w:pPr>
              <w:spacing w:line="256" w:lineRule="auto"/>
              <w:rPr>
                <w:rFonts w:ascii="GHEA Grapalat" w:hAnsi="GHEA Grapalat" w:cs="Calibri"/>
                <w:sz w:val="18"/>
                <w:szCs w:val="18"/>
              </w:rPr>
            </w:pPr>
            <w:r w:rsidRPr="00C921DE">
              <w:rPr>
                <w:rFonts w:ascii="GHEA Grapalat" w:hAnsi="GHEA Grapalat" w:cs="Calibri"/>
                <w:sz w:val="18"/>
                <w:szCs w:val="18"/>
              </w:rPr>
              <w:t>ՀՀ կառավարության պարտք, այդ թվում՝</w:t>
            </w:r>
          </w:p>
        </w:tc>
        <w:tc>
          <w:tcPr>
            <w:tcW w:w="1417" w:type="dxa"/>
            <w:tcBorders>
              <w:top w:val="nil"/>
              <w:left w:val="single" w:sz="4" w:space="0" w:color="auto"/>
              <w:bottom w:val="single" w:sz="4" w:space="0" w:color="auto"/>
              <w:right w:val="single" w:sz="4" w:space="0" w:color="auto"/>
            </w:tcBorders>
            <w:hideMark/>
          </w:tcPr>
          <w:p w14:paraId="585C3DCF"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3,969.7</w:t>
            </w:r>
          </w:p>
        </w:tc>
        <w:tc>
          <w:tcPr>
            <w:tcW w:w="1418" w:type="dxa"/>
            <w:tcBorders>
              <w:top w:val="nil"/>
              <w:left w:val="single" w:sz="4" w:space="0" w:color="auto"/>
              <w:bottom w:val="single" w:sz="4" w:space="0" w:color="auto"/>
              <w:right w:val="single" w:sz="4" w:space="0" w:color="auto"/>
            </w:tcBorders>
            <w:noWrap/>
          </w:tcPr>
          <w:p w14:paraId="65BC1D3E"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4,571.9</w:t>
            </w:r>
          </w:p>
        </w:tc>
        <w:tc>
          <w:tcPr>
            <w:tcW w:w="1701" w:type="dxa"/>
            <w:tcBorders>
              <w:top w:val="nil"/>
              <w:left w:val="nil"/>
              <w:bottom w:val="single" w:sz="4" w:space="0" w:color="auto"/>
              <w:right w:val="single" w:sz="4" w:space="0" w:color="auto"/>
            </w:tcBorders>
            <w:noWrap/>
            <w:hideMark/>
          </w:tcPr>
          <w:p w14:paraId="7CBAB4B4"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602.3</w:t>
            </w:r>
          </w:p>
        </w:tc>
        <w:tc>
          <w:tcPr>
            <w:tcW w:w="1524" w:type="dxa"/>
            <w:tcBorders>
              <w:top w:val="nil"/>
              <w:left w:val="nil"/>
              <w:bottom w:val="single" w:sz="4" w:space="0" w:color="auto"/>
              <w:right w:val="single" w:sz="4" w:space="0" w:color="auto"/>
            </w:tcBorders>
            <w:noWrap/>
          </w:tcPr>
          <w:p w14:paraId="21B34DC9"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15.2</w:t>
            </w:r>
          </w:p>
        </w:tc>
      </w:tr>
      <w:tr w:rsidR="0046194F" w:rsidRPr="00C921DE" w14:paraId="4ADEEAD6" w14:textId="77777777" w:rsidTr="00A90995">
        <w:trPr>
          <w:trHeight w:val="285"/>
        </w:trPr>
        <w:tc>
          <w:tcPr>
            <w:tcW w:w="4140" w:type="dxa"/>
            <w:tcBorders>
              <w:top w:val="nil"/>
              <w:left w:val="single" w:sz="4" w:space="0" w:color="auto"/>
              <w:bottom w:val="single" w:sz="4" w:space="0" w:color="auto"/>
              <w:right w:val="single" w:sz="4" w:space="0" w:color="auto"/>
            </w:tcBorders>
            <w:noWrap/>
            <w:hideMark/>
          </w:tcPr>
          <w:p w14:paraId="2020FA4A" w14:textId="77777777" w:rsidR="0046194F" w:rsidRPr="00C921DE" w:rsidRDefault="0046194F" w:rsidP="0046194F">
            <w:pPr>
              <w:pStyle w:val="ListParagraph"/>
              <w:numPr>
                <w:ilvl w:val="0"/>
                <w:numId w:val="31"/>
              </w:numPr>
              <w:tabs>
                <w:tab w:val="left" w:pos="459"/>
              </w:tabs>
              <w:spacing w:after="0" w:line="256" w:lineRule="auto"/>
              <w:ind w:left="34" w:firstLine="236"/>
              <w:rPr>
                <w:rFonts w:ascii="GHEA Grapalat" w:hAnsi="GHEA Grapalat"/>
                <w:sz w:val="18"/>
                <w:szCs w:val="18"/>
                <w:lang w:val="hy-AM"/>
              </w:rPr>
            </w:pPr>
            <w:r w:rsidRPr="00C921DE">
              <w:rPr>
                <w:rFonts w:ascii="GHEA Grapalat" w:hAnsi="GHEA Grapalat"/>
                <w:sz w:val="18"/>
                <w:szCs w:val="18"/>
                <w:lang w:val="hy-AM"/>
              </w:rPr>
              <w:t>ՀՀ կառավարության արտաքին պարտք</w:t>
            </w:r>
          </w:p>
        </w:tc>
        <w:tc>
          <w:tcPr>
            <w:tcW w:w="1417" w:type="dxa"/>
            <w:tcBorders>
              <w:top w:val="nil"/>
              <w:left w:val="single" w:sz="4" w:space="0" w:color="auto"/>
              <w:bottom w:val="single" w:sz="4" w:space="0" w:color="auto"/>
              <w:right w:val="single" w:sz="4" w:space="0" w:color="auto"/>
            </w:tcBorders>
            <w:hideMark/>
          </w:tcPr>
          <w:p w14:paraId="2C2EB4F0"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2,</w:t>
            </w:r>
            <w:r w:rsidRPr="00C921DE">
              <w:rPr>
                <w:rFonts w:ascii="GHEA Grapalat" w:hAnsi="GHEA Grapalat" w:cs="Calibri"/>
                <w:sz w:val="18"/>
                <w:szCs w:val="18"/>
                <w:lang w:val="en-US"/>
              </w:rPr>
              <w:t>319.7</w:t>
            </w:r>
          </w:p>
        </w:tc>
        <w:tc>
          <w:tcPr>
            <w:tcW w:w="1418" w:type="dxa"/>
            <w:tcBorders>
              <w:top w:val="nil"/>
              <w:left w:val="single" w:sz="4" w:space="0" w:color="auto"/>
              <w:bottom w:val="single" w:sz="4" w:space="0" w:color="auto"/>
              <w:right w:val="single" w:sz="4" w:space="0" w:color="auto"/>
            </w:tcBorders>
            <w:noWrap/>
            <w:hideMark/>
          </w:tcPr>
          <w:p w14:paraId="16E01CAD"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2,408.8</w:t>
            </w:r>
          </w:p>
        </w:tc>
        <w:tc>
          <w:tcPr>
            <w:tcW w:w="1701" w:type="dxa"/>
            <w:tcBorders>
              <w:top w:val="nil"/>
              <w:left w:val="nil"/>
              <w:bottom w:val="single" w:sz="4" w:space="0" w:color="auto"/>
              <w:right w:val="single" w:sz="4" w:space="0" w:color="auto"/>
            </w:tcBorders>
            <w:noWrap/>
            <w:hideMark/>
          </w:tcPr>
          <w:p w14:paraId="2EB8E93F"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89.1</w:t>
            </w:r>
          </w:p>
        </w:tc>
        <w:tc>
          <w:tcPr>
            <w:tcW w:w="1524" w:type="dxa"/>
            <w:tcBorders>
              <w:top w:val="nil"/>
              <w:left w:val="nil"/>
              <w:bottom w:val="single" w:sz="4" w:space="0" w:color="auto"/>
              <w:right w:val="single" w:sz="4" w:space="0" w:color="auto"/>
            </w:tcBorders>
            <w:noWrap/>
            <w:hideMark/>
          </w:tcPr>
          <w:p w14:paraId="06D8EBE9"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3.8</w:t>
            </w:r>
          </w:p>
        </w:tc>
      </w:tr>
      <w:tr w:rsidR="0046194F" w:rsidRPr="00C921DE" w14:paraId="0E99AA76" w14:textId="77777777" w:rsidTr="00A90995">
        <w:trPr>
          <w:trHeight w:val="261"/>
        </w:trPr>
        <w:tc>
          <w:tcPr>
            <w:tcW w:w="4140" w:type="dxa"/>
            <w:tcBorders>
              <w:top w:val="nil"/>
              <w:left w:val="single" w:sz="4" w:space="0" w:color="auto"/>
              <w:bottom w:val="single" w:sz="4" w:space="0" w:color="auto"/>
              <w:right w:val="single" w:sz="4" w:space="0" w:color="auto"/>
            </w:tcBorders>
            <w:noWrap/>
            <w:hideMark/>
          </w:tcPr>
          <w:p w14:paraId="64E3FF7D" w14:textId="77777777" w:rsidR="0046194F" w:rsidRPr="00C921DE" w:rsidRDefault="0046194F" w:rsidP="0046194F">
            <w:pPr>
              <w:pStyle w:val="ListParagraph"/>
              <w:numPr>
                <w:ilvl w:val="0"/>
                <w:numId w:val="31"/>
              </w:numPr>
              <w:tabs>
                <w:tab w:val="left" w:pos="459"/>
              </w:tabs>
              <w:spacing w:after="0" w:line="256" w:lineRule="auto"/>
              <w:ind w:left="34" w:firstLine="236"/>
              <w:rPr>
                <w:rFonts w:ascii="GHEA Grapalat" w:hAnsi="GHEA Grapalat"/>
                <w:sz w:val="18"/>
                <w:szCs w:val="18"/>
                <w:lang w:val="hy-AM"/>
              </w:rPr>
            </w:pPr>
            <w:r w:rsidRPr="00C921DE">
              <w:rPr>
                <w:rFonts w:ascii="GHEA Grapalat" w:hAnsi="GHEA Grapalat"/>
                <w:sz w:val="18"/>
                <w:szCs w:val="18"/>
                <w:lang w:val="hy-AM"/>
              </w:rPr>
              <w:t>ՀՀ կառավարության ներքին պարտք</w:t>
            </w:r>
          </w:p>
        </w:tc>
        <w:tc>
          <w:tcPr>
            <w:tcW w:w="1417" w:type="dxa"/>
            <w:tcBorders>
              <w:top w:val="nil"/>
              <w:left w:val="single" w:sz="4" w:space="0" w:color="auto"/>
              <w:bottom w:val="single" w:sz="4" w:space="0" w:color="auto"/>
              <w:right w:val="single" w:sz="4" w:space="0" w:color="auto"/>
            </w:tcBorders>
            <w:hideMark/>
          </w:tcPr>
          <w:p w14:paraId="19CD3FE5"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1,</w:t>
            </w:r>
            <w:r w:rsidRPr="00C921DE">
              <w:rPr>
                <w:rFonts w:ascii="GHEA Grapalat" w:hAnsi="GHEA Grapalat" w:cs="Calibri"/>
                <w:sz w:val="18"/>
                <w:szCs w:val="18"/>
                <w:lang w:val="en-US"/>
              </w:rPr>
              <w:t>650.0</w:t>
            </w:r>
          </w:p>
        </w:tc>
        <w:tc>
          <w:tcPr>
            <w:tcW w:w="1418" w:type="dxa"/>
            <w:tcBorders>
              <w:top w:val="nil"/>
              <w:left w:val="single" w:sz="4" w:space="0" w:color="auto"/>
              <w:bottom w:val="single" w:sz="4" w:space="0" w:color="auto"/>
              <w:right w:val="single" w:sz="4" w:space="0" w:color="auto"/>
            </w:tcBorders>
            <w:noWrap/>
            <w:hideMark/>
          </w:tcPr>
          <w:p w14:paraId="7218F3BA"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2,163.2</w:t>
            </w:r>
          </w:p>
        </w:tc>
        <w:tc>
          <w:tcPr>
            <w:tcW w:w="1701" w:type="dxa"/>
            <w:tcBorders>
              <w:top w:val="nil"/>
              <w:left w:val="nil"/>
              <w:bottom w:val="single" w:sz="4" w:space="0" w:color="auto"/>
              <w:right w:val="single" w:sz="4" w:space="0" w:color="auto"/>
            </w:tcBorders>
            <w:noWrap/>
            <w:hideMark/>
          </w:tcPr>
          <w:p w14:paraId="424B27F9"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513.2</w:t>
            </w:r>
          </w:p>
        </w:tc>
        <w:tc>
          <w:tcPr>
            <w:tcW w:w="1524" w:type="dxa"/>
            <w:tcBorders>
              <w:top w:val="nil"/>
              <w:left w:val="nil"/>
              <w:bottom w:val="single" w:sz="4" w:space="0" w:color="auto"/>
              <w:right w:val="single" w:sz="4" w:space="0" w:color="auto"/>
            </w:tcBorders>
            <w:noWrap/>
            <w:hideMark/>
          </w:tcPr>
          <w:p w14:paraId="5849499B"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31.1</w:t>
            </w:r>
          </w:p>
        </w:tc>
      </w:tr>
      <w:tr w:rsidR="0046194F" w:rsidRPr="00C921DE" w14:paraId="4DB940A3" w14:textId="77777777" w:rsidTr="00A90995">
        <w:trPr>
          <w:trHeight w:val="160"/>
        </w:trPr>
        <w:tc>
          <w:tcPr>
            <w:tcW w:w="4140" w:type="dxa"/>
            <w:tcBorders>
              <w:top w:val="nil"/>
              <w:left w:val="single" w:sz="4" w:space="0" w:color="auto"/>
              <w:bottom w:val="single" w:sz="4" w:space="0" w:color="auto"/>
              <w:right w:val="single" w:sz="4" w:space="0" w:color="auto"/>
            </w:tcBorders>
            <w:noWrap/>
            <w:hideMark/>
          </w:tcPr>
          <w:p w14:paraId="382D1A9A" w14:textId="77777777" w:rsidR="0046194F" w:rsidRPr="00C921DE" w:rsidRDefault="0046194F" w:rsidP="0046194F">
            <w:pPr>
              <w:spacing w:line="256" w:lineRule="auto"/>
              <w:rPr>
                <w:rFonts w:ascii="GHEA Grapalat" w:hAnsi="GHEA Grapalat" w:cs="Calibri"/>
                <w:sz w:val="18"/>
                <w:szCs w:val="18"/>
              </w:rPr>
            </w:pPr>
            <w:r w:rsidRPr="00C921DE">
              <w:rPr>
                <w:rFonts w:ascii="GHEA Grapalat" w:hAnsi="GHEA Grapalat" w:cs="Calibri"/>
                <w:sz w:val="18"/>
                <w:szCs w:val="18"/>
              </w:rPr>
              <w:t>ՀՀ կենտրոնական բանկի պարտք (արտաքին)</w:t>
            </w:r>
          </w:p>
        </w:tc>
        <w:tc>
          <w:tcPr>
            <w:tcW w:w="1417" w:type="dxa"/>
            <w:tcBorders>
              <w:top w:val="nil"/>
              <w:left w:val="single" w:sz="4" w:space="0" w:color="auto"/>
              <w:bottom w:val="single" w:sz="4" w:space="0" w:color="auto"/>
              <w:right w:val="single" w:sz="4" w:space="0" w:color="auto"/>
            </w:tcBorders>
            <w:hideMark/>
          </w:tcPr>
          <w:p w14:paraId="35626674"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217.0</w:t>
            </w:r>
          </w:p>
        </w:tc>
        <w:tc>
          <w:tcPr>
            <w:tcW w:w="1418" w:type="dxa"/>
            <w:tcBorders>
              <w:top w:val="nil"/>
              <w:left w:val="single" w:sz="4" w:space="0" w:color="auto"/>
              <w:bottom w:val="single" w:sz="4" w:space="0" w:color="auto"/>
              <w:right w:val="single" w:sz="4" w:space="0" w:color="auto"/>
            </w:tcBorders>
            <w:noWrap/>
            <w:hideMark/>
          </w:tcPr>
          <w:p w14:paraId="1B01482F"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223.0</w:t>
            </w:r>
          </w:p>
        </w:tc>
        <w:tc>
          <w:tcPr>
            <w:tcW w:w="1701" w:type="dxa"/>
            <w:tcBorders>
              <w:top w:val="nil"/>
              <w:left w:val="nil"/>
              <w:bottom w:val="single" w:sz="4" w:space="0" w:color="auto"/>
              <w:right w:val="single" w:sz="4" w:space="0" w:color="auto"/>
            </w:tcBorders>
            <w:noWrap/>
            <w:hideMark/>
          </w:tcPr>
          <w:p w14:paraId="1B3AF6F6"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6.0</w:t>
            </w:r>
          </w:p>
        </w:tc>
        <w:tc>
          <w:tcPr>
            <w:tcW w:w="1524" w:type="dxa"/>
            <w:tcBorders>
              <w:top w:val="nil"/>
              <w:left w:val="nil"/>
              <w:bottom w:val="single" w:sz="4" w:space="0" w:color="auto"/>
              <w:right w:val="single" w:sz="4" w:space="0" w:color="auto"/>
            </w:tcBorders>
            <w:noWrap/>
            <w:hideMark/>
          </w:tcPr>
          <w:p w14:paraId="40210493"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2.</w:t>
            </w:r>
            <w:r w:rsidRPr="00C921DE">
              <w:rPr>
                <w:rFonts w:ascii="GHEA Grapalat" w:hAnsi="GHEA Grapalat" w:cs="Calibri"/>
                <w:sz w:val="18"/>
                <w:szCs w:val="18"/>
                <w:lang w:val="en-US"/>
              </w:rPr>
              <w:t>8</w:t>
            </w:r>
          </w:p>
        </w:tc>
      </w:tr>
      <w:tr w:rsidR="0046194F" w:rsidRPr="00C921DE" w14:paraId="521A50D3" w14:textId="77777777" w:rsidTr="00A90995">
        <w:trPr>
          <w:trHeight w:val="177"/>
        </w:trPr>
        <w:tc>
          <w:tcPr>
            <w:tcW w:w="4140" w:type="dxa"/>
            <w:tcBorders>
              <w:top w:val="single" w:sz="4" w:space="0" w:color="auto"/>
              <w:left w:val="single" w:sz="4" w:space="0" w:color="auto"/>
              <w:bottom w:val="single" w:sz="4" w:space="0" w:color="auto"/>
              <w:right w:val="single" w:sz="4" w:space="0" w:color="auto"/>
            </w:tcBorders>
            <w:noWrap/>
            <w:hideMark/>
          </w:tcPr>
          <w:p w14:paraId="56F180C2" w14:textId="77777777" w:rsidR="0046194F" w:rsidRPr="00C921DE" w:rsidRDefault="0046194F" w:rsidP="0046194F">
            <w:pPr>
              <w:spacing w:line="256" w:lineRule="auto"/>
              <w:jc w:val="right"/>
              <w:rPr>
                <w:rFonts w:ascii="GHEA Grapalat" w:hAnsi="GHEA Grapalat" w:cs="Calibri"/>
                <w:b/>
                <w:sz w:val="18"/>
                <w:szCs w:val="18"/>
              </w:rPr>
            </w:pPr>
            <w:r w:rsidRPr="00C921DE">
              <w:rPr>
                <w:rFonts w:ascii="GHEA Grapalat" w:hAnsi="GHEA Grapalat" w:cs="Calibri"/>
                <w:b/>
                <w:i/>
                <w:sz w:val="18"/>
                <w:szCs w:val="18"/>
              </w:rPr>
              <w:t>(մլն ԱՄՆ դոլար)</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E580A0" w14:textId="77777777" w:rsidR="0046194F" w:rsidRPr="00C921DE" w:rsidRDefault="0046194F" w:rsidP="0046194F">
            <w:pPr>
              <w:spacing w:line="256" w:lineRule="auto"/>
              <w:jc w:val="center"/>
              <w:rPr>
                <w:rFonts w:ascii="GHEA Grapalat" w:hAnsi="GHEA Grapalat" w:cs="Calibr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842E0D" w14:textId="77777777" w:rsidR="0046194F" w:rsidRPr="00C921DE" w:rsidRDefault="0046194F" w:rsidP="0046194F">
            <w:pPr>
              <w:spacing w:line="256" w:lineRule="auto"/>
              <w:jc w:val="center"/>
              <w:rPr>
                <w:rFonts w:ascii="GHEA Grapalat" w:hAnsi="GHEA Grapalat" w:cs="Calibri"/>
                <w:b/>
                <w:bCs/>
                <w:sz w:val="18"/>
                <w:szCs w:val="18"/>
              </w:rPr>
            </w:pPr>
          </w:p>
        </w:tc>
        <w:tc>
          <w:tcPr>
            <w:tcW w:w="1701" w:type="dxa"/>
            <w:tcBorders>
              <w:top w:val="single" w:sz="4" w:space="0" w:color="auto"/>
              <w:left w:val="nil"/>
              <w:bottom w:val="single" w:sz="4" w:space="0" w:color="auto"/>
              <w:right w:val="single" w:sz="4" w:space="0" w:color="auto"/>
            </w:tcBorders>
            <w:shd w:val="clear" w:color="auto" w:fill="FFFFFF"/>
            <w:vAlign w:val="center"/>
          </w:tcPr>
          <w:p w14:paraId="1DE77DD8" w14:textId="77777777" w:rsidR="0046194F" w:rsidRPr="00C921DE" w:rsidRDefault="0046194F" w:rsidP="0046194F">
            <w:pPr>
              <w:spacing w:line="256" w:lineRule="auto"/>
              <w:jc w:val="center"/>
              <w:rPr>
                <w:rFonts w:ascii="GHEA Grapalat" w:hAnsi="GHEA Grapalat" w:cs="Calibri"/>
                <w:b/>
                <w:bCs/>
                <w:sz w:val="18"/>
                <w:szCs w:val="18"/>
              </w:rPr>
            </w:pPr>
          </w:p>
        </w:tc>
        <w:tc>
          <w:tcPr>
            <w:tcW w:w="1524" w:type="dxa"/>
            <w:tcBorders>
              <w:top w:val="single" w:sz="4" w:space="0" w:color="auto"/>
              <w:left w:val="nil"/>
              <w:bottom w:val="single" w:sz="4" w:space="0" w:color="auto"/>
              <w:right w:val="single" w:sz="4" w:space="0" w:color="auto"/>
            </w:tcBorders>
            <w:shd w:val="clear" w:color="auto" w:fill="FFFFFF"/>
            <w:vAlign w:val="center"/>
          </w:tcPr>
          <w:p w14:paraId="54D38822" w14:textId="77777777" w:rsidR="0046194F" w:rsidRPr="00C921DE" w:rsidRDefault="0046194F" w:rsidP="0046194F">
            <w:pPr>
              <w:spacing w:line="256" w:lineRule="auto"/>
              <w:jc w:val="center"/>
              <w:rPr>
                <w:rFonts w:ascii="GHEA Grapalat" w:hAnsi="GHEA Grapalat" w:cs="Calibri"/>
                <w:b/>
                <w:bCs/>
                <w:sz w:val="18"/>
                <w:szCs w:val="18"/>
              </w:rPr>
            </w:pPr>
          </w:p>
        </w:tc>
      </w:tr>
      <w:tr w:rsidR="0046194F" w:rsidRPr="00C921DE" w14:paraId="6800D3CC" w14:textId="77777777" w:rsidTr="00A90995">
        <w:trPr>
          <w:trHeight w:val="271"/>
        </w:trPr>
        <w:tc>
          <w:tcPr>
            <w:tcW w:w="4140" w:type="dxa"/>
            <w:tcBorders>
              <w:top w:val="nil"/>
              <w:left w:val="single" w:sz="4" w:space="0" w:color="auto"/>
              <w:bottom w:val="single" w:sz="4" w:space="0" w:color="auto"/>
              <w:right w:val="single" w:sz="4" w:space="0" w:color="auto"/>
            </w:tcBorders>
            <w:hideMark/>
          </w:tcPr>
          <w:p w14:paraId="569B8BA3" w14:textId="77777777" w:rsidR="0046194F" w:rsidRPr="00C921DE" w:rsidRDefault="0046194F" w:rsidP="0046194F">
            <w:pPr>
              <w:spacing w:line="256" w:lineRule="auto"/>
              <w:rPr>
                <w:rFonts w:ascii="GHEA Grapalat" w:hAnsi="GHEA Grapalat" w:cs="Calibri"/>
                <w:b/>
                <w:bCs/>
                <w:sz w:val="18"/>
                <w:szCs w:val="18"/>
              </w:rPr>
            </w:pPr>
            <w:r w:rsidRPr="00C921DE">
              <w:rPr>
                <w:rFonts w:ascii="GHEA Grapalat" w:hAnsi="GHEA Grapalat" w:cs="Calibri"/>
                <w:b/>
                <w:sz w:val="18"/>
                <w:szCs w:val="18"/>
              </w:rPr>
              <w:t>ՀՀ պետական պարտք</w:t>
            </w:r>
          </w:p>
        </w:tc>
        <w:tc>
          <w:tcPr>
            <w:tcW w:w="1417" w:type="dxa"/>
            <w:tcBorders>
              <w:top w:val="nil"/>
              <w:left w:val="single" w:sz="4" w:space="0" w:color="auto"/>
              <w:bottom w:val="single" w:sz="4" w:space="0" w:color="auto"/>
              <w:right w:val="single" w:sz="4" w:space="0" w:color="auto"/>
            </w:tcBorders>
            <w:hideMark/>
          </w:tcPr>
          <w:p w14:paraId="2848D604"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10,637.7</w:t>
            </w:r>
          </w:p>
        </w:tc>
        <w:tc>
          <w:tcPr>
            <w:tcW w:w="1418" w:type="dxa"/>
            <w:tcBorders>
              <w:top w:val="nil"/>
              <w:left w:val="single" w:sz="4" w:space="0" w:color="auto"/>
              <w:bottom w:val="single" w:sz="4" w:space="0" w:color="auto"/>
              <w:right w:val="single" w:sz="4" w:space="0" w:color="auto"/>
            </w:tcBorders>
            <w:noWrap/>
            <w:hideMark/>
          </w:tcPr>
          <w:p w14:paraId="0D471D37" w14:textId="3A11015C" w:rsidR="0046194F" w:rsidRPr="00C921DE" w:rsidRDefault="0046194F" w:rsidP="0070158B">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rPr>
              <w:t>11,845.</w:t>
            </w:r>
            <w:r w:rsidR="0070158B" w:rsidRPr="00C921DE">
              <w:rPr>
                <w:rFonts w:ascii="GHEA Grapalat" w:hAnsi="GHEA Grapalat" w:cs="Calibri"/>
                <w:b/>
                <w:bCs/>
                <w:sz w:val="18"/>
                <w:szCs w:val="18"/>
                <w:lang w:val="en-US"/>
              </w:rPr>
              <w:t>4</w:t>
            </w:r>
          </w:p>
        </w:tc>
        <w:tc>
          <w:tcPr>
            <w:tcW w:w="1701" w:type="dxa"/>
            <w:tcBorders>
              <w:top w:val="nil"/>
              <w:left w:val="nil"/>
              <w:bottom w:val="single" w:sz="4" w:space="0" w:color="auto"/>
              <w:right w:val="single" w:sz="4" w:space="0" w:color="auto"/>
            </w:tcBorders>
            <w:noWrap/>
            <w:hideMark/>
          </w:tcPr>
          <w:p w14:paraId="7C387E93" w14:textId="396E02BC" w:rsidR="0046194F" w:rsidRPr="00C921DE" w:rsidRDefault="0046194F" w:rsidP="00D73D60">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rPr>
              <w:t>1,207.</w:t>
            </w:r>
            <w:r w:rsidR="00D73D60" w:rsidRPr="00C921DE">
              <w:rPr>
                <w:rFonts w:ascii="GHEA Grapalat" w:hAnsi="GHEA Grapalat" w:cs="Calibri"/>
                <w:b/>
                <w:bCs/>
                <w:sz w:val="18"/>
                <w:szCs w:val="18"/>
                <w:lang w:val="en-US"/>
              </w:rPr>
              <w:t>7</w:t>
            </w:r>
          </w:p>
        </w:tc>
        <w:tc>
          <w:tcPr>
            <w:tcW w:w="1524" w:type="dxa"/>
            <w:tcBorders>
              <w:top w:val="nil"/>
              <w:left w:val="nil"/>
              <w:bottom w:val="single" w:sz="4" w:space="0" w:color="auto"/>
              <w:right w:val="single" w:sz="4" w:space="0" w:color="auto"/>
            </w:tcBorders>
            <w:noWrap/>
            <w:hideMark/>
          </w:tcPr>
          <w:p w14:paraId="1E5CC511" w14:textId="77777777" w:rsidR="0046194F" w:rsidRPr="00C921DE" w:rsidRDefault="0046194F" w:rsidP="0046194F">
            <w:pPr>
              <w:spacing w:line="256" w:lineRule="auto"/>
              <w:jc w:val="right"/>
              <w:rPr>
                <w:rFonts w:ascii="GHEA Grapalat" w:hAnsi="GHEA Grapalat" w:cs="Calibri"/>
                <w:b/>
                <w:bCs/>
                <w:sz w:val="18"/>
                <w:szCs w:val="18"/>
                <w:lang w:val="en-US"/>
              </w:rPr>
            </w:pPr>
            <w:r w:rsidRPr="00C921DE">
              <w:rPr>
                <w:rFonts w:ascii="GHEA Grapalat" w:hAnsi="GHEA Grapalat" w:cs="Calibri"/>
                <w:b/>
                <w:bCs/>
                <w:sz w:val="18"/>
                <w:szCs w:val="18"/>
                <w:lang w:val="en-US"/>
              </w:rPr>
              <w:t>11.4</w:t>
            </w:r>
          </w:p>
        </w:tc>
      </w:tr>
      <w:tr w:rsidR="0046194F" w:rsidRPr="00C921DE" w14:paraId="680A9B79" w14:textId="77777777" w:rsidTr="00A90995">
        <w:trPr>
          <w:trHeight w:val="262"/>
        </w:trPr>
        <w:tc>
          <w:tcPr>
            <w:tcW w:w="4140" w:type="dxa"/>
            <w:tcBorders>
              <w:top w:val="nil"/>
              <w:left w:val="single" w:sz="4" w:space="0" w:color="auto"/>
              <w:bottom w:val="single" w:sz="4" w:space="0" w:color="auto"/>
              <w:right w:val="single" w:sz="4" w:space="0" w:color="auto"/>
            </w:tcBorders>
            <w:noWrap/>
            <w:hideMark/>
          </w:tcPr>
          <w:p w14:paraId="02CA22EA" w14:textId="77777777" w:rsidR="0046194F" w:rsidRPr="00C921DE" w:rsidRDefault="0046194F" w:rsidP="0046194F">
            <w:pPr>
              <w:spacing w:line="256" w:lineRule="auto"/>
              <w:rPr>
                <w:rFonts w:ascii="GHEA Grapalat" w:hAnsi="GHEA Grapalat" w:cs="Calibri"/>
                <w:sz w:val="18"/>
                <w:szCs w:val="18"/>
              </w:rPr>
            </w:pPr>
            <w:r w:rsidRPr="00C921DE">
              <w:rPr>
                <w:rFonts w:ascii="GHEA Grapalat" w:hAnsi="GHEA Grapalat" w:cs="Calibri"/>
                <w:sz w:val="18"/>
                <w:szCs w:val="18"/>
              </w:rPr>
              <w:t>ՀՀ կառավարության պարտք, այդ թվում՝</w:t>
            </w:r>
          </w:p>
        </w:tc>
        <w:tc>
          <w:tcPr>
            <w:tcW w:w="1417" w:type="dxa"/>
            <w:tcBorders>
              <w:top w:val="nil"/>
              <w:left w:val="single" w:sz="4" w:space="0" w:color="auto"/>
              <w:bottom w:val="single" w:sz="4" w:space="0" w:color="auto"/>
              <w:right w:val="single" w:sz="4" w:space="0" w:color="auto"/>
            </w:tcBorders>
            <w:hideMark/>
          </w:tcPr>
          <w:p w14:paraId="1FAA0A68"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10,086.4</w:t>
            </w:r>
          </w:p>
        </w:tc>
        <w:tc>
          <w:tcPr>
            <w:tcW w:w="1418" w:type="dxa"/>
            <w:tcBorders>
              <w:top w:val="nil"/>
              <w:left w:val="single" w:sz="4" w:space="0" w:color="auto"/>
              <w:bottom w:val="single" w:sz="4" w:space="0" w:color="auto"/>
              <w:right w:val="single" w:sz="4" w:space="0" w:color="auto"/>
            </w:tcBorders>
            <w:noWrap/>
            <w:hideMark/>
          </w:tcPr>
          <w:p w14:paraId="595DEF61" w14:textId="7DBEC056"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11</w:t>
            </w:r>
            <w:r w:rsidR="000B1C80" w:rsidRPr="00C921DE">
              <w:rPr>
                <w:rFonts w:ascii="GHEA Grapalat" w:hAnsi="GHEA Grapalat" w:cs="Calibri"/>
                <w:sz w:val="18"/>
                <w:szCs w:val="18"/>
                <w:lang w:val="en-US"/>
              </w:rPr>
              <w:t>,</w:t>
            </w:r>
            <w:r w:rsidRPr="00C921DE">
              <w:rPr>
                <w:rFonts w:ascii="GHEA Grapalat" w:hAnsi="GHEA Grapalat" w:cs="Calibri"/>
                <w:sz w:val="18"/>
                <w:szCs w:val="18"/>
              </w:rPr>
              <w:t>294.6</w:t>
            </w:r>
          </w:p>
        </w:tc>
        <w:tc>
          <w:tcPr>
            <w:tcW w:w="1701" w:type="dxa"/>
            <w:tcBorders>
              <w:top w:val="nil"/>
              <w:left w:val="nil"/>
              <w:bottom w:val="single" w:sz="4" w:space="0" w:color="auto"/>
              <w:right w:val="single" w:sz="4" w:space="0" w:color="auto"/>
            </w:tcBorders>
            <w:noWrap/>
            <w:hideMark/>
          </w:tcPr>
          <w:p w14:paraId="03B5448B"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1.208.3</w:t>
            </w:r>
          </w:p>
        </w:tc>
        <w:tc>
          <w:tcPr>
            <w:tcW w:w="1524" w:type="dxa"/>
            <w:tcBorders>
              <w:top w:val="nil"/>
              <w:left w:val="nil"/>
              <w:bottom w:val="single" w:sz="4" w:space="0" w:color="auto"/>
              <w:right w:val="single" w:sz="4" w:space="0" w:color="auto"/>
            </w:tcBorders>
            <w:noWrap/>
            <w:hideMark/>
          </w:tcPr>
          <w:p w14:paraId="5C1335FA"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12.0</w:t>
            </w:r>
          </w:p>
        </w:tc>
      </w:tr>
      <w:tr w:rsidR="0046194F" w:rsidRPr="00C921DE" w14:paraId="3F9FE5FC" w14:textId="77777777" w:rsidTr="00A90995">
        <w:trPr>
          <w:trHeight w:val="218"/>
        </w:trPr>
        <w:tc>
          <w:tcPr>
            <w:tcW w:w="4140" w:type="dxa"/>
            <w:tcBorders>
              <w:top w:val="nil"/>
              <w:left w:val="single" w:sz="4" w:space="0" w:color="auto"/>
              <w:bottom w:val="single" w:sz="4" w:space="0" w:color="auto"/>
              <w:right w:val="single" w:sz="4" w:space="0" w:color="auto"/>
            </w:tcBorders>
            <w:noWrap/>
            <w:hideMark/>
          </w:tcPr>
          <w:p w14:paraId="79FB611F" w14:textId="77777777" w:rsidR="0046194F" w:rsidRPr="00C921DE" w:rsidRDefault="0046194F" w:rsidP="0046194F">
            <w:pPr>
              <w:pStyle w:val="ListParagraph"/>
              <w:numPr>
                <w:ilvl w:val="0"/>
                <w:numId w:val="31"/>
              </w:numPr>
              <w:tabs>
                <w:tab w:val="left" w:pos="459"/>
              </w:tabs>
              <w:spacing w:after="0" w:line="256" w:lineRule="auto"/>
              <w:ind w:left="34" w:firstLine="236"/>
              <w:rPr>
                <w:rFonts w:ascii="GHEA Grapalat" w:hAnsi="GHEA Grapalat"/>
                <w:sz w:val="18"/>
                <w:szCs w:val="18"/>
                <w:lang w:val="hy-AM"/>
              </w:rPr>
            </w:pPr>
            <w:r w:rsidRPr="00C921DE">
              <w:rPr>
                <w:rFonts w:ascii="GHEA Grapalat" w:hAnsi="GHEA Grapalat"/>
                <w:sz w:val="18"/>
                <w:szCs w:val="18"/>
                <w:lang w:val="hy-AM"/>
              </w:rPr>
              <w:t>ՀՀ կառավարության արտաքին պարտք</w:t>
            </w:r>
          </w:p>
        </w:tc>
        <w:tc>
          <w:tcPr>
            <w:tcW w:w="1417" w:type="dxa"/>
            <w:tcBorders>
              <w:top w:val="nil"/>
              <w:left w:val="single" w:sz="4" w:space="0" w:color="auto"/>
              <w:bottom w:val="single" w:sz="4" w:space="0" w:color="auto"/>
              <w:right w:val="single" w:sz="4" w:space="0" w:color="auto"/>
            </w:tcBorders>
            <w:hideMark/>
          </w:tcPr>
          <w:p w14:paraId="3BC9DF3E"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5,894.1</w:t>
            </w:r>
          </w:p>
        </w:tc>
        <w:tc>
          <w:tcPr>
            <w:tcW w:w="1418" w:type="dxa"/>
            <w:tcBorders>
              <w:top w:val="nil"/>
              <w:left w:val="single" w:sz="4" w:space="0" w:color="auto"/>
              <w:bottom w:val="single" w:sz="4" w:space="0" w:color="auto"/>
              <w:right w:val="single" w:sz="4" w:space="0" w:color="auto"/>
            </w:tcBorders>
            <w:noWrap/>
            <w:hideMark/>
          </w:tcPr>
          <w:p w14:paraId="4A862677"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5,950.7</w:t>
            </w:r>
          </w:p>
        </w:tc>
        <w:tc>
          <w:tcPr>
            <w:tcW w:w="1701" w:type="dxa"/>
            <w:tcBorders>
              <w:top w:val="nil"/>
              <w:left w:val="nil"/>
              <w:bottom w:val="single" w:sz="4" w:space="0" w:color="auto"/>
              <w:right w:val="single" w:sz="4" w:space="0" w:color="auto"/>
            </w:tcBorders>
            <w:noWrap/>
            <w:hideMark/>
          </w:tcPr>
          <w:p w14:paraId="177E6E03"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lang w:val="en-US"/>
              </w:rPr>
              <w:t>56.6</w:t>
            </w:r>
          </w:p>
        </w:tc>
        <w:tc>
          <w:tcPr>
            <w:tcW w:w="1524" w:type="dxa"/>
            <w:tcBorders>
              <w:top w:val="nil"/>
              <w:left w:val="nil"/>
              <w:bottom w:val="single" w:sz="4" w:space="0" w:color="auto"/>
              <w:right w:val="single" w:sz="4" w:space="0" w:color="auto"/>
            </w:tcBorders>
            <w:noWrap/>
            <w:hideMark/>
          </w:tcPr>
          <w:p w14:paraId="684F2734" w14:textId="77777777" w:rsidR="0046194F" w:rsidRPr="00C921DE" w:rsidRDefault="0046194F" w:rsidP="0046194F">
            <w:pPr>
              <w:spacing w:line="256" w:lineRule="auto"/>
              <w:jc w:val="right"/>
              <w:rPr>
                <w:rFonts w:ascii="GHEA Grapalat" w:hAnsi="GHEA Grapalat" w:cs="Calibri"/>
                <w:sz w:val="18"/>
                <w:szCs w:val="18"/>
              </w:rPr>
            </w:pPr>
            <w:r w:rsidRPr="00C921DE">
              <w:rPr>
                <w:rFonts w:ascii="GHEA Grapalat" w:hAnsi="GHEA Grapalat" w:cs="Calibri"/>
                <w:sz w:val="18"/>
                <w:szCs w:val="18"/>
              </w:rPr>
              <w:t>1.0</w:t>
            </w:r>
          </w:p>
        </w:tc>
      </w:tr>
      <w:tr w:rsidR="0046194F" w:rsidRPr="00C921DE" w14:paraId="7D08CFDC" w14:textId="77777777" w:rsidTr="00A90995">
        <w:trPr>
          <w:trHeight w:val="207"/>
        </w:trPr>
        <w:tc>
          <w:tcPr>
            <w:tcW w:w="4140" w:type="dxa"/>
            <w:tcBorders>
              <w:top w:val="nil"/>
              <w:left w:val="single" w:sz="4" w:space="0" w:color="auto"/>
              <w:bottom w:val="single" w:sz="4" w:space="0" w:color="auto"/>
              <w:right w:val="single" w:sz="4" w:space="0" w:color="auto"/>
            </w:tcBorders>
            <w:noWrap/>
            <w:hideMark/>
          </w:tcPr>
          <w:p w14:paraId="7446C431" w14:textId="77777777" w:rsidR="0046194F" w:rsidRPr="00C921DE" w:rsidRDefault="0046194F" w:rsidP="0046194F">
            <w:pPr>
              <w:pStyle w:val="ListParagraph"/>
              <w:numPr>
                <w:ilvl w:val="0"/>
                <w:numId w:val="31"/>
              </w:numPr>
              <w:tabs>
                <w:tab w:val="left" w:pos="459"/>
              </w:tabs>
              <w:spacing w:after="0" w:line="256" w:lineRule="auto"/>
              <w:ind w:left="34" w:firstLine="236"/>
              <w:rPr>
                <w:rFonts w:ascii="GHEA Grapalat" w:hAnsi="GHEA Grapalat"/>
                <w:sz w:val="18"/>
                <w:szCs w:val="18"/>
                <w:lang w:val="hy-AM"/>
              </w:rPr>
            </w:pPr>
            <w:r w:rsidRPr="00C921DE">
              <w:rPr>
                <w:rFonts w:ascii="GHEA Grapalat" w:hAnsi="GHEA Grapalat"/>
                <w:sz w:val="18"/>
                <w:szCs w:val="18"/>
                <w:lang w:val="hy-AM"/>
              </w:rPr>
              <w:t>ՀՀ կառավարության ներքին պարտք</w:t>
            </w:r>
          </w:p>
        </w:tc>
        <w:tc>
          <w:tcPr>
            <w:tcW w:w="1417" w:type="dxa"/>
            <w:tcBorders>
              <w:top w:val="nil"/>
              <w:left w:val="single" w:sz="4" w:space="0" w:color="auto"/>
              <w:bottom w:val="single" w:sz="4" w:space="0" w:color="auto"/>
              <w:right w:val="single" w:sz="4" w:space="0" w:color="auto"/>
            </w:tcBorders>
            <w:hideMark/>
          </w:tcPr>
          <w:p w14:paraId="59E18F39"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4,192.3</w:t>
            </w:r>
          </w:p>
        </w:tc>
        <w:tc>
          <w:tcPr>
            <w:tcW w:w="1418" w:type="dxa"/>
            <w:tcBorders>
              <w:top w:val="nil"/>
              <w:left w:val="single" w:sz="4" w:space="0" w:color="auto"/>
              <w:bottom w:val="single" w:sz="4" w:space="0" w:color="auto"/>
              <w:right w:val="single" w:sz="4" w:space="0" w:color="auto"/>
            </w:tcBorders>
            <w:noWrap/>
            <w:hideMark/>
          </w:tcPr>
          <w:p w14:paraId="3D406EA0"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5,343.9</w:t>
            </w:r>
          </w:p>
        </w:tc>
        <w:tc>
          <w:tcPr>
            <w:tcW w:w="1701" w:type="dxa"/>
            <w:tcBorders>
              <w:top w:val="nil"/>
              <w:left w:val="nil"/>
              <w:bottom w:val="single" w:sz="4" w:space="0" w:color="auto"/>
              <w:right w:val="single" w:sz="4" w:space="0" w:color="auto"/>
            </w:tcBorders>
            <w:noWrap/>
            <w:hideMark/>
          </w:tcPr>
          <w:p w14:paraId="6BE0BFB2"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1,151.6</w:t>
            </w:r>
          </w:p>
        </w:tc>
        <w:tc>
          <w:tcPr>
            <w:tcW w:w="1524" w:type="dxa"/>
            <w:tcBorders>
              <w:top w:val="nil"/>
              <w:left w:val="nil"/>
              <w:bottom w:val="single" w:sz="4" w:space="0" w:color="auto"/>
              <w:right w:val="single" w:sz="4" w:space="0" w:color="auto"/>
            </w:tcBorders>
            <w:noWrap/>
            <w:hideMark/>
          </w:tcPr>
          <w:p w14:paraId="28270C1F"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27.5</w:t>
            </w:r>
          </w:p>
        </w:tc>
      </w:tr>
      <w:tr w:rsidR="0046194F" w:rsidRPr="00C921DE" w14:paraId="020EF69F" w14:textId="77777777" w:rsidTr="00A90995">
        <w:trPr>
          <w:trHeight w:val="228"/>
        </w:trPr>
        <w:tc>
          <w:tcPr>
            <w:tcW w:w="4140" w:type="dxa"/>
            <w:tcBorders>
              <w:top w:val="nil"/>
              <w:left w:val="single" w:sz="4" w:space="0" w:color="auto"/>
              <w:bottom w:val="single" w:sz="4" w:space="0" w:color="auto"/>
              <w:right w:val="single" w:sz="4" w:space="0" w:color="auto"/>
            </w:tcBorders>
            <w:noWrap/>
            <w:hideMark/>
          </w:tcPr>
          <w:p w14:paraId="561B1984" w14:textId="77777777" w:rsidR="0046194F" w:rsidRPr="00C921DE" w:rsidRDefault="0046194F" w:rsidP="0046194F">
            <w:pPr>
              <w:spacing w:line="256" w:lineRule="auto"/>
              <w:rPr>
                <w:rFonts w:ascii="GHEA Grapalat" w:hAnsi="GHEA Grapalat" w:cs="Calibri"/>
                <w:sz w:val="18"/>
                <w:szCs w:val="18"/>
              </w:rPr>
            </w:pPr>
            <w:r w:rsidRPr="00C921DE">
              <w:rPr>
                <w:rFonts w:ascii="GHEA Grapalat" w:hAnsi="GHEA Grapalat" w:cs="Calibri"/>
                <w:sz w:val="18"/>
                <w:szCs w:val="18"/>
              </w:rPr>
              <w:t>ՀՀ կենտրոնական բանկի պարտք (արտաքին)</w:t>
            </w:r>
          </w:p>
        </w:tc>
        <w:tc>
          <w:tcPr>
            <w:tcW w:w="1417" w:type="dxa"/>
            <w:tcBorders>
              <w:top w:val="nil"/>
              <w:left w:val="single" w:sz="4" w:space="0" w:color="auto"/>
              <w:bottom w:val="single" w:sz="4" w:space="0" w:color="auto"/>
              <w:right w:val="single" w:sz="4" w:space="0" w:color="auto"/>
            </w:tcBorders>
            <w:hideMark/>
          </w:tcPr>
          <w:p w14:paraId="68AEBAB0"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551.3</w:t>
            </w:r>
          </w:p>
        </w:tc>
        <w:tc>
          <w:tcPr>
            <w:tcW w:w="1418" w:type="dxa"/>
            <w:tcBorders>
              <w:top w:val="nil"/>
              <w:left w:val="single" w:sz="4" w:space="0" w:color="auto"/>
              <w:bottom w:val="single" w:sz="4" w:space="0" w:color="auto"/>
              <w:right w:val="single" w:sz="4" w:space="0" w:color="auto"/>
            </w:tcBorders>
            <w:noWrap/>
            <w:hideMark/>
          </w:tcPr>
          <w:p w14:paraId="123CD4B2"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rPr>
              <w:t>550.</w:t>
            </w:r>
            <w:r w:rsidRPr="00C921DE">
              <w:rPr>
                <w:rFonts w:ascii="GHEA Grapalat" w:hAnsi="GHEA Grapalat" w:cs="Calibri"/>
                <w:sz w:val="18"/>
                <w:szCs w:val="18"/>
                <w:lang w:val="en-US"/>
              </w:rPr>
              <w:t>8</w:t>
            </w:r>
          </w:p>
        </w:tc>
        <w:tc>
          <w:tcPr>
            <w:tcW w:w="1701" w:type="dxa"/>
            <w:tcBorders>
              <w:top w:val="nil"/>
              <w:left w:val="nil"/>
              <w:bottom w:val="single" w:sz="4" w:space="0" w:color="auto"/>
              <w:right w:val="single" w:sz="4" w:space="0" w:color="auto"/>
            </w:tcBorders>
            <w:noWrap/>
            <w:hideMark/>
          </w:tcPr>
          <w:p w14:paraId="42B87393" w14:textId="77777777" w:rsidR="0046194F" w:rsidRPr="00C921DE" w:rsidRDefault="0046194F" w:rsidP="0046194F">
            <w:pPr>
              <w:spacing w:line="256" w:lineRule="auto"/>
              <w:jc w:val="right"/>
              <w:rPr>
                <w:rFonts w:ascii="GHEA Grapalat" w:hAnsi="GHEA Grapalat" w:cs="Calibri"/>
                <w:sz w:val="18"/>
                <w:szCs w:val="18"/>
                <w:lang w:val="ru-RU"/>
              </w:rPr>
            </w:pPr>
            <w:r w:rsidRPr="00C921DE">
              <w:rPr>
                <w:rFonts w:ascii="GHEA Grapalat" w:hAnsi="GHEA Grapalat" w:cs="Calibri"/>
                <w:sz w:val="18"/>
                <w:szCs w:val="18"/>
                <w:lang w:val="ru-RU"/>
              </w:rPr>
              <w:t>(0</w:t>
            </w:r>
            <w:r w:rsidRPr="00C921DE">
              <w:rPr>
                <w:rFonts w:ascii="GHEA Grapalat" w:hAnsi="GHEA Grapalat" w:cs="Calibri"/>
                <w:sz w:val="18"/>
                <w:szCs w:val="18"/>
                <w:lang w:val="en-US"/>
              </w:rPr>
              <w:t>.5</w:t>
            </w:r>
            <w:r w:rsidRPr="00C921DE">
              <w:rPr>
                <w:rFonts w:ascii="GHEA Grapalat" w:hAnsi="GHEA Grapalat" w:cs="Calibri"/>
                <w:sz w:val="18"/>
                <w:szCs w:val="18"/>
                <w:lang w:val="ru-RU"/>
              </w:rPr>
              <w:t>)</w:t>
            </w:r>
          </w:p>
        </w:tc>
        <w:tc>
          <w:tcPr>
            <w:tcW w:w="1524" w:type="dxa"/>
            <w:tcBorders>
              <w:top w:val="nil"/>
              <w:left w:val="nil"/>
              <w:bottom w:val="single" w:sz="4" w:space="0" w:color="auto"/>
              <w:right w:val="single" w:sz="4" w:space="0" w:color="auto"/>
            </w:tcBorders>
            <w:noWrap/>
            <w:hideMark/>
          </w:tcPr>
          <w:p w14:paraId="3936B01C" w14:textId="77777777" w:rsidR="0046194F" w:rsidRPr="00C921DE" w:rsidRDefault="0046194F" w:rsidP="0046194F">
            <w:pPr>
              <w:spacing w:line="256" w:lineRule="auto"/>
              <w:jc w:val="right"/>
              <w:rPr>
                <w:rFonts w:ascii="GHEA Grapalat" w:hAnsi="GHEA Grapalat" w:cs="Calibri"/>
                <w:sz w:val="18"/>
                <w:szCs w:val="18"/>
                <w:lang w:val="en-US"/>
              </w:rPr>
            </w:pPr>
            <w:r w:rsidRPr="00C921DE">
              <w:rPr>
                <w:rFonts w:ascii="GHEA Grapalat" w:hAnsi="GHEA Grapalat" w:cs="Calibri"/>
                <w:sz w:val="18"/>
                <w:szCs w:val="18"/>
                <w:lang w:val="en-US"/>
              </w:rPr>
              <w:t>(0.1)</w:t>
            </w:r>
          </w:p>
        </w:tc>
      </w:tr>
    </w:tbl>
    <w:p w14:paraId="1317DA14"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en-US"/>
        </w:rPr>
      </w:pPr>
    </w:p>
    <w:p w14:paraId="1515DA1B" w14:textId="4C6BB7BE"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202</w:t>
      </w:r>
      <w:r w:rsidRPr="00C921DE">
        <w:rPr>
          <w:rFonts w:ascii="GHEA Grapalat" w:hAnsi="GHEA Grapalat"/>
          <w:sz w:val="22"/>
          <w:szCs w:val="22"/>
          <w:lang w:val="en-US"/>
        </w:rPr>
        <w:t>3</w:t>
      </w:r>
      <w:r w:rsidRPr="00C921DE">
        <w:rPr>
          <w:rFonts w:ascii="GHEA Grapalat" w:hAnsi="GHEA Grapalat"/>
          <w:sz w:val="22"/>
          <w:szCs w:val="22"/>
        </w:rPr>
        <w:t xml:space="preserve"> թվականի դեկտեմբերի 31-ի դրությամբ ՀՀ պետական պարտքը նախորդ տարվա համեմատ դրամային արտահայտությամբ աճել է 608.2 մլրդ դրամով, իսկ դոլարային արտահայտությամբ՝ 1,207.</w:t>
      </w:r>
      <w:r w:rsidR="00D73D60" w:rsidRPr="00C921DE">
        <w:rPr>
          <w:rFonts w:ascii="GHEA Grapalat" w:hAnsi="GHEA Grapalat"/>
          <w:sz w:val="22"/>
          <w:szCs w:val="22"/>
          <w:lang w:val="en-US"/>
        </w:rPr>
        <w:t>7</w:t>
      </w:r>
      <w:r w:rsidRPr="00C921DE">
        <w:rPr>
          <w:rFonts w:ascii="GHEA Grapalat" w:hAnsi="GHEA Grapalat"/>
          <w:sz w:val="22"/>
          <w:szCs w:val="22"/>
        </w:rPr>
        <w:t xml:space="preserve"> մլն ԱՄՆ դոլարով: Եվ՛ դրամային, և՛ դոլարային արտահայտությամբ ՀՀ պետական պարտքի աճը հիմնականում պայմանավորված է ՀՀ կառավարության պարտքի</w:t>
      </w:r>
      <w:r w:rsidR="002001D6" w:rsidRPr="00C921DE">
        <w:rPr>
          <w:rFonts w:ascii="GHEA Grapalat" w:hAnsi="GHEA Grapalat"/>
          <w:sz w:val="22"/>
          <w:szCs w:val="22"/>
          <w:lang w:val="en-US"/>
        </w:rPr>
        <w:t xml:space="preserve"> աճով՝</w:t>
      </w:r>
      <w:r w:rsidRPr="00C921DE">
        <w:rPr>
          <w:rFonts w:ascii="GHEA Grapalat" w:hAnsi="GHEA Grapalat"/>
          <w:sz w:val="22"/>
          <w:szCs w:val="22"/>
        </w:rPr>
        <w:t xml:space="preserve"> </w:t>
      </w:r>
      <w:r w:rsidR="002001D6" w:rsidRPr="00C921DE">
        <w:rPr>
          <w:rFonts w:ascii="GHEA Grapalat" w:hAnsi="GHEA Grapalat"/>
          <w:sz w:val="22"/>
          <w:szCs w:val="22"/>
        </w:rPr>
        <w:t>համապատասխանաբար</w:t>
      </w:r>
      <w:r w:rsidRPr="00C921DE">
        <w:rPr>
          <w:rFonts w:ascii="GHEA Grapalat" w:hAnsi="GHEA Grapalat"/>
          <w:sz w:val="22"/>
          <w:szCs w:val="22"/>
        </w:rPr>
        <w:t xml:space="preserve"> 15.2%-ով և 12.0%-ով: 2022 թվականի համեմատ 2023 թվականի տարեվերջին ՀՀ կենտրոնական բանկի արտաքին պարտքի ցուցանիշը դոլարային արտահայտությամբ նվազել է աննշան</w:t>
      </w:r>
      <w:r w:rsidR="002001D6" w:rsidRPr="00C921DE">
        <w:rPr>
          <w:rFonts w:ascii="GHEA Grapalat" w:hAnsi="GHEA Grapalat"/>
          <w:sz w:val="22"/>
          <w:szCs w:val="22"/>
          <w:lang w:val="en-US"/>
        </w:rPr>
        <w:t xml:space="preserve"> չափով</w:t>
      </w:r>
      <w:r w:rsidRPr="00C921DE">
        <w:rPr>
          <w:rFonts w:ascii="GHEA Grapalat" w:hAnsi="GHEA Grapalat"/>
          <w:sz w:val="22"/>
          <w:szCs w:val="22"/>
        </w:rPr>
        <w:t xml:space="preserve"> (0.1%-ով) և կազմել է 550.</w:t>
      </w:r>
      <w:r w:rsidRPr="00C921DE">
        <w:rPr>
          <w:rFonts w:ascii="GHEA Grapalat" w:hAnsi="GHEA Grapalat"/>
          <w:sz w:val="22"/>
          <w:szCs w:val="22"/>
          <w:lang w:val="en-US"/>
        </w:rPr>
        <w:t>8</w:t>
      </w:r>
      <w:r w:rsidRPr="00C921DE">
        <w:rPr>
          <w:rFonts w:ascii="GHEA Grapalat" w:hAnsi="GHEA Grapalat"/>
          <w:sz w:val="22"/>
          <w:szCs w:val="22"/>
        </w:rPr>
        <w:t xml:space="preserve"> մլն ԱՄՆ դոլար:</w:t>
      </w:r>
      <w:r w:rsidR="00517635" w:rsidRPr="00C921DE">
        <w:rPr>
          <w:rFonts w:ascii="GHEA Grapalat" w:hAnsi="GHEA Grapalat"/>
          <w:sz w:val="22"/>
          <w:szCs w:val="22"/>
        </w:rPr>
        <w:t xml:space="preserve"> </w:t>
      </w:r>
    </w:p>
    <w:p w14:paraId="025D0811"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ՀՀ կառավարության պարտքի տեսակարար կշիռը պետական պարտքի ծավալում կազմել է 95.4%, իսկ ՀՀ կենտրոնական բանկի արտաքին պարտքի կշիռը՝ 4.6%:</w:t>
      </w:r>
    </w:p>
    <w:p w14:paraId="460B27E0" w14:textId="60947ABF"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lastRenderedPageBreak/>
        <w:t>2023 թվականի դեկտեմբերի 31-ի դրությամբ ՀՀ պետական պարտքը կազմել է ՀՆԱ-ի 50.5%</w:t>
      </w:r>
      <w:r w:rsidRPr="00C921DE">
        <w:rPr>
          <w:rFonts w:ascii="GHEA Grapalat" w:hAnsi="GHEA Grapalat"/>
          <w:sz w:val="22"/>
          <w:szCs w:val="22"/>
        </w:rPr>
        <w:noBreakHyphen/>
        <w:t>ը՝ նախորդ տար</w:t>
      </w:r>
      <w:r w:rsidR="00C01890" w:rsidRPr="00C921DE">
        <w:rPr>
          <w:rFonts w:ascii="GHEA Grapalat" w:hAnsi="GHEA Grapalat"/>
          <w:sz w:val="22"/>
          <w:szCs w:val="22"/>
          <w:lang w:val="en-US"/>
        </w:rPr>
        <w:t>եվերջի</w:t>
      </w:r>
      <w:r w:rsidRPr="00C921DE">
        <w:rPr>
          <w:rFonts w:ascii="GHEA Grapalat" w:hAnsi="GHEA Grapalat"/>
          <w:sz w:val="22"/>
          <w:szCs w:val="22"/>
        </w:rPr>
        <w:t xml:space="preserve"> համեմատ աճելով 1.2 տոկոսային կետով: Ընդ որում</w:t>
      </w:r>
      <w:r w:rsidR="00EF38D2" w:rsidRPr="00C921DE">
        <w:rPr>
          <w:rFonts w:ascii="GHEA Grapalat" w:hAnsi="GHEA Grapalat"/>
          <w:sz w:val="22"/>
          <w:szCs w:val="22"/>
          <w:lang w:val="en-US"/>
        </w:rPr>
        <w:t>,</w:t>
      </w:r>
      <w:r w:rsidRPr="00C921DE">
        <w:rPr>
          <w:rFonts w:ascii="GHEA Grapalat" w:hAnsi="GHEA Grapalat"/>
          <w:sz w:val="22"/>
          <w:szCs w:val="22"/>
        </w:rPr>
        <w:t xml:space="preserve"> կառավարության պարտքը կազմել է ՀՆԱ-ի 48.1%-ը՝ նախորդ տարվա համեմատ աճելով 1.4 տոկոսային կետով։</w:t>
      </w:r>
    </w:p>
    <w:p w14:paraId="3505A2F5"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p>
    <w:p w14:paraId="34494EAC" w14:textId="2D96EB9A" w:rsidR="0046194F" w:rsidRPr="00C921DE" w:rsidRDefault="0046194F" w:rsidP="004C12B8">
      <w:pPr>
        <w:pStyle w:val="a"/>
      </w:pPr>
      <w:r w:rsidRPr="00C921DE">
        <w:t>ՀՀ պետական պարտքը 202</w:t>
      </w:r>
      <w:r w:rsidR="0032521F" w:rsidRPr="00C921DE">
        <w:t>1</w:t>
      </w:r>
      <w:r w:rsidRPr="00C921DE">
        <w:t>-202</w:t>
      </w:r>
      <w:r w:rsidR="0032521F" w:rsidRPr="00C921DE">
        <w:t>3</w:t>
      </w:r>
      <w:r w:rsidRPr="00C921DE">
        <w:t>թթ. (մլրդ դրամ)</w:t>
      </w:r>
    </w:p>
    <w:p w14:paraId="7B5BE2C4" w14:textId="74821F60" w:rsidR="0046194F" w:rsidRPr="00C921DE" w:rsidRDefault="0046194F" w:rsidP="0046194F">
      <w:pPr>
        <w:autoSpaceDE w:val="0"/>
        <w:autoSpaceDN w:val="0"/>
        <w:adjustRightInd w:val="0"/>
        <w:spacing w:line="360" w:lineRule="auto"/>
        <w:jc w:val="both"/>
        <w:rPr>
          <w:rFonts w:ascii="GHEA Grapalat" w:hAnsi="GHEA Grapalat"/>
          <w:sz w:val="22"/>
          <w:szCs w:val="22"/>
          <w:lang w:val="en-US"/>
        </w:rPr>
      </w:pPr>
      <w:r w:rsidRPr="00C921DE">
        <w:rPr>
          <w:rFonts w:ascii="GHEA Grapalat" w:hAnsi="GHEA Grapalat"/>
          <w:sz w:val="22"/>
          <w:szCs w:val="22"/>
          <w:lang w:val="en-US"/>
        </w:rPr>
        <w:drawing>
          <wp:inline distT="0" distB="0" distL="0" distR="0" wp14:anchorId="160B2ECB" wp14:editId="1AE0CA6A">
            <wp:extent cx="6360795" cy="3816350"/>
            <wp:effectExtent l="0" t="0" r="1905" b="1270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0F176195"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lang w:val="en-US"/>
        </w:rPr>
      </w:pPr>
    </w:p>
    <w:p w14:paraId="0F0745A8" w14:textId="4DBC143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2023 թվականի դեկտեմբերի 31-ի դրությամբ ՀՀ արտաքին պետական պարտքը նախորդ տարեվերջի համեմատությամբ աճել է 56</w:t>
      </w:r>
      <w:r w:rsidRPr="00C921DE">
        <w:rPr>
          <w:rFonts w:ascii="GHEA Grapalat" w:hAnsi="GHEA Grapalat"/>
          <w:sz w:val="22"/>
          <w:szCs w:val="22"/>
          <w:lang w:val="en-US"/>
        </w:rPr>
        <w:t>.1</w:t>
      </w:r>
      <w:r w:rsidRPr="00C921DE">
        <w:rPr>
          <w:rFonts w:ascii="GHEA Grapalat" w:hAnsi="GHEA Grapalat"/>
          <w:sz w:val="22"/>
          <w:szCs w:val="22"/>
        </w:rPr>
        <w:t xml:space="preserve"> մլն ԱՄՆ դոլարով (0.9%-ով), և դրա տեսակարար կշիռը ՀՀ պետական պարտքի կառուցվածքում նվազել է՝ 60.6%-ից հասնելով 54.9%-ի: Ընդ որում,</w:t>
      </w:r>
      <w:r w:rsidR="008F459D" w:rsidRPr="00C921DE">
        <w:rPr>
          <w:rFonts w:ascii="GHEA Grapalat" w:hAnsi="GHEA Grapalat"/>
          <w:sz w:val="22"/>
          <w:szCs w:val="22"/>
        </w:rPr>
        <w:t xml:space="preserve"> ՀՀ կառավարության արտաքին պարտքն</w:t>
      </w:r>
      <w:r w:rsidRPr="00C921DE">
        <w:rPr>
          <w:rFonts w:ascii="GHEA Grapalat" w:hAnsi="GHEA Grapalat"/>
          <w:sz w:val="22"/>
          <w:szCs w:val="22"/>
        </w:rPr>
        <w:t xml:space="preserve"> աճել է </w:t>
      </w:r>
      <w:r w:rsidRPr="00C921DE">
        <w:rPr>
          <w:rFonts w:ascii="GHEA Grapalat" w:hAnsi="GHEA Grapalat"/>
          <w:sz w:val="22"/>
          <w:szCs w:val="22"/>
          <w:lang w:val="en-US"/>
        </w:rPr>
        <w:t>56.6</w:t>
      </w:r>
      <w:r w:rsidRPr="00C921DE">
        <w:rPr>
          <w:rFonts w:ascii="GHEA Grapalat" w:hAnsi="GHEA Grapalat"/>
          <w:sz w:val="22"/>
          <w:szCs w:val="22"/>
        </w:rPr>
        <w:t xml:space="preserve"> մլն ԱՄՆ դոլարով, իսկ ՀՀ </w:t>
      </w:r>
      <w:r w:rsidRPr="00C921DE">
        <w:rPr>
          <w:rFonts w:ascii="GHEA Grapalat" w:hAnsi="GHEA Grapalat"/>
          <w:sz w:val="22"/>
          <w:szCs w:val="22"/>
          <w:lang w:val="en-US"/>
        </w:rPr>
        <w:t>ԿԲ</w:t>
      </w:r>
      <w:r w:rsidRPr="00C921DE">
        <w:rPr>
          <w:rFonts w:ascii="GHEA Grapalat" w:hAnsi="GHEA Grapalat"/>
          <w:sz w:val="22"/>
          <w:szCs w:val="22"/>
        </w:rPr>
        <w:t xml:space="preserve"> արտաքին պարտքը նվազել է 0</w:t>
      </w:r>
      <w:r w:rsidRPr="00C921DE">
        <w:rPr>
          <w:rFonts w:ascii="GHEA Grapalat" w:hAnsi="GHEA Grapalat"/>
          <w:sz w:val="22"/>
          <w:szCs w:val="22"/>
          <w:lang w:val="en-US"/>
        </w:rPr>
        <w:t>.5</w:t>
      </w:r>
      <w:r w:rsidRPr="00C921DE">
        <w:rPr>
          <w:rFonts w:ascii="GHEA Grapalat" w:hAnsi="GHEA Grapalat"/>
          <w:sz w:val="22"/>
          <w:szCs w:val="22"/>
        </w:rPr>
        <w:t xml:space="preserve"> մլն ԱՄՆ դոլարով:</w:t>
      </w:r>
    </w:p>
    <w:p w14:paraId="6615F275" w14:textId="46E7C43E" w:rsidR="00847A46" w:rsidRPr="00C921DE" w:rsidRDefault="00847A46" w:rsidP="00135097">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Պարտքի ծավալի փոփոխությանը նպաստել են 2023</w:t>
      </w:r>
      <w:r w:rsidR="00135097" w:rsidRPr="00C921DE">
        <w:rPr>
          <w:rFonts w:ascii="GHEA Grapalat" w:hAnsi="GHEA Grapalat"/>
          <w:sz w:val="22"/>
          <w:szCs w:val="22"/>
          <w:lang w:val="en-US"/>
        </w:rPr>
        <w:t xml:space="preserve"> </w:t>
      </w:r>
      <w:r w:rsidRPr="00C921DE">
        <w:rPr>
          <w:rFonts w:ascii="GHEA Grapalat" w:hAnsi="GHEA Grapalat"/>
          <w:sz w:val="22"/>
          <w:szCs w:val="22"/>
        </w:rPr>
        <w:t>թ</w:t>
      </w:r>
      <w:r w:rsidR="00135097" w:rsidRPr="00C921DE">
        <w:rPr>
          <w:rFonts w:ascii="GHEA Grapalat" w:hAnsi="GHEA Grapalat"/>
          <w:sz w:val="22"/>
          <w:szCs w:val="22"/>
          <w:lang w:val="en-US"/>
        </w:rPr>
        <w:t>վականի</w:t>
      </w:r>
      <w:r w:rsidRPr="00C921DE">
        <w:rPr>
          <w:rFonts w:ascii="GHEA Grapalat" w:hAnsi="GHEA Grapalat"/>
          <w:sz w:val="22"/>
          <w:szCs w:val="22"/>
        </w:rPr>
        <w:t xml:space="preserve"> ընթացքում իրականացված գործառնությունները՝ փոխառու միջոցների ներգրավում և մայր գումարի մարումներ, մասնավորապես.</w:t>
      </w:r>
    </w:p>
    <w:p w14:paraId="73036272" w14:textId="77777777"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 xml:space="preserve">պետական գանձապետական պարտատոմսերի գծով կատարված 829.5 մլրդ դրամի տեղաբաշխումները և 223.8 մլրդ դրամի մայր գումարի մարումները/հետգնումները, </w:t>
      </w:r>
    </w:p>
    <w:p w14:paraId="63E4977D" w14:textId="77777777"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արտաքին վարկերի գծով կատարված 316.4 մլն ԱՄՆ դոլարի մասհանումները և արտաքին վարկերի գծով կատարված 315.6 մլն ԱՄՆ դոլարի մայր գումարի մարումները,</w:t>
      </w:r>
    </w:p>
    <w:p w14:paraId="53947BCA" w14:textId="19173F4D"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lastRenderedPageBreak/>
        <w:t>2025թ. մարվող պետական արտարժութային պարտատոմսերի՝ 186.8 մլն ԱՄՆ դոլար ծավալ</w:t>
      </w:r>
      <w:r w:rsidR="00135097" w:rsidRPr="00C921DE">
        <w:rPr>
          <w:rFonts w:ascii="GHEA Grapalat" w:hAnsi="GHEA Grapalat" w:cs="GHEA Grapalat"/>
          <w:sz w:val="22"/>
          <w:szCs w:val="22"/>
        </w:rPr>
        <w:t>ով հետգնումը</w:t>
      </w:r>
      <w:r w:rsidR="00135097" w:rsidRPr="00C921DE">
        <w:rPr>
          <w:rFonts w:ascii="GHEA Grapalat" w:hAnsi="GHEA Grapalat" w:cs="GHEA Grapalat"/>
          <w:sz w:val="22"/>
          <w:szCs w:val="22"/>
          <w:lang w:val="en-US"/>
        </w:rPr>
        <w:t>:</w:t>
      </w:r>
    </w:p>
    <w:p w14:paraId="025DC502" w14:textId="1A40473C" w:rsidR="00847A46" w:rsidRPr="00C921DE" w:rsidRDefault="00847A46" w:rsidP="00135097">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Կառավարության պարտքի կառուցվածքում արձանագրված փոփոխությունները հիմնականում պայմանավորված են եղել վերը նշված գործառնություններով: Մասնավորապես, 2023</w:t>
      </w:r>
      <w:r w:rsidR="00135097" w:rsidRPr="00C921DE">
        <w:rPr>
          <w:rFonts w:ascii="GHEA Grapalat" w:hAnsi="GHEA Grapalat"/>
          <w:sz w:val="22"/>
          <w:szCs w:val="22"/>
          <w:lang w:val="en-US"/>
        </w:rPr>
        <w:t xml:space="preserve"> </w:t>
      </w:r>
      <w:r w:rsidRPr="00C921DE">
        <w:rPr>
          <w:rFonts w:ascii="GHEA Grapalat" w:hAnsi="GHEA Grapalat"/>
          <w:sz w:val="22"/>
          <w:szCs w:val="22"/>
        </w:rPr>
        <w:t>թ</w:t>
      </w:r>
      <w:r w:rsidR="00135097" w:rsidRPr="00C921DE">
        <w:rPr>
          <w:rFonts w:ascii="GHEA Grapalat" w:hAnsi="GHEA Grapalat"/>
          <w:sz w:val="22"/>
          <w:szCs w:val="22"/>
          <w:lang w:val="en-US"/>
        </w:rPr>
        <w:t>վականի</w:t>
      </w:r>
      <w:r w:rsidRPr="00C921DE">
        <w:rPr>
          <w:rFonts w:ascii="GHEA Grapalat" w:hAnsi="GHEA Grapalat"/>
          <w:sz w:val="22"/>
          <w:szCs w:val="22"/>
        </w:rPr>
        <w:t xml:space="preserve"> տարեվերջի դրությամբ նախորդ տարվա վերջի համեմատությամբ ՀՀ կառավարության պարտքի կառուցվածքում տեղի են ունեցել հետևյալ էական փոփոխությունները.</w:t>
      </w:r>
    </w:p>
    <w:p w14:paraId="625BA249" w14:textId="03329804"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աճել է ոչ ռեզիդենտների կողմից ձեռքբերված պետական գանձապետական պարտատոմսերի տեսակարար կշիռ</w:t>
      </w:r>
      <w:r w:rsidR="00EF0CFA"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ընդամենը գանձապետական պարտատոմսերի մեջ՝ 4.0 տոկոսային կետով,</w:t>
      </w:r>
    </w:p>
    <w:p w14:paraId="706DAC13" w14:textId="19D31553"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ներքին պարտքի կշիռ</w:t>
      </w:r>
      <w:r w:rsidR="00EF0CFA"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ավելացել է 5.7 տոկոսային կետով,</w:t>
      </w:r>
    </w:p>
    <w:p w14:paraId="3A6F58C7" w14:textId="60E5E9CF"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ռեզիդենտների կողմից ձեռքբերված արտարժութային պետական պարտատոմսերի տեսակարար կշիռ</w:t>
      </w:r>
      <w:r w:rsidR="00EF0CFA"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արտարժութային պարտատոմսերի մեջ աճել է 5.7 տոկոսային կետով,</w:t>
      </w:r>
    </w:p>
    <w:p w14:paraId="5CAD9824" w14:textId="27390C09"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ֆիքսված տոկոսադրույքով պարտք</w:t>
      </w:r>
      <w:r w:rsidR="00EF0CFA" w:rsidRPr="00C921DE">
        <w:rPr>
          <w:rFonts w:ascii="GHEA Grapalat" w:hAnsi="GHEA Grapalat" w:cs="GHEA Grapalat"/>
          <w:sz w:val="22"/>
          <w:szCs w:val="22"/>
          <w:lang w:val="en-US"/>
        </w:rPr>
        <w:t>ն</w:t>
      </w:r>
      <w:r w:rsidRPr="00C921DE">
        <w:rPr>
          <w:rFonts w:ascii="GHEA Grapalat" w:hAnsi="GHEA Grapalat" w:cs="GHEA Grapalat"/>
          <w:sz w:val="22"/>
          <w:szCs w:val="22"/>
        </w:rPr>
        <w:t xml:space="preserve"> ավելացել է 0.5 տոկոսային կետով,</w:t>
      </w:r>
    </w:p>
    <w:p w14:paraId="0AB292B8" w14:textId="72A534F6" w:rsidR="00847A46" w:rsidRPr="00C921DE" w:rsidRDefault="00847A46"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ըստ մինչև մարումը մնացած միջին կշռված ժամկետի և ըստ</w:t>
      </w:r>
      <w:r w:rsidR="00E7622D"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թողարկման (ներգրավման) ժամկետայնության</w:t>
      </w:r>
      <w:r w:rsidR="00EF0CFA" w:rsidRPr="00C921DE">
        <w:rPr>
          <w:rFonts w:ascii="GHEA Grapalat" w:hAnsi="GHEA Grapalat" w:cs="GHEA Grapalat"/>
          <w:sz w:val="22"/>
          <w:szCs w:val="22"/>
          <w:lang w:val="en-US"/>
        </w:rPr>
        <w:t>՝</w:t>
      </w:r>
      <w:r w:rsidRPr="00C921DE">
        <w:rPr>
          <w:rFonts w:ascii="GHEA Grapalat" w:hAnsi="GHEA Grapalat" w:cs="GHEA Grapalat"/>
          <w:sz w:val="22"/>
          <w:szCs w:val="22"/>
        </w:rPr>
        <w:t xml:space="preserve"> համապատասխանաբար 2.6 և 0.2 տոկոսային կետերով աճել է կարճաժամկետ պարտքի կշիռը:</w:t>
      </w:r>
    </w:p>
    <w:p w14:paraId="2507FE2C"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Արտաքին պետական պարտքի հիմնական մասը ՀՀ կառավարության պարտավորություններն են: Կառավարության արտաքին պարտքի բաղադրիչներն են՝</w:t>
      </w:r>
    </w:p>
    <w:p w14:paraId="3EAEA40B"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 xml:space="preserve">արտաքին վարկերը և փոխառությունները, որոնց ծավալը կազմել է 1,836.1 մլրդ դրամ, </w:t>
      </w:r>
    </w:p>
    <w:p w14:paraId="4CD80D77"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 xml:space="preserve">ոչ ռեզիդենտների կողմից ձեռք բերված պետական գանձապետական պարտատոմսերը, որոնց ծավալը կազմել է 146 մլրդ դրամ, </w:t>
      </w:r>
    </w:p>
    <w:p w14:paraId="17897569"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ոչ ռեզիդենտների կողմից ձեռք բերված արտարժութային պետական պարտատոմսերը, որոնց ծավալը կազմել է 423.7 մլրդ դրամ,</w:t>
      </w:r>
    </w:p>
    <w:p w14:paraId="0F69F532" w14:textId="610EFBC8"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ՀՀ կառավարության կողմից տրամադրված արտաքին երա</w:t>
      </w:r>
      <w:r w:rsidR="00466820" w:rsidRPr="00C921DE">
        <w:rPr>
          <w:rFonts w:ascii="GHEA Grapalat" w:hAnsi="GHEA Grapalat" w:cs="GHEA Grapalat"/>
          <w:sz w:val="22"/>
          <w:szCs w:val="22"/>
        </w:rPr>
        <w:t xml:space="preserve">շխիքները, որոնց ծավալը կազմել է </w:t>
      </w:r>
      <w:r w:rsidRPr="00C921DE">
        <w:rPr>
          <w:rFonts w:ascii="GHEA Grapalat" w:hAnsi="GHEA Grapalat" w:cs="GHEA Grapalat"/>
          <w:sz w:val="22"/>
          <w:szCs w:val="22"/>
        </w:rPr>
        <w:t>3</w:t>
      </w:r>
      <w:r w:rsidR="00466820" w:rsidRPr="00C921DE">
        <w:rPr>
          <w:rFonts w:ascii="GHEA Grapalat" w:hAnsi="GHEA Grapalat" w:cs="GHEA Grapalat"/>
          <w:sz w:val="22"/>
          <w:szCs w:val="22"/>
          <w:lang w:val="en-US"/>
        </w:rPr>
        <w:t xml:space="preserve"> </w:t>
      </w:r>
      <w:r w:rsidRPr="00C921DE">
        <w:rPr>
          <w:rFonts w:ascii="GHEA Grapalat" w:hAnsi="GHEA Grapalat" w:cs="GHEA Grapalat"/>
          <w:sz w:val="22"/>
          <w:szCs w:val="22"/>
        </w:rPr>
        <w:t>մլրդ դրամ:</w:t>
      </w:r>
    </w:p>
    <w:p w14:paraId="5E2F055C" w14:textId="77777777" w:rsidR="00466820" w:rsidRPr="00C921DE" w:rsidRDefault="00466820" w:rsidP="0046682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 թվականի դեկտեմբերի 31-ի դրությամբ շրջանառության մեջ գտնվող արտարժութային պետական պարտատոմսերի ծավալը կազմել է 1,563.166 մլն ԱՄՆ դոլար, որից`</w:t>
      </w:r>
    </w:p>
    <w:p w14:paraId="4CED735C" w14:textId="77777777" w:rsidR="00466820" w:rsidRPr="00C921DE" w:rsidRDefault="00466820" w:rsidP="00D9331C">
      <w:pPr>
        <w:numPr>
          <w:ilvl w:val="0"/>
          <w:numId w:val="35"/>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C921DE">
        <w:rPr>
          <w:rFonts w:ascii="GHEA Grapalat" w:hAnsi="GHEA Grapalat"/>
          <w:sz w:val="22"/>
          <w:szCs w:val="22"/>
        </w:rPr>
        <w:t>313.166</w:t>
      </w:r>
      <w:r w:rsidRPr="00C921DE">
        <w:rPr>
          <w:rFonts w:ascii="GHEA Grapalat" w:hAnsi="GHEA Grapalat"/>
          <w:sz w:val="22"/>
          <w:szCs w:val="22"/>
          <w:lang w:val="nb-NO"/>
        </w:rPr>
        <w:t xml:space="preserve"> մլն ԱՄՆ դոլարը` 2025թ. մարման ենթակա 7.15% արժեկտրոնային եկամտաբերությամբ պարտատոմսերը,</w:t>
      </w:r>
    </w:p>
    <w:p w14:paraId="4C6F8190" w14:textId="77777777" w:rsidR="00466820" w:rsidRPr="00C921DE" w:rsidRDefault="00466820" w:rsidP="00D9331C">
      <w:pPr>
        <w:numPr>
          <w:ilvl w:val="0"/>
          <w:numId w:val="35"/>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C921DE">
        <w:rPr>
          <w:rFonts w:ascii="GHEA Grapalat" w:hAnsi="GHEA Grapalat"/>
          <w:sz w:val="22"/>
          <w:szCs w:val="22"/>
          <w:lang w:val="nb-NO"/>
        </w:rPr>
        <w:t>500 մլն ԱՄՆ դոլարը` 2029թ. մարման ենթակա 3.95% արժեկտրոնային եկամտաբերությամբ պարտատոմսերը,</w:t>
      </w:r>
    </w:p>
    <w:p w14:paraId="6CCA55CA" w14:textId="77777777" w:rsidR="00466820" w:rsidRPr="00C921DE" w:rsidRDefault="00466820" w:rsidP="00D9331C">
      <w:pPr>
        <w:numPr>
          <w:ilvl w:val="0"/>
          <w:numId w:val="35"/>
        </w:numPr>
        <w:tabs>
          <w:tab w:val="left" w:pos="851"/>
        </w:tabs>
        <w:autoSpaceDE w:val="0"/>
        <w:autoSpaceDN w:val="0"/>
        <w:adjustRightInd w:val="0"/>
        <w:spacing w:line="360" w:lineRule="auto"/>
        <w:ind w:left="0" w:firstLine="567"/>
        <w:jc w:val="both"/>
        <w:rPr>
          <w:rFonts w:ascii="GHEA Grapalat" w:hAnsi="GHEA Grapalat"/>
          <w:sz w:val="22"/>
          <w:szCs w:val="22"/>
          <w:lang w:val="nb-NO"/>
        </w:rPr>
      </w:pPr>
      <w:r w:rsidRPr="00C921DE">
        <w:rPr>
          <w:rFonts w:ascii="GHEA Grapalat" w:hAnsi="GHEA Grapalat"/>
          <w:sz w:val="22"/>
          <w:szCs w:val="22"/>
          <w:lang w:val="nb-NO"/>
        </w:rPr>
        <w:lastRenderedPageBreak/>
        <w:t>750 մլն ԱՄՆ դոլարը` 2031թ. մարման ենթակա 3.60% արժեկտրոնային եկամտաբերությամբ պարտատոմսերը:</w:t>
      </w:r>
    </w:p>
    <w:p w14:paraId="294A167A" w14:textId="77777777" w:rsidR="00466820" w:rsidRPr="00C921DE" w:rsidRDefault="00466820" w:rsidP="00466820">
      <w:pPr>
        <w:autoSpaceDE w:val="0"/>
        <w:autoSpaceDN w:val="0"/>
        <w:adjustRightInd w:val="0"/>
        <w:spacing w:line="360" w:lineRule="auto"/>
        <w:ind w:firstLine="567"/>
        <w:jc w:val="both"/>
        <w:rPr>
          <w:rFonts w:ascii="GHEA Grapalat" w:hAnsi="GHEA Grapalat" w:cs="GHEA Grapalat"/>
          <w:sz w:val="22"/>
          <w:szCs w:val="22"/>
        </w:rPr>
      </w:pPr>
      <w:r w:rsidRPr="00C921DE">
        <w:rPr>
          <w:rFonts w:ascii="GHEA Grapalat" w:hAnsi="GHEA Grapalat" w:cs="GHEA Grapalat"/>
          <w:sz w:val="22"/>
          <w:szCs w:val="22"/>
        </w:rPr>
        <w:t>2023</w:t>
      </w:r>
      <w:r w:rsidRPr="00C921DE">
        <w:rPr>
          <w:rFonts w:ascii="GHEA Grapalat" w:hAnsi="GHEA Grapalat" w:cs="GHEA Grapalat"/>
          <w:sz w:val="22"/>
          <w:szCs w:val="22"/>
          <w:lang w:val="nb-NO"/>
        </w:rPr>
        <w:t xml:space="preserve"> </w:t>
      </w:r>
      <w:r w:rsidRPr="00C921DE">
        <w:rPr>
          <w:rFonts w:ascii="GHEA Grapalat" w:hAnsi="GHEA Grapalat" w:cs="GHEA Grapalat"/>
          <w:sz w:val="22"/>
          <w:szCs w:val="22"/>
        </w:rPr>
        <w:t>թ</w:t>
      </w:r>
      <w:r w:rsidRPr="00C921DE">
        <w:rPr>
          <w:rFonts w:ascii="GHEA Grapalat" w:hAnsi="GHEA Grapalat" w:cs="GHEA Grapalat"/>
          <w:sz w:val="22"/>
          <w:szCs w:val="22"/>
          <w:lang w:val="en-US"/>
        </w:rPr>
        <w:t>վականի</w:t>
      </w:r>
      <w:r w:rsidRPr="00C921DE">
        <w:rPr>
          <w:rFonts w:ascii="GHEA Grapalat" w:hAnsi="GHEA Grapalat" w:cs="GHEA Grapalat"/>
          <w:sz w:val="22"/>
          <w:szCs w:val="22"/>
        </w:rPr>
        <w:t xml:space="preserve"> դեկտեմբերի 31-ի դրությամբ շրջանառության մեջ գտնվող արտարժութային պետական պարտատոմսերի 33%-ը (516.5 մլն ԱՄՆ դոլար) գտնվել է ռեզիդենտների մոտ, և այս ցուցանիշը նախորդ տարվա համեմատությամբ աճել է 5.7 տոկոսային կետով:</w:t>
      </w:r>
    </w:p>
    <w:p w14:paraId="6EF02D8B" w14:textId="3F5216CB"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2023 թվականի վերջի դրությամբ արտաքին պետական պարտքի զուտ ներկա արժեքի ցուցանիշն (ԶՆԱ) աճել է` 2022 թվականի 5,848.7 մլն ԱՄՆ դոլարի դիմաց կազմելով 6,249.0 մլն ԱՄՆ դոլար: ԶՆԱ/ՀՆԱ հարաբերակցությունը նվազել է 4.2 տոկոսային կետով՝ կազմելով 25.8%, ԶՆԱ/արտահանում ցուցանիշը նույնպես նվազել է՝ 14 տոկոսային կետով՝ կազմելով 44.2%:</w:t>
      </w:r>
    </w:p>
    <w:p w14:paraId="0F10180C" w14:textId="77777777" w:rsidR="0046194F" w:rsidRPr="00C921DE" w:rsidRDefault="0046194F" w:rsidP="0046194F">
      <w:pPr>
        <w:autoSpaceDE w:val="0"/>
        <w:autoSpaceDN w:val="0"/>
        <w:adjustRightInd w:val="0"/>
        <w:spacing w:line="360" w:lineRule="auto"/>
        <w:ind w:firstLine="567"/>
        <w:jc w:val="both"/>
        <w:rPr>
          <w:rFonts w:ascii="GHEA Grapalat" w:hAnsi="GHEA Grapalat"/>
          <w:sz w:val="22"/>
          <w:szCs w:val="22"/>
        </w:rPr>
      </w:pPr>
      <w:r w:rsidRPr="00C921DE">
        <w:rPr>
          <w:rFonts w:ascii="GHEA Grapalat" w:hAnsi="GHEA Grapalat"/>
          <w:sz w:val="22"/>
          <w:szCs w:val="22"/>
        </w:rPr>
        <w:t>2023 թվականի դեկտեմբերի 31-ի դրությամբ ՀՀ ներքին պետական պարտքը նախորդ տարեվերջի համեմատ աճել է 513.2 մլրդ դրամով (31.1%-ով), և դրա տեսակարար կշիռը ՀՀ պետական պարտքի կառուցվածքում աճել է՝ 39.4%-ից հասնելով 45.1%-ի: Կառավարության ներքին պարտքի բաղադրիչներն են՝</w:t>
      </w:r>
    </w:p>
    <w:p w14:paraId="77774339"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 xml:space="preserve">ռեզիդենտների կողմից ձեռք բերված պետական գանձապետական պարտատոմսերը, որոնց ծավալը կազմել է 1,946.9 մլրդ դրամ, </w:t>
      </w:r>
    </w:p>
    <w:p w14:paraId="355ACAC2" w14:textId="77777777"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 xml:space="preserve">ռեզիդենտների կողմից ձեռք բերված արտարժութային պետական պարտատոմսերը, որոնց ծավալը կազմել է </w:t>
      </w:r>
      <w:r w:rsidRPr="00C921DE">
        <w:rPr>
          <w:rFonts w:ascii="GHEA Grapalat" w:hAnsi="GHEA Grapalat" w:cs="GHEA Grapalat"/>
          <w:iCs/>
          <w:sz w:val="22"/>
          <w:szCs w:val="22"/>
        </w:rPr>
        <w:t xml:space="preserve">209.1 </w:t>
      </w:r>
      <w:r w:rsidRPr="00C921DE">
        <w:rPr>
          <w:rFonts w:ascii="GHEA Grapalat" w:hAnsi="GHEA Grapalat" w:cs="GHEA Grapalat"/>
          <w:sz w:val="22"/>
          <w:szCs w:val="22"/>
        </w:rPr>
        <w:t>մլրդ դրամ,</w:t>
      </w:r>
    </w:p>
    <w:p w14:paraId="7721416D" w14:textId="596BB224" w:rsidR="0046194F" w:rsidRPr="00C921DE" w:rsidRDefault="0046194F" w:rsidP="00D9331C">
      <w:pPr>
        <w:numPr>
          <w:ilvl w:val="0"/>
          <w:numId w:val="34"/>
        </w:numPr>
        <w:tabs>
          <w:tab w:val="left" w:pos="851"/>
        </w:tabs>
        <w:spacing w:line="360" w:lineRule="auto"/>
        <w:ind w:left="0" w:firstLine="567"/>
        <w:jc w:val="both"/>
        <w:rPr>
          <w:rFonts w:ascii="GHEA Grapalat" w:hAnsi="GHEA Grapalat" w:cs="GHEA Grapalat"/>
          <w:sz w:val="22"/>
          <w:szCs w:val="22"/>
        </w:rPr>
      </w:pPr>
      <w:r w:rsidRPr="00C921DE">
        <w:rPr>
          <w:rFonts w:ascii="GHEA Grapalat" w:hAnsi="GHEA Grapalat" w:cs="GHEA Grapalat"/>
          <w:sz w:val="22"/>
          <w:szCs w:val="22"/>
        </w:rPr>
        <w:t>ներքին երաշխիքներ</w:t>
      </w:r>
      <w:r w:rsidR="002F3361" w:rsidRPr="00C921DE">
        <w:rPr>
          <w:rFonts w:ascii="GHEA Grapalat" w:hAnsi="GHEA Grapalat" w:cs="GHEA Grapalat"/>
          <w:sz w:val="22"/>
          <w:szCs w:val="22"/>
          <w:lang w:val="en-US"/>
        </w:rPr>
        <w:t>ը</w:t>
      </w:r>
      <w:r w:rsidRPr="00C921DE">
        <w:rPr>
          <w:rFonts w:ascii="GHEA Grapalat" w:hAnsi="GHEA Grapalat" w:cs="GHEA Grapalat"/>
          <w:sz w:val="22"/>
          <w:szCs w:val="22"/>
        </w:rPr>
        <w:t>, որոնց ծավալը կազմել է 7.2 մլրդ դրամ:</w:t>
      </w:r>
    </w:p>
    <w:sectPr w:rsidR="0046194F" w:rsidRPr="00C921DE" w:rsidSect="00A41AD1">
      <w:headerReference w:type="default" r:id="rId92"/>
      <w:pgSz w:w="11909" w:h="16834" w:code="9"/>
      <w:pgMar w:top="1134" w:right="567" w:bottom="567" w:left="1134" w:header="720"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E6CF2" w14:textId="77777777" w:rsidR="00C8643A" w:rsidRDefault="00C8643A">
      <w:r>
        <w:separator/>
      </w:r>
    </w:p>
  </w:endnote>
  <w:endnote w:type="continuationSeparator" w:id="0">
    <w:p w14:paraId="14A67669" w14:textId="77777777" w:rsidR="00C8643A" w:rsidRDefault="00C8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Calibri"/>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Liberation Sans">
    <w:altName w:val="Arial"/>
    <w:charset w:val="00"/>
    <w:family w:val="roman"/>
    <w:pitch w:val="variable"/>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Helvetica Neue">
    <w:charset w:val="00"/>
    <w:family w:val="auto"/>
    <w:pitch w:val="default"/>
  </w:font>
  <w:font w:name="Liberation Serif">
    <w:altName w:val="Times New Roman"/>
    <w:charset w:val="01"/>
    <w:family w:val="roman"/>
    <w:pitch w:val="variable"/>
  </w:font>
  <w:font w:name="Lohit Devanagar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rowallia New">
    <w:charset w:val="00"/>
    <w:family w:val="swiss"/>
    <w:pitch w:val="variable"/>
    <w:sig w:usb0="0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rial AMU">
    <w:altName w:val="Arial"/>
    <w:charset w:val="00"/>
    <w:family w:val="swiss"/>
    <w:pitch w:val="variable"/>
    <w:sig w:usb0="800006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3F89A" w14:textId="67A07F87" w:rsidR="00B94C14" w:rsidRPr="00EF1F9A" w:rsidRDefault="00B94C14">
    <w:pPr>
      <w:pStyle w:val="Footer"/>
      <w:jc w:val="right"/>
      <w:rPr>
        <w:rFonts w:ascii="GHEA Grapalat" w:hAnsi="GHEA Grapalat"/>
        <w:sz w:val="22"/>
        <w:szCs w:val="22"/>
      </w:rPr>
    </w:pPr>
    <w:r w:rsidRPr="00EF1F9A">
      <w:rPr>
        <w:rFonts w:ascii="GHEA Grapalat" w:hAnsi="GHEA Grapalat"/>
        <w:sz w:val="22"/>
        <w:szCs w:val="22"/>
      </w:rPr>
      <w:fldChar w:fldCharType="begin"/>
    </w:r>
    <w:r w:rsidRPr="00EF1F9A">
      <w:rPr>
        <w:rFonts w:ascii="GHEA Grapalat" w:hAnsi="GHEA Grapalat"/>
        <w:sz w:val="22"/>
        <w:szCs w:val="22"/>
      </w:rPr>
      <w:instrText xml:space="preserve"> PAGE   \* MERGEFORMAT </w:instrText>
    </w:r>
    <w:r w:rsidRPr="00EF1F9A">
      <w:rPr>
        <w:rFonts w:ascii="GHEA Grapalat" w:hAnsi="GHEA Grapalat"/>
        <w:sz w:val="22"/>
        <w:szCs w:val="22"/>
      </w:rPr>
      <w:fldChar w:fldCharType="separate"/>
    </w:r>
    <w:r w:rsidR="00E95704">
      <w:rPr>
        <w:rFonts w:ascii="GHEA Grapalat" w:hAnsi="GHEA Grapalat"/>
        <w:sz w:val="22"/>
        <w:szCs w:val="22"/>
      </w:rPr>
      <w:t>201</w:t>
    </w:r>
    <w:r w:rsidRPr="00EF1F9A">
      <w:rPr>
        <w:rFonts w:ascii="GHEA Grapalat" w:hAnsi="GHEA Grapalat"/>
        <w:sz w:val="22"/>
        <w:szCs w:val="22"/>
      </w:rPr>
      <w:fldChar w:fldCharType="end"/>
    </w:r>
  </w:p>
  <w:p w14:paraId="2614F4A1" w14:textId="77777777" w:rsidR="00B94C14" w:rsidRDefault="00B94C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D8C8" w14:textId="77777777" w:rsidR="00C8643A" w:rsidRDefault="00C8643A">
      <w:r>
        <w:separator/>
      </w:r>
    </w:p>
  </w:footnote>
  <w:footnote w:type="continuationSeparator" w:id="0">
    <w:p w14:paraId="6763B8B4" w14:textId="77777777" w:rsidR="00C8643A" w:rsidRDefault="00C8643A">
      <w:r>
        <w:continuationSeparator/>
      </w:r>
    </w:p>
  </w:footnote>
  <w:footnote w:id="1">
    <w:p w14:paraId="77289FB9" w14:textId="77777777" w:rsidR="00B94C14" w:rsidRDefault="00B94C14" w:rsidP="00CF62B8">
      <w:pPr>
        <w:pStyle w:val="FootnoteText"/>
        <w:jc w:val="both"/>
      </w:pPr>
      <w:r w:rsidRPr="00CF62B8">
        <w:rPr>
          <w:rStyle w:val="FootnoteReference"/>
          <w:rFonts w:ascii="GHEA Grapalat" w:hAnsi="GHEA Grapalat"/>
          <w:sz w:val="18"/>
          <w:szCs w:val="18"/>
        </w:rPr>
        <w:footnoteRef/>
      </w:r>
      <w:r>
        <w:rPr>
          <w:rFonts w:ascii="GHEA Grapalat" w:hAnsi="GHEA Grapalat"/>
          <w:sz w:val="18"/>
          <w:szCs w:val="18"/>
        </w:rPr>
        <w:t xml:space="preserve"> </w:t>
      </w:r>
      <w:r w:rsidRPr="00CF62B8">
        <w:rPr>
          <w:rFonts w:ascii="GHEA Grapalat" w:hAnsi="GHEA Grapalat"/>
          <w:sz w:val="18"/>
          <w:szCs w:val="18"/>
          <w:lang w:val="en-US"/>
        </w:rPr>
        <w:t>Հաշվետվության մեջ ներկայացված ցուցանիշների հանրագումարների և դրանց բաղադրիչների</w:t>
      </w:r>
      <w:r>
        <w:rPr>
          <w:rFonts w:ascii="GHEA Grapalat" w:hAnsi="GHEA Grapalat"/>
          <w:sz w:val="18"/>
          <w:szCs w:val="18"/>
          <w:lang w:val="en-US"/>
        </w:rPr>
        <w:t xml:space="preserve"> միջև շեղում</w:t>
      </w:r>
      <w:r w:rsidRPr="00CF62B8">
        <w:rPr>
          <w:rFonts w:ascii="GHEA Grapalat" w:hAnsi="GHEA Grapalat"/>
          <w:sz w:val="18"/>
          <w:szCs w:val="18"/>
          <w:lang w:val="en-US"/>
        </w:rPr>
        <w:t>ները պայմանավորված են կլորացումներով:</w:t>
      </w:r>
    </w:p>
  </w:footnote>
  <w:footnote w:id="2">
    <w:p w14:paraId="6C8460FC" w14:textId="3D384CED" w:rsidR="00B94C14" w:rsidRDefault="00B94C14">
      <w:pPr>
        <w:pStyle w:val="FootnoteText"/>
      </w:pPr>
      <w:r w:rsidRPr="00CD3430">
        <w:rPr>
          <w:rStyle w:val="FootnoteReference"/>
          <w:rFonts w:ascii="GHEA Grapalat" w:hAnsi="GHEA Grapalat"/>
          <w:sz w:val="18"/>
          <w:szCs w:val="18"/>
        </w:rPr>
        <w:footnoteRef/>
      </w:r>
      <w:r w:rsidRPr="00CD3430">
        <w:rPr>
          <w:rFonts w:ascii="GHEA Grapalat" w:hAnsi="GHEA Grapalat"/>
          <w:sz w:val="18"/>
          <w:szCs w:val="18"/>
        </w:rPr>
        <w:t xml:space="preserve"> </w:t>
      </w:r>
      <w:r w:rsidRPr="00CD3430">
        <w:rPr>
          <w:rFonts w:ascii="GHEA Grapalat" w:hAnsi="GHEA Grapalat"/>
          <w:sz w:val="18"/>
          <w:szCs w:val="18"/>
          <w:lang w:val="en-US"/>
        </w:rPr>
        <w:t>202</w:t>
      </w:r>
      <w:r>
        <w:rPr>
          <w:rFonts w:ascii="GHEA Grapalat" w:hAnsi="GHEA Grapalat"/>
          <w:sz w:val="18"/>
          <w:szCs w:val="18"/>
          <w:lang w:val="en-US"/>
        </w:rPr>
        <w:t>3</w:t>
      </w:r>
      <w:r w:rsidRPr="00CD3430">
        <w:rPr>
          <w:rFonts w:ascii="GHEA Grapalat" w:hAnsi="GHEA Grapalat"/>
          <w:sz w:val="18"/>
          <w:szCs w:val="18"/>
          <w:lang w:val="en-US"/>
        </w:rPr>
        <w:t xml:space="preserve"> թվականի կանխատեսումների վերանայումները ներկայացված են հետևյալ տեղեկանքում՝</w:t>
      </w:r>
      <w:r>
        <w:rPr>
          <w:rFonts w:ascii="GHEA Grapalat" w:hAnsi="GHEA Grapalat"/>
          <w:sz w:val="18"/>
          <w:szCs w:val="18"/>
          <w:lang w:val="en-US"/>
        </w:rPr>
        <w:t xml:space="preserve"> </w:t>
      </w:r>
      <w:hyperlink r:id="rId1" w:history="1">
        <w:r>
          <w:rPr>
            <w:rStyle w:val="Hyperlink"/>
            <w:rFonts w:ascii="GHEA Grapalat" w:hAnsi="GHEA Grapalat"/>
            <w:sz w:val="18"/>
            <w:szCs w:val="18"/>
            <w:lang w:val="en-US"/>
          </w:rPr>
          <w:t>5.Տեղեկանքներ\21.Մակրոտնտեսական և հարկաբյուջետային ցուցանիշներ.docx</w:t>
        </w:r>
      </w:hyperlink>
    </w:p>
  </w:footnote>
  <w:footnote w:id="3">
    <w:p w14:paraId="442E0984" w14:textId="3F605EFC" w:rsidR="00B94C14" w:rsidRPr="008423C1" w:rsidRDefault="00B94C14" w:rsidP="00AC5F11">
      <w:pPr>
        <w:pStyle w:val="FootnoteText"/>
        <w:jc w:val="both"/>
        <w:rPr>
          <w:rFonts w:ascii="GHEA Grapalat" w:hAnsi="GHEA Grapalat"/>
          <w:sz w:val="18"/>
          <w:szCs w:val="18"/>
        </w:rPr>
      </w:pPr>
      <w:r w:rsidRPr="008423C1">
        <w:rPr>
          <w:rStyle w:val="FootnoteReference"/>
          <w:rFonts w:ascii="GHEA Grapalat" w:hAnsi="GHEA Grapalat"/>
          <w:sz w:val="18"/>
          <w:szCs w:val="18"/>
        </w:rPr>
        <w:footnoteRef/>
      </w:r>
      <w:r w:rsidRPr="008423C1">
        <w:rPr>
          <w:rFonts w:ascii="GHEA Grapalat" w:hAnsi="GHEA Grapalat"/>
          <w:sz w:val="18"/>
          <w:szCs w:val="18"/>
        </w:rPr>
        <w:t xml:space="preserve"> Մեկ շնչին ընկնող ՀՆԱ-ն կանխատեսումներում հաշվարկվել է</w:t>
      </w:r>
      <w:r>
        <w:rPr>
          <w:rFonts w:ascii="GHEA Grapalat" w:hAnsi="GHEA Grapalat"/>
          <w:sz w:val="18"/>
          <w:szCs w:val="18"/>
          <w:lang w:val="en-US"/>
        </w:rPr>
        <w:t>`</w:t>
      </w:r>
      <w:r w:rsidRPr="008423C1">
        <w:rPr>
          <w:rFonts w:ascii="GHEA Grapalat" w:hAnsi="GHEA Grapalat"/>
          <w:sz w:val="18"/>
          <w:szCs w:val="18"/>
        </w:rPr>
        <w:t xml:space="preserve"> հիմք ընդունելով տվյալ տարվա հունվարի 1-ի դրությամբ մշտական բնակչության թվաքանակը։</w:t>
      </w:r>
    </w:p>
  </w:footnote>
  <w:footnote w:id="4">
    <w:p w14:paraId="2D89893A" w14:textId="36AB7B97" w:rsidR="00B94C14" w:rsidRDefault="00B94C14" w:rsidP="00831FE6">
      <w:pPr>
        <w:pStyle w:val="FootnoteText"/>
        <w:jc w:val="both"/>
      </w:pPr>
      <w:r w:rsidRPr="00D326A2">
        <w:rPr>
          <w:rStyle w:val="FootnoteReference"/>
          <w:rFonts w:ascii="GHEA Grapalat" w:hAnsi="GHEA Grapalat"/>
          <w:sz w:val="18"/>
          <w:szCs w:val="18"/>
        </w:rPr>
        <w:footnoteRef/>
      </w:r>
      <w:r w:rsidRPr="00D326A2">
        <w:rPr>
          <w:rFonts w:ascii="GHEA Grapalat" w:hAnsi="GHEA Grapalat"/>
          <w:sz w:val="18"/>
          <w:szCs w:val="18"/>
        </w:rPr>
        <w:t xml:space="preserve"> </w:t>
      </w:r>
      <w:r w:rsidRPr="00D326A2">
        <w:rPr>
          <w:rFonts w:ascii="GHEA Grapalat" w:hAnsi="GHEA Grapalat"/>
          <w:sz w:val="18"/>
          <w:szCs w:val="18"/>
          <w:lang w:val="en-US"/>
        </w:rPr>
        <w:t>ՓՄՁ պետական աջակցության 202</w:t>
      </w:r>
      <w:r>
        <w:rPr>
          <w:rFonts w:ascii="GHEA Grapalat" w:hAnsi="GHEA Grapalat"/>
          <w:sz w:val="18"/>
          <w:szCs w:val="18"/>
          <w:lang w:val="en-US"/>
        </w:rPr>
        <w:t>3</w:t>
      </w:r>
      <w:r w:rsidRPr="00D326A2">
        <w:rPr>
          <w:rFonts w:ascii="GHEA Grapalat" w:hAnsi="GHEA Grapalat"/>
          <w:sz w:val="18"/>
          <w:szCs w:val="18"/>
          <w:lang w:val="en-US"/>
        </w:rPr>
        <w:t>թ. ծրագրի կատարման հաշվետվությունը ներկայացված է հետևյալ հավելվածում՝</w:t>
      </w:r>
      <w:r>
        <w:rPr>
          <w:rFonts w:ascii="GHEA Grapalat" w:hAnsi="GHEA Grapalat"/>
          <w:sz w:val="18"/>
          <w:szCs w:val="18"/>
          <w:lang w:val="en-US"/>
        </w:rPr>
        <w:t xml:space="preserve"> </w:t>
      </w:r>
      <w:hyperlink r:id="rId2" w:history="1">
        <w:r w:rsidRPr="00D326A2">
          <w:rPr>
            <w:rStyle w:val="Hyperlink"/>
            <w:rFonts w:ascii="GHEA Grapalat" w:hAnsi="GHEA Grapalat"/>
            <w:sz w:val="18"/>
            <w:szCs w:val="18"/>
            <w:lang w:val="en-US"/>
          </w:rPr>
          <w:t>4.Հավելվածներ\16.Հավելված N11_ՓՄՁ.doc</w:t>
        </w:r>
      </w:hyperlink>
      <w:r w:rsidRPr="00D326A2">
        <w:rPr>
          <w:rFonts w:ascii="GHEA Grapalat" w:hAnsi="GHEA Grapalat"/>
          <w:sz w:val="18"/>
          <w:szCs w:val="18"/>
          <w:lang w:val="en-US"/>
        </w:rPr>
        <w:t>:</w:t>
      </w:r>
    </w:p>
  </w:footnote>
  <w:footnote w:id="5">
    <w:p w14:paraId="10623C48" w14:textId="493B8E6E" w:rsidR="00B94C14" w:rsidRDefault="00B94C14" w:rsidP="00F704F2">
      <w:pPr>
        <w:pStyle w:val="FootnoteText"/>
        <w:jc w:val="both"/>
      </w:pPr>
      <w:r w:rsidRPr="00D326A2">
        <w:rPr>
          <w:rStyle w:val="FootnoteReference"/>
          <w:rFonts w:ascii="GHEA Grapalat" w:hAnsi="GHEA Grapalat"/>
          <w:sz w:val="18"/>
          <w:szCs w:val="18"/>
        </w:rPr>
        <w:footnoteRef/>
      </w:r>
      <w:r w:rsidRPr="00D326A2">
        <w:rPr>
          <w:rFonts w:ascii="GHEA Grapalat" w:hAnsi="GHEA Grapalat"/>
          <w:sz w:val="18"/>
          <w:szCs w:val="18"/>
        </w:rPr>
        <w:t xml:space="preserve"> </w:t>
      </w:r>
      <w:r w:rsidRPr="00D326A2">
        <w:rPr>
          <w:rFonts w:ascii="GHEA Grapalat" w:hAnsi="GHEA Grapalat"/>
          <w:sz w:val="18"/>
          <w:szCs w:val="18"/>
          <w:lang w:val="en-US"/>
        </w:rPr>
        <w:t>ՀՀ 202</w:t>
      </w:r>
      <w:r>
        <w:rPr>
          <w:rFonts w:ascii="GHEA Grapalat" w:hAnsi="GHEA Grapalat"/>
          <w:sz w:val="18"/>
          <w:szCs w:val="18"/>
          <w:lang w:val="en-US"/>
        </w:rPr>
        <w:t>3</w:t>
      </w:r>
      <w:r w:rsidRPr="00D326A2">
        <w:rPr>
          <w:rFonts w:ascii="GHEA Grapalat" w:hAnsi="GHEA Grapalat"/>
          <w:sz w:val="18"/>
          <w:szCs w:val="18"/>
          <w:lang w:val="en-US"/>
        </w:rPr>
        <w:t>թ. զբոսաշրջության զարգացման պետական ծրագրի կատարման հաշվետվությունը ներկայացված է հետևյալ տեղեկանքում՝</w:t>
      </w:r>
      <w:r>
        <w:rPr>
          <w:rFonts w:ascii="GHEA Grapalat" w:hAnsi="GHEA Grapalat"/>
          <w:sz w:val="18"/>
          <w:szCs w:val="18"/>
          <w:lang w:val="en-US"/>
        </w:rPr>
        <w:t xml:space="preserve"> </w:t>
      </w:r>
      <w:hyperlink r:id="rId3" w:history="1">
        <w:r>
          <w:rPr>
            <w:rStyle w:val="Hyperlink"/>
            <w:rFonts w:ascii="GHEA Grapalat" w:hAnsi="GHEA Grapalat"/>
            <w:sz w:val="18"/>
            <w:szCs w:val="18"/>
            <w:lang w:val="en-US"/>
          </w:rPr>
          <w:t>5.Տեղեկանքներ\18.Զբոսաշրջություն.doc</w:t>
        </w:r>
      </w:hyperlink>
      <w:r>
        <w:rPr>
          <w:rFonts w:ascii="GHEA Grapalat" w:hAnsi="GHEA Grapalat"/>
          <w:sz w:val="18"/>
          <w:szCs w:val="18"/>
          <w:lang w:val="en-US"/>
        </w:rPr>
        <w:t>:</w:t>
      </w:r>
    </w:p>
  </w:footnote>
  <w:footnote w:id="6">
    <w:p w14:paraId="62F7E291" w14:textId="77777777" w:rsidR="00B94C14" w:rsidRPr="002607D7" w:rsidRDefault="00B94C14" w:rsidP="00D74E95">
      <w:pPr>
        <w:pStyle w:val="FootnoteText"/>
        <w:jc w:val="both"/>
        <w:rPr>
          <w:rFonts w:ascii="GHEA Grapalat" w:hAnsi="GHEA Grapalat"/>
          <w:sz w:val="18"/>
          <w:szCs w:val="18"/>
        </w:rPr>
      </w:pPr>
      <w:r w:rsidRPr="002607D7">
        <w:rPr>
          <w:rStyle w:val="FootnoteReference"/>
          <w:rFonts w:ascii="GHEA Grapalat" w:hAnsi="GHEA Grapalat"/>
          <w:sz w:val="18"/>
          <w:szCs w:val="18"/>
        </w:rPr>
        <w:footnoteRef/>
      </w:r>
      <w:r w:rsidRPr="002607D7">
        <w:rPr>
          <w:rFonts w:ascii="GHEA Grapalat" w:hAnsi="GHEA Grapalat"/>
          <w:sz w:val="18"/>
          <w:szCs w:val="18"/>
        </w:rPr>
        <w:t xml:space="preserve"> Աղբյուրը՝ Տնտեսական վերլուծությունների բյուրո, </w:t>
      </w:r>
      <w:hyperlink r:id="rId4" w:history="1">
        <w:r w:rsidRPr="002607D7">
          <w:rPr>
            <w:rStyle w:val="Hyperlink"/>
            <w:rFonts w:ascii="GHEA Grapalat" w:hAnsi="GHEA Grapalat"/>
            <w:sz w:val="18"/>
            <w:szCs w:val="18"/>
          </w:rPr>
          <w:t>https://www.bea.gov/</w:t>
        </w:r>
      </w:hyperlink>
      <w:r w:rsidRPr="002607D7">
        <w:rPr>
          <w:rFonts w:ascii="GHEA Grapalat" w:hAnsi="GHEA Grapalat"/>
          <w:sz w:val="18"/>
          <w:szCs w:val="18"/>
        </w:rPr>
        <w:t xml:space="preserve"> </w:t>
      </w:r>
    </w:p>
  </w:footnote>
  <w:footnote w:id="7">
    <w:p w14:paraId="5ABBBC9A" w14:textId="77777777" w:rsidR="00B94C14" w:rsidRPr="002607D7" w:rsidRDefault="00B94C14" w:rsidP="00D74E95">
      <w:pPr>
        <w:pStyle w:val="FootnoteText"/>
        <w:jc w:val="both"/>
        <w:rPr>
          <w:rFonts w:ascii="GHEA Grapalat" w:hAnsi="GHEA Grapalat"/>
          <w:sz w:val="18"/>
          <w:szCs w:val="18"/>
        </w:rPr>
      </w:pPr>
      <w:r w:rsidRPr="002607D7">
        <w:rPr>
          <w:rStyle w:val="FootnoteReference"/>
          <w:rFonts w:ascii="GHEA Grapalat" w:hAnsi="GHEA Grapalat"/>
          <w:sz w:val="18"/>
          <w:szCs w:val="18"/>
        </w:rPr>
        <w:footnoteRef/>
      </w:r>
      <w:r w:rsidRPr="002607D7">
        <w:rPr>
          <w:rFonts w:ascii="GHEA Grapalat" w:hAnsi="GHEA Grapalat"/>
          <w:sz w:val="18"/>
          <w:szCs w:val="18"/>
        </w:rPr>
        <w:t xml:space="preserve"> Աղբյուրը՝ Եվրոստատ, </w:t>
      </w:r>
      <w:hyperlink r:id="rId5" w:history="1">
        <w:r w:rsidRPr="002607D7">
          <w:rPr>
            <w:rStyle w:val="Hyperlink"/>
            <w:rFonts w:ascii="GHEA Grapalat" w:hAnsi="GHEA Grapalat"/>
            <w:sz w:val="18"/>
            <w:szCs w:val="18"/>
          </w:rPr>
          <w:t>https://ec.europa.eu/eurostat/</w:t>
        </w:r>
      </w:hyperlink>
      <w:r w:rsidRPr="002607D7">
        <w:rPr>
          <w:rFonts w:ascii="GHEA Grapalat" w:hAnsi="GHEA Grapalat"/>
          <w:sz w:val="18"/>
          <w:szCs w:val="18"/>
        </w:rPr>
        <w:t xml:space="preserve"> </w:t>
      </w:r>
    </w:p>
  </w:footnote>
  <w:footnote w:id="8">
    <w:p w14:paraId="6F3F374F" w14:textId="77777777" w:rsidR="00B94C14" w:rsidRPr="002607D7" w:rsidRDefault="00B94C14" w:rsidP="00D74E95">
      <w:pPr>
        <w:pStyle w:val="FootnoteText"/>
        <w:jc w:val="both"/>
        <w:rPr>
          <w:rFonts w:ascii="GHEA Grapalat" w:hAnsi="GHEA Grapalat"/>
          <w:sz w:val="18"/>
          <w:szCs w:val="18"/>
        </w:rPr>
      </w:pPr>
      <w:r w:rsidRPr="002607D7">
        <w:rPr>
          <w:rStyle w:val="FootnoteReference"/>
          <w:rFonts w:ascii="GHEA Grapalat" w:hAnsi="GHEA Grapalat"/>
          <w:sz w:val="18"/>
          <w:szCs w:val="18"/>
        </w:rPr>
        <w:footnoteRef/>
      </w:r>
      <w:r w:rsidRPr="002607D7">
        <w:rPr>
          <w:rFonts w:ascii="GHEA Grapalat" w:hAnsi="GHEA Grapalat"/>
          <w:sz w:val="18"/>
          <w:szCs w:val="18"/>
        </w:rPr>
        <w:t xml:space="preserve"> Աղբյուրը՝ Չինաստանի վիճակագրության ազգային բյուրո, </w:t>
      </w:r>
      <w:hyperlink r:id="rId6" w:history="1">
        <w:r w:rsidRPr="002607D7">
          <w:rPr>
            <w:rStyle w:val="Hyperlink"/>
            <w:rFonts w:ascii="GHEA Grapalat" w:hAnsi="GHEA Grapalat"/>
            <w:sz w:val="18"/>
            <w:szCs w:val="18"/>
          </w:rPr>
          <w:t>http://www.stats.gov.cn/</w:t>
        </w:r>
      </w:hyperlink>
      <w:r w:rsidRPr="002607D7">
        <w:rPr>
          <w:rFonts w:ascii="GHEA Grapalat" w:hAnsi="GHEA Grapalat"/>
          <w:sz w:val="18"/>
          <w:szCs w:val="18"/>
        </w:rPr>
        <w:t xml:space="preserve"> </w:t>
      </w:r>
    </w:p>
  </w:footnote>
  <w:footnote w:id="9">
    <w:p w14:paraId="6739C9F5" w14:textId="77777777" w:rsidR="00B94C14" w:rsidRPr="006B4B3F" w:rsidRDefault="00B94C14" w:rsidP="00D74E95">
      <w:pPr>
        <w:pStyle w:val="FootnoteText"/>
        <w:jc w:val="both"/>
        <w:rPr>
          <w:rFonts w:ascii="GHEA Grapalat" w:hAnsi="GHEA Grapalat"/>
          <w:sz w:val="18"/>
          <w:szCs w:val="18"/>
        </w:rPr>
      </w:pPr>
      <w:r w:rsidRPr="006B4B3F">
        <w:rPr>
          <w:rStyle w:val="FootnoteReference"/>
          <w:rFonts w:ascii="GHEA Grapalat" w:hAnsi="GHEA Grapalat"/>
          <w:sz w:val="18"/>
          <w:szCs w:val="18"/>
        </w:rPr>
        <w:footnoteRef/>
      </w:r>
      <w:r w:rsidRPr="006B4B3F">
        <w:rPr>
          <w:rFonts w:ascii="GHEA Grapalat" w:hAnsi="GHEA Grapalat"/>
          <w:sz w:val="18"/>
          <w:szCs w:val="18"/>
        </w:rPr>
        <w:t xml:space="preserve"> Աղբյուրը՝ Պետական վիճակագրության դաշնային ծառայություն, </w:t>
      </w:r>
      <w:hyperlink r:id="rId7" w:history="1">
        <w:r w:rsidRPr="006B4B3F">
          <w:rPr>
            <w:rStyle w:val="Hyperlink"/>
            <w:rFonts w:ascii="GHEA Grapalat" w:hAnsi="GHEA Grapalat"/>
            <w:sz w:val="18"/>
            <w:szCs w:val="18"/>
          </w:rPr>
          <w:t>https://rosstat.gov.ru/</w:t>
        </w:r>
      </w:hyperlink>
      <w:r w:rsidRPr="006B4B3F">
        <w:rPr>
          <w:rFonts w:ascii="GHEA Grapalat" w:hAnsi="GHEA Grapalat"/>
          <w:sz w:val="18"/>
          <w:szCs w:val="18"/>
        </w:rPr>
        <w:t xml:space="preserve"> </w:t>
      </w:r>
    </w:p>
  </w:footnote>
  <w:footnote w:id="10">
    <w:p w14:paraId="2F05AA60" w14:textId="3464B439" w:rsidR="00B94C14" w:rsidRPr="006B4B3F" w:rsidRDefault="00B94C14" w:rsidP="00D74E95">
      <w:pPr>
        <w:pStyle w:val="FootnoteText"/>
        <w:jc w:val="both"/>
        <w:rPr>
          <w:rFonts w:ascii="GHEA Grapalat" w:hAnsi="GHEA Grapalat"/>
          <w:sz w:val="18"/>
          <w:szCs w:val="18"/>
        </w:rPr>
      </w:pPr>
      <w:r w:rsidRPr="006B4B3F">
        <w:rPr>
          <w:rStyle w:val="FootnoteReference"/>
          <w:rFonts w:ascii="GHEA Grapalat" w:hAnsi="GHEA Grapalat"/>
          <w:sz w:val="18"/>
          <w:szCs w:val="18"/>
        </w:rPr>
        <w:footnoteRef/>
      </w:r>
      <w:r w:rsidRPr="006B4B3F">
        <w:rPr>
          <w:rFonts w:ascii="GHEA Grapalat" w:hAnsi="GHEA Grapalat"/>
          <w:sz w:val="18"/>
          <w:szCs w:val="18"/>
        </w:rPr>
        <w:t xml:space="preserve"> ԱՄՆ համար դիտարկվել է դաշնային ֆոնդերի արդյունավետ տոկոսադրույքը, ԵԳ</w:t>
      </w:r>
      <w:r>
        <w:rPr>
          <w:rFonts w:ascii="GHEA Grapalat" w:hAnsi="GHEA Grapalat"/>
          <w:sz w:val="18"/>
          <w:szCs w:val="18"/>
          <w:lang w:val="en-US"/>
        </w:rPr>
        <w:t xml:space="preserve"> համար</w:t>
      </w:r>
      <w:r w:rsidRPr="006B4B3F">
        <w:rPr>
          <w:rFonts w:ascii="GHEA Grapalat" w:hAnsi="GHEA Grapalat"/>
          <w:sz w:val="18"/>
          <w:szCs w:val="18"/>
        </w:rPr>
        <w:t>՝ հիմնական վերաֆինանսավորման տոկոսադրույքը, Չինաստան</w:t>
      </w:r>
      <w:r>
        <w:rPr>
          <w:rFonts w:ascii="GHEA Grapalat" w:hAnsi="GHEA Grapalat"/>
          <w:sz w:val="18"/>
          <w:szCs w:val="18"/>
          <w:lang w:val="en-US"/>
        </w:rPr>
        <w:t>ի համար</w:t>
      </w:r>
      <w:r w:rsidRPr="006B4B3F">
        <w:rPr>
          <w:rFonts w:ascii="GHEA Grapalat" w:hAnsi="GHEA Grapalat"/>
          <w:sz w:val="18"/>
          <w:szCs w:val="18"/>
        </w:rPr>
        <w:t>՝ վարկավորման մեկ տարվա տոկոսադրույք</w:t>
      </w:r>
      <w:r>
        <w:rPr>
          <w:rFonts w:ascii="GHEA Grapalat" w:hAnsi="GHEA Grapalat"/>
          <w:sz w:val="18"/>
          <w:szCs w:val="18"/>
          <w:lang w:val="en-US"/>
        </w:rPr>
        <w:t>ը</w:t>
      </w:r>
      <w:r w:rsidRPr="006B4B3F">
        <w:rPr>
          <w:rFonts w:ascii="GHEA Grapalat" w:hAnsi="GHEA Grapalat"/>
          <w:sz w:val="18"/>
          <w:szCs w:val="18"/>
        </w:rPr>
        <w:t xml:space="preserve"> (</w:t>
      </w:r>
      <w:r w:rsidRPr="006B4B3F">
        <w:rPr>
          <w:rFonts w:ascii="GHEA Grapalat" w:hAnsi="GHEA Grapalat" w:cs="Arial"/>
          <w:color w:val="000000"/>
          <w:sz w:val="18"/>
          <w:szCs w:val="18"/>
          <w:shd w:val="clear" w:color="auto" w:fill="FFFFFF"/>
        </w:rPr>
        <w:t>one-year loan prime rate</w:t>
      </w:r>
      <w:r w:rsidRPr="006B4B3F">
        <w:rPr>
          <w:rFonts w:ascii="GHEA Grapalat" w:hAnsi="GHEA Grapalat"/>
          <w:sz w:val="18"/>
          <w:szCs w:val="18"/>
        </w:rPr>
        <w:t>), ՌԴ</w:t>
      </w:r>
      <w:r>
        <w:rPr>
          <w:rFonts w:ascii="GHEA Grapalat" w:hAnsi="GHEA Grapalat"/>
          <w:sz w:val="18"/>
          <w:szCs w:val="18"/>
          <w:lang w:val="en-US"/>
        </w:rPr>
        <w:t>-ի համար</w:t>
      </w:r>
      <w:r w:rsidRPr="006B4B3F">
        <w:rPr>
          <w:rFonts w:ascii="GHEA Grapalat" w:hAnsi="GHEA Grapalat"/>
          <w:sz w:val="18"/>
          <w:szCs w:val="18"/>
        </w:rPr>
        <w:t>՝ հիմնական տոկոսադրույքը:</w:t>
      </w:r>
    </w:p>
  </w:footnote>
  <w:footnote w:id="11">
    <w:p w14:paraId="0765EDB6" w14:textId="77777777" w:rsidR="00B94C14" w:rsidRPr="00C9133B" w:rsidRDefault="00B94C14" w:rsidP="00D74E95">
      <w:pPr>
        <w:pStyle w:val="FootnoteText"/>
        <w:jc w:val="both"/>
        <w:rPr>
          <w:rFonts w:ascii="GHEA Grapalat" w:hAnsi="GHEA Grapalat"/>
          <w:sz w:val="18"/>
          <w:szCs w:val="18"/>
        </w:rPr>
      </w:pPr>
      <w:r w:rsidRPr="00C9133B">
        <w:rPr>
          <w:rStyle w:val="FootnoteReference"/>
          <w:rFonts w:ascii="GHEA Grapalat" w:hAnsi="GHEA Grapalat"/>
          <w:sz w:val="18"/>
          <w:szCs w:val="18"/>
        </w:rPr>
        <w:footnoteRef/>
      </w:r>
      <w:r w:rsidRPr="00C9133B">
        <w:rPr>
          <w:rFonts w:ascii="GHEA Grapalat" w:hAnsi="GHEA Grapalat"/>
          <w:sz w:val="18"/>
          <w:szCs w:val="18"/>
        </w:rPr>
        <w:t xml:space="preserve"> Աղբյուրը՝ Համաշխարհային բանկ, </w:t>
      </w:r>
      <w:hyperlink r:id="rId8" w:history="1">
        <w:r w:rsidRPr="00C9133B">
          <w:rPr>
            <w:rStyle w:val="Hyperlink"/>
            <w:rFonts w:ascii="GHEA Grapalat" w:hAnsi="GHEA Grapalat"/>
            <w:sz w:val="18"/>
            <w:szCs w:val="18"/>
          </w:rPr>
          <w:t>https://www.worldbank.org/en/research/commodity-markets</w:t>
        </w:r>
      </w:hyperlink>
      <w:r w:rsidRPr="00C9133B">
        <w:rPr>
          <w:rFonts w:ascii="GHEA Grapalat" w:hAnsi="GHEA Grapalat"/>
          <w:sz w:val="18"/>
          <w:szCs w:val="18"/>
        </w:rPr>
        <w:t xml:space="preserve"> </w:t>
      </w:r>
    </w:p>
  </w:footnote>
  <w:footnote w:id="12">
    <w:p w14:paraId="6C5D0182" w14:textId="77777777" w:rsidR="00B94C14" w:rsidRPr="00C9133B" w:rsidRDefault="00B94C14" w:rsidP="00D74E95">
      <w:pPr>
        <w:pStyle w:val="FootnoteText"/>
        <w:rPr>
          <w:rFonts w:ascii="GHEA Grapalat" w:hAnsi="GHEA Grapalat"/>
          <w:sz w:val="18"/>
          <w:szCs w:val="18"/>
        </w:rPr>
      </w:pPr>
      <w:r w:rsidRPr="00C9133B">
        <w:rPr>
          <w:rStyle w:val="FootnoteReference"/>
          <w:rFonts w:ascii="GHEA Grapalat" w:hAnsi="GHEA Grapalat"/>
          <w:sz w:val="18"/>
          <w:szCs w:val="18"/>
        </w:rPr>
        <w:footnoteRef/>
      </w:r>
      <w:r w:rsidRPr="00C9133B">
        <w:rPr>
          <w:rFonts w:ascii="GHEA Grapalat" w:hAnsi="GHEA Grapalat"/>
          <w:sz w:val="18"/>
          <w:szCs w:val="18"/>
        </w:rPr>
        <w:t xml:space="preserve"> Աղբյուրը՝ Համաշխարհային բանկ, </w:t>
      </w:r>
      <w:hyperlink r:id="rId9" w:history="1">
        <w:r w:rsidRPr="00C9133B">
          <w:rPr>
            <w:rStyle w:val="Hyperlink"/>
            <w:rFonts w:ascii="GHEA Grapalat" w:hAnsi="GHEA Grapalat"/>
            <w:sz w:val="18"/>
            <w:szCs w:val="18"/>
          </w:rPr>
          <w:t>https://www.worldbank.org/en/research/commodity-markets</w:t>
        </w:r>
      </w:hyperlink>
      <w:r w:rsidRPr="00C9133B">
        <w:rPr>
          <w:rFonts w:ascii="GHEA Grapalat" w:hAnsi="GHEA Grapalat"/>
          <w:sz w:val="18"/>
          <w:szCs w:val="18"/>
        </w:rPr>
        <w:t xml:space="preserve"> </w:t>
      </w:r>
    </w:p>
    <w:p w14:paraId="470FC060" w14:textId="77777777" w:rsidR="00B94C14" w:rsidRPr="00C9133B" w:rsidRDefault="00B94C14" w:rsidP="00D74E95">
      <w:pPr>
        <w:pStyle w:val="FootnoteText"/>
        <w:rPr>
          <w:rFonts w:ascii="GHEA Grapalat" w:hAnsi="GHEA Grapalat"/>
          <w:sz w:val="18"/>
          <w:szCs w:val="18"/>
        </w:rPr>
      </w:pPr>
      <w:r w:rsidRPr="00C9133B">
        <w:rPr>
          <w:rFonts w:ascii="GHEA Grapalat" w:hAnsi="GHEA Grapalat"/>
          <w:sz w:val="18"/>
          <w:szCs w:val="18"/>
        </w:rPr>
        <w:t xml:space="preserve">ՄԱԿ – ի պարենի և գյուղատնտեսության կազմակերպություն </w:t>
      </w:r>
      <w:hyperlink r:id="rId10" w:history="1">
        <w:r w:rsidRPr="00C9133B">
          <w:rPr>
            <w:rStyle w:val="Hyperlink"/>
            <w:rFonts w:ascii="GHEA Grapalat" w:hAnsi="GHEA Grapalat"/>
            <w:sz w:val="18"/>
            <w:szCs w:val="18"/>
          </w:rPr>
          <w:t>https://www.fao.org/worldfoodsituation/foodpricesindex/en/</w:t>
        </w:r>
      </w:hyperlink>
    </w:p>
  </w:footnote>
  <w:footnote w:id="13">
    <w:p w14:paraId="097D7E4D" w14:textId="7BBE8C0C" w:rsidR="00B94C14" w:rsidRPr="00131BF6" w:rsidRDefault="00B94C14" w:rsidP="008F37E4">
      <w:pPr>
        <w:pStyle w:val="FootnoteText"/>
        <w:rPr>
          <w:rFonts w:ascii="GHEA Grapalat" w:hAnsi="GHEA Grapalat"/>
          <w:sz w:val="18"/>
          <w:szCs w:val="18"/>
          <w:lang w:val="en-US"/>
        </w:rPr>
      </w:pPr>
      <w:r w:rsidRPr="00F62239">
        <w:rPr>
          <w:rStyle w:val="FootnoteReference"/>
          <w:rFonts w:ascii="GHEA Grapalat" w:hAnsi="GHEA Grapalat"/>
          <w:sz w:val="18"/>
          <w:szCs w:val="18"/>
        </w:rPr>
        <w:footnoteRef/>
      </w:r>
      <w:r w:rsidRPr="00F62239">
        <w:rPr>
          <w:rFonts w:ascii="GHEA Grapalat" w:hAnsi="GHEA Grapalat"/>
          <w:sz w:val="18"/>
          <w:szCs w:val="18"/>
        </w:rPr>
        <w:t xml:space="preserve"> Ճյուղերի մանրամասն ցուցանիշները ներկայացված են </w:t>
      </w:r>
      <w:r w:rsidRPr="004821AA">
        <w:rPr>
          <w:rFonts w:ascii="GHEA Grapalat" w:hAnsi="GHEA Grapalat"/>
          <w:sz w:val="18"/>
          <w:szCs w:val="18"/>
          <w:lang w:val="en-US"/>
        </w:rPr>
        <w:t xml:space="preserve">Աղյուսակ </w:t>
      </w:r>
      <w:r>
        <w:rPr>
          <w:rFonts w:ascii="GHEA Grapalat" w:hAnsi="GHEA Grapalat"/>
          <w:sz w:val="18"/>
          <w:szCs w:val="18"/>
          <w:lang w:val="en-US"/>
        </w:rPr>
        <w:t>3</w:t>
      </w:r>
      <w:r w:rsidRPr="004821AA">
        <w:rPr>
          <w:rFonts w:ascii="GHEA Grapalat" w:hAnsi="GHEA Grapalat"/>
          <w:sz w:val="18"/>
          <w:szCs w:val="18"/>
          <w:lang w:val="en-US"/>
        </w:rPr>
        <w:t>-</w:t>
      </w:r>
      <w:r w:rsidRPr="004821AA">
        <w:rPr>
          <w:rFonts w:ascii="GHEA Grapalat" w:hAnsi="GHEA Grapalat"/>
          <w:sz w:val="18"/>
          <w:szCs w:val="18"/>
        </w:rPr>
        <w:t>ում</w:t>
      </w:r>
      <w:r>
        <w:rPr>
          <w:rFonts w:ascii="GHEA Grapalat" w:hAnsi="GHEA Grapalat"/>
          <w:sz w:val="18"/>
          <w:szCs w:val="18"/>
          <w:lang w:val="en-US"/>
        </w:rPr>
        <w:t>:</w:t>
      </w:r>
    </w:p>
  </w:footnote>
  <w:footnote w:id="14">
    <w:p w14:paraId="2E6313B6" w14:textId="76B03E68" w:rsidR="00B94C14" w:rsidRPr="00DD709D" w:rsidRDefault="00B94C14" w:rsidP="008F37E4">
      <w:pPr>
        <w:pStyle w:val="FootnoteText"/>
        <w:jc w:val="both"/>
        <w:rPr>
          <w:rFonts w:ascii="GHEA Grapalat" w:hAnsi="GHEA Grapalat"/>
          <w:sz w:val="18"/>
          <w:szCs w:val="18"/>
        </w:rPr>
      </w:pPr>
      <w:r w:rsidRPr="00DD709D">
        <w:rPr>
          <w:rFonts w:ascii="GHEA Grapalat" w:hAnsi="GHEA Grapalat"/>
          <w:sz w:val="18"/>
          <w:szCs w:val="18"/>
          <w:vertAlign w:val="superscript"/>
        </w:rPr>
        <w:footnoteRef/>
      </w:r>
      <w:r w:rsidRPr="00DD709D">
        <w:rPr>
          <w:rFonts w:ascii="GHEA Grapalat" w:hAnsi="GHEA Grapalat"/>
          <w:sz w:val="18"/>
          <w:szCs w:val="18"/>
        </w:rPr>
        <w:t xml:space="preserve"> Ի տարբերություն գյուղատնտեսության թողարկման ցուցանիշի՝ գյուղատնտեսության ավելացված արժեքն աճել է 0.2%-ով, ինչը պայմանավորված է եղել գյուղատնտեսության միջանկյալ սպառման նկատմամբ թողարկման առաջանցիկ աճով: </w:t>
      </w:r>
    </w:p>
  </w:footnote>
  <w:footnote w:id="15">
    <w:p w14:paraId="29F7E863" w14:textId="65E3CBC7" w:rsidR="00B94C14" w:rsidRPr="00C50BF5" w:rsidRDefault="00B94C14" w:rsidP="008F37E4">
      <w:pPr>
        <w:pStyle w:val="FootnoteText"/>
        <w:jc w:val="both"/>
        <w:rPr>
          <w:rFonts w:ascii="GHEA Grapalat" w:hAnsi="GHEA Grapalat"/>
          <w:sz w:val="18"/>
          <w:szCs w:val="18"/>
        </w:rPr>
      </w:pPr>
      <w:r w:rsidRPr="00C50BF5">
        <w:rPr>
          <w:rStyle w:val="FootnoteReference"/>
          <w:rFonts w:ascii="GHEA Grapalat" w:hAnsi="GHEA Grapalat"/>
          <w:sz w:val="18"/>
          <w:szCs w:val="18"/>
        </w:rPr>
        <w:footnoteRef/>
      </w:r>
      <w:r w:rsidRPr="00C50BF5">
        <w:rPr>
          <w:rFonts w:ascii="GHEA Grapalat" w:hAnsi="GHEA Grapalat"/>
          <w:sz w:val="18"/>
          <w:szCs w:val="18"/>
        </w:rPr>
        <w:t xml:space="preserve"> ՏԱՑ-ի աճին ճյուղերի նպաստումները ՀՀ ֆինանսների նախարարության գնահատականներն են: Գյուղատնտեսության ցուցանիշը ոչ բոլոր հաշվարկներում է ներկայացված, քանի որ այն հրապարակվում է եռամսյակային պարբերականությամբ՝ պայմանավորված գյուղատնտեսության սեզոնայնությամբ և բնակլիմայական ոչ կայուն պայմաններից կախված</w:t>
      </w:r>
      <w:r>
        <w:rPr>
          <w:rFonts w:ascii="GHEA Grapalat" w:hAnsi="GHEA Grapalat"/>
          <w:sz w:val="18"/>
          <w:szCs w:val="18"/>
          <w:lang w:val="en-US"/>
        </w:rPr>
        <w:t>՝</w:t>
      </w:r>
      <w:r w:rsidRPr="00C50BF5">
        <w:rPr>
          <w:rFonts w:ascii="GHEA Grapalat" w:hAnsi="GHEA Grapalat"/>
          <w:sz w:val="18"/>
          <w:szCs w:val="18"/>
        </w:rPr>
        <w:t xml:space="preserve"> ամսական արտադրության տատանողականության հարթեցման անհրաժեշտությամբ:</w:t>
      </w:r>
    </w:p>
  </w:footnote>
  <w:footnote w:id="16">
    <w:p w14:paraId="269AEB71" w14:textId="77777777" w:rsidR="00B94C14" w:rsidRPr="00FD2A21" w:rsidRDefault="00B94C14" w:rsidP="008F37E4">
      <w:pPr>
        <w:jc w:val="both"/>
        <w:rPr>
          <w:rFonts w:ascii="GHEA Grapalat" w:hAnsi="GHEA Grapalat"/>
          <w:i/>
          <w:sz w:val="16"/>
          <w:szCs w:val="18"/>
        </w:rPr>
      </w:pPr>
    </w:p>
  </w:footnote>
  <w:footnote w:id="17">
    <w:p w14:paraId="204720D9" w14:textId="77777777" w:rsidR="00B94C14" w:rsidRPr="0084311F" w:rsidRDefault="00B94C14" w:rsidP="008F37E4">
      <w:pPr>
        <w:jc w:val="both"/>
        <w:rPr>
          <w:rFonts w:ascii="GHEA Grapalat" w:eastAsia="GHEA Grapalat" w:hAnsi="GHEA Grapalat"/>
          <w:color w:val="000000"/>
          <w:sz w:val="18"/>
          <w:szCs w:val="18"/>
        </w:rPr>
      </w:pPr>
      <w:r w:rsidRPr="0084311F">
        <w:rPr>
          <w:rFonts w:ascii="GHEA Grapalat" w:eastAsia="GHEA Grapalat" w:hAnsi="GHEA Grapalat"/>
          <w:color w:val="000000"/>
          <w:sz w:val="18"/>
          <w:szCs w:val="18"/>
          <w:vertAlign w:val="superscript"/>
        </w:rPr>
        <w:footnoteRef/>
      </w:r>
      <w:r w:rsidRPr="0084311F">
        <w:rPr>
          <w:rFonts w:ascii="GHEA Grapalat" w:eastAsia="GHEA Grapalat" w:hAnsi="GHEA Grapalat"/>
          <w:color w:val="000000"/>
          <w:sz w:val="18"/>
          <w:szCs w:val="18"/>
        </w:rPr>
        <w:t xml:space="preserve"> Ներդրումների ճյուղային կառուցվածքի ցուցանիշները վերաբերում են ներդրումների՝ կապիտալ շինարարությանն ուղղվող մասին: Ավելի մանրամասն տե՛ս Շինարարություն հատվածում:</w:t>
      </w:r>
    </w:p>
  </w:footnote>
  <w:footnote w:id="18">
    <w:p w14:paraId="63C3F3A8" w14:textId="7AA7D39C" w:rsidR="00B94C14" w:rsidRPr="005A6581" w:rsidRDefault="00B94C14" w:rsidP="008F37E4">
      <w:pPr>
        <w:pStyle w:val="Heading6"/>
        <w:ind w:left="0"/>
        <w:rPr>
          <w:rFonts w:ascii="GHEA Grapalat" w:eastAsia="GHEA Grapalat" w:hAnsi="GHEA Grapalat"/>
          <w:color w:val="000000"/>
          <w:sz w:val="18"/>
          <w:szCs w:val="18"/>
          <w:u w:val="none"/>
        </w:rPr>
      </w:pPr>
      <w:r w:rsidRPr="005A6581">
        <w:rPr>
          <w:rFonts w:ascii="GHEA Grapalat" w:eastAsia="GHEA Grapalat" w:hAnsi="GHEA Grapalat"/>
          <w:color w:val="000000"/>
          <w:sz w:val="18"/>
          <w:szCs w:val="18"/>
          <w:u w:val="none"/>
          <w:vertAlign w:val="superscript"/>
        </w:rPr>
        <w:footnoteRef/>
      </w:r>
      <w:r w:rsidRPr="005A6581">
        <w:rPr>
          <w:rFonts w:ascii="GHEA Grapalat" w:eastAsia="GHEA Grapalat" w:hAnsi="GHEA Grapalat"/>
          <w:color w:val="000000"/>
          <w:sz w:val="18"/>
          <w:szCs w:val="18"/>
          <w:u w:val="none"/>
        </w:rPr>
        <w:t xml:space="preserve"> Մանրամասն տե</w:t>
      </w:r>
      <w:r>
        <w:rPr>
          <w:rFonts w:ascii="GHEA Grapalat" w:eastAsia="GHEA Grapalat" w:hAnsi="GHEA Grapalat"/>
          <w:color w:val="000000"/>
          <w:sz w:val="18"/>
          <w:szCs w:val="18"/>
          <w:u w:val="none"/>
          <w:lang w:val="en-US"/>
        </w:rPr>
        <w:t>՛</w:t>
      </w:r>
      <w:r w:rsidRPr="005A6581">
        <w:rPr>
          <w:rFonts w:ascii="GHEA Grapalat" w:eastAsia="GHEA Grapalat" w:hAnsi="GHEA Grapalat"/>
          <w:color w:val="000000"/>
          <w:sz w:val="18"/>
          <w:szCs w:val="18"/>
          <w:u w:val="none"/>
        </w:rPr>
        <w:t>ս «Արտաքին հատված» մասում:</w:t>
      </w:r>
    </w:p>
  </w:footnote>
  <w:footnote w:id="19">
    <w:p w14:paraId="52F71797" w14:textId="77777777" w:rsidR="00B94C14" w:rsidRPr="004821AA" w:rsidRDefault="00B94C14" w:rsidP="00E76051">
      <w:pPr>
        <w:pBdr>
          <w:top w:val="nil"/>
          <w:left w:val="nil"/>
          <w:bottom w:val="nil"/>
          <w:right w:val="nil"/>
          <w:between w:val="nil"/>
        </w:pBdr>
        <w:jc w:val="both"/>
        <w:rPr>
          <w:rFonts w:ascii="GHEA Grapalat" w:hAnsi="GHEA Grapalat"/>
          <w:sz w:val="18"/>
          <w:szCs w:val="18"/>
        </w:rPr>
      </w:pPr>
      <w:r w:rsidRPr="004821AA">
        <w:rPr>
          <w:rStyle w:val="FootnoteReference"/>
          <w:rFonts w:ascii="GHEA Grapalat" w:hAnsi="GHEA Grapalat"/>
          <w:sz w:val="18"/>
          <w:szCs w:val="18"/>
        </w:rPr>
        <w:footnoteRef/>
      </w:r>
      <w:r w:rsidRPr="004821AA">
        <w:rPr>
          <w:rFonts w:ascii="GHEA Grapalat" w:eastAsia="GHEA Grapalat" w:hAnsi="GHEA Grapalat" w:cs="GHEA Grapalat"/>
          <w:color w:val="000000"/>
          <w:sz w:val="18"/>
          <w:szCs w:val="18"/>
        </w:rPr>
        <w:t xml:space="preserve"> </w:t>
      </w:r>
      <w:r w:rsidRPr="004821AA">
        <w:rPr>
          <w:rFonts w:ascii="GHEA Grapalat" w:hAnsi="GHEA Grapalat"/>
          <w:sz w:val="18"/>
          <w:szCs w:val="18"/>
        </w:rPr>
        <w:t xml:space="preserve">Ներմուծման տվյալները ներկայացված են ՍԻՖ գներով: </w:t>
      </w:r>
    </w:p>
  </w:footnote>
  <w:footnote w:id="20">
    <w:p w14:paraId="6C50E3A1" w14:textId="77777777" w:rsidR="00B94C14" w:rsidRPr="004821AA" w:rsidRDefault="00B94C14" w:rsidP="00E76051">
      <w:pPr>
        <w:pStyle w:val="FootnoteText"/>
        <w:jc w:val="both"/>
        <w:rPr>
          <w:rFonts w:ascii="GHEA Grapalat" w:hAnsi="GHEA Grapalat"/>
          <w:iCs/>
          <w:sz w:val="18"/>
          <w:szCs w:val="18"/>
        </w:rPr>
      </w:pPr>
      <w:r w:rsidRPr="004821AA">
        <w:rPr>
          <w:rStyle w:val="FootnoteReference"/>
          <w:rFonts w:ascii="GHEA Grapalat" w:hAnsi="GHEA Grapalat"/>
          <w:sz w:val="18"/>
          <w:szCs w:val="18"/>
        </w:rPr>
        <w:footnoteRef/>
      </w:r>
      <w:r w:rsidRPr="004821AA">
        <w:rPr>
          <w:rFonts w:ascii="GHEA Grapalat" w:eastAsia="GHEA Grapalat" w:hAnsi="GHEA Grapalat" w:cs="GHEA Grapalat"/>
          <w:iCs/>
          <w:color w:val="000000"/>
          <w:sz w:val="18"/>
          <w:szCs w:val="18"/>
        </w:rPr>
        <w:t xml:space="preserve">Մանրամասն ցուցանիշները ներկայացված են </w:t>
      </w:r>
      <w:r w:rsidRPr="004F5070">
        <w:rPr>
          <w:rFonts w:ascii="GHEA Grapalat" w:hAnsi="GHEA Grapalat"/>
          <w:sz w:val="18"/>
          <w:szCs w:val="18"/>
        </w:rPr>
        <w:t>Աղյուսակ 3-</w:t>
      </w:r>
      <w:r w:rsidRPr="004821AA">
        <w:rPr>
          <w:rFonts w:ascii="GHEA Grapalat" w:hAnsi="GHEA Grapalat"/>
          <w:sz w:val="18"/>
          <w:szCs w:val="18"/>
        </w:rPr>
        <w:t>ում</w:t>
      </w:r>
      <w:r w:rsidRPr="004821AA">
        <w:rPr>
          <w:rFonts w:ascii="GHEA Grapalat" w:eastAsia="GHEA Grapalat" w:hAnsi="GHEA Grapalat" w:cs="GHEA Grapalat"/>
          <w:iCs/>
          <w:color w:val="000000"/>
          <w:sz w:val="18"/>
          <w:szCs w:val="18"/>
        </w:rPr>
        <w:t>:</w:t>
      </w:r>
    </w:p>
  </w:footnote>
  <w:footnote w:id="21">
    <w:p w14:paraId="76398747" w14:textId="77777777" w:rsidR="00B94C14" w:rsidRPr="004821AA" w:rsidRDefault="00B94C14" w:rsidP="00E76051">
      <w:pPr>
        <w:pStyle w:val="FootnoteText"/>
        <w:jc w:val="both"/>
        <w:rPr>
          <w:rFonts w:ascii="GHEA Grapalat" w:hAnsi="GHEA Grapalat"/>
          <w:iCs/>
          <w:sz w:val="18"/>
          <w:szCs w:val="18"/>
        </w:rPr>
      </w:pPr>
      <w:r w:rsidRPr="004821AA">
        <w:rPr>
          <w:rStyle w:val="FootnoteReference"/>
          <w:rFonts w:ascii="GHEA Grapalat" w:hAnsi="GHEA Grapalat"/>
          <w:sz w:val="18"/>
          <w:szCs w:val="18"/>
        </w:rPr>
        <w:footnoteRef/>
      </w:r>
      <w:r w:rsidRPr="004821AA">
        <w:rPr>
          <w:rFonts w:ascii="GHEA Grapalat" w:eastAsia="GHEA Grapalat" w:hAnsi="GHEA Grapalat" w:cs="GHEA Grapalat"/>
          <w:iCs/>
          <w:color w:val="000000"/>
          <w:sz w:val="18"/>
          <w:szCs w:val="18"/>
        </w:rPr>
        <w:t xml:space="preserve">Մանրամասն ցուցանիշները ներկայացված են </w:t>
      </w:r>
      <w:r w:rsidRPr="004F5070">
        <w:rPr>
          <w:rFonts w:ascii="GHEA Grapalat" w:hAnsi="GHEA Grapalat"/>
          <w:sz w:val="18"/>
          <w:szCs w:val="18"/>
        </w:rPr>
        <w:t>Աղյուսակ 3-</w:t>
      </w:r>
      <w:r w:rsidRPr="004821AA">
        <w:rPr>
          <w:rFonts w:ascii="GHEA Grapalat" w:hAnsi="GHEA Grapalat"/>
          <w:sz w:val="18"/>
          <w:szCs w:val="18"/>
        </w:rPr>
        <w:t>ում</w:t>
      </w:r>
      <w:r w:rsidRPr="004821AA">
        <w:rPr>
          <w:rFonts w:ascii="GHEA Grapalat" w:eastAsia="GHEA Grapalat" w:hAnsi="GHEA Grapalat" w:cs="GHEA Grapalat"/>
          <w:iCs/>
          <w:color w:val="000000"/>
          <w:sz w:val="18"/>
          <w:szCs w:val="18"/>
        </w:rPr>
        <w:t>:</w:t>
      </w:r>
    </w:p>
  </w:footnote>
  <w:footnote w:id="22">
    <w:p w14:paraId="0FC1E03F" w14:textId="77777777" w:rsidR="00B94C14" w:rsidRDefault="00B94C14" w:rsidP="00D91493">
      <w:pPr>
        <w:pStyle w:val="FootnoteText"/>
        <w:jc w:val="both"/>
      </w:pPr>
      <w:r w:rsidRPr="004821AA">
        <w:rPr>
          <w:rStyle w:val="FootnoteReference"/>
          <w:rFonts w:ascii="GHEA Grapalat" w:hAnsi="GHEA Grapalat"/>
          <w:sz w:val="18"/>
          <w:szCs w:val="18"/>
        </w:rPr>
        <w:footnoteRef/>
      </w:r>
      <w:r w:rsidRPr="004821AA">
        <w:rPr>
          <w:rFonts w:ascii="GHEA Grapalat" w:hAnsi="GHEA Grapalat"/>
          <w:sz w:val="18"/>
          <w:szCs w:val="18"/>
        </w:rPr>
        <w:t xml:space="preserve"> </w:t>
      </w:r>
      <w:r w:rsidRPr="004821AA">
        <w:rPr>
          <w:rFonts w:ascii="GHEA Grapalat" w:hAnsi="GHEA Grapalat" w:cs="Sylfaen"/>
          <w:sz w:val="18"/>
          <w:szCs w:val="18"/>
        </w:rPr>
        <w:t>Աղբյուր՝ ՀՀ ԿԲ:</w:t>
      </w:r>
    </w:p>
  </w:footnote>
  <w:footnote w:id="23">
    <w:p w14:paraId="7931D322" w14:textId="77777777" w:rsidR="00B94C14" w:rsidRPr="002C0630" w:rsidRDefault="00B94C14" w:rsidP="00E76051">
      <w:pPr>
        <w:pStyle w:val="FootnoteText"/>
        <w:tabs>
          <w:tab w:val="left" w:pos="142"/>
        </w:tabs>
        <w:jc w:val="both"/>
        <w:rPr>
          <w:rFonts w:ascii="GHEA Grapalat" w:hAnsi="GHEA Grapalat" w:cs="Sylfaen"/>
          <w:sz w:val="18"/>
          <w:szCs w:val="18"/>
        </w:rPr>
      </w:pPr>
      <w:r w:rsidRPr="00583AC3">
        <w:rPr>
          <w:rStyle w:val="FootnoteReference"/>
          <w:rFonts w:ascii="GHEA Grapalat" w:hAnsi="GHEA Grapalat"/>
          <w:sz w:val="18"/>
          <w:szCs w:val="18"/>
        </w:rPr>
        <w:footnoteRef/>
      </w:r>
      <w:r w:rsidRPr="002C0630">
        <w:rPr>
          <w:rFonts w:ascii="GHEA Grapalat" w:eastAsia="GHEA Grapalat" w:hAnsi="GHEA Grapalat" w:cs="GHEA Grapalat"/>
          <w:color w:val="000000"/>
          <w:sz w:val="18"/>
          <w:szCs w:val="18"/>
        </w:rPr>
        <w:t xml:space="preserve"> Ընդգրկված չեն կուտակված տոկոսները: Վարկերի մեջ ներառված են նաև ֆակտորինգային, լիզինգային գործառնությունները և ռեպո համաձայնագրերը:</w:t>
      </w:r>
    </w:p>
  </w:footnote>
  <w:footnote w:id="24">
    <w:p w14:paraId="53D30B08" w14:textId="10D1021B" w:rsidR="00B94C14" w:rsidRPr="00BB1FE3" w:rsidRDefault="00B94C14" w:rsidP="00BB1FE3">
      <w:pPr>
        <w:pStyle w:val="FootnoteText"/>
        <w:jc w:val="both"/>
        <w:rPr>
          <w:rFonts w:ascii="GHEA Grapalat" w:hAnsi="GHEA Grapalat"/>
          <w:sz w:val="18"/>
          <w:szCs w:val="18"/>
        </w:rPr>
      </w:pPr>
      <w:r w:rsidRPr="00BB1FE3">
        <w:rPr>
          <w:rStyle w:val="FootnoteReference"/>
          <w:rFonts w:ascii="GHEA Grapalat" w:hAnsi="GHEA Grapalat"/>
          <w:sz w:val="18"/>
          <w:szCs w:val="18"/>
        </w:rPr>
        <w:footnoteRef/>
      </w:r>
      <w:r w:rsidRPr="00BB1FE3">
        <w:rPr>
          <w:rFonts w:ascii="GHEA Grapalat" w:hAnsi="GHEA Grapalat"/>
          <w:sz w:val="18"/>
          <w:szCs w:val="18"/>
        </w:rPr>
        <w:t xml:space="preserve"> ՊՊ շուկայի վերաբերյալ տվյալները ներառում են ԼՂ կառավարության, նրա ստեղծած հիմնադրամների և </w:t>
      </w:r>
      <w:r w:rsidRPr="00E7622D">
        <w:rPr>
          <w:rFonts w:ascii="GHEA Grapalat" w:hAnsi="GHEA Grapalat"/>
          <w:sz w:val="18"/>
          <w:szCs w:val="18"/>
        </w:rPr>
        <w:t>ԼՂ</w:t>
      </w:r>
      <w:r w:rsidRPr="00BB1FE3">
        <w:rPr>
          <w:rFonts w:ascii="GHEA Grapalat" w:hAnsi="GHEA Grapalat"/>
          <w:sz w:val="18"/>
          <w:szCs w:val="18"/>
        </w:rPr>
        <w:t xml:space="preserve"> այլ ֆիզիկական և իրավաբանական անձանց պարտավորությունների փոխանցման գործարքի շրջանակներում ՀՀ կառավարության 2023 թվականի դեկտեմբերի 28-ի N 2326-Ն որոշմամբ տեղաբաշխված՝</w:t>
      </w:r>
      <w:r>
        <w:rPr>
          <w:rFonts w:ascii="GHEA Grapalat" w:hAnsi="GHEA Grapalat"/>
          <w:sz w:val="18"/>
          <w:szCs w:val="18"/>
        </w:rPr>
        <w:t xml:space="preserve"> </w:t>
      </w:r>
      <w:r w:rsidRPr="00BB1FE3">
        <w:rPr>
          <w:rFonts w:ascii="GHEA Grapalat" w:hAnsi="GHEA Grapalat"/>
          <w:sz w:val="18"/>
          <w:szCs w:val="18"/>
        </w:rPr>
        <w:t xml:space="preserve">206.4 մլրդ դրամ ծավալով պարտատոմսի ազդեցությունը։ </w:t>
      </w:r>
    </w:p>
  </w:footnote>
  <w:footnote w:id="25">
    <w:p w14:paraId="4E71F338" w14:textId="67B16984" w:rsidR="00B94C14" w:rsidRPr="008D37DA" w:rsidRDefault="00B94C14" w:rsidP="00E76051">
      <w:pPr>
        <w:pStyle w:val="FootnoteText"/>
        <w:jc w:val="both"/>
        <w:rPr>
          <w:rFonts w:ascii="GHEA Grapalat" w:hAnsi="GHEA Grapalat"/>
          <w:sz w:val="18"/>
        </w:rPr>
      </w:pPr>
      <w:r w:rsidRPr="008D37DA">
        <w:rPr>
          <w:rStyle w:val="FootnoteReference"/>
          <w:rFonts w:ascii="GHEA Grapalat" w:hAnsi="GHEA Grapalat"/>
          <w:sz w:val="18"/>
        </w:rPr>
        <w:footnoteRef/>
      </w:r>
      <w:r w:rsidRPr="008D37DA">
        <w:rPr>
          <w:rFonts w:ascii="GHEA Grapalat" w:hAnsi="GHEA Grapalat"/>
          <w:sz w:val="18"/>
        </w:rPr>
        <w:t xml:space="preserve"> </w:t>
      </w:r>
      <w:r w:rsidRPr="00E63A3B">
        <w:rPr>
          <w:rFonts w:ascii="GHEA Grapalat" w:hAnsi="GHEA Grapalat"/>
          <w:sz w:val="18"/>
        </w:rPr>
        <w:t>2024</w:t>
      </w:r>
      <w:r>
        <w:rPr>
          <w:rFonts w:ascii="GHEA Grapalat" w:hAnsi="GHEA Grapalat"/>
          <w:sz w:val="18"/>
          <w:lang w:val="en-US"/>
        </w:rPr>
        <w:t xml:space="preserve"> </w:t>
      </w:r>
      <w:r w:rsidRPr="00E63A3B">
        <w:rPr>
          <w:rFonts w:ascii="GHEA Grapalat" w:hAnsi="GHEA Grapalat"/>
          <w:sz w:val="18"/>
        </w:rPr>
        <w:t>թ</w:t>
      </w:r>
      <w:r>
        <w:rPr>
          <w:rFonts w:ascii="GHEA Grapalat" w:hAnsi="GHEA Grapalat"/>
          <w:sz w:val="18"/>
          <w:lang w:val="en-US"/>
        </w:rPr>
        <w:t>վականի</w:t>
      </w:r>
      <w:r w:rsidRPr="00E63A3B">
        <w:rPr>
          <w:rFonts w:ascii="GHEA Grapalat" w:hAnsi="GHEA Grapalat"/>
          <w:sz w:val="18"/>
        </w:rPr>
        <w:t xml:space="preserve"> </w:t>
      </w:r>
      <w:r w:rsidRPr="00E63A3B">
        <w:rPr>
          <w:rFonts w:ascii="GHEA Grapalat" w:hAnsi="GHEA Grapalat" w:cs="GHEA Grapalat"/>
          <w:sz w:val="18"/>
        </w:rPr>
        <w:t>հունվարից</w:t>
      </w:r>
      <w:r w:rsidRPr="00E63A3B">
        <w:rPr>
          <w:rFonts w:ascii="GHEA Grapalat" w:hAnsi="GHEA Grapalat"/>
          <w:sz w:val="18"/>
        </w:rPr>
        <w:t xml:space="preserve"> </w:t>
      </w:r>
      <w:r w:rsidRPr="00E63A3B">
        <w:rPr>
          <w:rFonts w:ascii="GHEA Grapalat" w:hAnsi="GHEA Grapalat" w:cs="GHEA Grapalat"/>
          <w:sz w:val="18"/>
        </w:rPr>
        <w:t>պաշտոնական</w:t>
      </w:r>
      <w:r w:rsidRPr="00E63A3B">
        <w:rPr>
          <w:rFonts w:ascii="GHEA Grapalat" w:hAnsi="GHEA Grapalat"/>
          <w:sz w:val="18"/>
        </w:rPr>
        <w:t xml:space="preserve"> </w:t>
      </w:r>
      <w:r w:rsidRPr="00E63A3B">
        <w:rPr>
          <w:rFonts w:ascii="GHEA Grapalat" w:hAnsi="GHEA Grapalat" w:cs="GHEA Grapalat"/>
          <w:sz w:val="18"/>
        </w:rPr>
        <w:t>վիճակագրութ</w:t>
      </w:r>
      <w:r>
        <w:rPr>
          <w:rFonts w:ascii="GHEA Grapalat" w:hAnsi="GHEA Grapalat"/>
          <w:sz w:val="18"/>
        </w:rPr>
        <w:t>յամբ հիպո</w:t>
      </w:r>
      <w:r>
        <w:rPr>
          <w:rFonts w:ascii="GHEA Grapalat" w:hAnsi="GHEA Grapalat"/>
          <w:sz w:val="18"/>
          <w:lang w:val="en-US"/>
        </w:rPr>
        <w:t>տեկ</w:t>
      </w:r>
      <w:r w:rsidRPr="00E63A3B">
        <w:rPr>
          <w:rFonts w:ascii="GHEA Grapalat" w:hAnsi="GHEA Grapalat"/>
          <w:sz w:val="18"/>
        </w:rPr>
        <w:t>ի տոկոսագումարների դիմաց եկամտային հարկի վերադարձը ներառվում է բյուջեի եկամուտներում և ծախսերում, ինչը նշանակում է, որ հետագայում վերջինս չի կարող լինել եկամտային հարկի հավաքագրումների վրա ազդող գործոն։</w:t>
      </w:r>
      <w:r w:rsidRPr="008D37DA">
        <w:rPr>
          <w:rFonts w:ascii="GHEA Grapalat" w:hAnsi="GHEA Grapalat"/>
          <w:sz w:val="18"/>
        </w:rPr>
        <w:t xml:space="preserve"> </w:t>
      </w:r>
    </w:p>
  </w:footnote>
  <w:footnote w:id="26">
    <w:p w14:paraId="41829E45" w14:textId="77777777" w:rsidR="00B94C14" w:rsidRDefault="00B94C14" w:rsidP="00712C17">
      <w:pPr>
        <w:pStyle w:val="FootnoteText"/>
        <w:jc w:val="both"/>
        <w:rPr>
          <w:rFonts w:ascii="GHEA Grapalat" w:hAnsi="GHEA Grapalat"/>
          <w:sz w:val="18"/>
          <w:szCs w:val="18"/>
          <w:lang w:val="en-US"/>
        </w:rPr>
      </w:pPr>
      <w:r w:rsidRPr="00FF1399">
        <w:rPr>
          <w:rStyle w:val="FootnoteReference"/>
          <w:rFonts w:ascii="GHEA Grapalat" w:hAnsi="GHEA Grapalat"/>
          <w:sz w:val="18"/>
          <w:szCs w:val="18"/>
        </w:rPr>
        <w:footnoteRef/>
      </w:r>
      <w:r w:rsidRPr="00FF1399">
        <w:rPr>
          <w:rFonts w:ascii="GHEA Grapalat" w:hAnsi="GHEA Grapalat"/>
          <w:sz w:val="18"/>
          <w:szCs w:val="18"/>
        </w:rPr>
        <w:t xml:space="preserve"> 2023 թվականին Լեռնային Ղարաբաղից բռնի տեղահանված բնակչությանը տրամադրված փոխհատուցման վերաբերյալ</w:t>
      </w:r>
      <w:r>
        <w:rPr>
          <w:rFonts w:ascii="GHEA Grapalat" w:hAnsi="GHEA Grapalat"/>
          <w:sz w:val="18"/>
          <w:szCs w:val="18"/>
          <w:lang w:val="en-US"/>
        </w:rPr>
        <w:t xml:space="preserve"> մանրամասն տեղեկատվությունը ներկայացված է հետևյալ տեղեկանքներում՝</w:t>
      </w:r>
    </w:p>
    <w:p w14:paraId="409213C9" w14:textId="77777777" w:rsidR="00B94C14" w:rsidRDefault="00B94C14" w:rsidP="00FF1399">
      <w:pPr>
        <w:pStyle w:val="FootnoteText"/>
        <w:rPr>
          <w:rFonts w:ascii="GHEA Grapalat" w:hAnsi="GHEA Grapalat"/>
          <w:sz w:val="18"/>
          <w:szCs w:val="18"/>
          <w:lang w:val="en-US"/>
        </w:rPr>
      </w:pPr>
      <w:hyperlink r:id="rId11" w:history="1">
        <w:r w:rsidRPr="00712C17">
          <w:rPr>
            <w:rStyle w:val="Hyperlink"/>
            <w:rFonts w:ascii="GHEA Grapalat" w:hAnsi="GHEA Grapalat"/>
            <w:sz w:val="18"/>
            <w:szCs w:val="18"/>
            <w:lang w:val="en-US"/>
          </w:rPr>
          <w:t>5.Տեղեկանքներ\16.ԼՂ-ից բռնի տեղահանված_ըստ ՊԾՄԿ.xls</w:t>
        </w:r>
      </w:hyperlink>
      <w:r>
        <w:rPr>
          <w:rFonts w:ascii="GHEA Grapalat" w:hAnsi="GHEA Grapalat"/>
          <w:sz w:val="18"/>
          <w:szCs w:val="18"/>
          <w:lang w:val="en-US"/>
        </w:rPr>
        <w:t>,</w:t>
      </w:r>
    </w:p>
    <w:p w14:paraId="0578D7C9" w14:textId="6B3DE549" w:rsidR="00B94C14" w:rsidRPr="00712C17" w:rsidRDefault="00B94C14" w:rsidP="00FF1399">
      <w:pPr>
        <w:pStyle w:val="FootnoteText"/>
        <w:rPr>
          <w:rFonts w:ascii="GHEA Grapalat" w:hAnsi="GHEA Grapalat"/>
          <w:sz w:val="18"/>
          <w:szCs w:val="18"/>
          <w:lang w:val="en-US"/>
        </w:rPr>
      </w:pPr>
      <w:hyperlink r:id="rId12" w:history="1">
        <w:r w:rsidRPr="00712C17">
          <w:rPr>
            <w:rStyle w:val="Hyperlink"/>
            <w:rFonts w:ascii="GHEA Grapalat" w:hAnsi="GHEA Grapalat"/>
            <w:sz w:val="18"/>
            <w:szCs w:val="18"/>
            <w:lang w:val="en-US"/>
          </w:rPr>
          <w:t>5.Տեղեկանքներ\17.ԼՂ-ից բռնի տեղահանված_արդյունքային ցուցանիշներ.xls</w:t>
        </w:r>
      </w:hyperlink>
    </w:p>
  </w:footnote>
  <w:footnote w:id="27">
    <w:p w14:paraId="048C77ED" w14:textId="77777777" w:rsidR="00B94C14" w:rsidRPr="00D17213" w:rsidRDefault="00B94C14" w:rsidP="00E76051">
      <w:pPr>
        <w:pStyle w:val="FootnoteText"/>
        <w:jc w:val="both"/>
        <w:rPr>
          <w:rFonts w:ascii="GHEA Grapalat" w:hAnsi="GHEA Grapalat" w:cs="GHEA Grapalat"/>
          <w:iCs/>
          <w:color w:val="000000"/>
          <w:sz w:val="18"/>
          <w:szCs w:val="18"/>
        </w:rPr>
      </w:pPr>
      <w:r w:rsidRPr="006E100B">
        <w:rPr>
          <w:rStyle w:val="FootnoteReference"/>
          <w:rFonts w:ascii="GHEA Grapalat" w:hAnsi="GHEA Grapalat"/>
          <w:sz w:val="18"/>
          <w:szCs w:val="18"/>
        </w:rPr>
        <w:footnoteRef/>
      </w:r>
      <w:r w:rsidRPr="006E100B">
        <w:rPr>
          <w:rFonts w:ascii="GHEA Grapalat" w:hAnsi="GHEA Grapalat"/>
          <w:iCs/>
          <w:sz w:val="18"/>
          <w:szCs w:val="18"/>
        </w:rPr>
        <w:t xml:space="preserve"> </w:t>
      </w:r>
      <w:r w:rsidRPr="006E100B">
        <w:rPr>
          <w:rFonts w:ascii="GHEA Grapalat" w:hAnsi="GHEA Grapalat" w:cs="GHEA Grapalat"/>
          <w:iCs/>
          <w:color w:val="000000"/>
          <w:sz w:val="18"/>
          <w:szCs w:val="18"/>
        </w:rPr>
        <w:t>Աղբյուրը՝ ՀՀ ՖՆ գնահատական</w:t>
      </w:r>
    </w:p>
  </w:footnote>
  <w:footnote w:id="28">
    <w:p w14:paraId="52377DC1" w14:textId="77777777" w:rsidR="00B94C14" w:rsidRPr="005C42B7" w:rsidRDefault="00B94C14" w:rsidP="000F4C56">
      <w:pPr>
        <w:pStyle w:val="FootnoteText"/>
        <w:rPr>
          <w:rFonts w:ascii="GHEA Grapalat" w:eastAsia="GHEA Grapalat" w:hAnsi="GHEA Grapalat" w:cs="GHEA Grapalat"/>
          <w:i/>
          <w:color w:val="000000"/>
          <w:sz w:val="18"/>
          <w:szCs w:val="18"/>
        </w:rPr>
      </w:pPr>
      <w:r w:rsidRPr="00202BA5">
        <w:rPr>
          <w:rStyle w:val="FootnoteReference"/>
        </w:rPr>
        <w:footnoteRef/>
      </w:r>
      <w:r w:rsidRPr="00202BA5">
        <w:t xml:space="preserve"> </w:t>
      </w:r>
      <w:r w:rsidRPr="00202BA5">
        <w:rPr>
          <w:rFonts w:ascii="GHEA Grapalat" w:eastAsia="GHEA Grapalat" w:hAnsi="GHEA Grapalat" w:cs="GHEA Grapalat"/>
          <w:i/>
          <w:color w:val="000000"/>
          <w:sz w:val="18"/>
          <w:szCs w:val="18"/>
        </w:rPr>
        <w:t>Աղյուսակներում նպաստումները հաշվարկվել են նախորդ տարվա կշիռների հիման վրա:</w:t>
      </w:r>
    </w:p>
  </w:footnote>
  <w:footnote w:id="29">
    <w:p w14:paraId="33378FC7" w14:textId="77D11770" w:rsidR="00B94C14" w:rsidRDefault="00B94C14" w:rsidP="00FF44DF">
      <w:pPr>
        <w:pStyle w:val="FootnoteText"/>
        <w:jc w:val="both"/>
      </w:pPr>
      <w:r w:rsidRPr="006E100B">
        <w:rPr>
          <w:rStyle w:val="FootnoteReference"/>
          <w:rFonts w:ascii="GHEA Grapalat" w:hAnsi="GHEA Grapalat"/>
          <w:sz w:val="18"/>
          <w:szCs w:val="18"/>
        </w:rPr>
        <w:footnoteRef/>
      </w:r>
      <w:r w:rsidRPr="006E100B">
        <w:rPr>
          <w:rFonts w:ascii="GHEA Grapalat" w:hAnsi="GHEA Grapalat"/>
          <w:sz w:val="18"/>
          <w:szCs w:val="18"/>
        </w:rPr>
        <w:t xml:space="preserve"> </w:t>
      </w:r>
      <w:r w:rsidRPr="006E100B">
        <w:rPr>
          <w:rFonts w:ascii="GHEA Grapalat" w:hAnsi="GHEA Grapalat" w:cs="GHEA Grapalat"/>
          <w:sz w:val="18"/>
          <w:szCs w:val="18"/>
        </w:rPr>
        <w:t xml:space="preserve">Այն օրենսդրական փոփոխությունները, որոնք կարող էին ազդեցություն ունենալ </w:t>
      </w:r>
      <w:r w:rsidRPr="00DB51B7">
        <w:rPr>
          <w:rFonts w:ascii="GHEA Grapalat" w:hAnsi="GHEA Grapalat" w:cs="GHEA Grapalat"/>
          <w:sz w:val="18"/>
          <w:szCs w:val="18"/>
        </w:rPr>
        <w:t>հարկային եկամուտների և պետական տուրքերի</w:t>
      </w:r>
      <w:r w:rsidRPr="006E100B">
        <w:rPr>
          <w:rFonts w:ascii="GHEA Grapalat" w:hAnsi="GHEA Grapalat" w:cs="GHEA Grapalat"/>
          <w:sz w:val="18"/>
          <w:szCs w:val="18"/>
        </w:rPr>
        <w:t xml:space="preserve"> գծով 202</w:t>
      </w:r>
      <w:r>
        <w:rPr>
          <w:rFonts w:ascii="GHEA Grapalat" w:hAnsi="GHEA Grapalat" w:cs="GHEA Grapalat"/>
          <w:sz w:val="18"/>
          <w:szCs w:val="18"/>
          <w:lang w:val="en-US"/>
        </w:rPr>
        <w:t>3</w:t>
      </w:r>
      <w:r w:rsidRPr="006E100B">
        <w:rPr>
          <w:rFonts w:ascii="GHEA Grapalat" w:hAnsi="GHEA Grapalat" w:cs="GHEA Grapalat"/>
          <w:sz w:val="18"/>
          <w:szCs w:val="18"/>
        </w:rPr>
        <w:t xml:space="preserve"> թվականի պետական բյուջեի մուտքերի վրա, ներկայացված են առանձին տեղեկանքով</w:t>
      </w:r>
      <w:r w:rsidRPr="00DB51B7">
        <w:rPr>
          <w:rFonts w:ascii="GHEA Grapalat" w:hAnsi="GHEA Grapalat" w:cs="GHEA Grapalat"/>
          <w:sz w:val="18"/>
          <w:szCs w:val="18"/>
        </w:rPr>
        <w:t>՝</w:t>
      </w:r>
      <w:r>
        <w:rPr>
          <w:rFonts w:ascii="GHEA Grapalat" w:hAnsi="GHEA Grapalat" w:cs="GHEA Grapalat"/>
          <w:sz w:val="18"/>
          <w:szCs w:val="18"/>
          <w:lang w:val="en-US"/>
        </w:rPr>
        <w:t xml:space="preserve"> </w:t>
      </w:r>
      <w:hyperlink r:id="rId13" w:history="1">
        <w:r w:rsidRPr="00B674A2">
          <w:rPr>
            <w:rStyle w:val="Hyperlink"/>
            <w:rFonts w:ascii="GHEA Grapalat" w:hAnsi="GHEA Grapalat" w:cs="GHEA Grapalat"/>
            <w:sz w:val="18"/>
            <w:szCs w:val="18"/>
          </w:rPr>
          <w:t>5.Տեղեկանքներ\20.Հարկային օրենսդրության փոփոխություններ.docx</w:t>
        </w:r>
      </w:hyperlink>
      <w:r w:rsidRPr="00DB51B7">
        <w:rPr>
          <w:rFonts w:ascii="GHEA Grapalat" w:hAnsi="GHEA Grapalat" w:cs="GHEA Grapalat"/>
          <w:sz w:val="18"/>
          <w:szCs w:val="18"/>
        </w:rPr>
        <w:t>:</w:t>
      </w:r>
    </w:p>
  </w:footnote>
  <w:footnote w:id="30">
    <w:p w14:paraId="527878BD" w14:textId="52313F7C" w:rsidR="00B94C14" w:rsidRPr="0057455F" w:rsidRDefault="00B94C14">
      <w:pPr>
        <w:pStyle w:val="FootnoteText"/>
      </w:pPr>
      <w:r>
        <w:rPr>
          <w:rStyle w:val="FootnoteReference"/>
        </w:rPr>
        <w:footnoteRef/>
      </w:r>
      <w:r>
        <w:t xml:space="preserve"> </w:t>
      </w:r>
      <w:r w:rsidRPr="00DB51B7">
        <w:rPr>
          <w:rFonts w:ascii="GHEA Grapalat" w:hAnsi="GHEA Grapalat"/>
          <w:sz w:val="18"/>
          <w:szCs w:val="18"/>
        </w:rPr>
        <w:t xml:space="preserve">Ըստ առանձին երկրների տեղեկատվությունը ներկայացված է հետևյալ տեղեկանքում՝ </w:t>
      </w:r>
      <w:hyperlink r:id="rId14" w:history="1">
        <w:r w:rsidRPr="00DB51B7">
          <w:rPr>
            <w:rStyle w:val="Hyperlink"/>
            <w:rFonts w:ascii="GHEA Grapalat" w:hAnsi="GHEA Grapalat"/>
            <w:sz w:val="18"/>
            <w:szCs w:val="18"/>
          </w:rPr>
          <w:t>5.Տեղեկանքներ\17.Մաքսատուրք.doc</w:t>
        </w:r>
      </w:hyperlink>
      <w:r w:rsidRPr="00DB51B7">
        <w:rPr>
          <w:rFonts w:ascii="GHEA Grapalat" w:hAnsi="GHEA Grapalat"/>
          <w:sz w:val="18"/>
          <w:szCs w:val="18"/>
        </w:rPr>
        <w:t>:</w:t>
      </w:r>
    </w:p>
  </w:footnote>
  <w:footnote w:id="31">
    <w:p w14:paraId="0AEC7272" w14:textId="093E872A" w:rsidR="00B94C14" w:rsidRPr="006725FD" w:rsidRDefault="00B94C14">
      <w:pPr>
        <w:pStyle w:val="FootnoteText"/>
        <w:rPr>
          <w:rFonts w:ascii="GHEA Grapalat" w:hAnsi="GHEA Grapalat"/>
          <w:sz w:val="18"/>
          <w:szCs w:val="18"/>
          <w:lang w:val="en-US"/>
        </w:rPr>
      </w:pPr>
      <w:r w:rsidRPr="006725FD">
        <w:rPr>
          <w:rStyle w:val="FootnoteReference"/>
          <w:rFonts w:ascii="GHEA Grapalat" w:hAnsi="GHEA Grapalat"/>
          <w:sz w:val="18"/>
          <w:szCs w:val="18"/>
        </w:rPr>
        <w:footnoteRef/>
      </w:r>
      <w:r w:rsidRPr="006725FD">
        <w:rPr>
          <w:rFonts w:ascii="GHEA Grapalat" w:hAnsi="GHEA Grapalat"/>
          <w:sz w:val="18"/>
          <w:szCs w:val="18"/>
        </w:rPr>
        <w:t xml:space="preserve"> </w:t>
      </w:r>
      <w:hyperlink r:id="rId15" w:history="1">
        <w:r w:rsidRPr="006725FD">
          <w:rPr>
            <w:rStyle w:val="Hyperlink"/>
            <w:rFonts w:ascii="GHEA Grapalat" w:hAnsi="GHEA Grapalat"/>
            <w:sz w:val="18"/>
            <w:szCs w:val="18"/>
          </w:rPr>
          <w:t>5.Տեղեկանքներ\20.Հարկային օրենսդրության փոփոխություններ.docx</w:t>
        </w:r>
      </w:hyperlink>
    </w:p>
  </w:footnote>
  <w:footnote w:id="32">
    <w:p w14:paraId="37787920" w14:textId="77777777" w:rsidR="00B94C14" w:rsidRDefault="00B94C14" w:rsidP="00FF44DF">
      <w:pPr>
        <w:pStyle w:val="FootnoteText"/>
        <w:jc w:val="both"/>
      </w:pPr>
      <w:r w:rsidRPr="00317C8F">
        <w:rPr>
          <w:rFonts w:ascii="GHEA Grapalat" w:hAnsi="GHEA Grapalat"/>
          <w:sz w:val="18"/>
          <w:szCs w:val="18"/>
          <w:vertAlign w:val="superscript"/>
        </w:rPr>
        <w:footnoteRef/>
      </w:r>
      <w:r w:rsidRPr="00317C8F">
        <w:rPr>
          <w:rFonts w:ascii="GHEA Grapalat" w:hAnsi="GHEA Grapalat"/>
          <w:sz w:val="18"/>
          <w:szCs w:val="18"/>
          <w:vertAlign w:val="superscript"/>
        </w:rPr>
        <w:t xml:space="preserve"> </w:t>
      </w:r>
      <w:r>
        <w:rPr>
          <w:rFonts w:ascii="GHEA Grapalat" w:hAnsi="GHEA Grapalat"/>
          <w:sz w:val="18"/>
          <w:szCs w:val="18"/>
        </w:rPr>
        <w:t xml:space="preserve">Ներառված են </w:t>
      </w:r>
      <w:r w:rsidRPr="00723B0B">
        <w:rPr>
          <w:rFonts w:ascii="GHEA Grapalat" w:hAnsi="GHEA Grapalat"/>
          <w:sz w:val="18"/>
          <w:szCs w:val="18"/>
        </w:rPr>
        <w:t xml:space="preserve">Հայաստանի Հանրապետությունում ամուսնության բացակայության մասին տեղեկանք տալու </w:t>
      </w:r>
      <w:r>
        <w:rPr>
          <w:rFonts w:ascii="GHEA Grapalat" w:hAnsi="GHEA Grapalat"/>
          <w:sz w:val="18"/>
          <w:szCs w:val="18"/>
        </w:rPr>
        <w:t>(</w:t>
      </w:r>
      <w:r w:rsidRPr="00DB51B7">
        <w:rPr>
          <w:rFonts w:ascii="GHEA Grapalat" w:hAnsi="GHEA Grapalat"/>
          <w:sz w:val="18"/>
          <w:szCs w:val="18"/>
        </w:rPr>
        <w:t>5</w:t>
      </w:r>
      <w:r w:rsidRPr="00B86D40">
        <w:rPr>
          <w:rFonts w:ascii="GHEA Grapalat" w:hAnsi="GHEA Grapalat"/>
          <w:sz w:val="18"/>
          <w:szCs w:val="18"/>
        </w:rPr>
        <w:t>3</w:t>
      </w:r>
      <w:r>
        <w:rPr>
          <w:rFonts w:ascii="GHEA Grapalat" w:hAnsi="GHEA Grapalat"/>
          <w:sz w:val="18"/>
          <w:szCs w:val="18"/>
        </w:rPr>
        <w:t>.</w:t>
      </w:r>
      <w:r w:rsidRPr="00B86D40">
        <w:rPr>
          <w:rFonts w:ascii="GHEA Grapalat" w:hAnsi="GHEA Grapalat"/>
          <w:sz w:val="18"/>
          <w:szCs w:val="18"/>
        </w:rPr>
        <w:t>7</w:t>
      </w:r>
      <w:r>
        <w:rPr>
          <w:rFonts w:ascii="GHEA Grapalat" w:hAnsi="GHEA Grapalat"/>
          <w:sz w:val="18"/>
          <w:szCs w:val="18"/>
        </w:rPr>
        <w:t xml:space="preserve"> մլն դրամ),</w:t>
      </w:r>
      <w:r w:rsidRPr="0009350C">
        <w:rPr>
          <w:rFonts w:ascii="GHEA Grapalat" w:hAnsi="GHEA Grapalat" w:cs="Calibri"/>
          <w:bCs/>
          <w:sz w:val="22"/>
          <w:szCs w:val="22"/>
          <w:lang w:val="zu-ZA"/>
        </w:rPr>
        <w:t xml:space="preserve"> </w:t>
      </w:r>
      <w:r w:rsidRPr="00317C8F">
        <w:rPr>
          <w:rFonts w:ascii="GHEA Grapalat" w:hAnsi="GHEA Grapalat"/>
          <w:sz w:val="18"/>
          <w:szCs w:val="18"/>
        </w:rPr>
        <w:t>ՀՀ քաղաքացիություն ստանալու</w:t>
      </w:r>
      <w:r>
        <w:rPr>
          <w:rFonts w:ascii="GHEA Grapalat" w:hAnsi="GHEA Grapalat"/>
          <w:sz w:val="18"/>
          <w:szCs w:val="18"/>
        </w:rPr>
        <w:t xml:space="preserve"> (</w:t>
      </w:r>
      <w:r w:rsidRPr="00B86D40">
        <w:rPr>
          <w:rFonts w:ascii="GHEA Grapalat" w:hAnsi="GHEA Grapalat"/>
          <w:sz w:val="18"/>
          <w:szCs w:val="18"/>
        </w:rPr>
        <w:t>62.6</w:t>
      </w:r>
      <w:r>
        <w:rPr>
          <w:rFonts w:ascii="GHEA Grapalat" w:hAnsi="GHEA Grapalat"/>
          <w:sz w:val="18"/>
          <w:szCs w:val="18"/>
        </w:rPr>
        <w:t xml:space="preserve"> մլն դրամ)</w:t>
      </w:r>
      <w:r w:rsidRPr="00317C8F">
        <w:rPr>
          <w:rFonts w:ascii="GHEA Grapalat" w:hAnsi="GHEA Grapalat"/>
          <w:sz w:val="18"/>
          <w:szCs w:val="18"/>
        </w:rPr>
        <w:t>, Մշակութային արժեքների արտահանման կամ ժամանակավոր արտահանման իրավունքի վկայագիր տրամադրելու</w:t>
      </w:r>
      <w:r>
        <w:rPr>
          <w:rFonts w:ascii="GHEA Grapalat" w:hAnsi="GHEA Grapalat"/>
          <w:sz w:val="18"/>
          <w:szCs w:val="18"/>
        </w:rPr>
        <w:t xml:space="preserve"> (</w:t>
      </w:r>
      <w:r w:rsidRPr="00B86D40">
        <w:rPr>
          <w:rFonts w:ascii="GHEA Grapalat" w:hAnsi="GHEA Grapalat"/>
          <w:sz w:val="18"/>
          <w:szCs w:val="18"/>
        </w:rPr>
        <w:t>740.2</w:t>
      </w:r>
      <w:r>
        <w:rPr>
          <w:rFonts w:ascii="GHEA Grapalat" w:hAnsi="GHEA Grapalat"/>
          <w:sz w:val="18"/>
          <w:szCs w:val="18"/>
        </w:rPr>
        <w:t xml:space="preserve"> հազար դրամ) և</w:t>
      </w:r>
      <w:r w:rsidRPr="00317C8F">
        <w:rPr>
          <w:rFonts w:ascii="GHEA Grapalat" w:hAnsi="GHEA Grapalat"/>
          <w:sz w:val="18"/>
          <w:szCs w:val="18"/>
        </w:rPr>
        <w:t xml:space="preserve"> Գյուտերի, արդյունաբերական դիզայնների, բույսերի սորտերի, ապրանքային նշանների, աշխարհագրական նշումների, ծագման տեղանունների, երաշխավորված ավանդական արտադրանքի, ֆիրմային անվանումների, ինտեգրալ միկրոսխեմաների տոպոլոգիաների իրավական պահպանության հետ կապված իրավաբանական նշանակություն</w:t>
      </w:r>
      <w:r>
        <w:rPr>
          <w:rFonts w:ascii="GHEA Grapalat" w:hAnsi="GHEA Grapalat"/>
          <w:sz w:val="18"/>
          <w:szCs w:val="18"/>
        </w:rPr>
        <w:t xml:space="preserve"> ունեցող գործողությունների (3</w:t>
      </w:r>
      <w:r w:rsidRPr="00B86D40">
        <w:rPr>
          <w:rFonts w:ascii="GHEA Grapalat" w:hAnsi="GHEA Grapalat"/>
          <w:sz w:val="18"/>
          <w:szCs w:val="18"/>
        </w:rPr>
        <w:t>67.</w:t>
      </w:r>
      <w:r w:rsidRPr="00DB51B7">
        <w:rPr>
          <w:rFonts w:ascii="GHEA Grapalat" w:hAnsi="GHEA Grapalat"/>
          <w:sz w:val="18"/>
          <w:szCs w:val="18"/>
        </w:rPr>
        <w:t>2</w:t>
      </w:r>
      <w:r>
        <w:rPr>
          <w:rFonts w:ascii="GHEA Grapalat" w:hAnsi="GHEA Grapalat"/>
          <w:sz w:val="18"/>
          <w:szCs w:val="18"/>
        </w:rPr>
        <w:t xml:space="preserve"> մլն դրամ) </w:t>
      </w:r>
      <w:r w:rsidRPr="00317C8F">
        <w:rPr>
          <w:rFonts w:ascii="GHEA Grapalat" w:hAnsi="GHEA Grapalat"/>
          <w:sz w:val="18"/>
          <w:szCs w:val="18"/>
        </w:rPr>
        <w:t xml:space="preserve">համար ՀՀ պետական բյուջե վճարվող պետական տուրքերը: </w:t>
      </w:r>
    </w:p>
  </w:footnote>
  <w:footnote w:id="33">
    <w:p w14:paraId="26CC5DB9" w14:textId="63EE98A4" w:rsidR="00B94C14" w:rsidRPr="006725FD" w:rsidRDefault="00B94C14">
      <w:pPr>
        <w:pStyle w:val="FootnoteText"/>
        <w:rPr>
          <w:rFonts w:ascii="GHEA Grapalat" w:hAnsi="GHEA Grapalat"/>
          <w:sz w:val="18"/>
          <w:szCs w:val="18"/>
          <w:lang w:val="en-US"/>
        </w:rPr>
      </w:pPr>
      <w:r w:rsidRPr="006725FD">
        <w:rPr>
          <w:rStyle w:val="FootnoteReference"/>
          <w:rFonts w:ascii="GHEA Grapalat" w:hAnsi="GHEA Grapalat"/>
          <w:sz w:val="18"/>
          <w:szCs w:val="18"/>
        </w:rPr>
        <w:footnoteRef/>
      </w:r>
      <w:r w:rsidRPr="006725FD">
        <w:rPr>
          <w:rFonts w:ascii="GHEA Grapalat" w:hAnsi="GHEA Grapalat"/>
          <w:sz w:val="18"/>
          <w:szCs w:val="18"/>
        </w:rPr>
        <w:t xml:space="preserve"> </w:t>
      </w:r>
      <w:hyperlink r:id="rId16" w:history="1">
        <w:r w:rsidRPr="006725FD">
          <w:rPr>
            <w:rStyle w:val="Hyperlink"/>
            <w:rFonts w:ascii="GHEA Grapalat" w:hAnsi="GHEA Grapalat"/>
            <w:sz w:val="18"/>
            <w:szCs w:val="18"/>
          </w:rPr>
          <w:t>5.Տեղեկանքներ\20.Հարկային օրենսդրության փոփոխություններ.docx</w:t>
        </w:r>
      </w:hyperlink>
    </w:p>
  </w:footnote>
  <w:footnote w:id="34">
    <w:p w14:paraId="432AC85D" w14:textId="796D8299" w:rsidR="00B94C14" w:rsidRPr="006725FD" w:rsidRDefault="00B94C14">
      <w:pPr>
        <w:pStyle w:val="FootnoteText"/>
        <w:rPr>
          <w:rFonts w:ascii="GHEA Grapalat" w:hAnsi="GHEA Grapalat"/>
          <w:sz w:val="18"/>
          <w:szCs w:val="18"/>
          <w:lang w:val="en-US"/>
        </w:rPr>
      </w:pPr>
      <w:r w:rsidRPr="006725FD">
        <w:rPr>
          <w:rStyle w:val="FootnoteReference"/>
          <w:rFonts w:ascii="GHEA Grapalat" w:hAnsi="GHEA Grapalat"/>
          <w:sz w:val="18"/>
          <w:szCs w:val="18"/>
        </w:rPr>
        <w:footnoteRef/>
      </w:r>
      <w:r w:rsidRPr="006725FD">
        <w:rPr>
          <w:rFonts w:ascii="GHEA Grapalat" w:hAnsi="GHEA Grapalat"/>
          <w:sz w:val="18"/>
          <w:szCs w:val="18"/>
        </w:rPr>
        <w:t xml:space="preserve"> </w:t>
      </w:r>
      <w:hyperlink r:id="rId17" w:history="1">
        <w:r w:rsidRPr="006725FD">
          <w:rPr>
            <w:rStyle w:val="Hyperlink"/>
            <w:rFonts w:ascii="GHEA Grapalat" w:hAnsi="GHEA Grapalat"/>
            <w:sz w:val="18"/>
            <w:szCs w:val="18"/>
          </w:rPr>
          <w:t>5.Տեղեկանքներ\20.Հարկային օրենսդրության փոփոխություններ.docx</w:t>
        </w:r>
      </w:hyperlink>
    </w:p>
  </w:footnote>
  <w:footnote w:id="35">
    <w:p w14:paraId="5F2A7D88" w14:textId="0E9C58FD" w:rsidR="00B94C14" w:rsidRDefault="00B94C14" w:rsidP="00BC046A">
      <w:pPr>
        <w:ind w:right="9"/>
        <w:jc w:val="both"/>
      </w:pPr>
      <w:r w:rsidRPr="00637347">
        <w:rPr>
          <w:rStyle w:val="FootnoteReference"/>
          <w:sz w:val="18"/>
          <w:szCs w:val="18"/>
        </w:rPr>
        <w:footnoteRef/>
      </w:r>
      <w:r w:rsidRPr="00637347">
        <w:rPr>
          <w:rFonts w:ascii="GHEA Grapalat" w:hAnsi="GHEA Grapalat"/>
          <w:sz w:val="18"/>
          <w:szCs w:val="18"/>
        </w:rPr>
        <w:t xml:space="preserve"> </w:t>
      </w:r>
      <w:r w:rsidRPr="00637347">
        <w:rPr>
          <w:rFonts w:ascii="GHEA Grapalat" w:hAnsi="GHEA Grapalat" w:cs="Calibri"/>
          <w:bCs/>
          <w:sz w:val="18"/>
          <w:szCs w:val="18"/>
        </w:rPr>
        <w:t>Պետական բյուջե մուտքագրված դրամաշնորհների վերաբերյալ մանրամասն տեղեկատվությունը ներկայացված է հետևյալ տեղեկանքում՝</w:t>
      </w:r>
      <w:r>
        <w:rPr>
          <w:rFonts w:ascii="GHEA Grapalat" w:hAnsi="GHEA Grapalat" w:cs="Calibri"/>
          <w:bCs/>
          <w:sz w:val="18"/>
          <w:szCs w:val="18"/>
          <w:lang w:val="en-US"/>
        </w:rPr>
        <w:t xml:space="preserve"> </w:t>
      </w:r>
      <w:hyperlink r:id="rId18" w:history="1">
        <w:r w:rsidRPr="00637347">
          <w:rPr>
            <w:rStyle w:val="Hyperlink"/>
            <w:rFonts w:ascii="GHEA Grapalat" w:hAnsi="GHEA Grapalat" w:cs="Calibri"/>
            <w:bCs/>
            <w:sz w:val="18"/>
            <w:szCs w:val="18"/>
            <w:lang w:val="en-US"/>
          </w:rPr>
          <w:t>5.Տեղեկանքներ\11.Դրամաշնորհային մուտքեր.xls</w:t>
        </w:r>
      </w:hyperlink>
      <w:r w:rsidRPr="00637347">
        <w:rPr>
          <w:rFonts w:ascii="GHEA Grapalat" w:hAnsi="GHEA Grapalat" w:cs="Calibri"/>
          <w:bCs/>
          <w:sz w:val="18"/>
          <w:szCs w:val="18"/>
        </w:rPr>
        <w:t>:</w:t>
      </w:r>
    </w:p>
  </w:footnote>
  <w:footnote w:id="36">
    <w:p w14:paraId="7C1EA8AA" w14:textId="0C0492A0" w:rsidR="00B94C14" w:rsidRDefault="00B94C14" w:rsidP="002C4D74">
      <w:pPr>
        <w:pStyle w:val="FootnoteText"/>
        <w:jc w:val="both"/>
      </w:pPr>
      <w:r w:rsidRPr="00637347">
        <w:rPr>
          <w:rStyle w:val="FootnoteReference"/>
          <w:rFonts w:ascii="GHEA Grapalat" w:hAnsi="GHEA Grapalat"/>
          <w:sz w:val="18"/>
          <w:szCs w:val="18"/>
        </w:rPr>
        <w:footnoteRef/>
      </w:r>
      <w:r w:rsidRPr="00637347">
        <w:rPr>
          <w:rFonts w:ascii="GHEA Grapalat" w:hAnsi="GHEA Grapalat"/>
          <w:sz w:val="18"/>
          <w:szCs w:val="18"/>
        </w:rPr>
        <w:t xml:space="preserve"> </w:t>
      </w:r>
      <w:r w:rsidRPr="00637347">
        <w:rPr>
          <w:rFonts w:ascii="GHEA Grapalat" w:hAnsi="GHEA Grapalat" w:cs="GHEA Grapalat"/>
          <w:sz w:val="18"/>
          <w:szCs w:val="18"/>
        </w:rPr>
        <w:t>ՀՀ պետական բյուջեի ծախսերն ըստ տնտեսագիտական դասակարգման ներկայացված են հետևյալ տեղեկանքում՝</w:t>
      </w:r>
      <w:r>
        <w:rPr>
          <w:rFonts w:ascii="GHEA Grapalat" w:hAnsi="GHEA Grapalat" w:cs="GHEA Grapalat"/>
          <w:sz w:val="18"/>
          <w:szCs w:val="18"/>
          <w:lang w:val="en-US"/>
        </w:rPr>
        <w:t xml:space="preserve"> </w:t>
      </w:r>
      <w:hyperlink r:id="rId19" w:history="1">
        <w:r w:rsidRPr="00637347">
          <w:rPr>
            <w:rStyle w:val="Hyperlink"/>
            <w:rFonts w:ascii="GHEA Grapalat" w:hAnsi="GHEA Grapalat" w:cs="GHEA Grapalat"/>
            <w:sz w:val="18"/>
            <w:szCs w:val="18"/>
            <w:lang w:val="en-US"/>
          </w:rPr>
          <w:t>5.Տեղեկանքներ\6.Ծախսեր_տնտեսագիտական դաս..xls</w:t>
        </w:r>
      </w:hyperlink>
      <w:r w:rsidRPr="00637347">
        <w:rPr>
          <w:rFonts w:ascii="GHEA Grapalat" w:hAnsi="GHEA Grapalat" w:cs="GHEA Grapalat"/>
          <w:sz w:val="18"/>
          <w:szCs w:val="18"/>
        </w:rPr>
        <w:t>:</w:t>
      </w:r>
    </w:p>
  </w:footnote>
  <w:footnote w:id="37">
    <w:p w14:paraId="0772D3B2" w14:textId="11D93D94" w:rsidR="00B94C14" w:rsidRDefault="00B94C14" w:rsidP="000E7659">
      <w:pPr>
        <w:pStyle w:val="FootnoteText"/>
        <w:jc w:val="both"/>
      </w:pPr>
      <w:r w:rsidRPr="00637347">
        <w:rPr>
          <w:rStyle w:val="FootnoteReference"/>
          <w:sz w:val="18"/>
          <w:szCs w:val="18"/>
        </w:rPr>
        <w:footnoteRef/>
      </w:r>
      <w:r w:rsidRPr="00637347">
        <w:rPr>
          <w:rFonts w:ascii="GHEA Grapalat" w:hAnsi="GHEA Grapalat"/>
          <w:sz w:val="18"/>
          <w:szCs w:val="18"/>
        </w:rPr>
        <w:t xml:space="preserve"> </w:t>
      </w:r>
      <w:r w:rsidRPr="00637347">
        <w:rPr>
          <w:rFonts w:ascii="GHEA Grapalat" w:hAnsi="GHEA Grapalat" w:cs="GHEA Grapalat"/>
          <w:sz w:val="18"/>
          <w:szCs w:val="18"/>
        </w:rPr>
        <w:t>Արտաքին աջակցությամբ իրականացվող</w:t>
      </w:r>
      <w:r w:rsidRPr="00637347">
        <w:rPr>
          <w:rFonts w:ascii="GHEA Grapalat" w:hAnsi="GHEA Grapalat" w:cs="Arial"/>
          <w:sz w:val="18"/>
          <w:szCs w:val="18"/>
        </w:rPr>
        <w:t xml:space="preserve"> վարկային և դրամաշնորհային ծրագրերի շրջանակներում կատարված ծախսերի վերաբերյալ տեղեկատվությունը ներկայացված է հետևյալ հավելվածներում՝</w:t>
      </w:r>
      <w:r>
        <w:rPr>
          <w:rFonts w:ascii="GHEA Grapalat" w:hAnsi="GHEA Grapalat" w:cs="Arial"/>
          <w:sz w:val="18"/>
          <w:szCs w:val="18"/>
          <w:lang w:val="en-US"/>
        </w:rPr>
        <w:t xml:space="preserve"> </w:t>
      </w:r>
      <w:hyperlink r:id="rId20" w:history="1">
        <w:r w:rsidRPr="00637347">
          <w:rPr>
            <w:rStyle w:val="Hyperlink"/>
            <w:rFonts w:ascii="GHEA Grapalat" w:hAnsi="GHEA Grapalat" w:cs="Arial"/>
            <w:sz w:val="18"/>
            <w:szCs w:val="18"/>
            <w:lang w:val="en-US"/>
          </w:rPr>
          <w:t>4.Հավելվածներ\5. Հավելված N1աղյուսակ N4 վարկային ծրագրեր.xls</w:t>
        </w:r>
      </w:hyperlink>
      <w:r>
        <w:rPr>
          <w:rFonts w:ascii="GHEA Grapalat" w:hAnsi="GHEA Grapalat" w:cs="Arial"/>
          <w:sz w:val="18"/>
          <w:szCs w:val="18"/>
          <w:lang w:val="en-US"/>
        </w:rPr>
        <w:t xml:space="preserve">, </w:t>
      </w:r>
      <w:hyperlink r:id="rId21" w:history="1">
        <w:r>
          <w:rPr>
            <w:rStyle w:val="Hyperlink"/>
            <w:rFonts w:ascii="GHEA Grapalat" w:hAnsi="GHEA Grapalat" w:cs="Arial"/>
            <w:sz w:val="18"/>
            <w:szCs w:val="18"/>
            <w:lang w:val="en-US"/>
          </w:rPr>
          <w:t>4.Հավելվածներ\6.  Հավելված N1 աղյուսակ N5 Դրամաշնորհային ծրագրեր.xls</w:t>
        </w:r>
      </w:hyperlink>
      <w:r>
        <w:rPr>
          <w:rFonts w:ascii="GHEA Grapalat" w:hAnsi="GHEA Grapalat" w:cs="Arial"/>
          <w:sz w:val="18"/>
          <w:szCs w:val="18"/>
          <w:lang w:val="en-US"/>
        </w:rPr>
        <w:t>:</w:t>
      </w:r>
    </w:p>
  </w:footnote>
  <w:footnote w:id="38">
    <w:p w14:paraId="3F396EEE" w14:textId="1A32C8F6" w:rsidR="00B94C14" w:rsidRDefault="00B94C14" w:rsidP="00DB57B3">
      <w:pPr>
        <w:autoSpaceDE w:val="0"/>
        <w:autoSpaceDN w:val="0"/>
        <w:adjustRightInd w:val="0"/>
        <w:jc w:val="both"/>
        <w:rPr>
          <w:rFonts w:ascii="GHEA Grapalat" w:hAnsi="GHEA Grapalat" w:cs="GHEA Grapalat"/>
          <w:sz w:val="18"/>
          <w:szCs w:val="18"/>
          <w:lang w:val="en-US"/>
        </w:rPr>
      </w:pPr>
      <w:r w:rsidRPr="00DB57B3">
        <w:rPr>
          <w:rStyle w:val="FootnoteReference"/>
          <w:sz w:val="18"/>
          <w:szCs w:val="18"/>
        </w:rPr>
        <w:footnoteRef/>
      </w:r>
      <w:r w:rsidRPr="00DB57B3">
        <w:rPr>
          <w:rFonts w:ascii="GHEA Grapalat" w:hAnsi="GHEA Grapalat"/>
          <w:sz w:val="18"/>
          <w:szCs w:val="18"/>
        </w:rPr>
        <w:t xml:space="preserve"> </w:t>
      </w:r>
      <w:r w:rsidRPr="00DB57B3">
        <w:rPr>
          <w:rFonts w:ascii="GHEA Grapalat" w:hAnsi="GHEA Grapalat" w:cs="GHEA Grapalat"/>
          <w:sz w:val="18"/>
          <w:szCs w:val="18"/>
        </w:rPr>
        <w:t xml:space="preserve">Բյուջետային </w:t>
      </w:r>
      <w:r w:rsidRPr="006E46AB">
        <w:rPr>
          <w:rFonts w:ascii="GHEA Grapalat" w:hAnsi="GHEA Grapalat" w:cs="GHEA Grapalat"/>
          <w:sz w:val="18"/>
          <w:szCs w:val="18"/>
        </w:rPr>
        <w:t>ծախս</w:t>
      </w:r>
      <w:r w:rsidRPr="00DB57B3">
        <w:rPr>
          <w:rFonts w:ascii="GHEA Grapalat" w:hAnsi="GHEA Grapalat" w:cs="GHEA Grapalat"/>
          <w:sz w:val="18"/>
          <w:szCs w:val="18"/>
        </w:rPr>
        <w:t xml:space="preserve">ային ծրագրերի </w:t>
      </w:r>
      <w:r w:rsidRPr="006E46AB">
        <w:rPr>
          <w:rFonts w:ascii="GHEA Grapalat" w:hAnsi="GHEA Grapalat" w:cs="GHEA Grapalat"/>
          <w:sz w:val="18"/>
          <w:szCs w:val="18"/>
        </w:rPr>
        <w:t>և</w:t>
      </w:r>
      <w:r w:rsidRPr="00DB57B3">
        <w:rPr>
          <w:rFonts w:ascii="GHEA Grapalat" w:hAnsi="GHEA Grapalat" w:cs="GHEA Grapalat"/>
          <w:sz w:val="18"/>
          <w:szCs w:val="18"/>
        </w:rPr>
        <w:t xml:space="preserve"> միջոցառումների գծով</w:t>
      </w:r>
      <w:r w:rsidRPr="006E46AB">
        <w:rPr>
          <w:rFonts w:ascii="GHEA Grapalat" w:hAnsi="GHEA Grapalat" w:cs="GHEA Grapalat"/>
          <w:sz w:val="18"/>
          <w:szCs w:val="18"/>
        </w:rPr>
        <w:t xml:space="preserve"> ֆինանսական և</w:t>
      </w:r>
      <w:r w:rsidRPr="00DB57B3">
        <w:rPr>
          <w:rFonts w:ascii="GHEA Grapalat" w:hAnsi="GHEA Grapalat" w:cs="GHEA Grapalat"/>
          <w:sz w:val="18"/>
          <w:szCs w:val="18"/>
        </w:rPr>
        <w:t xml:space="preserve"> արդյունքային</w:t>
      </w:r>
      <w:r w:rsidRPr="006E46AB">
        <w:rPr>
          <w:rFonts w:ascii="GHEA Grapalat" w:hAnsi="GHEA Grapalat" w:cs="GHEA Grapalat"/>
          <w:sz w:val="18"/>
          <w:szCs w:val="18"/>
        </w:rPr>
        <w:t xml:space="preserve"> </w:t>
      </w:r>
      <w:r w:rsidRPr="00DB57B3">
        <w:rPr>
          <w:rFonts w:ascii="GHEA Grapalat" w:hAnsi="GHEA Grapalat" w:cs="GHEA Grapalat"/>
          <w:sz w:val="18"/>
          <w:szCs w:val="18"/>
        </w:rPr>
        <w:t>(կատարողական) ցուցանիշներ</w:t>
      </w:r>
      <w:r w:rsidRPr="006E46AB">
        <w:rPr>
          <w:rFonts w:ascii="GHEA Grapalat" w:hAnsi="GHEA Grapalat" w:cs="GHEA Grapalat"/>
          <w:sz w:val="18"/>
          <w:szCs w:val="18"/>
        </w:rPr>
        <w:t>ի վերաբերյալ տեղեկատվությունը ներկայացված է հետևյալ հավելվածներում</w:t>
      </w:r>
      <w:r>
        <w:rPr>
          <w:rFonts w:ascii="GHEA Grapalat" w:hAnsi="GHEA Grapalat" w:cs="GHEA Grapalat"/>
          <w:sz w:val="18"/>
          <w:szCs w:val="18"/>
          <w:lang w:val="en-US"/>
        </w:rPr>
        <w:t xml:space="preserve"> և տեղեկանքներում</w:t>
      </w:r>
      <w:r w:rsidRPr="006E46AB">
        <w:rPr>
          <w:rFonts w:ascii="GHEA Grapalat" w:hAnsi="GHEA Grapalat" w:cs="GHEA Grapalat"/>
          <w:sz w:val="18"/>
          <w:szCs w:val="18"/>
        </w:rPr>
        <w:t xml:space="preserve">՝ </w:t>
      </w:r>
    </w:p>
    <w:p w14:paraId="19616CF7" w14:textId="285001AE" w:rsidR="00B94C14" w:rsidRPr="00637347" w:rsidRDefault="00B94C14" w:rsidP="00DB57B3">
      <w:pPr>
        <w:autoSpaceDE w:val="0"/>
        <w:autoSpaceDN w:val="0"/>
        <w:adjustRightInd w:val="0"/>
        <w:jc w:val="both"/>
        <w:rPr>
          <w:rFonts w:ascii="GHEA Grapalat" w:hAnsi="GHEA Grapalat" w:cs="GHEA Grapalat"/>
          <w:sz w:val="18"/>
          <w:szCs w:val="18"/>
          <w:lang w:val="en-US"/>
        </w:rPr>
      </w:pPr>
      <w:hyperlink r:id="rId22" w:history="1">
        <w:r w:rsidRPr="00637347">
          <w:rPr>
            <w:rStyle w:val="Hyperlink"/>
            <w:rFonts w:ascii="GHEA Grapalat" w:hAnsi="GHEA Grapalat" w:cs="GHEA Grapalat"/>
            <w:sz w:val="18"/>
            <w:szCs w:val="18"/>
          </w:rPr>
          <w:t>4.Հավելվածներ\2.Հավելված N1 աղյուսակ N1_ծախսերն ըստ ծրագրերի.xls</w:t>
        </w:r>
      </w:hyperlink>
      <w:r>
        <w:rPr>
          <w:rFonts w:ascii="GHEA Grapalat" w:hAnsi="GHEA Grapalat" w:cs="GHEA Grapalat"/>
          <w:sz w:val="18"/>
          <w:szCs w:val="18"/>
          <w:lang w:val="en-US"/>
        </w:rPr>
        <w:t>,</w:t>
      </w:r>
    </w:p>
    <w:p w14:paraId="499E04AA" w14:textId="3ACAE5F6" w:rsidR="00B94C14" w:rsidRPr="00637347" w:rsidRDefault="00B94C14" w:rsidP="00DB57B3">
      <w:pPr>
        <w:autoSpaceDE w:val="0"/>
        <w:autoSpaceDN w:val="0"/>
        <w:adjustRightInd w:val="0"/>
        <w:jc w:val="both"/>
        <w:rPr>
          <w:rStyle w:val="Hyperlink"/>
          <w:rFonts w:ascii="GHEA Grapalat" w:hAnsi="GHEA Grapalat" w:cs="GHEA Grapalat"/>
          <w:sz w:val="18"/>
          <w:szCs w:val="18"/>
          <w:lang w:val="en-US"/>
        </w:rPr>
      </w:pPr>
      <w:hyperlink r:id="rId23" w:history="1">
        <w:r w:rsidRPr="00637347">
          <w:rPr>
            <w:rStyle w:val="Hyperlink"/>
            <w:rFonts w:ascii="GHEA Grapalat" w:hAnsi="GHEA Grapalat" w:cs="GHEA Grapalat"/>
            <w:sz w:val="18"/>
            <w:szCs w:val="18"/>
            <w:lang w:val="en-US"/>
          </w:rPr>
          <w:t>4.Հավելվածներ\3.Հավելված N1 աղյուսակ N2_ծախսերն ըստ ծրագրերի և միջոցառումների.xls</w:t>
        </w:r>
      </w:hyperlink>
      <w:r>
        <w:rPr>
          <w:rStyle w:val="Hyperlink"/>
          <w:rFonts w:ascii="GHEA Grapalat" w:hAnsi="GHEA Grapalat" w:cs="GHEA Grapalat"/>
          <w:sz w:val="18"/>
          <w:szCs w:val="18"/>
          <w:lang w:val="en-US"/>
        </w:rPr>
        <w:t>,</w:t>
      </w:r>
    </w:p>
    <w:p w14:paraId="1861EF8E" w14:textId="27B1AC05" w:rsidR="00B94C14" w:rsidRPr="00BC3012" w:rsidRDefault="00B94C14" w:rsidP="00DB57B3">
      <w:pPr>
        <w:autoSpaceDE w:val="0"/>
        <w:autoSpaceDN w:val="0"/>
        <w:adjustRightInd w:val="0"/>
        <w:jc w:val="both"/>
        <w:rPr>
          <w:rStyle w:val="Hyperlink"/>
          <w:rFonts w:ascii="GHEA Grapalat" w:hAnsi="GHEA Grapalat" w:cs="GHEA Grapalat"/>
          <w:sz w:val="18"/>
          <w:szCs w:val="18"/>
          <w:lang w:val="en-US"/>
        </w:rPr>
      </w:pPr>
      <w:hyperlink r:id="rId24" w:history="1">
        <w:r w:rsidRPr="00BC3012">
          <w:rPr>
            <w:rStyle w:val="Hyperlink"/>
            <w:rFonts w:ascii="GHEA Grapalat" w:hAnsi="GHEA Grapalat" w:cs="GHEA Grapalat"/>
            <w:sz w:val="18"/>
            <w:szCs w:val="18"/>
            <w:lang w:val="en-US"/>
          </w:rPr>
          <w:t>5.Տեղեկանքներ\2.Ծախսեր_ըստ պատասխանատուների.xls</w:t>
        </w:r>
      </w:hyperlink>
    </w:p>
    <w:p w14:paraId="4E25CBCB" w14:textId="06E4F399" w:rsidR="00B94C14" w:rsidRPr="00637347" w:rsidRDefault="00B94C14" w:rsidP="00DB57B3">
      <w:pPr>
        <w:autoSpaceDE w:val="0"/>
        <w:autoSpaceDN w:val="0"/>
        <w:adjustRightInd w:val="0"/>
        <w:jc w:val="both"/>
        <w:rPr>
          <w:rStyle w:val="Hyperlink"/>
          <w:rFonts w:ascii="GHEA Grapalat" w:hAnsi="GHEA Grapalat" w:cs="GHEA Grapalat"/>
          <w:sz w:val="18"/>
          <w:szCs w:val="18"/>
          <w:lang w:val="en-US"/>
        </w:rPr>
      </w:pPr>
      <w:hyperlink r:id="rId25" w:history="1">
        <w:r w:rsidRPr="00637347">
          <w:rPr>
            <w:rStyle w:val="Hyperlink"/>
            <w:rFonts w:ascii="GHEA Grapalat" w:hAnsi="GHEA Grapalat" w:cs="GHEA Grapalat"/>
            <w:sz w:val="18"/>
            <w:szCs w:val="18"/>
          </w:rPr>
          <w:t>5.Տեղեկանքներ\3.Ծախսեր_ըստ ՊԾՄԿՀ.xls</w:t>
        </w:r>
      </w:hyperlink>
      <w:r>
        <w:rPr>
          <w:rStyle w:val="Hyperlink"/>
          <w:rFonts w:ascii="GHEA Grapalat" w:hAnsi="GHEA Grapalat" w:cs="GHEA Grapalat"/>
          <w:sz w:val="18"/>
          <w:szCs w:val="18"/>
          <w:lang w:val="en-US"/>
        </w:rPr>
        <w:t>,</w:t>
      </w:r>
    </w:p>
    <w:p w14:paraId="1B080304" w14:textId="4ADC2E72" w:rsidR="00B94C14" w:rsidRPr="00637347" w:rsidRDefault="00B94C14" w:rsidP="00DB57B3">
      <w:pPr>
        <w:autoSpaceDE w:val="0"/>
        <w:autoSpaceDN w:val="0"/>
        <w:adjustRightInd w:val="0"/>
        <w:jc w:val="both"/>
        <w:rPr>
          <w:rStyle w:val="Hyperlink"/>
          <w:rFonts w:ascii="GHEA Grapalat" w:hAnsi="GHEA Grapalat" w:cs="GHEA Grapalat"/>
          <w:sz w:val="18"/>
          <w:szCs w:val="18"/>
          <w:lang w:val="en-US"/>
        </w:rPr>
      </w:pPr>
      <w:hyperlink r:id="rId26" w:history="1">
        <w:r w:rsidRPr="00637347">
          <w:rPr>
            <w:rStyle w:val="Hyperlink"/>
            <w:rFonts w:ascii="GHEA Grapalat" w:hAnsi="GHEA Grapalat" w:cs="GHEA Grapalat"/>
            <w:sz w:val="18"/>
            <w:szCs w:val="18"/>
          </w:rPr>
          <w:t>6.Արդյունքային ցուցանիշներ-հավելված 9\2.Արդյունքային ցուցանիշներ_ըստ պատասխանատուների.xls</w:t>
        </w:r>
      </w:hyperlink>
      <w:r>
        <w:rPr>
          <w:rStyle w:val="Hyperlink"/>
          <w:rFonts w:ascii="GHEA Grapalat" w:hAnsi="GHEA Grapalat" w:cs="GHEA Grapalat"/>
          <w:sz w:val="18"/>
          <w:szCs w:val="18"/>
          <w:lang w:val="en-US"/>
        </w:rPr>
        <w:t>,</w:t>
      </w:r>
    </w:p>
    <w:p w14:paraId="1D6862E2" w14:textId="3AD4EE47" w:rsidR="00B94C14" w:rsidRDefault="00B94C14" w:rsidP="00DB57B3">
      <w:pPr>
        <w:autoSpaceDE w:val="0"/>
        <w:autoSpaceDN w:val="0"/>
        <w:adjustRightInd w:val="0"/>
        <w:jc w:val="both"/>
      </w:pPr>
      <w:hyperlink r:id="rId27" w:history="1">
        <w:r w:rsidRPr="00637347">
          <w:rPr>
            <w:rStyle w:val="Hyperlink"/>
            <w:rFonts w:ascii="GHEA Grapalat" w:hAnsi="GHEA Grapalat" w:cs="GHEA Grapalat"/>
            <w:sz w:val="18"/>
            <w:szCs w:val="18"/>
          </w:rPr>
          <w:t>7.Արդյունքային ցուցանիշներ-հավելված 9.1\2.Արդյունքային ցուցանիշներ_ըստ կատարողների.xls</w:t>
        </w:r>
      </w:hyperlink>
      <w:r w:rsidRPr="006E46AB">
        <w:rPr>
          <w:rFonts w:ascii="GHEA Grapalat" w:hAnsi="GHEA Grapalat" w:cs="GHEA Grapalat"/>
          <w:sz w:val="18"/>
          <w:szCs w:val="18"/>
        </w:rPr>
        <w:t>:</w:t>
      </w:r>
    </w:p>
  </w:footnote>
  <w:footnote w:id="39">
    <w:p w14:paraId="150CBE23" w14:textId="77777777" w:rsidR="00B94C14" w:rsidRDefault="00B94C14" w:rsidP="000A1950">
      <w:pPr>
        <w:pStyle w:val="FootnoteText"/>
      </w:pPr>
      <w:r>
        <w:rPr>
          <w:rStyle w:val="FootnoteReference"/>
        </w:rPr>
        <w:footnoteRef/>
      </w:r>
      <w:r>
        <w:t xml:space="preserve"> </w:t>
      </w:r>
      <w:r>
        <w:rPr>
          <w:rFonts w:ascii="GHEA Grapalat" w:hAnsi="GHEA Grapalat"/>
        </w:rPr>
        <w:t>Պարտքի սպասարկման ծախսերի առավել մանրամասն վերլուծությունը ներկայացված է պետական բյուջեի ծախսերի տնտեսագիտական դասակարգման վերլուծության բաժնում:</w:t>
      </w:r>
    </w:p>
  </w:footnote>
  <w:footnote w:id="40">
    <w:p w14:paraId="48A634F1" w14:textId="5364FA9C" w:rsidR="00B94C14" w:rsidRPr="002A0F02" w:rsidRDefault="00B94C14" w:rsidP="00422921">
      <w:pPr>
        <w:pStyle w:val="FootnoteText"/>
        <w:jc w:val="both"/>
        <w:rPr>
          <w:rFonts w:ascii="GHEA Grapalat" w:hAnsi="GHEA Grapalat"/>
          <w:sz w:val="18"/>
          <w:szCs w:val="18"/>
        </w:rPr>
      </w:pPr>
      <w:r w:rsidRPr="002A0F02">
        <w:rPr>
          <w:rStyle w:val="FootnoteReference"/>
          <w:rFonts w:ascii="GHEA Grapalat" w:hAnsi="GHEA Grapalat"/>
          <w:sz w:val="18"/>
          <w:szCs w:val="18"/>
        </w:rPr>
        <w:footnoteRef/>
      </w:r>
      <w:r w:rsidRPr="002A0F02">
        <w:rPr>
          <w:rFonts w:ascii="GHEA Grapalat" w:hAnsi="GHEA Grapalat"/>
          <w:sz w:val="18"/>
          <w:szCs w:val="18"/>
        </w:rPr>
        <w:t xml:space="preserve"> </w:t>
      </w:r>
      <w:r w:rsidRPr="002A0F02">
        <w:rPr>
          <w:rFonts w:ascii="GHEA Grapalat" w:hAnsi="GHEA Grapalat"/>
          <w:sz w:val="18"/>
          <w:szCs w:val="18"/>
          <w:lang w:val="en-US"/>
        </w:rPr>
        <w:t xml:space="preserve">ՀՀ կառավարության պահուստային ֆոնդից կատարված վերաբաշխումների վերաբերյալ մանրամասն տեղեկատվությունը ներկայացված է հետևյալ տեղեկանքներում` </w:t>
      </w:r>
      <w:hyperlink r:id="rId28" w:history="1">
        <w:r>
          <w:rPr>
            <w:rStyle w:val="Hyperlink"/>
            <w:rFonts w:ascii="GHEA Grapalat" w:hAnsi="GHEA Grapalat"/>
            <w:sz w:val="18"/>
            <w:szCs w:val="18"/>
            <w:lang w:val="en-US"/>
          </w:rPr>
          <w:t>5.Տեղեկանքներ\14. Պահուստային ֆոնդ_ՊՈԾՄԿ.xls</w:t>
        </w:r>
      </w:hyperlink>
      <w:r w:rsidRPr="002A0F02">
        <w:rPr>
          <w:rFonts w:ascii="GHEA Grapalat" w:hAnsi="GHEA Grapalat"/>
          <w:sz w:val="18"/>
          <w:szCs w:val="18"/>
          <w:lang w:val="en-US"/>
        </w:rPr>
        <w:t xml:space="preserve">, </w:t>
      </w:r>
      <w:hyperlink r:id="rId29" w:history="1">
        <w:r>
          <w:rPr>
            <w:rStyle w:val="Hyperlink"/>
            <w:rFonts w:ascii="GHEA Grapalat" w:hAnsi="GHEA Grapalat"/>
            <w:sz w:val="18"/>
            <w:szCs w:val="18"/>
            <w:lang w:val="en-US"/>
          </w:rPr>
          <w:t>5.Տեղեկանքներ\15. Պահուստային ֆոնդ_ՈՊԾՄԿՀ.xls</w:t>
        </w:r>
      </w:hyperlink>
      <w:r w:rsidRPr="002A0F02">
        <w:rPr>
          <w:rFonts w:ascii="GHEA Grapalat" w:hAnsi="GHEA Grapalat"/>
          <w:sz w:val="18"/>
          <w:szCs w:val="18"/>
          <w:lang w:val="en-US"/>
        </w:rPr>
        <w:t xml:space="preserve">: </w:t>
      </w:r>
    </w:p>
  </w:footnote>
  <w:footnote w:id="41">
    <w:p w14:paraId="3AA3517C" w14:textId="77777777" w:rsidR="00B94C14" w:rsidRPr="006E46AB" w:rsidRDefault="00B94C14" w:rsidP="0046194F">
      <w:pPr>
        <w:autoSpaceDE w:val="0"/>
        <w:autoSpaceDN w:val="0"/>
        <w:adjustRightInd w:val="0"/>
        <w:jc w:val="both"/>
        <w:rPr>
          <w:rFonts w:ascii="GHEA Grapalat" w:hAnsi="GHEA Grapalat"/>
          <w:sz w:val="18"/>
          <w:szCs w:val="18"/>
        </w:rPr>
      </w:pPr>
    </w:p>
  </w:footnote>
  <w:footnote w:id="42">
    <w:p w14:paraId="2B49EE46" w14:textId="5A33330E" w:rsidR="00B94C14" w:rsidRDefault="00B94C14" w:rsidP="001E58AB">
      <w:pPr>
        <w:autoSpaceDE w:val="0"/>
        <w:autoSpaceDN w:val="0"/>
        <w:adjustRightInd w:val="0"/>
        <w:jc w:val="both"/>
      </w:pPr>
      <w:r w:rsidRPr="00E309DA">
        <w:rPr>
          <w:rStyle w:val="FootnoteReference"/>
          <w:rFonts w:ascii="GHEA Grapalat" w:hAnsi="GHEA Grapalat"/>
          <w:sz w:val="18"/>
          <w:szCs w:val="18"/>
        </w:rPr>
        <w:footnoteRef/>
      </w:r>
      <w:r w:rsidRPr="00E309DA">
        <w:rPr>
          <w:rFonts w:ascii="GHEA Grapalat" w:hAnsi="GHEA Grapalat"/>
          <w:sz w:val="18"/>
          <w:szCs w:val="18"/>
        </w:rPr>
        <w:t xml:space="preserve"> Պետական պարտքի վերաբերյալ առավել մանրամասն տեղեկատվությունը ներկայացված է հետևյալ տեղեկանքում՝</w:t>
      </w:r>
      <w:r>
        <w:rPr>
          <w:rStyle w:val="Hyperlink"/>
          <w:rFonts w:ascii="GHEA Grapalat" w:hAnsi="GHEA Grapalat"/>
          <w:sz w:val="18"/>
          <w:szCs w:val="18"/>
          <w:lang w:val="en-US"/>
        </w:rPr>
        <w:t xml:space="preserve"> </w:t>
      </w:r>
      <w:hyperlink r:id="rId30" w:history="1">
        <w:r w:rsidRPr="00175B65">
          <w:rPr>
            <w:rStyle w:val="Hyperlink"/>
            <w:rFonts w:ascii="GHEA Grapalat" w:hAnsi="GHEA Grapalat"/>
            <w:sz w:val="18"/>
            <w:szCs w:val="18"/>
            <w:lang w:val="en-US"/>
          </w:rPr>
          <w:t>5.Տեղեկանքներ\9.Պետական պարտք.xls</w:t>
        </w:r>
      </w:hyperlink>
      <w:r w:rsidRPr="00E309DA">
        <w:rPr>
          <w:rFonts w:ascii="GHEA Grapalat" w:hAnsi="GHEA Grapalat"/>
          <w:sz w:val="18"/>
          <w:szCs w:val="18"/>
          <w:lang w:val="en-US"/>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67EBC" w14:textId="77777777" w:rsidR="00B94C14" w:rsidRDefault="00B94C14">
    <w:pPr>
      <w:pStyle w:val="Header"/>
      <w:jc w:val="right"/>
    </w:pPr>
    <w:r>
      <w:rPr>
        <w:lang w:val="en-US"/>
      </w:rPr>
      <mc:AlternateContent>
        <mc:Choice Requires="wps">
          <w:drawing>
            <wp:anchor distT="4294967295" distB="4294967295" distL="114300" distR="114300" simplePos="0" relativeHeight="251658752" behindDoc="0" locked="0" layoutInCell="1" allowOverlap="1" wp14:anchorId="3BB79CB5" wp14:editId="0E0397CF">
              <wp:simplePos x="0" y="0"/>
              <wp:positionH relativeFrom="column">
                <wp:posOffset>0</wp:posOffset>
              </wp:positionH>
              <wp:positionV relativeFrom="paragraph">
                <wp:posOffset>73659</wp:posOffset>
              </wp:positionV>
              <wp:extent cx="6515100" cy="0"/>
              <wp:effectExtent l="0" t="19050" r="19050" b="19050"/>
              <wp:wrapNone/>
              <wp:docPr id="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C9B5D" id="Line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" strokeweight="4.5pt">
              <v:stroke linestyle="thinThick"/>
            </v:lin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C9F72" w14:textId="5C5270AC" w:rsidR="00B94C14" w:rsidRDefault="00B94C14" w:rsidP="00B41540">
    <w:pPr>
      <w:pStyle w:val="Header"/>
      <w:jc w:val="right"/>
      <w:rPr>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w:t>
    </w:r>
    <w:r>
      <w:rPr>
        <w:rFonts w:ascii="GHEA Grapalat" w:hAnsi="GHEA Grapalat" w:cs="Sylfaen"/>
        <w:b/>
        <w:bCs/>
        <w:i/>
        <w:iCs/>
        <w:sz w:val="18"/>
        <w:lang w:val="en-US"/>
      </w:rPr>
      <w:t>ՊԵՏԱԿԱՆ ՊԱՐՏՔԸ 2023 ԹՎԱԿԱՆԻՆ</w:t>
    </w:r>
  </w:p>
  <w:p w14:paraId="17CDD147" w14:textId="77777777" w:rsidR="00B94C14" w:rsidRDefault="00B94C14">
    <w:pPr>
      <w:pStyle w:val="Header"/>
      <w:jc w:val="right"/>
    </w:pPr>
    <w:r>
      <w:rPr>
        <w:lang w:val="en-US"/>
      </w:rPr>
      <mc:AlternateContent>
        <mc:Choice Requires="wps">
          <w:drawing>
            <wp:anchor distT="4294967293" distB="4294967293" distL="114300" distR="114300" simplePos="0" relativeHeight="251661824" behindDoc="0" locked="0" layoutInCell="1" allowOverlap="1" wp14:anchorId="08344897" wp14:editId="58D17955">
              <wp:simplePos x="0" y="0"/>
              <wp:positionH relativeFrom="column">
                <wp:posOffset>3810</wp:posOffset>
              </wp:positionH>
              <wp:positionV relativeFrom="paragraph">
                <wp:posOffset>38099</wp:posOffset>
              </wp:positionV>
              <wp:extent cx="6496050" cy="0"/>
              <wp:effectExtent l="0" t="19050" r="1905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96AE8" id="Straight Connector 38"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QR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" strokeweight="4.5pt">
              <v:stroke linestyle="thinThick"/>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C3BA" w14:textId="77777777" w:rsidR="00B94C14" w:rsidRPr="001D1392" w:rsidRDefault="00B94C14" w:rsidP="002F4C8D">
    <w:pPr>
      <w:pStyle w:val="Header"/>
      <w:jc w:val="right"/>
      <w:rPr>
        <w:rFonts w:ascii="GHEA Grapalat" w:hAnsi="GHEA Grapalat"/>
        <w:b/>
        <w:bCs/>
        <w:i/>
        <w:iCs/>
        <w:sz w:val="18"/>
        <w:lang w:val="en-US"/>
      </w:rPr>
    </w:pPr>
    <w:r>
      <w:rPr>
        <w:rFonts w:ascii="GHEA Grapalat" w:hAnsi="GHEA Grapalat"/>
        <w:b/>
        <w:bCs/>
        <w:i/>
        <w:iCs/>
        <w:sz w:val="18"/>
        <w:lang w:val="en-US"/>
      </w:rPr>
      <w:t>ՕԳՏԱԳՈՐԾՎԱԾ ՀԱՊԱՎՈՒՄՆԵՐ</w:t>
    </w:r>
  </w:p>
  <w:p w14:paraId="3E82A218" w14:textId="77777777" w:rsidR="00B94C14" w:rsidRDefault="00B94C14">
    <w:pPr>
      <w:pStyle w:val="Header"/>
      <w:jc w:val="right"/>
    </w:pPr>
    <w:r>
      <w:rPr>
        <w:lang w:val="en-US"/>
      </w:rPr>
      <mc:AlternateContent>
        <mc:Choice Requires="wps">
          <w:drawing>
            <wp:anchor distT="4294967295" distB="4294967295" distL="114300" distR="114300" simplePos="0" relativeHeight="251653632" behindDoc="0" locked="0" layoutInCell="1" allowOverlap="1" wp14:anchorId="3AE3A1B0" wp14:editId="49BEAD56">
              <wp:simplePos x="0" y="0"/>
              <wp:positionH relativeFrom="column">
                <wp:posOffset>0</wp:posOffset>
              </wp:positionH>
              <wp:positionV relativeFrom="paragraph">
                <wp:posOffset>73659</wp:posOffset>
              </wp:positionV>
              <wp:extent cx="6515100" cy="0"/>
              <wp:effectExtent l="0" t="19050" r="19050" b="190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DF8AE" id="Line 2"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" strokeweight="4.5pt">
              <v:stroke linestyle="thinThick"/>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61283" w14:textId="77777777" w:rsidR="00B94C14" w:rsidRPr="001D1392" w:rsidRDefault="00B94C14" w:rsidP="002F4C8D">
    <w:pPr>
      <w:pStyle w:val="Header"/>
      <w:jc w:val="right"/>
      <w:rPr>
        <w:rFonts w:ascii="GHEA Grapalat" w:hAnsi="GHEA Grapalat"/>
        <w:b/>
        <w:bCs/>
        <w:i/>
        <w:iCs/>
        <w:sz w:val="18"/>
        <w:lang w:val="en-US"/>
      </w:rPr>
    </w:pPr>
    <w:r>
      <w:rPr>
        <w:rFonts w:ascii="GHEA Grapalat" w:hAnsi="GHEA Grapalat"/>
        <w:b/>
        <w:bCs/>
        <w:i/>
        <w:iCs/>
        <w:sz w:val="18"/>
        <w:lang w:val="en-US"/>
      </w:rPr>
      <w:t>ՀԱՅԱՍՏԱՆԻ ՀԱՆՐԱՊԵՏՈՒԹՅԱՆ 2023 ԹՎԱԿԱՆԻ ՊԵՏԱԿԱՆ ԲՅՈՒՋԵԻ ԿԱՏԱՐՄԱՆ ԱՄՓՈՓԱԳԻՐ</w:t>
    </w:r>
  </w:p>
  <w:p w14:paraId="0C710582" w14:textId="77777777" w:rsidR="00B94C14" w:rsidRDefault="00B94C14">
    <w:pPr>
      <w:pStyle w:val="Header"/>
      <w:jc w:val="right"/>
    </w:pPr>
    <w:r>
      <w:rPr>
        <w:lang w:val="en-US"/>
      </w:rPr>
      <mc:AlternateContent>
        <mc:Choice Requires="wps">
          <w:drawing>
            <wp:anchor distT="4294967295" distB="4294967295" distL="114300" distR="114300" simplePos="0" relativeHeight="251660800" behindDoc="0" locked="0" layoutInCell="1" allowOverlap="1" wp14:anchorId="330C9243" wp14:editId="0453DBE6">
              <wp:simplePos x="0" y="0"/>
              <wp:positionH relativeFrom="column">
                <wp:posOffset>0</wp:posOffset>
              </wp:positionH>
              <wp:positionV relativeFrom="paragraph">
                <wp:posOffset>73659</wp:posOffset>
              </wp:positionV>
              <wp:extent cx="6515100" cy="0"/>
              <wp:effectExtent l="0" t="19050" r="19050"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40480"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is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l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2yQIrB4CAAA6BAAADgAAAAAAAAAAAAAAAAAuAgAAZHJzL2Uyb0RvYy54bWxQSwEC&#10;LQAUAAYACAAAACEAZy3srd0AAAAHAQAADwAAAAAAAAAAAAAAAAB4BAAAZHJzL2Rvd25yZXYueG1s&#10;UEsFBgAAAAAEAAQA8wAAAIIFAAAAAA==&#10;" strokeweight="4.5pt">
              <v:stroke linestyle="thinThick"/>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C7022" w14:textId="77777777" w:rsidR="00B94C14" w:rsidRPr="001D1392" w:rsidRDefault="00B94C14" w:rsidP="002F4C8D">
    <w:pPr>
      <w:pStyle w:val="Header"/>
      <w:jc w:val="right"/>
      <w:rPr>
        <w:rFonts w:ascii="GHEA Grapalat" w:hAnsi="GHEA Grapalat"/>
        <w:b/>
        <w:bCs/>
        <w:i/>
        <w:iCs/>
        <w:sz w:val="18"/>
        <w:lang w:val="en-US"/>
      </w:rPr>
    </w:pPr>
    <w:r w:rsidRPr="001D1392">
      <w:rPr>
        <w:rFonts w:ascii="GHEA Grapalat" w:hAnsi="GHEA Grapalat"/>
        <w:b/>
        <w:bCs/>
        <w:i/>
        <w:iCs/>
        <w:sz w:val="18"/>
        <w:lang w:val="en-US"/>
      </w:rPr>
      <w:t>2</w:t>
    </w:r>
    <w:r>
      <w:rPr>
        <w:rFonts w:ascii="GHEA Grapalat" w:hAnsi="GHEA Grapalat"/>
        <w:b/>
        <w:bCs/>
        <w:i/>
        <w:iCs/>
        <w:sz w:val="18"/>
        <w:lang w:val="en-US"/>
      </w:rPr>
      <w:t xml:space="preserve">023 </w:t>
    </w:r>
    <w:r w:rsidRPr="001D1392">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ՍՈՑԻԱԼ</w:t>
    </w:r>
    <w:r w:rsidRPr="001D1392">
      <w:rPr>
        <w:rFonts w:ascii="GHEA Grapalat" w:hAnsi="GHEA Grapalat" w:cs="Times Armenian"/>
        <w:b/>
        <w:bCs/>
        <w:i/>
        <w:iCs/>
        <w:sz w:val="18"/>
        <w:lang w:val="en-US"/>
      </w:rPr>
      <w:t>-</w:t>
    </w:r>
    <w:r w:rsidRPr="001D1392">
      <w:rPr>
        <w:rFonts w:ascii="GHEA Grapalat" w:hAnsi="GHEA Grapalat" w:cs="Sylfaen"/>
        <w:b/>
        <w:bCs/>
        <w:i/>
        <w:iCs/>
        <w:sz w:val="18"/>
        <w:lang w:val="en-US"/>
      </w:rPr>
      <w:t>ՏՆՏԵՍԱԿԱՆ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ԶԱՐԳԱՑՄԱՆ</w:t>
    </w:r>
    <w:r>
      <w:rPr>
        <w:rFonts w:ascii="GHEA Grapalat" w:hAnsi="GHEA Grapalat" w:cs="Sylfaen"/>
        <w:b/>
        <w:bCs/>
        <w:i/>
        <w:iCs/>
        <w:sz w:val="18"/>
        <w:lang w:val="en-US"/>
      </w:rPr>
      <w:t xml:space="preserve"> ԵՎ ՀԱՐԿԱԲՅՈՒՋԵՏԱՅԻՆ</w:t>
    </w:r>
  </w:p>
  <w:p w14:paraId="059696F5" w14:textId="77777777" w:rsidR="00B94C14" w:rsidRPr="001D1392" w:rsidRDefault="00B94C14" w:rsidP="002F4C8D">
    <w:pPr>
      <w:pStyle w:val="Header"/>
      <w:jc w:val="right"/>
      <w:rPr>
        <w:rFonts w:ascii="GHEA Grapalat" w:hAnsi="GHEA Grapalat"/>
        <w:b/>
        <w:bCs/>
        <w:i/>
        <w:iCs/>
        <w:sz w:val="18"/>
        <w:lang w:val="en-US"/>
      </w:rPr>
    </w:pPr>
    <w:r w:rsidRPr="001D1392">
      <w:rPr>
        <w:rFonts w:ascii="GHEA Grapalat" w:hAnsi="GHEA Grapalat" w:cs="Sylfaen"/>
        <w:b/>
        <w:bCs/>
        <w:i/>
        <w:iCs/>
        <w:sz w:val="18"/>
        <w:lang w:val="en-US"/>
      </w:rPr>
      <w:t>ՔԱՂԱՔԱԿԱՆՈՒԹՅԱՆ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ՀԻՄՆԱԿԱՆ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ՈՒՂՂՈՒԹՅՈՒՆՆԵՐԸ</w:t>
    </w:r>
  </w:p>
  <w:p w14:paraId="7D29D6DE" w14:textId="77777777" w:rsidR="00B94C14" w:rsidRDefault="00B94C14">
    <w:pPr>
      <w:pStyle w:val="Header"/>
      <w:jc w:val="right"/>
    </w:pPr>
    <w:r>
      <w:rPr>
        <w:lang w:val="en-US"/>
      </w:rPr>
      <mc:AlternateContent>
        <mc:Choice Requires="wps">
          <w:drawing>
            <wp:anchor distT="4294967295" distB="4294967295" distL="114300" distR="114300" simplePos="0" relativeHeight="251659776" behindDoc="0" locked="0" layoutInCell="1" allowOverlap="1" wp14:anchorId="4DD574CB" wp14:editId="10EE8084">
              <wp:simplePos x="0" y="0"/>
              <wp:positionH relativeFrom="column">
                <wp:posOffset>0</wp:posOffset>
              </wp:positionH>
              <wp:positionV relativeFrom="paragraph">
                <wp:posOffset>73659</wp:posOffset>
              </wp:positionV>
              <wp:extent cx="6515100" cy="0"/>
              <wp:effectExtent l="0" t="1905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7D498" id="Line 2"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xdgfTB4CAAA6BAAADgAAAAAAAAAAAAAAAAAuAgAAZHJzL2Uyb0RvYy54bWxQSwEC&#10;LQAUAAYACAAAACEAZy3srd0AAAAHAQAADwAAAAAAAAAAAAAAAAB4BAAAZHJzL2Rvd25yZXYueG1s&#10;UEsFBgAAAAAEAAQA8wAAAIIFAAAAAA==&#10;" strokeweight="4.5pt">
              <v:stroke linestyle="thinThick"/>
            </v:lin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03D6A" w14:textId="77777777" w:rsidR="00B94C14" w:rsidRDefault="00B94C14" w:rsidP="002D4A3F">
    <w:pPr>
      <w:pStyle w:val="Header"/>
      <w:jc w:val="right"/>
      <w:rPr>
        <w:rFonts w:ascii="GHEA Grapalat" w:hAnsi="GHEA Grapalat" w:cs="Sylfaen"/>
        <w:b/>
        <w:bCs/>
        <w:i/>
        <w:iCs/>
        <w:sz w:val="18"/>
        <w:lang w:val="en-US"/>
      </w:rPr>
    </w:pPr>
    <w:r w:rsidRPr="00B179E6">
      <w:rPr>
        <w:rFonts w:ascii="GHEA Grapalat" w:hAnsi="GHEA Grapalat" w:cs="Sylfaen"/>
        <w:b/>
        <w:bCs/>
        <w:i/>
        <w:iCs/>
        <w:sz w:val="18"/>
      </w:rPr>
      <w:t>ՀԱՅԱՍՏԱՆԻ</w:t>
    </w:r>
    <w:r>
      <w:rPr>
        <w:rFonts w:ascii="GHEA Grapalat" w:hAnsi="GHEA Grapalat" w:cs="Sylfaen"/>
        <w:b/>
        <w:bCs/>
        <w:i/>
        <w:iCs/>
        <w:sz w:val="18"/>
        <w:lang w:val="en-US"/>
      </w:rPr>
      <w:t xml:space="preserve"> </w:t>
    </w:r>
    <w:r w:rsidRPr="00B179E6">
      <w:rPr>
        <w:rFonts w:ascii="GHEA Grapalat" w:hAnsi="GHEA Grapalat" w:cs="Sylfaen"/>
        <w:b/>
        <w:bCs/>
        <w:i/>
        <w:iCs/>
        <w:sz w:val="18"/>
      </w:rPr>
      <w:t>ՀԱՆՐԱՊԵՏՈՒԹՅԱՆ</w:t>
    </w:r>
    <w:r>
      <w:rPr>
        <w:rFonts w:ascii="GHEA Grapalat" w:hAnsi="GHEA Grapalat" w:cs="Sylfaen"/>
        <w:b/>
        <w:bCs/>
        <w:i/>
        <w:iCs/>
        <w:sz w:val="18"/>
        <w:lang w:val="en-US"/>
      </w:rPr>
      <w:t xml:space="preserve"> ՄԱԿՐՈՏՆՏԵՍԱԿԱՆ ԵՎ</w:t>
    </w:r>
  </w:p>
  <w:p w14:paraId="76A0DF59" w14:textId="77777777" w:rsidR="00B94C14" w:rsidRPr="00B179E6" w:rsidRDefault="00B94C14" w:rsidP="002D4A3F">
    <w:pPr>
      <w:pStyle w:val="Header"/>
      <w:jc w:val="right"/>
      <w:rPr>
        <w:rFonts w:ascii="GHEA Grapalat" w:hAnsi="GHEA Grapalat"/>
        <w:b/>
        <w:bCs/>
        <w:i/>
        <w:iCs/>
        <w:sz w:val="18"/>
        <w:lang w:val="en-US"/>
      </w:rPr>
    </w:pPr>
    <w:r>
      <w:rPr>
        <w:rFonts w:ascii="GHEA Grapalat" w:hAnsi="GHEA Grapalat" w:cs="Sylfaen"/>
        <w:b/>
        <w:bCs/>
        <w:i/>
        <w:iCs/>
        <w:sz w:val="18"/>
        <w:lang w:val="en-US"/>
      </w:rPr>
      <w:t xml:space="preserve"> ՀԱՐԿԱԲՅՈՒՋԵՏԱՅԻՆ ԶԱՐԳԱՑՈՒՄՆԵՐԸ</w:t>
    </w:r>
    <w:r w:rsidRPr="00B179E6">
      <w:rPr>
        <w:rFonts w:ascii="GHEA Grapalat" w:hAnsi="GHEA Grapalat" w:cs="Times Armenian"/>
        <w:b/>
        <w:bCs/>
        <w:i/>
        <w:iCs/>
        <w:sz w:val="18"/>
      </w:rPr>
      <w:t xml:space="preserve"> </w:t>
    </w:r>
    <w:r>
      <w:rPr>
        <w:rFonts w:ascii="GHEA Grapalat" w:hAnsi="GHEA Grapalat" w:cs="Times Armenian"/>
        <w:b/>
        <w:bCs/>
        <w:i/>
        <w:iCs/>
        <w:sz w:val="18"/>
      </w:rPr>
      <w:t>20</w:t>
    </w:r>
    <w:r>
      <w:rPr>
        <w:rFonts w:ascii="GHEA Grapalat" w:hAnsi="GHEA Grapalat" w:cs="Times Armenian"/>
        <w:b/>
        <w:bCs/>
        <w:i/>
        <w:iCs/>
        <w:sz w:val="18"/>
        <w:lang w:val="en-US"/>
      </w:rPr>
      <w:t>23</w:t>
    </w:r>
    <w:r>
      <w:rPr>
        <w:rFonts w:ascii="GHEA Grapalat" w:hAnsi="GHEA Grapalat" w:cs="Times Armenian"/>
        <w:b/>
        <w:bCs/>
        <w:i/>
        <w:iCs/>
        <w:sz w:val="18"/>
      </w:rPr>
      <w:t xml:space="preserve"> </w:t>
    </w:r>
    <w:r>
      <w:rPr>
        <w:rFonts w:ascii="GHEA Grapalat" w:hAnsi="GHEA Grapalat" w:cs="Times Armenian"/>
        <w:b/>
        <w:bCs/>
        <w:i/>
        <w:iCs/>
        <w:sz w:val="18"/>
        <w:lang w:val="en-US"/>
      </w:rPr>
      <w:t>ԹՎ</w:t>
    </w:r>
    <w:r w:rsidRPr="00B179E6">
      <w:rPr>
        <w:rFonts w:ascii="GHEA Grapalat" w:hAnsi="GHEA Grapalat" w:cs="Sylfaen"/>
        <w:b/>
        <w:bCs/>
        <w:i/>
        <w:iCs/>
        <w:sz w:val="18"/>
      </w:rPr>
      <w:t>ԱԿԱՆԻՆ</w:t>
    </w:r>
  </w:p>
  <w:p w14:paraId="14A5635A" w14:textId="77777777" w:rsidR="00B94C14" w:rsidRDefault="00B94C14">
    <w:pPr>
      <w:pStyle w:val="Header"/>
      <w:jc w:val="right"/>
    </w:pPr>
    <w:r>
      <w:rPr>
        <w:lang w:val="en-US"/>
      </w:rPr>
      <mc:AlternateContent>
        <mc:Choice Requires="wps">
          <w:drawing>
            <wp:anchor distT="4294967295" distB="4294967295" distL="114300" distR="114300" simplePos="0" relativeHeight="251663872" behindDoc="0" locked="0" layoutInCell="1" allowOverlap="1" wp14:anchorId="0706EDDD" wp14:editId="2FDFE19F">
              <wp:simplePos x="0" y="0"/>
              <wp:positionH relativeFrom="column">
                <wp:posOffset>0</wp:posOffset>
              </wp:positionH>
              <wp:positionV relativeFrom="paragraph">
                <wp:posOffset>73659</wp:posOffset>
              </wp:positionV>
              <wp:extent cx="6515100" cy="0"/>
              <wp:effectExtent l="0" t="19050" r="19050" b="19050"/>
              <wp:wrapNone/>
              <wp:docPr id="15618984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CB341" id="Line 3"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" strokeweight="4.5pt">
              <v:stroke linestyle="thinThick"/>
            </v:lin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A1F54" w14:textId="6EA480F3" w:rsidR="00B94C14" w:rsidRPr="00B179E6" w:rsidRDefault="00B94C14"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2023 ԹՎ</w:t>
    </w:r>
    <w:r w:rsidRPr="00B179E6">
      <w:rPr>
        <w:rFonts w:ascii="GHEA Grapalat" w:hAnsi="GHEA Grapalat" w:cs="Sylfaen"/>
        <w:b/>
        <w:bCs/>
        <w:i/>
        <w:iCs/>
        <w:sz w:val="18"/>
        <w:lang w:val="en-US"/>
      </w:rPr>
      <w:t>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ՑՈՒՑԱՆԻՇՆԵՐ</w:t>
    </w:r>
    <w:r w:rsidRPr="00B179E6">
      <w:rPr>
        <w:rFonts w:ascii="GHEA Grapalat" w:hAnsi="GHEA Grapalat" w:cs="Sylfaen"/>
        <w:b/>
        <w:bCs/>
        <w:i/>
        <w:iCs/>
        <w:sz w:val="18"/>
        <w:lang w:val="en-US"/>
      </w:rPr>
      <w:t>Ը</w:t>
    </w:r>
  </w:p>
  <w:p w14:paraId="5EA0BA79" w14:textId="77777777" w:rsidR="00B94C14" w:rsidRDefault="00B94C14">
    <w:pPr>
      <w:pStyle w:val="Header"/>
      <w:jc w:val="right"/>
    </w:pPr>
    <w:r>
      <w:rPr>
        <w:lang w:val="en-US"/>
      </w:rPr>
      <mc:AlternateContent>
        <mc:Choice Requires="wps">
          <w:drawing>
            <wp:anchor distT="4294967294" distB="4294967294" distL="114300" distR="114300" simplePos="0" relativeHeight="251655680" behindDoc="0" locked="0" layoutInCell="1" allowOverlap="1" wp14:anchorId="6D2C5993" wp14:editId="59754B12">
              <wp:simplePos x="0" y="0"/>
              <wp:positionH relativeFrom="column">
                <wp:posOffset>-33020</wp:posOffset>
              </wp:positionH>
              <wp:positionV relativeFrom="paragraph">
                <wp:posOffset>114299</wp:posOffset>
              </wp:positionV>
              <wp:extent cx="6515100" cy="0"/>
              <wp:effectExtent l="0" t="1905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2A3C9" id="Straight Connector 5"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" strokeweight="4.5pt">
              <v:stroke linestyle="thinThick"/>
            </v:lin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50639" w14:textId="0175E3F9" w:rsidR="00B94C14" w:rsidRPr="00B179E6" w:rsidRDefault="00B94C14"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2023 ԹՎ</w:t>
    </w:r>
    <w:r w:rsidRPr="00B179E6">
      <w:rPr>
        <w:rFonts w:ascii="GHEA Grapalat" w:hAnsi="GHEA Grapalat" w:cs="Sylfaen"/>
        <w:b/>
        <w:bCs/>
        <w:i/>
        <w:iCs/>
        <w:sz w:val="18"/>
        <w:lang w:val="en-US"/>
      </w:rPr>
      <w:t>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ԵԿԱՄՈՒՏՆԵՐԸ</w:t>
    </w:r>
  </w:p>
  <w:p w14:paraId="271C7181" w14:textId="77777777" w:rsidR="00B94C14" w:rsidRDefault="00B94C14">
    <w:pPr>
      <w:pStyle w:val="Header"/>
      <w:jc w:val="right"/>
    </w:pPr>
    <w:r>
      <w:rPr>
        <w:lang w:val="en-US"/>
      </w:rPr>
      <mc:AlternateContent>
        <mc:Choice Requires="wps">
          <w:drawing>
            <wp:anchor distT="4294967294" distB="4294967294" distL="114300" distR="114300" simplePos="0" relativeHeight="251665920" behindDoc="0" locked="0" layoutInCell="1" allowOverlap="1" wp14:anchorId="093B2F91" wp14:editId="3E9C8F03">
              <wp:simplePos x="0" y="0"/>
              <wp:positionH relativeFrom="column">
                <wp:posOffset>-33020</wp:posOffset>
              </wp:positionH>
              <wp:positionV relativeFrom="paragraph">
                <wp:posOffset>114299</wp:posOffset>
              </wp:positionV>
              <wp:extent cx="6515100" cy="0"/>
              <wp:effectExtent l="0" t="19050" r="19050" b="19050"/>
              <wp:wrapNone/>
              <wp:docPr id="1561898471" name="Straight Connector 1561898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1061D" id="Straight Connector 1561898471" o:spid="_x0000_s1026" style="position:absolute;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" strokeweight="4.5pt">
              <v:stroke linestyle="thinThick"/>
            </v:lin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1D9F0" w14:textId="61756A6E" w:rsidR="00B94C14" w:rsidRPr="00B179E6" w:rsidRDefault="00B94C14"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 xml:space="preserve">2023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ԾԱԽՍԵՐԸ</w:t>
    </w:r>
  </w:p>
  <w:p w14:paraId="0CC297A5" w14:textId="77777777" w:rsidR="00B94C14" w:rsidRPr="00B179E6" w:rsidRDefault="00B94C14">
    <w:pPr>
      <w:pStyle w:val="Header"/>
      <w:jc w:val="right"/>
      <w:rPr>
        <w:rFonts w:ascii="GHEA Grapalat" w:hAnsi="GHEA Grapalat"/>
      </w:rPr>
    </w:pPr>
    <w:r>
      <w:rPr>
        <w:lang w:val="en-US"/>
      </w:rPr>
      <mc:AlternateContent>
        <mc:Choice Requires="wps">
          <w:drawing>
            <wp:anchor distT="0" distB="0" distL="114300" distR="114300" simplePos="0" relativeHeight="251654656" behindDoc="0" locked="0" layoutInCell="1" allowOverlap="1" wp14:anchorId="056217F2" wp14:editId="1F3D58B0">
              <wp:simplePos x="0" y="0"/>
              <wp:positionH relativeFrom="column">
                <wp:posOffset>0</wp:posOffset>
              </wp:positionH>
              <wp:positionV relativeFrom="paragraph">
                <wp:posOffset>111125</wp:posOffset>
              </wp:positionV>
              <wp:extent cx="6482080" cy="3175"/>
              <wp:effectExtent l="0" t="19050" r="33020" b="349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2080" cy="317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02139" id="Straight Connector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" strokeweight="4.5pt">
              <v:stroke linestyle="thinThick"/>
            </v:lin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A85C" w14:textId="3A1ECFE6" w:rsidR="00B94C14" w:rsidRDefault="00B94C14" w:rsidP="00B41540">
    <w:pPr>
      <w:pStyle w:val="Header"/>
      <w:jc w:val="right"/>
      <w:rPr>
        <w:lang w:val="en-US"/>
      </w:rPr>
    </w:pPr>
    <w:r w:rsidRPr="00B179E6">
      <w:rPr>
        <w:rFonts w:ascii="GHEA Grapalat" w:hAnsi="GHEA Grapalat" w:cs="Sylfaen"/>
        <w:b/>
        <w:bCs/>
        <w:i/>
        <w:iCs/>
        <w:sz w:val="18"/>
        <w:lang w:val="en-US"/>
      </w:rPr>
      <w:t>Հ</w:t>
    </w:r>
    <w:r>
      <w:rPr>
        <w:rFonts w:ascii="GHEA Grapalat" w:hAnsi="GHEA Grapalat" w:cs="Sylfaen"/>
        <w:b/>
        <w:bCs/>
        <w:i/>
        <w:iCs/>
        <w:sz w:val="18"/>
        <w:lang w:val="en-US"/>
      </w:rPr>
      <w:t xml:space="preserve">ԱՅԱՍՏԱՆԻ </w:t>
    </w:r>
    <w:r w:rsidRPr="00B179E6">
      <w:rPr>
        <w:rFonts w:ascii="GHEA Grapalat" w:hAnsi="GHEA Grapalat" w:cs="Sylfaen"/>
        <w:b/>
        <w:bCs/>
        <w:i/>
        <w:iCs/>
        <w:sz w:val="18"/>
        <w:lang w:val="en-US"/>
      </w:rPr>
      <w:t>Հ</w:t>
    </w:r>
    <w:r>
      <w:rPr>
        <w:rFonts w:ascii="GHEA Grapalat" w:hAnsi="GHEA Grapalat" w:cs="Sylfaen"/>
        <w:b/>
        <w:bCs/>
        <w:i/>
        <w:iCs/>
        <w:sz w:val="18"/>
        <w:lang w:val="en-US"/>
      </w:rPr>
      <w:t>ԱՆՐԱՊԵՏՈՒԹՅԱՆ</w:t>
    </w:r>
    <w:r w:rsidRPr="00B179E6">
      <w:rPr>
        <w:rFonts w:ascii="GHEA Grapalat" w:hAnsi="GHEA Grapalat" w:cs="Times Armenian"/>
        <w:b/>
        <w:bCs/>
        <w:i/>
        <w:iCs/>
        <w:sz w:val="18"/>
        <w:lang w:val="en-US"/>
      </w:rPr>
      <w:t xml:space="preserve"> 20</w:t>
    </w:r>
    <w:r>
      <w:rPr>
        <w:rFonts w:ascii="GHEA Grapalat" w:hAnsi="GHEA Grapalat" w:cs="Times Armenian"/>
        <w:b/>
        <w:bCs/>
        <w:i/>
        <w:iCs/>
        <w:sz w:val="18"/>
        <w:lang w:val="en-US"/>
      </w:rPr>
      <w:t xml:space="preserve">23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ՊԱԿԱՍՈՒՐԴԸ</w:t>
    </w:r>
  </w:p>
  <w:p w14:paraId="5A38CACE" w14:textId="77777777" w:rsidR="00B94C14" w:rsidRDefault="00B94C14">
    <w:pPr>
      <w:pStyle w:val="Header"/>
      <w:jc w:val="right"/>
    </w:pPr>
    <w:r>
      <w:rPr>
        <w:lang w:val="en-US"/>
      </w:rPr>
      <mc:AlternateContent>
        <mc:Choice Requires="wps">
          <w:drawing>
            <wp:anchor distT="4294967293" distB="4294967293" distL="114300" distR="114300" simplePos="0" relativeHeight="251657728" behindDoc="0" locked="0" layoutInCell="1" allowOverlap="1" wp14:anchorId="0F800D24" wp14:editId="3E84D035">
              <wp:simplePos x="0" y="0"/>
              <wp:positionH relativeFrom="column">
                <wp:posOffset>3810</wp:posOffset>
              </wp:positionH>
              <wp:positionV relativeFrom="paragraph">
                <wp:posOffset>38099</wp:posOffset>
              </wp:positionV>
              <wp:extent cx="6496050" cy="0"/>
              <wp:effectExtent l="0" t="19050" r="19050" b="19050"/>
              <wp:wrapNone/>
              <wp:docPr id="1"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6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85FD3" id="Straight Connector 38"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" strokeweight="4.5pt">
              <v:stroke linestyle="thinThick"/>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30E93A"/>
    <w:lvl w:ilvl="0">
      <w:numFmt w:val="decimal"/>
      <w:pStyle w:val="Bullet"/>
      <w:lvlText w:val="*"/>
      <w:lvlJc w:val="left"/>
      <w:rPr>
        <w:rFonts w:cs="Times New Roman"/>
      </w:rPr>
    </w:lvl>
  </w:abstractNum>
  <w:abstractNum w:abstractNumId="1" w15:restartNumberingAfterBreak="0">
    <w:nsid w:val="023D19B6"/>
    <w:multiLevelType w:val="hybridMultilevel"/>
    <w:tmpl w:val="54D4A856"/>
    <w:lvl w:ilvl="0" w:tplc="0409000F">
      <w:start w:val="1"/>
      <w:numFmt w:val="decimal"/>
      <w:lvlText w:val="%1."/>
      <w:lvlJc w:val="left"/>
      <w:pPr>
        <w:ind w:left="1423" w:hanging="360"/>
      </w:pPr>
    </w:lvl>
    <w:lvl w:ilvl="1" w:tplc="91281F7E">
      <w:start w:val="2020"/>
      <w:numFmt w:val="bullet"/>
      <w:lvlText w:val=""/>
      <w:lvlJc w:val="left"/>
      <w:pPr>
        <w:ind w:left="2143" w:hanging="360"/>
      </w:pPr>
      <w:rPr>
        <w:rFonts w:ascii="Symbol" w:eastAsia="Times New Roman" w:hAnsi="Symbol" w:hint="default"/>
      </w:rPr>
    </w:lvl>
    <w:lvl w:ilvl="2" w:tplc="0409001B" w:tentative="1">
      <w:start w:val="1"/>
      <w:numFmt w:val="lowerRoman"/>
      <w:lvlText w:val="%3."/>
      <w:lvlJc w:val="right"/>
      <w:pPr>
        <w:ind w:left="2863" w:hanging="180"/>
      </w:pPr>
    </w:lvl>
    <w:lvl w:ilvl="3" w:tplc="0409000F" w:tentative="1">
      <w:start w:val="1"/>
      <w:numFmt w:val="decimal"/>
      <w:lvlText w:val="%4."/>
      <w:lvlJc w:val="left"/>
      <w:pPr>
        <w:ind w:left="3583" w:hanging="360"/>
      </w:pPr>
    </w:lvl>
    <w:lvl w:ilvl="4" w:tplc="04090019" w:tentative="1">
      <w:start w:val="1"/>
      <w:numFmt w:val="lowerLetter"/>
      <w:lvlText w:val="%5."/>
      <w:lvlJc w:val="left"/>
      <w:pPr>
        <w:ind w:left="4303" w:hanging="360"/>
      </w:pPr>
    </w:lvl>
    <w:lvl w:ilvl="5" w:tplc="0409001B" w:tentative="1">
      <w:start w:val="1"/>
      <w:numFmt w:val="lowerRoman"/>
      <w:lvlText w:val="%6."/>
      <w:lvlJc w:val="right"/>
      <w:pPr>
        <w:ind w:left="5023" w:hanging="180"/>
      </w:pPr>
    </w:lvl>
    <w:lvl w:ilvl="6" w:tplc="0409000F" w:tentative="1">
      <w:start w:val="1"/>
      <w:numFmt w:val="decimal"/>
      <w:lvlText w:val="%7."/>
      <w:lvlJc w:val="left"/>
      <w:pPr>
        <w:ind w:left="5743" w:hanging="360"/>
      </w:pPr>
    </w:lvl>
    <w:lvl w:ilvl="7" w:tplc="04090019" w:tentative="1">
      <w:start w:val="1"/>
      <w:numFmt w:val="lowerLetter"/>
      <w:lvlText w:val="%8."/>
      <w:lvlJc w:val="left"/>
      <w:pPr>
        <w:ind w:left="6463" w:hanging="360"/>
      </w:pPr>
    </w:lvl>
    <w:lvl w:ilvl="8" w:tplc="0409001B" w:tentative="1">
      <w:start w:val="1"/>
      <w:numFmt w:val="lowerRoman"/>
      <w:lvlText w:val="%9."/>
      <w:lvlJc w:val="right"/>
      <w:pPr>
        <w:ind w:left="7183" w:hanging="180"/>
      </w:pPr>
    </w:lvl>
  </w:abstractNum>
  <w:abstractNum w:abstractNumId="2" w15:restartNumberingAfterBreak="0">
    <w:nsid w:val="0ACE272A"/>
    <w:multiLevelType w:val="hybridMultilevel"/>
    <w:tmpl w:val="5F246EF2"/>
    <w:lvl w:ilvl="0" w:tplc="CD0CC506">
      <w:start w:val="1"/>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hint="default"/>
      </w:rPr>
    </w:lvl>
    <w:lvl w:ilvl="8">
      <w:start w:val="1"/>
      <w:numFmt w:val="bullet"/>
      <w:lvlText w:val=""/>
      <w:lvlJc w:val="left"/>
      <w:pPr>
        <w:ind w:left="7064" w:hanging="360"/>
      </w:pPr>
      <w:rPr>
        <w:rFonts w:ascii="Wingdings" w:hAnsi="Wingdings" w:hint="default"/>
      </w:rPr>
    </w:lvl>
  </w:abstractNum>
  <w:abstractNum w:abstractNumId="4" w15:restartNumberingAfterBreak="0">
    <w:nsid w:val="12224DDB"/>
    <w:multiLevelType w:val="hybridMultilevel"/>
    <w:tmpl w:val="8144A5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34E55C0"/>
    <w:multiLevelType w:val="hybridMultilevel"/>
    <w:tmpl w:val="14A4292A"/>
    <w:lvl w:ilvl="0" w:tplc="74660C4A">
      <w:start w:val="1"/>
      <w:numFmt w:val="decimal"/>
      <w:pStyle w:val="a"/>
      <w:lvlText w:val="Գծապատկեր %1."/>
      <w:lvlJc w:val="left"/>
      <w:pPr>
        <w:ind w:left="928" w:hanging="360"/>
      </w:pPr>
      <w:rPr>
        <w:rFonts w:ascii="GHEA Grapalat" w:hAnsi="GHEA Grapalat" w:cs="Times New Roman" w:hint="default"/>
        <w:b/>
        <w:i/>
        <w:sz w:val="22"/>
        <w:szCs w:val="22"/>
      </w:rPr>
    </w:lvl>
    <w:lvl w:ilvl="1" w:tplc="04090019">
      <w:start w:val="1"/>
      <w:numFmt w:val="lowerLetter"/>
      <w:lvlText w:val="%2."/>
      <w:lvlJc w:val="left"/>
      <w:pPr>
        <w:ind w:left="1980" w:hanging="360"/>
      </w:pPr>
      <w:rPr>
        <w:rFonts w:cs="Times New Roman"/>
      </w:rPr>
    </w:lvl>
    <w:lvl w:ilvl="2" w:tplc="0409001B">
      <w:start w:val="1"/>
      <w:numFmt w:val="lowerRoman"/>
      <w:lvlText w:val="%3."/>
      <w:lvlJc w:val="right"/>
      <w:pPr>
        <w:ind w:left="2700" w:hanging="180"/>
      </w:pPr>
      <w:rPr>
        <w:rFonts w:cs="Times New Roman"/>
      </w:rPr>
    </w:lvl>
    <w:lvl w:ilvl="3" w:tplc="0409000F">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start w:val="1"/>
      <w:numFmt w:val="lowerLetter"/>
      <w:lvlText w:val="%8."/>
      <w:lvlJc w:val="left"/>
      <w:pPr>
        <w:ind w:left="6300" w:hanging="360"/>
      </w:pPr>
      <w:rPr>
        <w:rFonts w:cs="Times New Roman"/>
      </w:rPr>
    </w:lvl>
    <w:lvl w:ilvl="8" w:tplc="0409001B">
      <w:start w:val="1"/>
      <w:numFmt w:val="lowerRoman"/>
      <w:lvlText w:val="%9."/>
      <w:lvlJc w:val="right"/>
      <w:pPr>
        <w:ind w:left="7020" w:hanging="180"/>
      </w:pPr>
      <w:rPr>
        <w:rFonts w:cs="Times New Roman"/>
      </w:rPr>
    </w:lvl>
  </w:abstractNum>
  <w:abstractNum w:abstractNumId="6" w15:restartNumberingAfterBreak="0">
    <w:nsid w:val="141100B8"/>
    <w:multiLevelType w:val="hybridMultilevel"/>
    <w:tmpl w:val="EA461D78"/>
    <w:lvl w:ilvl="0" w:tplc="E564C428">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7" w15:restartNumberingAfterBreak="0">
    <w:nsid w:val="15F624CF"/>
    <w:multiLevelType w:val="hybridMultilevel"/>
    <w:tmpl w:val="8EACCC40"/>
    <w:lvl w:ilvl="0" w:tplc="3F029A6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A351095"/>
    <w:multiLevelType w:val="hybridMultilevel"/>
    <w:tmpl w:val="2A66CFD4"/>
    <w:lvl w:ilvl="0" w:tplc="B78640B8">
      <w:start w:val="4"/>
      <w:numFmt w:val="decimal"/>
      <w:lvlText w:val="Աղյուսակ %1."/>
      <w:lvlJc w:val="left"/>
      <w:pPr>
        <w:ind w:left="928" w:hanging="360"/>
      </w:pPr>
      <w:rPr>
        <w:rFonts w:ascii="GHEA Grapalat" w:hAnsi="GHEA Grapalat" w:cs="Times New Roman" w:hint="default"/>
        <w:b/>
        <w:i/>
        <w:sz w:val="18"/>
        <w:szCs w:val="1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CBA4147"/>
    <w:multiLevelType w:val="hybridMultilevel"/>
    <w:tmpl w:val="642438C4"/>
    <w:lvl w:ilvl="0" w:tplc="91281F7E">
      <w:start w:val="2020"/>
      <w:numFmt w:val="bullet"/>
      <w:lvlText w:val=""/>
      <w:lvlJc w:val="left"/>
      <w:pPr>
        <w:ind w:left="360" w:hanging="360"/>
      </w:pPr>
      <w:rPr>
        <w:rFonts w:ascii="Symbol" w:eastAsia="Times New Roman"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1F873A17"/>
    <w:multiLevelType w:val="hybridMultilevel"/>
    <w:tmpl w:val="7D3A87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02B49C3"/>
    <w:multiLevelType w:val="hybridMultilevel"/>
    <w:tmpl w:val="49C8FF18"/>
    <w:lvl w:ilvl="0" w:tplc="5FDCFCF8">
      <w:start w:val="105"/>
      <w:numFmt w:val="bullet"/>
      <w:lvlText w:val="-"/>
      <w:lvlJc w:val="left"/>
      <w:pPr>
        <w:ind w:left="630" w:hanging="360"/>
      </w:pPr>
      <w:rPr>
        <w:rFonts w:ascii="GHEA Grapalat" w:eastAsia="Times New Roman" w:hAnsi="GHEA Grapalat" w:hint="default"/>
      </w:rPr>
    </w:lvl>
    <w:lvl w:ilvl="1" w:tplc="04090003">
      <w:start w:val="1"/>
      <w:numFmt w:val="bullet"/>
      <w:lvlText w:val="o"/>
      <w:lvlJc w:val="left"/>
      <w:pPr>
        <w:ind w:left="1350" w:hanging="360"/>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hint="default"/>
      </w:rPr>
    </w:lvl>
    <w:lvl w:ilvl="8" w:tplc="04090005">
      <w:start w:val="1"/>
      <w:numFmt w:val="bullet"/>
      <w:lvlText w:val=""/>
      <w:lvlJc w:val="left"/>
      <w:pPr>
        <w:ind w:left="6390" w:hanging="360"/>
      </w:pPr>
      <w:rPr>
        <w:rFonts w:ascii="Wingdings" w:hAnsi="Wingdings" w:hint="default"/>
      </w:rPr>
    </w:lvl>
  </w:abstractNum>
  <w:abstractNum w:abstractNumId="13" w15:restartNumberingAfterBreak="0">
    <w:nsid w:val="215E5967"/>
    <w:multiLevelType w:val="hybridMultilevel"/>
    <w:tmpl w:val="01B25AD6"/>
    <w:lvl w:ilvl="0" w:tplc="9A1831B4">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A513057"/>
    <w:multiLevelType w:val="hybridMultilevel"/>
    <w:tmpl w:val="80409346"/>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5" w15:restartNumberingAfterBreak="0">
    <w:nsid w:val="2FF75BB7"/>
    <w:multiLevelType w:val="hybridMultilevel"/>
    <w:tmpl w:val="5FD4B954"/>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6" w15:restartNumberingAfterBreak="0">
    <w:nsid w:val="34E452D1"/>
    <w:multiLevelType w:val="hybridMultilevel"/>
    <w:tmpl w:val="BC3AA9C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35E713C7"/>
    <w:multiLevelType w:val="hybridMultilevel"/>
    <w:tmpl w:val="D2A8F1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8897F7C"/>
    <w:multiLevelType w:val="hybridMultilevel"/>
    <w:tmpl w:val="FF3E9F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9F03B04"/>
    <w:multiLevelType w:val="hybridMultilevel"/>
    <w:tmpl w:val="AEE8A4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4AE279A3"/>
    <w:multiLevelType w:val="hybridMultilevel"/>
    <w:tmpl w:val="76E223EA"/>
    <w:lvl w:ilvl="0" w:tplc="272E7D4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4F930B0C"/>
    <w:multiLevelType w:val="hybridMultilevel"/>
    <w:tmpl w:val="F0BC241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505D4892"/>
    <w:multiLevelType w:val="hybridMultilevel"/>
    <w:tmpl w:val="9C0CE02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0911300"/>
    <w:multiLevelType w:val="hybridMultilevel"/>
    <w:tmpl w:val="5FD4B954"/>
    <w:lvl w:ilvl="0" w:tplc="04090011">
      <w:start w:val="1"/>
      <w:numFmt w:val="decimal"/>
      <w:lvlText w:val="%1)"/>
      <w:lvlJc w:val="left"/>
      <w:pPr>
        <w:ind w:left="1267" w:hanging="360"/>
      </w:pPr>
      <w:rPr>
        <w:rFonts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6" w15:restartNumberingAfterBreak="0">
    <w:nsid w:val="5C574264"/>
    <w:multiLevelType w:val="hybridMultilevel"/>
    <w:tmpl w:val="8C52B1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27C0DED"/>
    <w:multiLevelType w:val="hybridMultilevel"/>
    <w:tmpl w:val="C344BA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2F40506"/>
    <w:multiLevelType w:val="hybridMultilevel"/>
    <w:tmpl w:val="BCA4894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1" w15:restartNumberingAfterBreak="0">
    <w:nsid w:val="711A3C86"/>
    <w:multiLevelType w:val="hybridMultilevel"/>
    <w:tmpl w:val="228818C8"/>
    <w:lvl w:ilvl="0" w:tplc="B95A2612">
      <w:start w:val="1"/>
      <w:numFmt w:val="decimal"/>
      <w:lvlText w:val="%1."/>
      <w:lvlJc w:val="left"/>
      <w:pPr>
        <w:ind w:left="1287" w:hanging="360"/>
      </w:pPr>
      <w:rPr>
        <w:rFonts w:ascii="GHEA Grapalat" w:hAnsi="GHEA Grapalat" w:hint="default"/>
        <w:b w:val="0"/>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36A69FF"/>
    <w:multiLevelType w:val="hybridMultilevel"/>
    <w:tmpl w:val="7938EBBC"/>
    <w:lvl w:ilvl="0" w:tplc="7C4E2A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73B366DB"/>
    <w:multiLevelType w:val="hybridMultilevel"/>
    <w:tmpl w:val="4D64536C"/>
    <w:lvl w:ilvl="0" w:tplc="508ED32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95D2BDB"/>
    <w:multiLevelType w:val="multilevel"/>
    <w:tmpl w:val="770ED810"/>
    <w:styleLink w:val="1"/>
    <w:lvl w:ilvl="0">
      <w:start w:val="1"/>
      <w:numFmt w:val="decimal"/>
      <w:lvlText w:val="%1)"/>
      <w:lvlJc w:val="left"/>
      <w:pPr>
        <w:ind w:left="1287" w:hanging="360"/>
      </w:pPr>
      <w:rPr>
        <w:rFonts w:cs="Times New Roman"/>
      </w:rPr>
    </w:lvl>
    <w:lvl w:ilvl="1">
      <w:start w:val="1"/>
      <w:numFmt w:val="lowerLetter"/>
      <w:lvlText w:val="%2."/>
      <w:lvlJc w:val="left"/>
      <w:pPr>
        <w:ind w:left="2007" w:hanging="360"/>
      </w:pPr>
      <w:rPr>
        <w:rFonts w:cs="Times New Roman"/>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36" w15:restartNumberingAfterBreak="0">
    <w:nsid w:val="79D07B19"/>
    <w:multiLevelType w:val="hybridMultilevel"/>
    <w:tmpl w:val="75DAA5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2">
    <w:abstractNumId w:val="18"/>
  </w:num>
  <w:num w:numId="3">
    <w:abstractNumId w:val="30"/>
  </w:num>
  <w:num w:numId="4">
    <w:abstractNumId w:val="25"/>
  </w:num>
  <w:num w:numId="5">
    <w:abstractNumId w:val="29"/>
  </w:num>
  <w:num w:numId="6">
    <w:abstractNumId w:val="9"/>
  </w:num>
  <w:num w:numId="7">
    <w:abstractNumId w:val="33"/>
  </w:num>
  <w:num w:numId="8">
    <w:abstractNumId w:val="5"/>
  </w:num>
  <w:num w:numId="9">
    <w:abstractNumId w:val="35"/>
  </w:num>
  <w:num w:numId="10">
    <w:abstractNumId w:val="24"/>
  </w:num>
  <w:num w:numId="11">
    <w:abstractNumId w:val="14"/>
  </w:num>
  <w:num w:numId="12">
    <w:abstractNumId w:val="34"/>
  </w:num>
  <w:num w:numId="13">
    <w:abstractNumId w:val="6"/>
  </w:num>
  <w:num w:numId="14">
    <w:abstractNumId w:val="13"/>
  </w:num>
  <w:num w:numId="15">
    <w:abstractNumId w:val="3"/>
  </w:num>
  <w:num w:numId="16">
    <w:abstractNumId w:val="8"/>
  </w:num>
  <w:num w:numId="17">
    <w:abstractNumId w:val="28"/>
  </w:num>
  <w:num w:numId="18">
    <w:abstractNumId w:val="21"/>
  </w:num>
  <w:num w:numId="19">
    <w:abstractNumId w:val="22"/>
  </w:num>
  <w:num w:numId="20">
    <w:abstractNumId w:val="17"/>
  </w:num>
  <w:num w:numId="21">
    <w:abstractNumId w:val="31"/>
  </w:num>
  <w:num w:numId="22">
    <w:abstractNumId w:val="7"/>
  </w:num>
  <w:num w:numId="23">
    <w:abstractNumId w:val="11"/>
  </w:num>
  <w:num w:numId="24">
    <w:abstractNumId w:val="4"/>
  </w:num>
  <w:num w:numId="25">
    <w:abstractNumId w:val="1"/>
  </w:num>
  <w:num w:numId="26">
    <w:abstractNumId w:val="2"/>
  </w:num>
  <w:num w:numId="27">
    <w:abstractNumId w:val="26"/>
  </w:num>
  <w:num w:numId="28">
    <w:abstractNumId w:val="27"/>
  </w:num>
  <w:num w:numId="29">
    <w:abstractNumId w:val="19"/>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6"/>
  </w:num>
  <w:num w:numId="33">
    <w:abstractNumId w:val="16"/>
  </w:num>
  <w:num w:numId="34">
    <w:abstractNumId w:val="32"/>
  </w:num>
  <w:num w:numId="35">
    <w:abstractNumId w:val="20"/>
  </w:num>
  <w:num w:numId="36">
    <w:abstractNumId w:val="15"/>
  </w:num>
  <w:num w:numId="37">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3F"/>
    <w:rsid w:val="000001C8"/>
    <w:rsid w:val="00000201"/>
    <w:rsid w:val="000004F7"/>
    <w:rsid w:val="0000055D"/>
    <w:rsid w:val="0000077D"/>
    <w:rsid w:val="00000899"/>
    <w:rsid w:val="00000968"/>
    <w:rsid w:val="00000A98"/>
    <w:rsid w:val="00000ADB"/>
    <w:rsid w:val="00000D3B"/>
    <w:rsid w:val="00000F60"/>
    <w:rsid w:val="000012F6"/>
    <w:rsid w:val="00001511"/>
    <w:rsid w:val="00001548"/>
    <w:rsid w:val="0000157A"/>
    <w:rsid w:val="00001589"/>
    <w:rsid w:val="00001645"/>
    <w:rsid w:val="0000170C"/>
    <w:rsid w:val="0000179A"/>
    <w:rsid w:val="000017C3"/>
    <w:rsid w:val="0000189D"/>
    <w:rsid w:val="00001BB9"/>
    <w:rsid w:val="00001BBF"/>
    <w:rsid w:val="00001ED3"/>
    <w:rsid w:val="00001F0B"/>
    <w:rsid w:val="000020A6"/>
    <w:rsid w:val="000020AE"/>
    <w:rsid w:val="00002146"/>
    <w:rsid w:val="000021AF"/>
    <w:rsid w:val="0000239B"/>
    <w:rsid w:val="0000249B"/>
    <w:rsid w:val="00002726"/>
    <w:rsid w:val="000027BA"/>
    <w:rsid w:val="0000288C"/>
    <w:rsid w:val="00002A60"/>
    <w:rsid w:val="00002C17"/>
    <w:rsid w:val="00002C4E"/>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3E9B"/>
    <w:rsid w:val="00004019"/>
    <w:rsid w:val="0000409B"/>
    <w:rsid w:val="00004165"/>
    <w:rsid w:val="00004224"/>
    <w:rsid w:val="00004272"/>
    <w:rsid w:val="0000459A"/>
    <w:rsid w:val="000045D6"/>
    <w:rsid w:val="000046B9"/>
    <w:rsid w:val="00004822"/>
    <w:rsid w:val="0000498F"/>
    <w:rsid w:val="00004BE0"/>
    <w:rsid w:val="00004C6A"/>
    <w:rsid w:val="00004E20"/>
    <w:rsid w:val="00004EC5"/>
    <w:rsid w:val="00005092"/>
    <w:rsid w:val="00005167"/>
    <w:rsid w:val="000057A4"/>
    <w:rsid w:val="00005997"/>
    <w:rsid w:val="00005A97"/>
    <w:rsid w:val="00005AC2"/>
    <w:rsid w:val="00005C80"/>
    <w:rsid w:val="00005D34"/>
    <w:rsid w:val="00005E58"/>
    <w:rsid w:val="00006096"/>
    <w:rsid w:val="000060BD"/>
    <w:rsid w:val="000062F9"/>
    <w:rsid w:val="0000653D"/>
    <w:rsid w:val="00006C68"/>
    <w:rsid w:val="00006FD6"/>
    <w:rsid w:val="0000720C"/>
    <w:rsid w:val="00007270"/>
    <w:rsid w:val="00007399"/>
    <w:rsid w:val="00007463"/>
    <w:rsid w:val="00007575"/>
    <w:rsid w:val="0000762D"/>
    <w:rsid w:val="0000766F"/>
    <w:rsid w:val="000078BF"/>
    <w:rsid w:val="000079A0"/>
    <w:rsid w:val="00007A23"/>
    <w:rsid w:val="00007AA8"/>
    <w:rsid w:val="00007ABF"/>
    <w:rsid w:val="00007D8F"/>
    <w:rsid w:val="00007F76"/>
    <w:rsid w:val="00010289"/>
    <w:rsid w:val="0001045D"/>
    <w:rsid w:val="00010549"/>
    <w:rsid w:val="0001056E"/>
    <w:rsid w:val="000105DC"/>
    <w:rsid w:val="000107A9"/>
    <w:rsid w:val="0001087C"/>
    <w:rsid w:val="0001098E"/>
    <w:rsid w:val="00010D32"/>
    <w:rsid w:val="00011363"/>
    <w:rsid w:val="000115C8"/>
    <w:rsid w:val="000117CA"/>
    <w:rsid w:val="0001194E"/>
    <w:rsid w:val="00011A21"/>
    <w:rsid w:val="00011AAB"/>
    <w:rsid w:val="00011ACC"/>
    <w:rsid w:val="00011B39"/>
    <w:rsid w:val="00011B85"/>
    <w:rsid w:val="00011C5D"/>
    <w:rsid w:val="00011CC2"/>
    <w:rsid w:val="00011E94"/>
    <w:rsid w:val="00011F37"/>
    <w:rsid w:val="00011FC0"/>
    <w:rsid w:val="00012070"/>
    <w:rsid w:val="0001219F"/>
    <w:rsid w:val="00012255"/>
    <w:rsid w:val="0001238C"/>
    <w:rsid w:val="000129E4"/>
    <w:rsid w:val="00012B31"/>
    <w:rsid w:val="00012D91"/>
    <w:rsid w:val="000130AE"/>
    <w:rsid w:val="000130B5"/>
    <w:rsid w:val="00013357"/>
    <w:rsid w:val="000133F2"/>
    <w:rsid w:val="0001340F"/>
    <w:rsid w:val="0001385D"/>
    <w:rsid w:val="0001386B"/>
    <w:rsid w:val="00013944"/>
    <w:rsid w:val="000139F1"/>
    <w:rsid w:val="00013ABE"/>
    <w:rsid w:val="00013D1E"/>
    <w:rsid w:val="00013D2C"/>
    <w:rsid w:val="00013D5A"/>
    <w:rsid w:val="00013DFA"/>
    <w:rsid w:val="0001421E"/>
    <w:rsid w:val="0001423F"/>
    <w:rsid w:val="000144FE"/>
    <w:rsid w:val="000145E3"/>
    <w:rsid w:val="000148F8"/>
    <w:rsid w:val="00015089"/>
    <w:rsid w:val="000152BB"/>
    <w:rsid w:val="00015867"/>
    <w:rsid w:val="000159B6"/>
    <w:rsid w:val="00015A31"/>
    <w:rsid w:val="00015AB1"/>
    <w:rsid w:val="00015ADA"/>
    <w:rsid w:val="00015BCC"/>
    <w:rsid w:val="00015ED0"/>
    <w:rsid w:val="00016109"/>
    <w:rsid w:val="0001616A"/>
    <w:rsid w:val="0001616F"/>
    <w:rsid w:val="0001642F"/>
    <w:rsid w:val="000164F5"/>
    <w:rsid w:val="0001673A"/>
    <w:rsid w:val="00016B8C"/>
    <w:rsid w:val="00016F4F"/>
    <w:rsid w:val="00017026"/>
    <w:rsid w:val="000170A9"/>
    <w:rsid w:val="0001725A"/>
    <w:rsid w:val="0001738A"/>
    <w:rsid w:val="000176F9"/>
    <w:rsid w:val="0001780E"/>
    <w:rsid w:val="00017907"/>
    <w:rsid w:val="00017A5E"/>
    <w:rsid w:val="00017B66"/>
    <w:rsid w:val="00017C04"/>
    <w:rsid w:val="00017D27"/>
    <w:rsid w:val="00017FF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80F"/>
    <w:rsid w:val="00021BB0"/>
    <w:rsid w:val="00021C82"/>
    <w:rsid w:val="00021DA1"/>
    <w:rsid w:val="0002212A"/>
    <w:rsid w:val="0002225C"/>
    <w:rsid w:val="0002238B"/>
    <w:rsid w:val="0002250B"/>
    <w:rsid w:val="0002251F"/>
    <w:rsid w:val="0002257C"/>
    <w:rsid w:val="0002276D"/>
    <w:rsid w:val="00022940"/>
    <w:rsid w:val="00022A0A"/>
    <w:rsid w:val="00022D37"/>
    <w:rsid w:val="00022F4B"/>
    <w:rsid w:val="00022FB0"/>
    <w:rsid w:val="0002309C"/>
    <w:rsid w:val="000231F5"/>
    <w:rsid w:val="000232BA"/>
    <w:rsid w:val="0002339B"/>
    <w:rsid w:val="000235A1"/>
    <w:rsid w:val="0002390E"/>
    <w:rsid w:val="000239D1"/>
    <w:rsid w:val="00023BB4"/>
    <w:rsid w:val="00023CB9"/>
    <w:rsid w:val="00023E1F"/>
    <w:rsid w:val="00023F28"/>
    <w:rsid w:val="00023F85"/>
    <w:rsid w:val="00023F8C"/>
    <w:rsid w:val="0002423F"/>
    <w:rsid w:val="00024472"/>
    <w:rsid w:val="000244A1"/>
    <w:rsid w:val="0002464A"/>
    <w:rsid w:val="000248C0"/>
    <w:rsid w:val="000248F0"/>
    <w:rsid w:val="0002495B"/>
    <w:rsid w:val="000249E0"/>
    <w:rsid w:val="00024A5F"/>
    <w:rsid w:val="00024C20"/>
    <w:rsid w:val="00024CC7"/>
    <w:rsid w:val="00024EF6"/>
    <w:rsid w:val="000251DC"/>
    <w:rsid w:val="00025498"/>
    <w:rsid w:val="000255BC"/>
    <w:rsid w:val="000257AA"/>
    <w:rsid w:val="000259A6"/>
    <w:rsid w:val="00025C48"/>
    <w:rsid w:val="00025CBE"/>
    <w:rsid w:val="00025E32"/>
    <w:rsid w:val="00025E47"/>
    <w:rsid w:val="000260C2"/>
    <w:rsid w:val="000260D9"/>
    <w:rsid w:val="0002614E"/>
    <w:rsid w:val="000263B5"/>
    <w:rsid w:val="000263D5"/>
    <w:rsid w:val="00026500"/>
    <w:rsid w:val="000265A9"/>
    <w:rsid w:val="00026637"/>
    <w:rsid w:val="000266CA"/>
    <w:rsid w:val="00026797"/>
    <w:rsid w:val="00026B79"/>
    <w:rsid w:val="00026CE2"/>
    <w:rsid w:val="00026D8D"/>
    <w:rsid w:val="00026EBE"/>
    <w:rsid w:val="00026F8B"/>
    <w:rsid w:val="00027065"/>
    <w:rsid w:val="00027233"/>
    <w:rsid w:val="00027356"/>
    <w:rsid w:val="000274EF"/>
    <w:rsid w:val="000277EE"/>
    <w:rsid w:val="00027945"/>
    <w:rsid w:val="00027961"/>
    <w:rsid w:val="00027B33"/>
    <w:rsid w:val="0003005B"/>
    <w:rsid w:val="000300F4"/>
    <w:rsid w:val="0003014C"/>
    <w:rsid w:val="000305EF"/>
    <w:rsid w:val="000307F1"/>
    <w:rsid w:val="00030AA1"/>
    <w:rsid w:val="00030C2B"/>
    <w:rsid w:val="00030CCC"/>
    <w:rsid w:val="00030D64"/>
    <w:rsid w:val="00030E9C"/>
    <w:rsid w:val="00030F29"/>
    <w:rsid w:val="00030FD4"/>
    <w:rsid w:val="00031102"/>
    <w:rsid w:val="0003179F"/>
    <w:rsid w:val="0003189C"/>
    <w:rsid w:val="0003190F"/>
    <w:rsid w:val="00031B77"/>
    <w:rsid w:val="00031C7A"/>
    <w:rsid w:val="00031CBE"/>
    <w:rsid w:val="00031E21"/>
    <w:rsid w:val="00031F76"/>
    <w:rsid w:val="00031FB0"/>
    <w:rsid w:val="00031FB5"/>
    <w:rsid w:val="00031FBE"/>
    <w:rsid w:val="00031FFD"/>
    <w:rsid w:val="00032005"/>
    <w:rsid w:val="00032093"/>
    <w:rsid w:val="00032120"/>
    <w:rsid w:val="000321A1"/>
    <w:rsid w:val="000326D5"/>
    <w:rsid w:val="0003274D"/>
    <w:rsid w:val="00032943"/>
    <w:rsid w:val="00032BA4"/>
    <w:rsid w:val="00032C3E"/>
    <w:rsid w:val="00032C90"/>
    <w:rsid w:val="00032E46"/>
    <w:rsid w:val="0003324E"/>
    <w:rsid w:val="000332F1"/>
    <w:rsid w:val="00033442"/>
    <w:rsid w:val="000336A2"/>
    <w:rsid w:val="00033705"/>
    <w:rsid w:val="0003398D"/>
    <w:rsid w:val="00033AC2"/>
    <w:rsid w:val="00033B82"/>
    <w:rsid w:val="00033C09"/>
    <w:rsid w:val="00033E77"/>
    <w:rsid w:val="00033E86"/>
    <w:rsid w:val="0003401F"/>
    <w:rsid w:val="000340F2"/>
    <w:rsid w:val="0003430D"/>
    <w:rsid w:val="00034509"/>
    <w:rsid w:val="00034523"/>
    <w:rsid w:val="000345E0"/>
    <w:rsid w:val="00034625"/>
    <w:rsid w:val="00034661"/>
    <w:rsid w:val="00034830"/>
    <w:rsid w:val="00034898"/>
    <w:rsid w:val="000348F5"/>
    <w:rsid w:val="00034B2C"/>
    <w:rsid w:val="00034B9C"/>
    <w:rsid w:val="00034C5E"/>
    <w:rsid w:val="00034CB9"/>
    <w:rsid w:val="00034CDB"/>
    <w:rsid w:val="00034DB5"/>
    <w:rsid w:val="0003558D"/>
    <w:rsid w:val="000356C9"/>
    <w:rsid w:val="00035754"/>
    <w:rsid w:val="00035A28"/>
    <w:rsid w:val="00035C58"/>
    <w:rsid w:val="00035CED"/>
    <w:rsid w:val="00035DCA"/>
    <w:rsid w:val="00035E48"/>
    <w:rsid w:val="00035F54"/>
    <w:rsid w:val="000360D4"/>
    <w:rsid w:val="00036158"/>
    <w:rsid w:val="00036436"/>
    <w:rsid w:val="00036437"/>
    <w:rsid w:val="00036469"/>
    <w:rsid w:val="000364B7"/>
    <w:rsid w:val="00036608"/>
    <w:rsid w:val="00036BD3"/>
    <w:rsid w:val="00036BD7"/>
    <w:rsid w:val="00036D86"/>
    <w:rsid w:val="00036DA7"/>
    <w:rsid w:val="00036DCE"/>
    <w:rsid w:val="00036E08"/>
    <w:rsid w:val="00036E99"/>
    <w:rsid w:val="00036F02"/>
    <w:rsid w:val="00036F86"/>
    <w:rsid w:val="00036F92"/>
    <w:rsid w:val="00037062"/>
    <w:rsid w:val="00037178"/>
    <w:rsid w:val="000374A5"/>
    <w:rsid w:val="000375BF"/>
    <w:rsid w:val="00037658"/>
    <w:rsid w:val="0003771B"/>
    <w:rsid w:val="00037896"/>
    <w:rsid w:val="00037A81"/>
    <w:rsid w:val="00037B6E"/>
    <w:rsid w:val="00037BB9"/>
    <w:rsid w:val="00037BF7"/>
    <w:rsid w:val="00037D18"/>
    <w:rsid w:val="00037E80"/>
    <w:rsid w:val="00037F24"/>
    <w:rsid w:val="0004004B"/>
    <w:rsid w:val="000400D6"/>
    <w:rsid w:val="00040149"/>
    <w:rsid w:val="00040159"/>
    <w:rsid w:val="000402A0"/>
    <w:rsid w:val="000407BB"/>
    <w:rsid w:val="0004083B"/>
    <w:rsid w:val="00040A59"/>
    <w:rsid w:val="00040B1C"/>
    <w:rsid w:val="00040BD0"/>
    <w:rsid w:val="00040D21"/>
    <w:rsid w:val="00040D40"/>
    <w:rsid w:val="00040D86"/>
    <w:rsid w:val="00040EB0"/>
    <w:rsid w:val="00040ED8"/>
    <w:rsid w:val="00040F7F"/>
    <w:rsid w:val="00040F87"/>
    <w:rsid w:val="00040FF6"/>
    <w:rsid w:val="00041219"/>
    <w:rsid w:val="0004125A"/>
    <w:rsid w:val="00041372"/>
    <w:rsid w:val="000413A7"/>
    <w:rsid w:val="000414D5"/>
    <w:rsid w:val="00041524"/>
    <w:rsid w:val="0004160D"/>
    <w:rsid w:val="000416C2"/>
    <w:rsid w:val="000416DA"/>
    <w:rsid w:val="00041797"/>
    <w:rsid w:val="0004195D"/>
    <w:rsid w:val="000421EA"/>
    <w:rsid w:val="00042334"/>
    <w:rsid w:val="00042442"/>
    <w:rsid w:val="00042508"/>
    <w:rsid w:val="00042812"/>
    <w:rsid w:val="000429A5"/>
    <w:rsid w:val="00042C8D"/>
    <w:rsid w:val="00042E35"/>
    <w:rsid w:val="00042F7D"/>
    <w:rsid w:val="00043011"/>
    <w:rsid w:val="0004311E"/>
    <w:rsid w:val="00043383"/>
    <w:rsid w:val="00043398"/>
    <w:rsid w:val="00043538"/>
    <w:rsid w:val="00043624"/>
    <w:rsid w:val="0004364C"/>
    <w:rsid w:val="000436CD"/>
    <w:rsid w:val="000437A2"/>
    <w:rsid w:val="00043900"/>
    <w:rsid w:val="000439D8"/>
    <w:rsid w:val="000439DC"/>
    <w:rsid w:val="00043A8D"/>
    <w:rsid w:val="00043E5C"/>
    <w:rsid w:val="00043EB0"/>
    <w:rsid w:val="00044399"/>
    <w:rsid w:val="00044400"/>
    <w:rsid w:val="00044426"/>
    <w:rsid w:val="0004463F"/>
    <w:rsid w:val="00044681"/>
    <w:rsid w:val="000446D3"/>
    <w:rsid w:val="00044741"/>
    <w:rsid w:val="0004487F"/>
    <w:rsid w:val="000448FC"/>
    <w:rsid w:val="000449D7"/>
    <w:rsid w:val="00044A33"/>
    <w:rsid w:val="00044C8D"/>
    <w:rsid w:val="00044D55"/>
    <w:rsid w:val="00044DE9"/>
    <w:rsid w:val="00044EDF"/>
    <w:rsid w:val="00045048"/>
    <w:rsid w:val="0004504F"/>
    <w:rsid w:val="0004507F"/>
    <w:rsid w:val="00045574"/>
    <w:rsid w:val="000456D0"/>
    <w:rsid w:val="000456F8"/>
    <w:rsid w:val="000458CA"/>
    <w:rsid w:val="00045D3D"/>
    <w:rsid w:val="00045D84"/>
    <w:rsid w:val="00045EAD"/>
    <w:rsid w:val="00045FA7"/>
    <w:rsid w:val="000463A3"/>
    <w:rsid w:val="00046700"/>
    <w:rsid w:val="00046899"/>
    <w:rsid w:val="00046A53"/>
    <w:rsid w:val="00046B4A"/>
    <w:rsid w:val="00046B7A"/>
    <w:rsid w:val="00046C5D"/>
    <w:rsid w:val="00047060"/>
    <w:rsid w:val="0004726C"/>
    <w:rsid w:val="000473B5"/>
    <w:rsid w:val="000474EF"/>
    <w:rsid w:val="00047735"/>
    <w:rsid w:val="0004776B"/>
    <w:rsid w:val="000477C5"/>
    <w:rsid w:val="00047821"/>
    <w:rsid w:val="00047926"/>
    <w:rsid w:val="00047FBF"/>
    <w:rsid w:val="0005002A"/>
    <w:rsid w:val="000500ED"/>
    <w:rsid w:val="00050209"/>
    <w:rsid w:val="00050518"/>
    <w:rsid w:val="00050538"/>
    <w:rsid w:val="00050581"/>
    <w:rsid w:val="00050B4E"/>
    <w:rsid w:val="00050C20"/>
    <w:rsid w:val="00050D45"/>
    <w:rsid w:val="00050EA5"/>
    <w:rsid w:val="00050F26"/>
    <w:rsid w:val="00050F65"/>
    <w:rsid w:val="0005107D"/>
    <w:rsid w:val="00051429"/>
    <w:rsid w:val="000514A6"/>
    <w:rsid w:val="0005176D"/>
    <w:rsid w:val="00051A47"/>
    <w:rsid w:val="00051B91"/>
    <w:rsid w:val="00051F57"/>
    <w:rsid w:val="00052155"/>
    <w:rsid w:val="00052260"/>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54"/>
    <w:rsid w:val="000532AB"/>
    <w:rsid w:val="0005330F"/>
    <w:rsid w:val="00053464"/>
    <w:rsid w:val="00053980"/>
    <w:rsid w:val="0005403A"/>
    <w:rsid w:val="00054112"/>
    <w:rsid w:val="00054625"/>
    <w:rsid w:val="00054722"/>
    <w:rsid w:val="000547F5"/>
    <w:rsid w:val="0005482D"/>
    <w:rsid w:val="000548F2"/>
    <w:rsid w:val="00054932"/>
    <w:rsid w:val="00054950"/>
    <w:rsid w:val="00054AE9"/>
    <w:rsid w:val="00054B84"/>
    <w:rsid w:val="00054D31"/>
    <w:rsid w:val="00054DA3"/>
    <w:rsid w:val="00054DAE"/>
    <w:rsid w:val="00054F17"/>
    <w:rsid w:val="00054F72"/>
    <w:rsid w:val="000550A3"/>
    <w:rsid w:val="000550DF"/>
    <w:rsid w:val="00055179"/>
    <w:rsid w:val="00055703"/>
    <w:rsid w:val="00055794"/>
    <w:rsid w:val="000557C3"/>
    <w:rsid w:val="00055A38"/>
    <w:rsid w:val="00055BA5"/>
    <w:rsid w:val="000560DC"/>
    <w:rsid w:val="00056123"/>
    <w:rsid w:val="00056332"/>
    <w:rsid w:val="000563FD"/>
    <w:rsid w:val="00056679"/>
    <w:rsid w:val="0005674E"/>
    <w:rsid w:val="000567C9"/>
    <w:rsid w:val="00056C73"/>
    <w:rsid w:val="00056F52"/>
    <w:rsid w:val="00057011"/>
    <w:rsid w:val="000571D1"/>
    <w:rsid w:val="000572E3"/>
    <w:rsid w:val="00057471"/>
    <w:rsid w:val="00057891"/>
    <w:rsid w:val="0005793D"/>
    <w:rsid w:val="00057A29"/>
    <w:rsid w:val="00057AE1"/>
    <w:rsid w:val="00057B38"/>
    <w:rsid w:val="00057C7D"/>
    <w:rsid w:val="00057D79"/>
    <w:rsid w:val="00057D7D"/>
    <w:rsid w:val="00057DFB"/>
    <w:rsid w:val="00057E80"/>
    <w:rsid w:val="00057E8E"/>
    <w:rsid w:val="00060174"/>
    <w:rsid w:val="00060343"/>
    <w:rsid w:val="000603E6"/>
    <w:rsid w:val="00060495"/>
    <w:rsid w:val="000605DE"/>
    <w:rsid w:val="0006064A"/>
    <w:rsid w:val="000606CB"/>
    <w:rsid w:val="0006091B"/>
    <w:rsid w:val="00060AB5"/>
    <w:rsid w:val="00060B69"/>
    <w:rsid w:val="00061140"/>
    <w:rsid w:val="00061182"/>
    <w:rsid w:val="000611AB"/>
    <w:rsid w:val="00061217"/>
    <w:rsid w:val="00061730"/>
    <w:rsid w:val="00061770"/>
    <w:rsid w:val="00061813"/>
    <w:rsid w:val="0006191E"/>
    <w:rsid w:val="00061940"/>
    <w:rsid w:val="00061A1E"/>
    <w:rsid w:val="00061C33"/>
    <w:rsid w:val="00061EC7"/>
    <w:rsid w:val="00061EC8"/>
    <w:rsid w:val="0006211B"/>
    <w:rsid w:val="0006213A"/>
    <w:rsid w:val="000622EC"/>
    <w:rsid w:val="00062319"/>
    <w:rsid w:val="00062413"/>
    <w:rsid w:val="00062495"/>
    <w:rsid w:val="00062637"/>
    <w:rsid w:val="000627E0"/>
    <w:rsid w:val="00062A57"/>
    <w:rsid w:val="00062A98"/>
    <w:rsid w:val="00062AA7"/>
    <w:rsid w:val="00062AFE"/>
    <w:rsid w:val="00062D68"/>
    <w:rsid w:val="00062E21"/>
    <w:rsid w:val="00062EE7"/>
    <w:rsid w:val="000631C7"/>
    <w:rsid w:val="000631E8"/>
    <w:rsid w:val="000632F5"/>
    <w:rsid w:val="000633EE"/>
    <w:rsid w:val="00063700"/>
    <w:rsid w:val="0006374B"/>
    <w:rsid w:val="00063844"/>
    <w:rsid w:val="00063AB1"/>
    <w:rsid w:val="00063B51"/>
    <w:rsid w:val="00063C40"/>
    <w:rsid w:val="00063C5C"/>
    <w:rsid w:val="00064156"/>
    <w:rsid w:val="000641AC"/>
    <w:rsid w:val="000644BB"/>
    <w:rsid w:val="000646A8"/>
    <w:rsid w:val="00064AA8"/>
    <w:rsid w:val="00064C62"/>
    <w:rsid w:val="00064F9A"/>
    <w:rsid w:val="00064FA4"/>
    <w:rsid w:val="000651AA"/>
    <w:rsid w:val="000652F1"/>
    <w:rsid w:val="00065421"/>
    <w:rsid w:val="0006559D"/>
    <w:rsid w:val="000656BC"/>
    <w:rsid w:val="0006582B"/>
    <w:rsid w:val="00065AE2"/>
    <w:rsid w:val="00065B24"/>
    <w:rsid w:val="00065D0A"/>
    <w:rsid w:val="00065E25"/>
    <w:rsid w:val="00065E78"/>
    <w:rsid w:val="00065EE3"/>
    <w:rsid w:val="00065F71"/>
    <w:rsid w:val="000661C4"/>
    <w:rsid w:val="00066269"/>
    <w:rsid w:val="00066505"/>
    <w:rsid w:val="000666D5"/>
    <w:rsid w:val="00066827"/>
    <w:rsid w:val="00066836"/>
    <w:rsid w:val="00066909"/>
    <w:rsid w:val="00066948"/>
    <w:rsid w:val="00066E46"/>
    <w:rsid w:val="00066EA1"/>
    <w:rsid w:val="00066ED7"/>
    <w:rsid w:val="00067036"/>
    <w:rsid w:val="000670C7"/>
    <w:rsid w:val="000671F6"/>
    <w:rsid w:val="000672F4"/>
    <w:rsid w:val="0006759A"/>
    <w:rsid w:val="000675BA"/>
    <w:rsid w:val="000676C2"/>
    <w:rsid w:val="0006799A"/>
    <w:rsid w:val="00070226"/>
    <w:rsid w:val="000703A9"/>
    <w:rsid w:val="00070805"/>
    <w:rsid w:val="00070906"/>
    <w:rsid w:val="00070979"/>
    <w:rsid w:val="000709B5"/>
    <w:rsid w:val="000709D6"/>
    <w:rsid w:val="00070B61"/>
    <w:rsid w:val="00070BD2"/>
    <w:rsid w:val="00070DAB"/>
    <w:rsid w:val="00070FE5"/>
    <w:rsid w:val="00071121"/>
    <w:rsid w:val="0007124C"/>
    <w:rsid w:val="0007139D"/>
    <w:rsid w:val="000713DB"/>
    <w:rsid w:val="00071908"/>
    <w:rsid w:val="0007197F"/>
    <w:rsid w:val="00071A75"/>
    <w:rsid w:val="00071AF3"/>
    <w:rsid w:val="00071C16"/>
    <w:rsid w:val="00071C80"/>
    <w:rsid w:val="00071CCA"/>
    <w:rsid w:val="00071E2F"/>
    <w:rsid w:val="00071E65"/>
    <w:rsid w:val="000720AF"/>
    <w:rsid w:val="0007228D"/>
    <w:rsid w:val="000723C6"/>
    <w:rsid w:val="00072615"/>
    <w:rsid w:val="0007273F"/>
    <w:rsid w:val="0007288D"/>
    <w:rsid w:val="00072B11"/>
    <w:rsid w:val="00072CD1"/>
    <w:rsid w:val="00073034"/>
    <w:rsid w:val="0007304C"/>
    <w:rsid w:val="00073364"/>
    <w:rsid w:val="000734B5"/>
    <w:rsid w:val="000734B8"/>
    <w:rsid w:val="00073657"/>
    <w:rsid w:val="00073729"/>
    <w:rsid w:val="00073800"/>
    <w:rsid w:val="00073E05"/>
    <w:rsid w:val="00074016"/>
    <w:rsid w:val="000740CB"/>
    <w:rsid w:val="0007417E"/>
    <w:rsid w:val="0007453B"/>
    <w:rsid w:val="0007453F"/>
    <w:rsid w:val="000746FF"/>
    <w:rsid w:val="00074845"/>
    <w:rsid w:val="0007498D"/>
    <w:rsid w:val="00074AD7"/>
    <w:rsid w:val="00074D43"/>
    <w:rsid w:val="00074E1A"/>
    <w:rsid w:val="00074F11"/>
    <w:rsid w:val="000752A2"/>
    <w:rsid w:val="00075433"/>
    <w:rsid w:val="00075562"/>
    <w:rsid w:val="000755F2"/>
    <w:rsid w:val="00075649"/>
    <w:rsid w:val="000757C5"/>
    <w:rsid w:val="00075981"/>
    <w:rsid w:val="00075996"/>
    <w:rsid w:val="00075A8B"/>
    <w:rsid w:val="00075AB7"/>
    <w:rsid w:val="00075B1C"/>
    <w:rsid w:val="00075C88"/>
    <w:rsid w:val="00075FEB"/>
    <w:rsid w:val="000760B1"/>
    <w:rsid w:val="000761DC"/>
    <w:rsid w:val="00076317"/>
    <w:rsid w:val="0007649F"/>
    <w:rsid w:val="000764F4"/>
    <w:rsid w:val="00076656"/>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797"/>
    <w:rsid w:val="000808EC"/>
    <w:rsid w:val="00080906"/>
    <w:rsid w:val="00080961"/>
    <w:rsid w:val="00080987"/>
    <w:rsid w:val="00080BD8"/>
    <w:rsid w:val="00080CC6"/>
    <w:rsid w:val="00080CE7"/>
    <w:rsid w:val="00080DE0"/>
    <w:rsid w:val="00081319"/>
    <w:rsid w:val="0008137A"/>
    <w:rsid w:val="000814A8"/>
    <w:rsid w:val="00081778"/>
    <w:rsid w:val="0008180F"/>
    <w:rsid w:val="000819D9"/>
    <w:rsid w:val="00081A60"/>
    <w:rsid w:val="00081A7D"/>
    <w:rsid w:val="00081B84"/>
    <w:rsid w:val="00081BCF"/>
    <w:rsid w:val="00081D10"/>
    <w:rsid w:val="00081D79"/>
    <w:rsid w:val="00081E27"/>
    <w:rsid w:val="00081E5A"/>
    <w:rsid w:val="00081EAA"/>
    <w:rsid w:val="00082433"/>
    <w:rsid w:val="0008245D"/>
    <w:rsid w:val="00082556"/>
    <w:rsid w:val="00082647"/>
    <w:rsid w:val="00082A15"/>
    <w:rsid w:val="00082BA2"/>
    <w:rsid w:val="00082BFE"/>
    <w:rsid w:val="00082C3F"/>
    <w:rsid w:val="00082CDF"/>
    <w:rsid w:val="00083240"/>
    <w:rsid w:val="000834F5"/>
    <w:rsid w:val="000835AA"/>
    <w:rsid w:val="0008374E"/>
    <w:rsid w:val="000838CE"/>
    <w:rsid w:val="0008391A"/>
    <w:rsid w:val="00083928"/>
    <w:rsid w:val="00083AB1"/>
    <w:rsid w:val="00083AEA"/>
    <w:rsid w:val="00083C02"/>
    <w:rsid w:val="00083F8C"/>
    <w:rsid w:val="000841F5"/>
    <w:rsid w:val="00084433"/>
    <w:rsid w:val="00084475"/>
    <w:rsid w:val="0008471D"/>
    <w:rsid w:val="000848E2"/>
    <w:rsid w:val="00084C8E"/>
    <w:rsid w:val="00084D7B"/>
    <w:rsid w:val="0008542D"/>
    <w:rsid w:val="0008547C"/>
    <w:rsid w:val="000855B0"/>
    <w:rsid w:val="000858B2"/>
    <w:rsid w:val="00085903"/>
    <w:rsid w:val="00085A3C"/>
    <w:rsid w:val="00085A72"/>
    <w:rsid w:val="00085B50"/>
    <w:rsid w:val="00085BFC"/>
    <w:rsid w:val="00085C74"/>
    <w:rsid w:val="00085CF3"/>
    <w:rsid w:val="000861BE"/>
    <w:rsid w:val="000862F4"/>
    <w:rsid w:val="000863B5"/>
    <w:rsid w:val="00086547"/>
    <w:rsid w:val="000865BD"/>
    <w:rsid w:val="00086680"/>
    <w:rsid w:val="000868DA"/>
    <w:rsid w:val="000868DE"/>
    <w:rsid w:val="00086A35"/>
    <w:rsid w:val="00086C8C"/>
    <w:rsid w:val="00086D7E"/>
    <w:rsid w:val="00086F6F"/>
    <w:rsid w:val="00087078"/>
    <w:rsid w:val="00087391"/>
    <w:rsid w:val="0008750C"/>
    <w:rsid w:val="00087634"/>
    <w:rsid w:val="0008783E"/>
    <w:rsid w:val="00087E86"/>
    <w:rsid w:val="00087FC2"/>
    <w:rsid w:val="00090004"/>
    <w:rsid w:val="000900AA"/>
    <w:rsid w:val="0009013D"/>
    <w:rsid w:val="0009015D"/>
    <w:rsid w:val="0009028E"/>
    <w:rsid w:val="000902C8"/>
    <w:rsid w:val="000904AF"/>
    <w:rsid w:val="0009053B"/>
    <w:rsid w:val="000905BD"/>
    <w:rsid w:val="00090723"/>
    <w:rsid w:val="0009073D"/>
    <w:rsid w:val="0009094B"/>
    <w:rsid w:val="00090AD9"/>
    <w:rsid w:val="00090EAF"/>
    <w:rsid w:val="00090F43"/>
    <w:rsid w:val="0009126A"/>
    <w:rsid w:val="000912AD"/>
    <w:rsid w:val="00091529"/>
    <w:rsid w:val="000916DB"/>
    <w:rsid w:val="00091720"/>
    <w:rsid w:val="000917CD"/>
    <w:rsid w:val="00091824"/>
    <w:rsid w:val="000918D9"/>
    <w:rsid w:val="000918F5"/>
    <w:rsid w:val="0009195B"/>
    <w:rsid w:val="00091B84"/>
    <w:rsid w:val="00091BB0"/>
    <w:rsid w:val="00091DF2"/>
    <w:rsid w:val="00092144"/>
    <w:rsid w:val="00092213"/>
    <w:rsid w:val="00092371"/>
    <w:rsid w:val="000923D0"/>
    <w:rsid w:val="00092436"/>
    <w:rsid w:val="0009244C"/>
    <w:rsid w:val="00092AA0"/>
    <w:rsid w:val="00092B3A"/>
    <w:rsid w:val="00092C3B"/>
    <w:rsid w:val="00092DA2"/>
    <w:rsid w:val="00092DA3"/>
    <w:rsid w:val="00092DC5"/>
    <w:rsid w:val="00092F3D"/>
    <w:rsid w:val="000932A5"/>
    <w:rsid w:val="0009350C"/>
    <w:rsid w:val="000937D6"/>
    <w:rsid w:val="00093961"/>
    <w:rsid w:val="000939CD"/>
    <w:rsid w:val="00093A35"/>
    <w:rsid w:val="00093B25"/>
    <w:rsid w:val="00093F6B"/>
    <w:rsid w:val="00094045"/>
    <w:rsid w:val="0009407B"/>
    <w:rsid w:val="000940F9"/>
    <w:rsid w:val="00094392"/>
    <w:rsid w:val="00094631"/>
    <w:rsid w:val="0009474D"/>
    <w:rsid w:val="00094789"/>
    <w:rsid w:val="00094C98"/>
    <w:rsid w:val="00094DAB"/>
    <w:rsid w:val="00095186"/>
    <w:rsid w:val="000953DC"/>
    <w:rsid w:val="000953DE"/>
    <w:rsid w:val="00095555"/>
    <w:rsid w:val="00095732"/>
    <w:rsid w:val="00095A35"/>
    <w:rsid w:val="00095A3E"/>
    <w:rsid w:val="00095DB5"/>
    <w:rsid w:val="00095DCC"/>
    <w:rsid w:val="00095E3B"/>
    <w:rsid w:val="00095FF6"/>
    <w:rsid w:val="00096066"/>
    <w:rsid w:val="0009609A"/>
    <w:rsid w:val="000961A0"/>
    <w:rsid w:val="000961F6"/>
    <w:rsid w:val="0009632A"/>
    <w:rsid w:val="000964D0"/>
    <w:rsid w:val="0009662B"/>
    <w:rsid w:val="00096672"/>
    <w:rsid w:val="00096B44"/>
    <w:rsid w:val="00096BAB"/>
    <w:rsid w:val="00096CA4"/>
    <w:rsid w:val="00096D9B"/>
    <w:rsid w:val="00096FDC"/>
    <w:rsid w:val="00097074"/>
    <w:rsid w:val="00097202"/>
    <w:rsid w:val="00097228"/>
    <w:rsid w:val="000972D9"/>
    <w:rsid w:val="000974B8"/>
    <w:rsid w:val="0009752A"/>
    <w:rsid w:val="000975AA"/>
    <w:rsid w:val="000976A2"/>
    <w:rsid w:val="0009770F"/>
    <w:rsid w:val="0009771B"/>
    <w:rsid w:val="0009788D"/>
    <w:rsid w:val="000979D1"/>
    <w:rsid w:val="00097AC9"/>
    <w:rsid w:val="00097B74"/>
    <w:rsid w:val="00097B7B"/>
    <w:rsid w:val="000A0380"/>
    <w:rsid w:val="000A05CF"/>
    <w:rsid w:val="000A0617"/>
    <w:rsid w:val="000A08BE"/>
    <w:rsid w:val="000A09C4"/>
    <w:rsid w:val="000A0B2B"/>
    <w:rsid w:val="000A0B6E"/>
    <w:rsid w:val="000A0C93"/>
    <w:rsid w:val="000A0CC6"/>
    <w:rsid w:val="000A0DC2"/>
    <w:rsid w:val="000A0E32"/>
    <w:rsid w:val="000A1224"/>
    <w:rsid w:val="000A1435"/>
    <w:rsid w:val="000A14D1"/>
    <w:rsid w:val="000A1950"/>
    <w:rsid w:val="000A1974"/>
    <w:rsid w:val="000A1978"/>
    <w:rsid w:val="000A1E0B"/>
    <w:rsid w:val="000A1E71"/>
    <w:rsid w:val="000A1E95"/>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C9D"/>
    <w:rsid w:val="000A2DFD"/>
    <w:rsid w:val="000A2EED"/>
    <w:rsid w:val="000A2F7F"/>
    <w:rsid w:val="000A2FB6"/>
    <w:rsid w:val="000A32EC"/>
    <w:rsid w:val="000A3415"/>
    <w:rsid w:val="000A351E"/>
    <w:rsid w:val="000A3779"/>
    <w:rsid w:val="000A39D8"/>
    <w:rsid w:val="000A3B11"/>
    <w:rsid w:val="000A3B74"/>
    <w:rsid w:val="000A3BF5"/>
    <w:rsid w:val="000A3D8B"/>
    <w:rsid w:val="000A3DC9"/>
    <w:rsid w:val="000A3E98"/>
    <w:rsid w:val="000A3F02"/>
    <w:rsid w:val="000A4149"/>
    <w:rsid w:val="000A4184"/>
    <w:rsid w:val="000A41E0"/>
    <w:rsid w:val="000A437E"/>
    <w:rsid w:val="000A446D"/>
    <w:rsid w:val="000A4978"/>
    <w:rsid w:val="000A49D4"/>
    <w:rsid w:val="000A4A22"/>
    <w:rsid w:val="000A4A7E"/>
    <w:rsid w:val="000A4DA3"/>
    <w:rsid w:val="000A4DEB"/>
    <w:rsid w:val="000A4E46"/>
    <w:rsid w:val="000A4FCE"/>
    <w:rsid w:val="000A4FE9"/>
    <w:rsid w:val="000A50C7"/>
    <w:rsid w:val="000A51CE"/>
    <w:rsid w:val="000A5256"/>
    <w:rsid w:val="000A52EF"/>
    <w:rsid w:val="000A5325"/>
    <w:rsid w:val="000A5430"/>
    <w:rsid w:val="000A5640"/>
    <w:rsid w:val="000A5704"/>
    <w:rsid w:val="000A588B"/>
    <w:rsid w:val="000A592D"/>
    <w:rsid w:val="000A592E"/>
    <w:rsid w:val="000A597B"/>
    <w:rsid w:val="000A59A5"/>
    <w:rsid w:val="000A59BA"/>
    <w:rsid w:val="000A5B15"/>
    <w:rsid w:val="000A5D26"/>
    <w:rsid w:val="000A5D5E"/>
    <w:rsid w:val="000A60A8"/>
    <w:rsid w:val="000A638B"/>
    <w:rsid w:val="000A658C"/>
    <w:rsid w:val="000A660B"/>
    <w:rsid w:val="000A6764"/>
    <w:rsid w:val="000A6809"/>
    <w:rsid w:val="000A6A2A"/>
    <w:rsid w:val="000A6B75"/>
    <w:rsid w:val="000A6BCC"/>
    <w:rsid w:val="000A6CC5"/>
    <w:rsid w:val="000A6E57"/>
    <w:rsid w:val="000A7069"/>
    <w:rsid w:val="000A7209"/>
    <w:rsid w:val="000A756C"/>
    <w:rsid w:val="000A757E"/>
    <w:rsid w:val="000A786C"/>
    <w:rsid w:val="000A795C"/>
    <w:rsid w:val="000A7BDC"/>
    <w:rsid w:val="000A7CA8"/>
    <w:rsid w:val="000A7D2C"/>
    <w:rsid w:val="000B0060"/>
    <w:rsid w:val="000B0582"/>
    <w:rsid w:val="000B05AF"/>
    <w:rsid w:val="000B0612"/>
    <w:rsid w:val="000B0778"/>
    <w:rsid w:val="000B08BE"/>
    <w:rsid w:val="000B0942"/>
    <w:rsid w:val="000B0A5A"/>
    <w:rsid w:val="000B0B52"/>
    <w:rsid w:val="000B0C69"/>
    <w:rsid w:val="000B0E60"/>
    <w:rsid w:val="000B0EDF"/>
    <w:rsid w:val="000B0FB3"/>
    <w:rsid w:val="000B0FE5"/>
    <w:rsid w:val="000B1117"/>
    <w:rsid w:val="000B1249"/>
    <w:rsid w:val="000B12AF"/>
    <w:rsid w:val="000B13D4"/>
    <w:rsid w:val="000B1533"/>
    <w:rsid w:val="000B19E2"/>
    <w:rsid w:val="000B1A8E"/>
    <w:rsid w:val="000B1B3D"/>
    <w:rsid w:val="000B1B6B"/>
    <w:rsid w:val="000B1C80"/>
    <w:rsid w:val="000B1CAD"/>
    <w:rsid w:val="000B1E3F"/>
    <w:rsid w:val="000B1FBB"/>
    <w:rsid w:val="000B22ED"/>
    <w:rsid w:val="000B242B"/>
    <w:rsid w:val="000B2803"/>
    <w:rsid w:val="000B28B1"/>
    <w:rsid w:val="000B29B6"/>
    <w:rsid w:val="000B2A28"/>
    <w:rsid w:val="000B2A93"/>
    <w:rsid w:val="000B2C89"/>
    <w:rsid w:val="000B2F0D"/>
    <w:rsid w:val="000B32ED"/>
    <w:rsid w:val="000B35E1"/>
    <w:rsid w:val="000B3623"/>
    <w:rsid w:val="000B36CE"/>
    <w:rsid w:val="000B3720"/>
    <w:rsid w:val="000B37A3"/>
    <w:rsid w:val="000B3875"/>
    <w:rsid w:val="000B3A62"/>
    <w:rsid w:val="000B3C7A"/>
    <w:rsid w:val="000B3CCF"/>
    <w:rsid w:val="000B3D59"/>
    <w:rsid w:val="000B3DCF"/>
    <w:rsid w:val="000B4434"/>
    <w:rsid w:val="000B4723"/>
    <w:rsid w:val="000B482F"/>
    <w:rsid w:val="000B48E8"/>
    <w:rsid w:val="000B4930"/>
    <w:rsid w:val="000B4A4F"/>
    <w:rsid w:val="000B4A50"/>
    <w:rsid w:val="000B4D0A"/>
    <w:rsid w:val="000B4E49"/>
    <w:rsid w:val="000B4E8C"/>
    <w:rsid w:val="000B4F78"/>
    <w:rsid w:val="000B52A1"/>
    <w:rsid w:val="000B5327"/>
    <w:rsid w:val="000B585A"/>
    <w:rsid w:val="000B5963"/>
    <w:rsid w:val="000B5966"/>
    <w:rsid w:val="000B59C3"/>
    <w:rsid w:val="000B59D2"/>
    <w:rsid w:val="000B5BDD"/>
    <w:rsid w:val="000B5DFA"/>
    <w:rsid w:val="000B5EA1"/>
    <w:rsid w:val="000B606D"/>
    <w:rsid w:val="000B60A4"/>
    <w:rsid w:val="000B6191"/>
    <w:rsid w:val="000B61A6"/>
    <w:rsid w:val="000B634F"/>
    <w:rsid w:val="000B6444"/>
    <w:rsid w:val="000B65DE"/>
    <w:rsid w:val="000B6841"/>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C3D"/>
    <w:rsid w:val="000B7F29"/>
    <w:rsid w:val="000C0002"/>
    <w:rsid w:val="000C0089"/>
    <w:rsid w:val="000C00A7"/>
    <w:rsid w:val="000C0514"/>
    <w:rsid w:val="000C0531"/>
    <w:rsid w:val="000C062A"/>
    <w:rsid w:val="000C0AA9"/>
    <w:rsid w:val="000C0B97"/>
    <w:rsid w:val="000C0C21"/>
    <w:rsid w:val="000C0CD3"/>
    <w:rsid w:val="000C0CD4"/>
    <w:rsid w:val="000C0D93"/>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68"/>
    <w:rsid w:val="000C2783"/>
    <w:rsid w:val="000C29F4"/>
    <w:rsid w:val="000C2D75"/>
    <w:rsid w:val="000C2F40"/>
    <w:rsid w:val="000C3025"/>
    <w:rsid w:val="000C31CA"/>
    <w:rsid w:val="000C31D4"/>
    <w:rsid w:val="000C3331"/>
    <w:rsid w:val="000C3351"/>
    <w:rsid w:val="000C3407"/>
    <w:rsid w:val="000C35E8"/>
    <w:rsid w:val="000C363C"/>
    <w:rsid w:val="000C374F"/>
    <w:rsid w:val="000C38AB"/>
    <w:rsid w:val="000C38FE"/>
    <w:rsid w:val="000C395D"/>
    <w:rsid w:val="000C3A28"/>
    <w:rsid w:val="000C3B65"/>
    <w:rsid w:val="000C3CEA"/>
    <w:rsid w:val="000C3D5F"/>
    <w:rsid w:val="000C3D9C"/>
    <w:rsid w:val="000C3DEF"/>
    <w:rsid w:val="000C40F8"/>
    <w:rsid w:val="000C4136"/>
    <w:rsid w:val="000C46BA"/>
    <w:rsid w:val="000C474B"/>
    <w:rsid w:val="000C47A0"/>
    <w:rsid w:val="000C490A"/>
    <w:rsid w:val="000C4967"/>
    <w:rsid w:val="000C4B32"/>
    <w:rsid w:val="000C4C29"/>
    <w:rsid w:val="000C4CA9"/>
    <w:rsid w:val="000C4DC2"/>
    <w:rsid w:val="000C4FC9"/>
    <w:rsid w:val="000C4FE9"/>
    <w:rsid w:val="000C50C7"/>
    <w:rsid w:val="000C50DA"/>
    <w:rsid w:val="000C50FA"/>
    <w:rsid w:val="000C5323"/>
    <w:rsid w:val="000C5444"/>
    <w:rsid w:val="000C5836"/>
    <w:rsid w:val="000C5B1B"/>
    <w:rsid w:val="000C5B4D"/>
    <w:rsid w:val="000C5BA3"/>
    <w:rsid w:val="000C5E62"/>
    <w:rsid w:val="000C5E69"/>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292"/>
    <w:rsid w:val="000C762B"/>
    <w:rsid w:val="000C7635"/>
    <w:rsid w:val="000C7807"/>
    <w:rsid w:val="000C7A10"/>
    <w:rsid w:val="000C7B61"/>
    <w:rsid w:val="000C7D27"/>
    <w:rsid w:val="000C7E1C"/>
    <w:rsid w:val="000C7FA9"/>
    <w:rsid w:val="000D008E"/>
    <w:rsid w:val="000D00BA"/>
    <w:rsid w:val="000D01FA"/>
    <w:rsid w:val="000D04FD"/>
    <w:rsid w:val="000D05CA"/>
    <w:rsid w:val="000D084F"/>
    <w:rsid w:val="000D0942"/>
    <w:rsid w:val="000D0988"/>
    <w:rsid w:val="000D0B87"/>
    <w:rsid w:val="000D0C47"/>
    <w:rsid w:val="000D0D98"/>
    <w:rsid w:val="000D0EE1"/>
    <w:rsid w:val="000D113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1F43"/>
    <w:rsid w:val="000D1FFA"/>
    <w:rsid w:val="000D2147"/>
    <w:rsid w:val="000D229D"/>
    <w:rsid w:val="000D25A2"/>
    <w:rsid w:val="000D278C"/>
    <w:rsid w:val="000D279B"/>
    <w:rsid w:val="000D27EB"/>
    <w:rsid w:val="000D2871"/>
    <w:rsid w:val="000D2933"/>
    <w:rsid w:val="000D298F"/>
    <w:rsid w:val="000D2A97"/>
    <w:rsid w:val="000D2B32"/>
    <w:rsid w:val="000D2BEC"/>
    <w:rsid w:val="000D2D1A"/>
    <w:rsid w:val="000D2D82"/>
    <w:rsid w:val="000D33CD"/>
    <w:rsid w:val="000D352B"/>
    <w:rsid w:val="000D3573"/>
    <w:rsid w:val="000D35E5"/>
    <w:rsid w:val="000D362B"/>
    <w:rsid w:val="000D38C6"/>
    <w:rsid w:val="000D39FE"/>
    <w:rsid w:val="000D3A79"/>
    <w:rsid w:val="000D3AF3"/>
    <w:rsid w:val="000D40E3"/>
    <w:rsid w:val="000D420B"/>
    <w:rsid w:val="000D4581"/>
    <w:rsid w:val="000D4787"/>
    <w:rsid w:val="000D4945"/>
    <w:rsid w:val="000D4A3B"/>
    <w:rsid w:val="000D4C0B"/>
    <w:rsid w:val="000D4C4F"/>
    <w:rsid w:val="000D4D13"/>
    <w:rsid w:val="000D4FBA"/>
    <w:rsid w:val="000D50B5"/>
    <w:rsid w:val="000D5165"/>
    <w:rsid w:val="000D525A"/>
    <w:rsid w:val="000D537C"/>
    <w:rsid w:val="000D56CC"/>
    <w:rsid w:val="000D589D"/>
    <w:rsid w:val="000D5931"/>
    <w:rsid w:val="000D5B17"/>
    <w:rsid w:val="000D5BD1"/>
    <w:rsid w:val="000D5DB3"/>
    <w:rsid w:val="000D5E0C"/>
    <w:rsid w:val="000D5F96"/>
    <w:rsid w:val="000D6256"/>
    <w:rsid w:val="000D6521"/>
    <w:rsid w:val="000D664F"/>
    <w:rsid w:val="000D6930"/>
    <w:rsid w:val="000D695B"/>
    <w:rsid w:val="000D6C37"/>
    <w:rsid w:val="000D6D5F"/>
    <w:rsid w:val="000D6D7B"/>
    <w:rsid w:val="000D6E37"/>
    <w:rsid w:val="000D6E98"/>
    <w:rsid w:val="000D6F73"/>
    <w:rsid w:val="000D70AC"/>
    <w:rsid w:val="000D724D"/>
    <w:rsid w:val="000D72AE"/>
    <w:rsid w:val="000D74A5"/>
    <w:rsid w:val="000D7595"/>
    <w:rsid w:val="000D7AA4"/>
    <w:rsid w:val="000D7B91"/>
    <w:rsid w:val="000D7C14"/>
    <w:rsid w:val="000D7E9E"/>
    <w:rsid w:val="000D7EF4"/>
    <w:rsid w:val="000D7F0C"/>
    <w:rsid w:val="000D7F5E"/>
    <w:rsid w:val="000E00C3"/>
    <w:rsid w:val="000E00CC"/>
    <w:rsid w:val="000E02B5"/>
    <w:rsid w:val="000E032E"/>
    <w:rsid w:val="000E04F6"/>
    <w:rsid w:val="000E05FE"/>
    <w:rsid w:val="000E09E1"/>
    <w:rsid w:val="000E0BCE"/>
    <w:rsid w:val="000E0C09"/>
    <w:rsid w:val="000E0C65"/>
    <w:rsid w:val="000E0FD1"/>
    <w:rsid w:val="000E110C"/>
    <w:rsid w:val="000E1187"/>
    <w:rsid w:val="000E11B4"/>
    <w:rsid w:val="000E13C1"/>
    <w:rsid w:val="000E15B2"/>
    <w:rsid w:val="000E1642"/>
    <w:rsid w:val="000E173C"/>
    <w:rsid w:val="000E175B"/>
    <w:rsid w:val="000E1837"/>
    <w:rsid w:val="000E1896"/>
    <w:rsid w:val="000E1995"/>
    <w:rsid w:val="000E1B2F"/>
    <w:rsid w:val="000E1BEA"/>
    <w:rsid w:val="000E22FB"/>
    <w:rsid w:val="000E23A8"/>
    <w:rsid w:val="000E2823"/>
    <w:rsid w:val="000E29DB"/>
    <w:rsid w:val="000E2BFA"/>
    <w:rsid w:val="000E2D12"/>
    <w:rsid w:val="000E2D22"/>
    <w:rsid w:val="000E2DBD"/>
    <w:rsid w:val="000E2DD5"/>
    <w:rsid w:val="000E2F52"/>
    <w:rsid w:val="000E3077"/>
    <w:rsid w:val="000E31F9"/>
    <w:rsid w:val="000E35C9"/>
    <w:rsid w:val="000E36DA"/>
    <w:rsid w:val="000E39B6"/>
    <w:rsid w:val="000E3BA2"/>
    <w:rsid w:val="000E3C24"/>
    <w:rsid w:val="000E3C68"/>
    <w:rsid w:val="000E3C76"/>
    <w:rsid w:val="000E3D57"/>
    <w:rsid w:val="000E3D82"/>
    <w:rsid w:val="000E3F11"/>
    <w:rsid w:val="000E40AD"/>
    <w:rsid w:val="000E4194"/>
    <w:rsid w:val="000E4199"/>
    <w:rsid w:val="000E41F3"/>
    <w:rsid w:val="000E4511"/>
    <w:rsid w:val="000E45C4"/>
    <w:rsid w:val="000E4731"/>
    <w:rsid w:val="000E478D"/>
    <w:rsid w:val="000E4A4A"/>
    <w:rsid w:val="000E4A7B"/>
    <w:rsid w:val="000E4BAB"/>
    <w:rsid w:val="000E4BAC"/>
    <w:rsid w:val="000E4BFE"/>
    <w:rsid w:val="000E4E3F"/>
    <w:rsid w:val="000E4F1B"/>
    <w:rsid w:val="000E4FC6"/>
    <w:rsid w:val="000E5094"/>
    <w:rsid w:val="000E50C0"/>
    <w:rsid w:val="000E5230"/>
    <w:rsid w:val="000E53BE"/>
    <w:rsid w:val="000E5A66"/>
    <w:rsid w:val="000E5C22"/>
    <w:rsid w:val="000E5D88"/>
    <w:rsid w:val="000E5EAC"/>
    <w:rsid w:val="000E5F95"/>
    <w:rsid w:val="000E61B5"/>
    <w:rsid w:val="000E629D"/>
    <w:rsid w:val="000E63B4"/>
    <w:rsid w:val="000E6497"/>
    <w:rsid w:val="000E64A6"/>
    <w:rsid w:val="000E6745"/>
    <w:rsid w:val="000E675E"/>
    <w:rsid w:val="000E6822"/>
    <w:rsid w:val="000E6838"/>
    <w:rsid w:val="000E6CD2"/>
    <w:rsid w:val="000E6D40"/>
    <w:rsid w:val="000E6DDB"/>
    <w:rsid w:val="000E6F89"/>
    <w:rsid w:val="000E7190"/>
    <w:rsid w:val="000E7540"/>
    <w:rsid w:val="000E7659"/>
    <w:rsid w:val="000E77EA"/>
    <w:rsid w:val="000E785B"/>
    <w:rsid w:val="000E7895"/>
    <w:rsid w:val="000E7945"/>
    <w:rsid w:val="000E7B11"/>
    <w:rsid w:val="000E7B80"/>
    <w:rsid w:val="000E7C22"/>
    <w:rsid w:val="000E7C2C"/>
    <w:rsid w:val="000E7E32"/>
    <w:rsid w:val="000F002C"/>
    <w:rsid w:val="000F0106"/>
    <w:rsid w:val="000F0386"/>
    <w:rsid w:val="000F0649"/>
    <w:rsid w:val="000F075C"/>
    <w:rsid w:val="000F07AE"/>
    <w:rsid w:val="000F0803"/>
    <w:rsid w:val="000F0B15"/>
    <w:rsid w:val="000F0BD4"/>
    <w:rsid w:val="000F0C39"/>
    <w:rsid w:val="000F0D24"/>
    <w:rsid w:val="000F0E2B"/>
    <w:rsid w:val="000F0E2F"/>
    <w:rsid w:val="000F0F9B"/>
    <w:rsid w:val="000F1122"/>
    <w:rsid w:val="000F1147"/>
    <w:rsid w:val="000F1177"/>
    <w:rsid w:val="000F1258"/>
    <w:rsid w:val="000F137E"/>
    <w:rsid w:val="000F13AB"/>
    <w:rsid w:val="000F150D"/>
    <w:rsid w:val="000F184B"/>
    <w:rsid w:val="000F1871"/>
    <w:rsid w:val="000F1889"/>
    <w:rsid w:val="000F198C"/>
    <w:rsid w:val="000F19F2"/>
    <w:rsid w:val="000F1A09"/>
    <w:rsid w:val="000F1C82"/>
    <w:rsid w:val="000F1DC8"/>
    <w:rsid w:val="000F1F3D"/>
    <w:rsid w:val="000F1F5C"/>
    <w:rsid w:val="000F20A1"/>
    <w:rsid w:val="000F20F5"/>
    <w:rsid w:val="000F21E9"/>
    <w:rsid w:val="000F2442"/>
    <w:rsid w:val="000F2497"/>
    <w:rsid w:val="000F25F7"/>
    <w:rsid w:val="000F2637"/>
    <w:rsid w:val="000F26DE"/>
    <w:rsid w:val="000F271C"/>
    <w:rsid w:val="000F28D1"/>
    <w:rsid w:val="000F2A13"/>
    <w:rsid w:val="000F2A8F"/>
    <w:rsid w:val="000F2D3B"/>
    <w:rsid w:val="000F2F10"/>
    <w:rsid w:val="000F2FA5"/>
    <w:rsid w:val="000F30B6"/>
    <w:rsid w:val="000F30C6"/>
    <w:rsid w:val="000F33A1"/>
    <w:rsid w:val="000F36CC"/>
    <w:rsid w:val="000F3710"/>
    <w:rsid w:val="000F3917"/>
    <w:rsid w:val="000F3AA5"/>
    <w:rsid w:val="000F3B0C"/>
    <w:rsid w:val="000F3B95"/>
    <w:rsid w:val="000F3DDD"/>
    <w:rsid w:val="000F3E33"/>
    <w:rsid w:val="000F403A"/>
    <w:rsid w:val="000F4054"/>
    <w:rsid w:val="000F4072"/>
    <w:rsid w:val="000F428F"/>
    <w:rsid w:val="000F430C"/>
    <w:rsid w:val="000F435A"/>
    <w:rsid w:val="000F4583"/>
    <w:rsid w:val="000F4644"/>
    <w:rsid w:val="000F49BA"/>
    <w:rsid w:val="000F4C56"/>
    <w:rsid w:val="000F4D6B"/>
    <w:rsid w:val="000F4EEB"/>
    <w:rsid w:val="000F511D"/>
    <w:rsid w:val="000F52B8"/>
    <w:rsid w:val="000F52F3"/>
    <w:rsid w:val="000F566C"/>
    <w:rsid w:val="000F5773"/>
    <w:rsid w:val="000F57D1"/>
    <w:rsid w:val="000F57E1"/>
    <w:rsid w:val="000F5919"/>
    <w:rsid w:val="000F5DC1"/>
    <w:rsid w:val="000F5E00"/>
    <w:rsid w:val="000F5E0E"/>
    <w:rsid w:val="000F5FE9"/>
    <w:rsid w:val="000F6081"/>
    <w:rsid w:val="000F61C0"/>
    <w:rsid w:val="000F6242"/>
    <w:rsid w:val="000F668B"/>
    <w:rsid w:val="000F686C"/>
    <w:rsid w:val="000F68AF"/>
    <w:rsid w:val="000F6B45"/>
    <w:rsid w:val="000F6CAC"/>
    <w:rsid w:val="000F6FA3"/>
    <w:rsid w:val="000F7026"/>
    <w:rsid w:val="000F712F"/>
    <w:rsid w:val="000F7434"/>
    <w:rsid w:val="000F74C6"/>
    <w:rsid w:val="000F75BF"/>
    <w:rsid w:val="000F763A"/>
    <w:rsid w:val="000F7964"/>
    <w:rsid w:val="000F7A40"/>
    <w:rsid w:val="001001BB"/>
    <w:rsid w:val="001001E3"/>
    <w:rsid w:val="001001ED"/>
    <w:rsid w:val="00100461"/>
    <w:rsid w:val="001004E4"/>
    <w:rsid w:val="001005E9"/>
    <w:rsid w:val="001005EF"/>
    <w:rsid w:val="0010083F"/>
    <w:rsid w:val="00100880"/>
    <w:rsid w:val="00100DF7"/>
    <w:rsid w:val="00100F1D"/>
    <w:rsid w:val="0010130A"/>
    <w:rsid w:val="00101320"/>
    <w:rsid w:val="00101376"/>
    <w:rsid w:val="00101558"/>
    <w:rsid w:val="0010162F"/>
    <w:rsid w:val="00101684"/>
    <w:rsid w:val="0010168D"/>
    <w:rsid w:val="001016DE"/>
    <w:rsid w:val="001016F5"/>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1E8"/>
    <w:rsid w:val="00103232"/>
    <w:rsid w:val="001033F3"/>
    <w:rsid w:val="0010345F"/>
    <w:rsid w:val="0010357C"/>
    <w:rsid w:val="0010369F"/>
    <w:rsid w:val="00103848"/>
    <w:rsid w:val="00103857"/>
    <w:rsid w:val="001039B0"/>
    <w:rsid w:val="00103A85"/>
    <w:rsid w:val="00103AD9"/>
    <w:rsid w:val="00103D41"/>
    <w:rsid w:val="0010412B"/>
    <w:rsid w:val="001042C3"/>
    <w:rsid w:val="001042F8"/>
    <w:rsid w:val="001044F1"/>
    <w:rsid w:val="00104738"/>
    <w:rsid w:val="0010478A"/>
    <w:rsid w:val="00104896"/>
    <w:rsid w:val="001048C7"/>
    <w:rsid w:val="001049B5"/>
    <w:rsid w:val="00104BDC"/>
    <w:rsid w:val="00104C75"/>
    <w:rsid w:val="00104CBB"/>
    <w:rsid w:val="00104ED0"/>
    <w:rsid w:val="00104EEE"/>
    <w:rsid w:val="00104F2E"/>
    <w:rsid w:val="00104FE3"/>
    <w:rsid w:val="0010512A"/>
    <w:rsid w:val="00105180"/>
    <w:rsid w:val="001052C6"/>
    <w:rsid w:val="001052ED"/>
    <w:rsid w:val="00105327"/>
    <w:rsid w:val="0010532E"/>
    <w:rsid w:val="001053E8"/>
    <w:rsid w:val="00105674"/>
    <w:rsid w:val="001056FF"/>
    <w:rsid w:val="0010587B"/>
    <w:rsid w:val="001058F6"/>
    <w:rsid w:val="00105A8B"/>
    <w:rsid w:val="00105B39"/>
    <w:rsid w:val="00105D7F"/>
    <w:rsid w:val="00105E19"/>
    <w:rsid w:val="00106029"/>
    <w:rsid w:val="00106311"/>
    <w:rsid w:val="00106337"/>
    <w:rsid w:val="0010645B"/>
    <w:rsid w:val="001065A0"/>
    <w:rsid w:val="001067B5"/>
    <w:rsid w:val="001067F3"/>
    <w:rsid w:val="00106A17"/>
    <w:rsid w:val="00106A92"/>
    <w:rsid w:val="00106AA5"/>
    <w:rsid w:val="00106ACF"/>
    <w:rsid w:val="00106D7D"/>
    <w:rsid w:val="001070F8"/>
    <w:rsid w:val="0010724D"/>
    <w:rsid w:val="001073C4"/>
    <w:rsid w:val="0010745F"/>
    <w:rsid w:val="00107720"/>
    <w:rsid w:val="00107802"/>
    <w:rsid w:val="001079C3"/>
    <w:rsid w:val="001079E0"/>
    <w:rsid w:val="00107AEE"/>
    <w:rsid w:val="00107C6C"/>
    <w:rsid w:val="00107C72"/>
    <w:rsid w:val="00107D0A"/>
    <w:rsid w:val="00107D8B"/>
    <w:rsid w:val="00107DA4"/>
    <w:rsid w:val="00107DB9"/>
    <w:rsid w:val="001100E9"/>
    <w:rsid w:val="0011025C"/>
    <w:rsid w:val="00110467"/>
    <w:rsid w:val="00110735"/>
    <w:rsid w:val="0011079B"/>
    <w:rsid w:val="0011086C"/>
    <w:rsid w:val="00110B55"/>
    <w:rsid w:val="00110D1E"/>
    <w:rsid w:val="00110E06"/>
    <w:rsid w:val="00110F36"/>
    <w:rsid w:val="001112A1"/>
    <w:rsid w:val="001113CE"/>
    <w:rsid w:val="00111627"/>
    <w:rsid w:val="00111693"/>
    <w:rsid w:val="00111974"/>
    <w:rsid w:val="00111A08"/>
    <w:rsid w:val="00111ACF"/>
    <w:rsid w:val="00111BD7"/>
    <w:rsid w:val="00111CC2"/>
    <w:rsid w:val="00111E35"/>
    <w:rsid w:val="00111ED7"/>
    <w:rsid w:val="00111F08"/>
    <w:rsid w:val="00111F80"/>
    <w:rsid w:val="001121F2"/>
    <w:rsid w:val="00112463"/>
    <w:rsid w:val="001124F2"/>
    <w:rsid w:val="0011280B"/>
    <w:rsid w:val="0011285E"/>
    <w:rsid w:val="001128EA"/>
    <w:rsid w:val="00112B92"/>
    <w:rsid w:val="00112C49"/>
    <w:rsid w:val="00112D42"/>
    <w:rsid w:val="00112D85"/>
    <w:rsid w:val="00112DA0"/>
    <w:rsid w:val="00112DF1"/>
    <w:rsid w:val="00112E5B"/>
    <w:rsid w:val="00113301"/>
    <w:rsid w:val="00113731"/>
    <w:rsid w:val="001138CF"/>
    <w:rsid w:val="001138E2"/>
    <w:rsid w:val="00113972"/>
    <w:rsid w:val="00113A05"/>
    <w:rsid w:val="00113A64"/>
    <w:rsid w:val="00113BF1"/>
    <w:rsid w:val="00113BF8"/>
    <w:rsid w:val="00113BFF"/>
    <w:rsid w:val="00113C7B"/>
    <w:rsid w:val="00113C9E"/>
    <w:rsid w:val="00114041"/>
    <w:rsid w:val="001141AA"/>
    <w:rsid w:val="001141B2"/>
    <w:rsid w:val="001143DE"/>
    <w:rsid w:val="00114552"/>
    <w:rsid w:val="0011455B"/>
    <w:rsid w:val="00114663"/>
    <w:rsid w:val="00114847"/>
    <w:rsid w:val="0011484D"/>
    <w:rsid w:val="00114878"/>
    <w:rsid w:val="00114A5E"/>
    <w:rsid w:val="00114DAA"/>
    <w:rsid w:val="00115165"/>
    <w:rsid w:val="0011519D"/>
    <w:rsid w:val="001152A7"/>
    <w:rsid w:val="001152E9"/>
    <w:rsid w:val="00115312"/>
    <w:rsid w:val="0011538B"/>
    <w:rsid w:val="00115695"/>
    <w:rsid w:val="001156C9"/>
    <w:rsid w:val="0011571B"/>
    <w:rsid w:val="00115828"/>
    <w:rsid w:val="00115834"/>
    <w:rsid w:val="00115882"/>
    <w:rsid w:val="0011589B"/>
    <w:rsid w:val="001158B7"/>
    <w:rsid w:val="00115B8F"/>
    <w:rsid w:val="00115FD5"/>
    <w:rsid w:val="00116143"/>
    <w:rsid w:val="00116217"/>
    <w:rsid w:val="00116266"/>
    <w:rsid w:val="0011659C"/>
    <w:rsid w:val="00116A51"/>
    <w:rsid w:val="00116AB2"/>
    <w:rsid w:val="00116BDB"/>
    <w:rsid w:val="00116C02"/>
    <w:rsid w:val="00116C0E"/>
    <w:rsid w:val="00116F3F"/>
    <w:rsid w:val="0011717A"/>
    <w:rsid w:val="001171F0"/>
    <w:rsid w:val="00117252"/>
    <w:rsid w:val="00117450"/>
    <w:rsid w:val="00117947"/>
    <w:rsid w:val="00117BA4"/>
    <w:rsid w:val="00117C53"/>
    <w:rsid w:val="00117E2F"/>
    <w:rsid w:val="00117E76"/>
    <w:rsid w:val="00117ED8"/>
    <w:rsid w:val="001201E8"/>
    <w:rsid w:val="00120399"/>
    <w:rsid w:val="001206B2"/>
    <w:rsid w:val="00120768"/>
    <w:rsid w:val="00120997"/>
    <w:rsid w:val="00120AAA"/>
    <w:rsid w:val="00120C68"/>
    <w:rsid w:val="00120CC1"/>
    <w:rsid w:val="00120E68"/>
    <w:rsid w:val="00120EBF"/>
    <w:rsid w:val="00120EC1"/>
    <w:rsid w:val="00120F63"/>
    <w:rsid w:val="00120FB9"/>
    <w:rsid w:val="0012116A"/>
    <w:rsid w:val="0012120B"/>
    <w:rsid w:val="001213A4"/>
    <w:rsid w:val="0012143D"/>
    <w:rsid w:val="001217C2"/>
    <w:rsid w:val="001219E1"/>
    <w:rsid w:val="00121AAB"/>
    <w:rsid w:val="00121B64"/>
    <w:rsid w:val="00121BAB"/>
    <w:rsid w:val="00121DB1"/>
    <w:rsid w:val="00121FB3"/>
    <w:rsid w:val="0012206D"/>
    <w:rsid w:val="001221A7"/>
    <w:rsid w:val="00122592"/>
    <w:rsid w:val="001227B5"/>
    <w:rsid w:val="001229D6"/>
    <w:rsid w:val="00122C0D"/>
    <w:rsid w:val="00122C2C"/>
    <w:rsid w:val="00122D8F"/>
    <w:rsid w:val="0012301F"/>
    <w:rsid w:val="00123054"/>
    <w:rsid w:val="0012332E"/>
    <w:rsid w:val="0012351C"/>
    <w:rsid w:val="001235FF"/>
    <w:rsid w:val="0012379C"/>
    <w:rsid w:val="0012380B"/>
    <w:rsid w:val="00123895"/>
    <w:rsid w:val="00123B1F"/>
    <w:rsid w:val="00123C94"/>
    <w:rsid w:val="00123DE1"/>
    <w:rsid w:val="00123F31"/>
    <w:rsid w:val="00124237"/>
    <w:rsid w:val="00124443"/>
    <w:rsid w:val="00124625"/>
    <w:rsid w:val="001249C0"/>
    <w:rsid w:val="00124BB1"/>
    <w:rsid w:val="00124FA8"/>
    <w:rsid w:val="00125161"/>
    <w:rsid w:val="0012529F"/>
    <w:rsid w:val="001252B2"/>
    <w:rsid w:val="001256E0"/>
    <w:rsid w:val="0012578A"/>
    <w:rsid w:val="00125865"/>
    <w:rsid w:val="00125AD2"/>
    <w:rsid w:val="00125BBF"/>
    <w:rsid w:val="00125F0F"/>
    <w:rsid w:val="00125F5F"/>
    <w:rsid w:val="001262C2"/>
    <w:rsid w:val="0012630B"/>
    <w:rsid w:val="00126333"/>
    <w:rsid w:val="00126478"/>
    <w:rsid w:val="001264DD"/>
    <w:rsid w:val="00126577"/>
    <w:rsid w:val="001265B2"/>
    <w:rsid w:val="001267DB"/>
    <w:rsid w:val="00126868"/>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EB4"/>
    <w:rsid w:val="00127F3C"/>
    <w:rsid w:val="00127F8D"/>
    <w:rsid w:val="00127FD0"/>
    <w:rsid w:val="00130164"/>
    <w:rsid w:val="001305A3"/>
    <w:rsid w:val="00130867"/>
    <w:rsid w:val="00130A7D"/>
    <w:rsid w:val="00130AFB"/>
    <w:rsid w:val="00130DA1"/>
    <w:rsid w:val="00130E21"/>
    <w:rsid w:val="00131136"/>
    <w:rsid w:val="0013122D"/>
    <w:rsid w:val="001312B1"/>
    <w:rsid w:val="001313D0"/>
    <w:rsid w:val="001314BD"/>
    <w:rsid w:val="001317E3"/>
    <w:rsid w:val="001317E7"/>
    <w:rsid w:val="00131BF6"/>
    <w:rsid w:val="00132080"/>
    <w:rsid w:val="00132241"/>
    <w:rsid w:val="001322B6"/>
    <w:rsid w:val="001324FD"/>
    <w:rsid w:val="0013251F"/>
    <w:rsid w:val="00132591"/>
    <w:rsid w:val="001327FB"/>
    <w:rsid w:val="001329AD"/>
    <w:rsid w:val="00132DF3"/>
    <w:rsid w:val="0013312D"/>
    <w:rsid w:val="001331A2"/>
    <w:rsid w:val="001331FE"/>
    <w:rsid w:val="00133299"/>
    <w:rsid w:val="00133775"/>
    <w:rsid w:val="001337BD"/>
    <w:rsid w:val="00133806"/>
    <w:rsid w:val="001338E9"/>
    <w:rsid w:val="00133B6D"/>
    <w:rsid w:val="00133E1F"/>
    <w:rsid w:val="001340D9"/>
    <w:rsid w:val="0013488C"/>
    <w:rsid w:val="00134BC9"/>
    <w:rsid w:val="00134BDF"/>
    <w:rsid w:val="00134E05"/>
    <w:rsid w:val="00135089"/>
    <w:rsid w:val="00135097"/>
    <w:rsid w:val="0013519E"/>
    <w:rsid w:val="001351B0"/>
    <w:rsid w:val="001353E6"/>
    <w:rsid w:val="0013548E"/>
    <w:rsid w:val="00135580"/>
    <w:rsid w:val="00135AA3"/>
    <w:rsid w:val="00135EF4"/>
    <w:rsid w:val="00135FAD"/>
    <w:rsid w:val="00136079"/>
    <w:rsid w:val="00136108"/>
    <w:rsid w:val="00136115"/>
    <w:rsid w:val="00136157"/>
    <w:rsid w:val="001361BB"/>
    <w:rsid w:val="00136354"/>
    <w:rsid w:val="001365EC"/>
    <w:rsid w:val="001367A5"/>
    <w:rsid w:val="00136870"/>
    <w:rsid w:val="00136A62"/>
    <w:rsid w:val="00136BAE"/>
    <w:rsid w:val="00136BC9"/>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7E4"/>
    <w:rsid w:val="0014084E"/>
    <w:rsid w:val="00140981"/>
    <w:rsid w:val="00140AEA"/>
    <w:rsid w:val="00140B5F"/>
    <w:rsid w:val="00140CD8"/>
    <w:rsid w:val="00140EA2"/>
    <w:rsid w:val="001410B7"/>
    <w:rsid w:val="001410E6"/>
    <w:rsid w:val="001413F4"/>
    <w:rsid w:val="0014161C"/>
    <w:rsid w:val="00141696"/>
    <w:rsid w:val="00141727"/>
    <w:rsid w:val="00141914"/>
    <w:rsid w:val="0014191A"/>
    <w:rsid w:val="00141A7C"/>
    <w:rsid w:val="00141B55"/>
    <w:rsid w:val="00141C76"/>
    <w:rsid w:val="00141C9F"/>
    <w:rsid w:val="00141D5A"/>
    <w:rsid w:val="00141DDA"/>
    <w:rsid w:val="00141FF2"/>
    <w:rsid w:val="00142050"/>
    <w:rsid w:val="00142067"/>
    <w:rsid w:val="00142073"/>
    <w:rsid w:val="0014233D"/>
    <w:rsid w:val="001423A2"/>
    <w:rsid w:val="00142463"/>
    <w:rsid w:val="001424AA"/>
    <w:rsid w:val="0014252F"/>
    <w:rsid w:val="0014267A"/>
    <w:rsid w:val="001427A9"/>
    <w:rsid w:val="001428C0"/>
    <w:rsid w:val="0014293E"/>
    <w:rsid w:val="00142B74"/>
    <w:rsid w:val="00142BD8"/>
    <w:rsid w:val="00142C9C"/>
    <w:rsid w:val="00142F6C"/>
    <w:rsid w:val="00143205"/>
    <w:rsid w:val="001432C5"/>
    <w:rsid w:val="0014330A"/>
    <w:rsid w:val="00143509"/>
    <w:rsid w:val="00143522"/>
    <w:rsid w:val="00143582"/>
    <w:rsid w:val="0014359E"/>
    <w:rsid w:val="001436AB"/>
    <w:rsid w:val="00143737"/>
    <w:rsid w:val="00143769"/>
    <w:rsid w:val="0014378C"/>
    <w:rsid w:val="001437BE"/>
    <w:rsid w:val="001439B6"/>
    <w:rsid w:val="00143D5E"/>
    <w:rsid w:val="00143E3D"/>
    <w:rsid w:val="00143EA9"/>
    <w:rsid w:val="00143ED0"/>
    <w:rsid w:val="00143F0B"/>
    <w:rsid w:val="001440CA"/>
    <w:rsid w:val="00144111"/>
    <w:rsid w:val="0014418A"/>
    <w:rsid w:val="001445FD"/>
    <w:rsid w:val="00144BCF"/>
    <w:rsid w:val="00144E10"/>
    <w:rsid w:val="0014530D"/>
    <w:rsid w:val="001456B5"/>
    <w:rsid w:val="0014585A"/>
    <w:rsid w:val="0014588A"/>
    <w:rsid w:val="0014597A"/>
    <w:rsid w:val="00145986"/>
    <w:rsid w:val="001459D9"/>
    <w:rsid w:val="00145BC3"/>
    <w:rsid w:val="00145F1A"/>
    <w:rsid w:val="00145F35"/>
    <w:rsid w:val="00146156"/>
    <w:rsid w:val="001461E9"/>
    <w:rsid w:val="001463E5"/>
    <w:rsid w:val="00146574"/>
    <w:rsid w:val="0014659B"/>
    <w:rsid w:val="00146D77"/>
    <w:rsid w:val="00146DDC"/>
    <w:rsid w:val="00146EA6"/>
    <w:rsid w:val="00146F6B"/>
    <w:rsid w:val="0014703E"/>
    <w:rsid w:val="001470CC"/>
    <w:rsid w:val="00147105"/>
    <w:rsid w:val="00147150"/>
    <w:rsid w:val="0014742F"/>
    <w:rsid w:val="0014772E"/>
    <w:rsid w:val="001478E9"/>
    <w:rsid w:val="00147931"/>
    <w:rsid w:val="00147957"/>
    <w:rsid w:val="00147A4F"/>
    <w:rsid w:val="00147C60"/>
    <w:rsid w:val="00147E3B"/>
    <w:rsid w:val="00147ECB"/>
    <w:rsid w:val="00147F2E"/>
    <w:rsid w:val="001500F8"/>
    <w:rsid w:val="001502F3"/>
    <w:rsid w:val="001503A6"/>
    <w:rsid w:val="001506BE"/>
    <w:rsid w:val="001508B3"/>
    <w:rsid w:val="001508FD"/>
    <w:rsid w:val="0015091C"/>
    <w:rsid w:val="0015118F"/>
    <w:rsid w:val="001511F0"/>
    <w:rsid w:val="00151300"/>
    <w:rsid w:val="001513C4"/>
    <w:rsid w:val="001515AB"/>
    <w:rsid w:val="00151710"/>
    <w:rsid w:val="00151748"/>
    <w:rsid w:val="001517DC"/>
    <w:rsid w:val="00151942"/>
    <w:rsid w:val="001519B1"/>
    <w:rsid w:val="00151C0C"/>
    <w:rsid w:val="001523A7"/>
    <w:rsid w:val="00152742"/>
    <w:rsid w:val="00152832"/>
    <w:rsid w:val="00152989"/>
    <w:rsid w:val="00152BD7"/>
    <w:rsid w:val="00152C7D"/>
    <w:rsid w:val="00152D2A"/>
    <w:rsid w:val="00152EDF"/>
    <w:rsid w:val="00152F1C"/>
    <w:rsid w:val="00153012"/>
    <w:rsid w:val="0015307C"/>
    <w:rsid w:val="001530BD"/>
    <w:rsid w:val="00153256"/>
    <w:rsid w:val="001532A6"/>
    <w:rsid w:val="001532AB"/>
    <w:rsid w:val="001533E9"/>
    <w:rsid w:val="00153541"/>
    <w:rsid w:val="0015382F"/>
    <w:rsid w:val="00153A5C"/>
    <w:rsid w:val="00153A77"/>
    <w:rsid w:val="00153BF2"/>
    <w:rsid w:val="00153D09"/>
    <w:rsid w:val="00153D15"/>
    <w:rsid w:val="00153D29"/>
    <w:rsid w:val="00153DE0"/>
    <w:rsid w:val="00153F18"/>
    <w:rsid w:val="001541BD"/>
    <w:rsid w:val="001543E5"/>
    <w:rsid w:val="00154409"/>
    <w:rsid w:val="001544DC"/>
    <w:rsid w:val="001549EC"/>
    <w:rsid w:val="00154BFB"/>
    <w:rsid w:val="00154C0D"/>
    <w:rsid w:val="00154D75"/>
    <w:rsid w:val="00154DA3"/>
    <w:rsid w:val="001550A1"/>
    <w:rsid w:val="00155101"/>
    <w:rsid w:val="001551CC"/>
    <w:rsid w:val="00155618"/>
    <w:rsid w:val="001556D3"/>
    <w:rsid w:val="001557E7"/>
    <w:rsid w:val="001558BB"/>
    <w:rsid w:val="0015595C"/>
    <w:rsid w:val="00155A8F"/>
    <w:rsid w:val="00155DBB"/>
    <w:rsid w:val="00155F04"/>
    <w:rsid w:val="001562CD"/>
    <w:rsid w:val="00156313"/>
    <w:rsid w:val="00156670"/>
    <w:rsid w:val="00156820"/>
    <w:rsid w:val="0015697F"/>
    <w:rsid w:val="00156B34"/>
    <w:rsid w:val="00156F1A"/>
    <w:rsid w:val="00157128"/>
    <w:rsid w:val="0015748F"/>
    <w:rsid w:val="001575F5"/>
    <w:rsid w:val="00157634"/>
    <w:rsid w:val="001577D0"/>
    <w:rsid w:val="00157878"/>
    <w:rsid w:val="00157908"/>
    <w:rsid w:val="0015791B"/>
    <w:rsid w:val="00157C6D"/>
    <w:rsid w:val="00157C74"/>
    <w:rsid w:val="00157F4C"/>
    <w:rsid w:val="00157FF6"/>
    <w:rsid w:val="00160069"/>
    <w:rsid w:val="00160335"/>
    <w:rsid w:val="0016033E"/>
    <w:rsid w:val="001603AB"/>
    <w:rsid w:val="001605CD"/>
    <w:rsid w:val="00160633"/>
    <w:rsid w:val="00160749"/>
    <w:rsid w:val="0016083D"/>
    <w:rsid w:val="0016091E"/>
    <w:rsid w:val="00160B09"/>
    <w:rsid w:val="00160B2A"/>
    <w:rsid w:val="00160CFE"/>
    <w:rsid w:val="00160D84"/>
    <w:rsid w:val="00160EC8"/>
    <w:rsid w:val="00160F5A"/>
    <w:rsid w:val="00161014"/>
    <w:rsid w:val="00161114"/>
    <w:rsid w:val="00161182"/>
    <w:rsid w:val="001612B7"/>
    <w:rsid w:val="0016155B"/>
    <w:rsid w:val="001616B8"/>
    <w:rsid w:val="0016195B"/>
    <w:rsid w:val="00161A02"/>
    <w:rsid w:val="00161D3C"/>
    <w:rsid w:val="00162077"/>
    <w:rsid w:val="00162303"/>
    <w:rsid w:val="0016256F"/>
    <w:rsid w:val="00162645"/>
    <w:rsid w:val="0016275C"/>
    <w:rsid w:val="00162856"/>
    <w:rsid w:val="00162B97"/>
    <w:rsid w:val="00162D87"/>
    <w:rsid w:val="00163005"/>
    <w:rsid w:val="001632DA"/>
    <w:rsid w:val="00163369"/>
    <w:rsid w:val="00163373"/>
    <w:rsid w:val="0016345A"/>
    <w:rsid w:val="001634B4"/>
    <w:rsid w:val="0016352D"/>
    <w:rsid w:val="00163553"/>
    <w:rsid w:val="0016356C"/>
    <w:rsid w:val="0016368C"/>
    <w:rsid w:val="001637FA"/>
    <w:rsid w:val="0016397E"/>
    <w:rsid w:val="00163A8D"/>
    <w:rsid w:val="00163C4E"/>
    <w:rsid w:val="00163F69"/>
    <w:rsid w:val="00163FE5"/>
    <w:rsid w:val="00164361"/>
    <w:rsid w:val="00164532"/>
    <w:rsid w:val="00164648"/>
    <w:rsid w:val="0016477F"/>
    <w:rsid w:val="001647C3"/>
    <w:rsid w:val="00164842"/>
    <w:rsid w:val="001648C6"/>
    <w:rsid w:val="00164B6C"/>
    <w:rsid w:val="00164BB8"/>
    <w:rsid w:val="00164C90"/>
    <w:rsid w:val="00164FCC"/>
    <w:rsid w:val="00164FD6"/>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026"/>
    <w:rsid w:val="0016610A"/>
    <w:rsid w:val="00166166"/>
    <w:rsid w:val="001661B4"/>
    <w:rsid w:val="00166219"/>
    <w:rsid w:val="0016621E"/>
    <w:rsid w:val="0016625C"/>
    <w:rsid w:val="001663E4"/>
    <w:rsid w:val="00166512"/>
    <w:rsid w:val="0016657D"/>
    <w:rsid w:val="00166616"/>
    <w:rsid w:val="00166891"/>
    <w:rsid w:val="00166BE2"/>
    <w:rsid w:val="00166C7B"/>
    <w:rsid w:val="00166E96"/>
    <w:rsid w:val="0016705D"/>
    <w:rsid w:val="0016719D"/>
    <w:rsid w:val="0016721D"/>
    <w:rsid w:val="0016738C"/>
    <w:rsid w:val="001676EA"/>
    <w:rsid w:val="001676F9"/>
    <w:rsid w:val="0016775C"/>
    <w:rsid w:val="0016799A"/>
    <w:rsid w:val="00167B7C"/>
    <w:rsid w:val="00167C2F"/>
    <w:rsid w:val="00167C58"/>
    <w:rsid w:val="00167D09"/>
    <w:rsid w:val="00167EE9"/>
    <w:rsid w:val="00170328"/>
    <w:rsid w:val="00170399"/>
    <w:rsid w:val="001703DB"/>
    <w:rsid w:val="00170450"/>
    <w:rsid w:val="0017051D"/>
    <w:rsid w:val="001706D2"/>
    <w:rsid w:val="00170783"/>
    <w:rsid w:val="0017098F"/>
    <w:rsid w:val="00170A41"/>
    <w:rsid w:val="00170B48"/>
    <w:rsid w:val="00170CA2"/>
    <w:rsid w:val="00170E81"/>
    <w:rsid w:val="00170F63"/>
    <w:rsid w:val="001714A0"/>
    <w:rsid w:val="00171819"/>
    <w:rsid w:val="00171B1E"/>
    <w:rsid w:val="00171CF7"/>
    <w:rsid w:val="00171EF6"/>
    <w:rsid w:val="00171F06"/>
    <w:rsid w:val="00171F8B"/>
    <w:rsid w:val="001720F9"/>
    <w:rsid w:val="00172466"/>
    <w:rsid w:val="001726F7"/>
    <w:rsid w:val="00172B2E"/>
    <w:rsid w:val="00172D99"/>
    <w:rsid w:val="00172DEA"/>
    <w:rsid w:val="00172E5B"/>
    <w:rsid w:val="00172E66"/>
    <w:rsid w:val="00172EA4"/>
    <w:rsid w:val="00173084"/>
    <w:rsid w:val="00173126"/>
    <w:rsid w:val="001733AA"/>
    <w:rsid w:val="0017340A"/>
    <w:rsid w:val="0017355E"/>
    <w:rsid w:val="001736D4"/>
    <w:rsid w:val="00173AF4"/>
    <w:rsid w:val="00173E54"/>
    <w:rsid w:val="00173F69"/>
    <w:rsid w:val="00174011"/>
    <w:rsid w:val="0017415E"/>
    <w:rsid w:val="0017421B"/>
    <w:rsid w:val="00174557"/>
    <w:rsid w:val="0017461F"/>
    <w:rsid w:val="00174BE0"/>
    <w:rsid w:val="00174E97"/>
    <w:rsid w:val="00174FF0"/>
    <w:rsid w:val="00175215"/>
    <w:rsid w:val="001753F8"/>
    <w:rsid w:val="0017540E"/>
    <w:rsid w:val="001754BE"/>
    <w:rsid w:val="00175634"/>
    <w:rsid w:val="00175674"/>
    <w:rsid w:val="00175919"/>
    <w:rsid w:val="00175B60"/>
    <w:rsid w:val="00175B65"/>
    <w:rsid w:val="00175CCC"/>
    <w:rsid w:val="00175EB5"/>
    <w:rsid w:val="00175ECA"/>
    <w:rsid w:val="00176162"/>
    <w:rsid w:val="00176165"/>
    <w:rsid w:val="00176188"/>
    <w:rsid w:val="001761EA"/>
    <w:rsid w:val="001762C6"/>
    <w:rsid w:val="001762DE"/>
    <w:rsid w:val="00176370"/>
    <w:rsid w:val="001763B4"/>
    <w:rsid w:val="0017643E"/>
    <w:rsid w:val="00176596"/>
    <w:rsid w:val="001765CB"/>
    <w:rsid w:val="00176614"/>
    <w:rsid w:val="001766BE"/>
    <w:rsid w:val="001769F1"/>
    <w:rsid w:val="00176B88"/>
    <w:rsid w:val="00176BBB"/>
    <w:rsid w:val="00176CD4"/>
    <w:rsid w:val="00176D3D"/>
    <w:rsid w:val="00176E3E"/>
    <w:rsid w:val="00176EB4"/>
    <w:rsid w:val="00176FC6"/>
    <w:rsid w:val="001771B3"/>
    <w:rsid w:val="00177679"/>
    <w:rsid w:val="0017767E"/>
    <w:rsid w:val="00177857"/>
    <w:rsid w:val="00177B5B"/>
    <w:rsid w:val="00177D21"/>
    <w:rsid w:val="00177F36"/>
    <w:rsid w:val="00177F5F"/>
    <w:rsid w:val="00180098"/>
    <w:rsid w:val="00180293"/>
    <w:rsid w:val="00180393"/>
    <w:rsid w:val="00180459"/>
    <w:rsid w:val="0018047D"/>
    <w:rsid w:val="0018068B"/>
    <w:rsid w:val="001808F9"/>
    <w:rsid w:val="0018094E"/>
    <w:rsid w:val="001809AA"/>
    <w:rsid w:val="00180ACB"/>
    <w:rsid w:val="00180BE1"/>
    <w:rsid w:val="00180D3F"/>
    <w:rsid w:val="00180DEB"/>
    <w:rsid w:val="00180E08"/>
    <w:rsid w:val="00180EFF"/>
    <w:rsid w:val="0018102C"/>
    <w:rsid w:val="00181390"/>
    <w:rsid w:val="001814AB"/>
    <w:rsid w:val="00181732"/>
    <w:rsid w:val="00181AD7"/>
    <w:rsid w:val="00181D14"/>
    <w:rsid w:val="00181D31"/>
    <w:rsid w:val="0018223B"/>
    <w:rsid w:val="00182281"/>
    <w:rsid w:val="001823BF"/>
    <w:rsid w:val="0018241A"/>
    <w:rsid w:val="0018255F"/>
    <w:rsid w:val="00182793"/>
    <w:rsid w:val="001828BC"/>
    <w:rsid w:val="001828F5"/>
    <w:rsid w:val="00182A01"/>
    <w:rsid w:val="00182ACC"/>
    <w:rsid w:val="00182CBD"/>
    <w:rsid w:val="00182E4C"/>
    <w:rsid w:val="00182EDD"/>
    <w:rsid w:val="00182F81"/>
    <w:rsid w:val="00183065"/>
    <w:rsid w:val="0018307A"/>
    <w:rsid w:val="001830F4"/>
    <w:rsid w:val="001832C1"/>
    <w:rsid w:val="001832DD"/>
    <w:rsid w:val="0018337B"/>
    <w:rsid w:val="001835D4"/>
    <w:rsid w:val="0018361B"/>
    <w:rsid w:val="00183622"/>
    <w:rsid w:val="0018375C"/>
    <w:rsid w:val="00183895"/>
    <w:rsid w:val="0018394D"/>
    <w:rsid w:val="00183ADA"/>
    <w:rsid w:val="00183BF5"/>
    <w:rsid w:val="00183C4A"/>
    <w:rsid w:val="00183F7B"/>
    <w:rsid w:val="00183F87"/>
    <w:rsid w:val="0018420E"/>
    <w:rsid w:val="001842A4"/>
    <w:rsid w:val="00184824"/>
    <w:rsid w:val="00184A35"/>
    <w:rsid w:val="00184AC4"/>
    <w:rsid w:val="00184AF9"/>
    <w:rsid w:val="00184E1D"/>
    <w:rsid w:val="00184E3E"/>
    <w:rsid w:val="00184EC2"/>
    <w:rsid w:val="00184FC2"/>
    <w:rsid w:val="00185071"/>
    <w:rsid w:val="001855D0"/>
    <w:rsid w:val="001855F3"/>
    <w:rsid w:val="00185959"/>
    <w:rsid w:val="00185BE0"/>
    <w:rsid w:val="00185C21"/>
    <w:rsid w:val="00185D49"/>
    <w:rsid w:val="0018600B"/>
    <w:rsid w:val="001861BE"/>
    <w:rsid w:val="00186423"/>
    <w:rsid w:val="00186450"/>
    <w:rsid w:val="00186538"/>
    <w:rsid w:val="0018663C"/>
    <w:rsid w:val="00186676"/>
    <w:rsid w:val="001869EA"/>
    <w:rsid w:val="00186A1F"/>
    <w:rsid w:val="00186AE2"/>
    <w:rsid w:val="00186B73"/>
    <w:rsid w:val="00186E10"/>
    <w:rsid w:val="00187273"/>
    <w:rsid w:val="0018738D"/>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D74"/>
    <w:rsid w:val="00187E2C"/>
    <w:rsid w:val="00187E82"/>
    <w:rsid w:val="00187EA8"/>
    <w:rsid w:val="00187F88"/>
    <w:rsid w:val="00190279"/>
    <w:rsid w:val="00190301"/>
    <w:rsid w:val="00190481"/>
    <w:rsid w:val="001904BA"/>
    <w:rsid w:val="00190783"/>
    <w:rsid w:val="001908E1"/>
    <w:rsid w:val="001908F8"/>
    <w:rsid w:val="00190C21"/>
    <w:rsid w:val="00190DC4"/>
    <w:rsid w:val="00190DD7"/>
    <w:rsid w:val="00190E97"/>
    <w:rsid w:val="00190F0F"/>
    <w:rsid w:val="00190F6F"/>
    <w:rsid w:val="00190FA9"/>
    <w:rsid w:val="001910F4"/>
    <w:rsid w:val="00191184"/>
    <w:rsid w:val="001911F9"/>
    <w:rsid w:val="001916A3"/>
    <w:rsid w:val="00191795"/>
    <w:rsid w:val="00191867"/>
    <w:rsid w:val="0019193A"/>
    <w:rsid w:val="00191E28"/>
    <w:rsid w:val="00191EE6"/>
    <w:rsid w:val="00191F03"/>
    <w:rsid w:val="00192362"/>
    <w:rsid w:val="001923A1"/>
    <w:rsid w:val="001924A1"/>
    <w:rsid w:val="00192531"/>
    <w:rsid w:val="001928D7"/>
    <w:rsid w:val="00192A60"/>
    <w:rsid w:val="00192B82"/>
    <w:rsid w:val="00192B96"/>
    <w:rsid w:val="00192FA6"/>
    <w:rsid w:val="00192FB5"/>
    <w:rsid w:val="00193175"/>
    <w:rsid w:val="00193321"/>
    <w:rsid w:val="0019362F"/>
    <w:rsid w:val="00193685"/>
    <w:rsid w:val="00193706"/>
    <w:rsid w:val="00193AA0"/>
    <w:rsid w:val="00193E3D"/>
    <w:rsid w:val="00193E88"/>
    <w:rsid w:val="00194144"/>
    <w:rsid w:val="001943FA"/>
    <w:rsid w:val="00194521"/>
    <w:rsid w:val="001945D9"/>
    <w:rsid w:val="0019460C"/>
    <w:rsid w:val="00194649"/>
    <w:rsid w:val="0019465C"/>
    <w:rsid w:val="001946C5"/>
    <w:rsid w:val="001946EE"/>
    <w:rsid w:val="00194783"/>
    <w:rsid w:val="00194915"/>
    <w:rsid w:val="0019493C"/>
    <w:rsid w:val="00194953"/>
    <w:rsid w:val="0019497A"/>
    <w:rsid w:val="001949C2"/>
    <w:rsid w:val="00194BE0"/>
    <w:rsid w:val="00194C3D"/>
    <w:rsid w:val="00194E0B"/>
    <w:rsid w:val="00194F39"/>
    <w:rsid w:val="00194F58"/>
    <w:rsid w:val="0019538C"/>
    <w:rsid w:val="001953AF"/>
    <w:rsid w:val="00195433"/>
    <w:rsid w:val="00195585"/>
    <w:rsid w:val="001957D9"/>
    <w:rsid w:val="001958D4"/>
    <w:rsid w:val="001959A1"/>
    <w:rsid w:val="001959A2"/>
    <w:rsid w:val="00195C71"/>
    <w:rsid w:val="00195DDF"/>
    <w:rsid w:val="001960D2"/>
    <w:rsid w:val="001967A5"/>
    <w:rsid w:val="001969C1"/>
    <w:rsid w:val="00196A55"/>
    <w:rsid w:val="00196B6E"/>
    <w:rsid w:val="00196C22"/>
    <w:rsid w:val="00196C66"/>
    <w:rsid w:val="00196DB4"/>
    <w:rsid w:val="00196EDB"/>
    <w:rsid w:val="00196F87"/>
    <w:rsid w:val="001970FC"/>
    <w:rsid w:val="001971D9"/>
    <w:rsid w:val="001972A5"/>
    <w:rsid w:val="0019779D"/>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89A"/>
    <w:rsid w:val="001A0986"/>
    <w:rsid w:val="001A0B5D"/>
    <w:rsid w:val="001A0C3E"/>
    <w:rsid w:val="001A0CDC"/>
    <w:rsid w:val="001A0E84"/>
    <w:rsid w:val="001A110D"/>
    <w:rsid w:val="001A115E"/>
    <w:rsid w:val="001A1205"/>
    <w:rsid w:val="001A1313"/>
    <w:rsid w:val="001A144A"/>
    <w:rsid w:val="001A1456"/>
    <w:rsid w:val="001A149F"/>
    <w:rsid w:val="001A16ED"/>
    <w:rsid w:val="001A17A1"/>
    <w:rsid w:val="001A17B4"/>
    <w:rsid w:val="001A191F"/>
    <w:rsid w:val="001A19E9"/>
    <w:rsid w:val="001A1BFE"/>
    <w:rsid w:val="001A1C03"/>
    <w:rsid w:val="001A1D68"/>
    <w:rsid w:val="001A1D94"/>
    <w:rsid w:val="001A1E10"/>
    <w:rsid w:val="001A215E"/>
    <w:rsid w:val="001A2341"/>
    <w:rsid w:val="001A2390"/>
    <w:rsid w:val="001A2657"/>
    <w:rsid w:val="001A270E"/>
    <w:rsid w:val="001A2863"/>
    <w:rsid w:val="001A2918"/>
    <w:rsid w:val="001A2955"/>
    <w:rsid w:val="001A2A16"/>
    <w:rsid w:val="001A2C79"/>
    <w:rsid w:val="001A2CBC"/>
    <w:rsid w:val="001A2EA3"/>
    <w:rsid w:val="001A30C4"/>
    <w:rsid w:val="001A30D0"/>
    <w:rsid w:val="001A31A6"/>
    <w:rsid w:val="001A31D0"/>
    <w:rsid w:val="001A3646"/>
    <w:rsid w:val="001A36E6"/>
    <w:rsid w:val="001A378B"/>
    <w:rsid w:val="001A380B"/>
    <w:rsid w:val="001A386B"/>
    <w:rsid w:val="001A3A36"/>
    <w:rsid w:val="001A3C76"/>
    <w:rsid w:val="001A3DEA"/>
    <w:rsid w:val="001A3F51"/>
    <w:rsid w:val="001A40F3"/>
    <w:rsid w:val="001A4317"/>
    <w:rsid w:val="001A44C2"/>
    <w:rsid w:val="001A453A"/>
    <w:rsid w:val="001A4582"/>
    <w:rsid w:val="001A47AC"/>
    <w:rsid w:val="001A489A"/>
    <w:rsid w:val="001A4A16"/>
    <w:rsid w:val="001A4A3A"/>
    <w:rsid w:val="001A4ADF"/>
    <w:rsid w:val="001A4B20"/>
    <w:rsid w:val="001A4C52"/>
    <w:rsid w:val="001A4DE2"/>
    <w:rsid w:val="001A4EB1"/>
    <w:rsid w:val="001A4FC3"/>
    <w:rsid w:val="001A5011"/>
    <w:rsid w:val="001A501A"/>
    <w:rsid w:val="001A50E2"/>
    <w:rsid w:val="001A51BB"/>
    <w:rsid w:val="001A52B1"/>
    <w:rsid w:val="001A5372"/>
    <w:rsid w:val="001A55B1"/>
    <w:rsid w:val="001A5652"/>
    <w:rsid w:val="001A57A5"/>
    <w:rsid w:val="001A57AE"/>
    <w:rsid w:val="001A57C3"/>
    <w:rsid w:val="001A57F1"/>
    <w:rsid w:val="001A5924"/>
    <w:rsid w:val="001A5AF4"/>
    <w:rsid w:val="001A5DF7"/>
    <w:rsid w:val="001A6157"/>
    <w:rsid w:val="001A61EB"/>
    <w:rsid w:val="001A624E"/>
    <w:rsid w:val="001A6490"/>
    <w:rsid w:val="001A677C"/>
    <w:rsid w:val="001A6F13"/>
    <w:rsid w:val="001A70B5"/>
    <w:rsid w:val="001A71CE"/>
    <w:rsid w:val="001A72F5"/>
    <w:rsid w:val="001A74E6"/>
    <w:rsid w:val="001A772B"/>
    <w:rsid w:val="001A77A3"/>
    <w:rsid w:val="001A77B8"/>
    <w:rsid w:val="001A7897"/>
    <w:rsid w:val="001A7ABD"/>
    <w:rsid w:val="001A7B46"/>
    <w:rsid w:val="001A7B99"/>
    <w:rsid w:val="001A7C93"/>
    <w:rsid w:val="001A7D30"/>
    <w:rsid w:val="001B02F0"/>
    <w:rsid w:val="001B081F"/>
    <w:rsid w:val="001B0F6A"/>
    <w:rsid w:val="001B10CD"/>
    <w:rsid w:val="001B114C"/>
    <w:rsid w:val="001B116D"/>
    <w:rsid w:val="001B1249"/>
    <w:rsid w:val="001B12B7"/>
    <w:rsid w:val="001B136E"/>
    <w:rsid w:val="001B16E1"/>
    <w:rsid w:val="001B1A25"/>
    <w:rsid w:val="001B1BD6"/>
    <w:rsid w:val="001B1C04"/>
    <w:rsid w:val="001B1DB3"/>
    <w:rsid w:val="001B2045"/>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5E"/>
    <w:rsid w:val="001B349E"/>
    <w:rsid w:val="001B34AB"/>
    <w:rsid w:val="001B34B0"/>
    <w:rsid w:val="001B34DF"/>
    <w:rsid w:val="001B353C"/>
    <w:rsid w:val="001B3555"/>
    <w:rsid w:val="001B3562"/>
    <w:rsid w:val="001B3591"/>
    <w:rsid w:val="001B3754"/>
    <w:rsid w:val="001B376C"/>
    <w:rsid w:val="001B3865"/>
    <w:rsid w:val="001B3907"/>
    <w:rsid w:val="001B3C75"/>
    <w:rsid w:val="001B3C88"/>
    <w:rsid w:val="001B3DCC"/>
    <w:rsid w:val="001B4002"/>
    <w:rsid w:val="001B40B1"/>
    <w:rsid w:val="001B4653"/>
    <w:rsid w:val="001B46B8"/>
    <w:rsid w:val="001B4701"/>
    <w:rsid w:val="001B495D"/>
    <w:rsid w:val="001B49A8"/>
    <w:rsid w:val="001B4AA8"/>
    <w:rsid w:val="001B4E05"/>
    <w:rsid w:val="001B5398"/>
    <w:rsid w:val="001B53DD"/>
    <w:rsid w:val="001B56D1"/>
    <w:rsid w:val="001B573A"/>
    <w:rsid w:val="001B580D"/>
    <w:rsid w:val="001B59FB"/>
    <w:rsid w:val="001B5B88"/>
    <w:rsid w:val="001B5BCA"/>
    <w:rsid w:val="001B5C69"/>
    <w:rsid w:val="001B5DE4"/>
    <w:rsid w:val="001B5E69"/>
    <w:rsid w:val="001B5ECD"/>
    <w:rsid w:val="001B5F6A"/>
    <w:rsid w:val="001B601F"/>
    <w:rsid w:val="001B61BB"/>
    <w:rsid w:val="001B644F"/>
    <w:rsid w:val="001B6487"/>
    <w:rsid w:val="001B6513"/>
    <w:rsid w:val="001B699E"/>
    <w:rsid w:val="001B6F8B"/>
    <w:rsid w:val="001B71EC"/>
    <w:rsid w:val="001B722F"/>
    <w:rsid w:val="001B7275"/>
    <w:rsid w:val="001B72DD"/>
    <w:rsid w:val="001B72F7"/>
    <w:rsid w:val="001B74B6"/>
    <w:rsid w:val="001B793F"/>
    <w:rsid w:val="001B7B93"/>
    <w:rsid w:val="001B7BAE"/>
    <w:rsid w:val="001B7BE8"/>
    <w:rsid w:val="001B7D02"/>
    <w:rsid w:val="001B7D17"/>
    <w:rsid w:val="001B7D9C"/>
    <w:rsid w:val="001B7DB9"/>
    <w:rsid w:val="001B7E9D"/>
    <w:rsid w:val="001B7EC5"/>
    <w:rsid w:val="001B7EDE"/>
    <w:rsid w:val="001B7EF7"/>
    <w:rsid w:val="001C017F"/>
    <w:rsid w:val="001C01B6"/>
    <w:rsid w:val="001C027E"/>
    <w:rsid w:val="001C0369"/>
    <w:rsid w:val="001C0479"/>
    <w:rsid w:val="001C0566"/>
    <w:rsid w:val="001C0578"/>
    <w:rsid w:val="001C0603"/>
    <w:rsid w:val="001C06D0"/>
    <w:rsid w:val="001C070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CE"/>
    <w:rsid w:val="001C15FE"/>
    <w:rsid w:val="001C16BD"/>
    <w:rsid w:val="001C172D"/>
    <w:rsid w:val="001C1788"/>
    <w:rsid w:val="001C18A1"/>
    <w:rsid w:val="001C1915"/>
    <w:rsid w:val="001C1B7B"/>
    <w:rsid w:val="001C1C09"/>
    <w:rsid w:val="001C1D5B"/>
    <w:rsid w:val="001C1E18"/>
    <w:rsid w:val="001C1E1F"/>
    <w:rsid w:val="001C1E5D"/>
    <w:rsid w:val="001C1EE6"/>
    <w:rsid w:val="001C21E9"/>
    <w:rsid w:val="001C22B5"/>
    <w:rsid w:val="001C22D3"/>
    <w:rsid w:val="001C253C"/>
    <w:rsid w:val="001C2806"/>
    <w:rsid w:val="001C28F7"/>
    <w:rsid w:val="001C2921"/>
    <w:rsid w:val="001C2995"/>
    <w:rsid w:val="001C2ABC"/>
    <w:rsid w:val="001C2B21"/>
    <w:rsid w:val="001C2C81"/>
    <w:rsid w:val="001C2E04"/>
    <w:rsid w:val="001C2F9A"/>
    <w:rsid w:val="001C316E"/>
    <w:rsid w:val="001C31A3"/>
    <w:rsid w:val="001C3253"/>
    <w:rsid w:val="001C3290"/>
    <w:rsid w:val="001C3369"/>
    <w:rsid w:val="001C3490"/>
    <w:rsid w:val="001C36A4"/>
    <w:rsid w:val="001C3B6B"/>
    <w:rsid w:val="001C3BE0"/>
    <w:rsid w:val="001C3BF7"/>
    <w:rsid w:val="001C3CB1"/>
    <w:rsid w:val="001C3F49"/>
    <w:rsid w:val="001C3F8C"/>
    <w:rsid w:val="001C3FD2"/>
    <w:rsid w:val="001C411D"/>
    <w:rsid w:val="001C414A"/>
    <w:rsid w:val="001C426E"/>
    <w:rsid w:val="001C4765"/>
    <w:rsid w:val="001C47EC"/>
    <w:rsid w:val="001C4A7F"/>
    <w:rsid w:val="001C4B10"/>
    <w:rsid w:val="001C4EEF"/>
    <w:rsid w:val="001C4F6E"/>
    <w:rsid w:val="001C5082"/>
    <w:rsid w:val="001C53E7"/>
    <w:rsid w:val="001C553D"/>
    <w:rsid w:val="001C557E"/>
    <w:rsid w:val="001C55D3"/>
    <w:rsid w:val="001C55EA"/>
    <w:rsid w:val="001C59D8"/>
    <w:rsid w:val="001C5B47"/>
    <w:rsid w:val="001C5C30"/>
    <w:rsid w:val="001C5E5B"/>
    <w:rsid w:val="001C5F8D"/>
    <w:rsid w:val="001C6064"/>
    <w:rsid w:val="001C621F"/>
    <w:rsid w:val="001C623F"/>
    <w:rsid w:val="001C63AF"/>
    <w:rsid w:val="001C6794"/>
    <w:rsid w:val="001C6B95"/>
    <w:rsid w:val="001C6EB5"/>
    <w:rsid w:val="001C6ED0"/>
    <w:rsid w:val="001C708F"/>
    <w:rsid w:val="001C7093"/>
    <w:rsid w:val="001C712D"/>
    <w:rsid w:val="001C7241"/>
    <w:rsid w:val="001C72F8"/>
    <w:rsid w:val="001C7353"/>
    <w:rsid w:val="001C73A0"/>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263"/>
    <w:rsid w:val="001D1392"/>
    <w:rsid w:val="001D152E"/>
    <w:rsid w:val="001D1641"/>
    <w:rsid w:val="001D189C"/>
    <w:rsid w:val="001D1B41"/>
    <w:rsid w:val="001D1F41"/>
    <w:rsid w:val="001D1FD3"/>
    <w:rsid w:val="001D2098"/>
    <w:rsid w:val="001D22DC"/>
    <w:rsid w:val="001D23D9"/>
    <w:rsid w:val="001D26A9"/>
    <w:rsid w:val="001D27A9"/>
    <w:rsid w:val="001D2DE1"/>
    <w:rsid w:val="001D2E99"/>
    <w:rsid w:val="001D3027"/>
    <w:rsid w:val="001D3081"/>
    <w:rsid w:val="001D3107"/>
    <w:rsid w:val="001D3334"/>
    <w:rsid w:val="001D33F4"/>
    <w:rsid w:val="001D33FB"/>
    <w:rsid w:val="001D34E6"/>
    <w:rsid w:val="001D37B5"/>
    <w:rsid w:val="001D37C8"/>
    <w:rsid w:val="001D3818"/>
    <w:rsid w:val="001D3AC7"/>
    <w:rsid w:val="001D3BB4"/>
    <w:rsid w:val="001D3C06"/>
    <w:rsid w:val="001D3C43"/>
    <w:rsid w:val="001D3EF7"/>
    <w:rsid w:val="001D3F83"/>
    <w:rsid w:val="001D3FFA"/>
    <w:rsid w:val="001D4099"/>
    <w:rsid w:val="001D4136"/>
    <w:rsid w:val="001D4153"/>
    <w:rsid w:val="001D417C"/>
    <w:rsid w:val="001D42A6"/>
    <w:rsid w:val="001D4361"/>
    <w:rsid w:val="001D43DC"/>
    <w:rsid w:val="001D4583"/>
    <w:rsid w:val="001D46B6"/>
    <w:rsid w:val="001D47CB"/>
    <w:rsid w:val="001D48C2"/>
    <w:rsid w:val="001D49A4"/>
    <w:rsid w:val="001D4A3A"/>
    <w:rsid w:val="001D4C36"/>
    <w:rsid w:val="001D4D64"/>
    <w:rsid w:val="001D4DA3"/>
    <w:rsid w:val="001D51E4"/>
    <w:rsid w:val="001D5B95"/>
    <w:rsid w:val="001D5D1F"/>
    <w:rsid w:val="001D5D9C"/>
    <w:rsid w:val="001D5F48"/>
    <w:rsid w:val="001D5F70"/>
    <w:rsid w:val="001D6039"/>
    <w:rsid w:val="001D60B1"/>
    <w:rsid w:val="001D61AD"/>
    <w:rsid w:val="001D61DE"/>
    <w:rsid w:val="001D6233"/>
    <w:rsid w:val="001D64B5"/>
    <w:rsid w:val="001D65C1"/>
    <w:rsid w:val="001D671C"/>
    <w:rsid w:val="001D6821"/>
    <w:rsid w:val="001D6824"/>
    <w:rsid w:val="001D6B4B"/>
    <w:rsid w:val="001D6D47"/>
    <w:rsid w:val="001D6F1F"/>
    <w:rsid w:val="001D712F"/>
    <w:rsid w:val="001D713E"/>
    <w:rsid w:val="001D71DF"/>
    <w:rsid w:val="001D720E"/>
    <w:rsid w:val="001D72E0"/>
    <w:rsid w:val="001D7307"/>
    <w:rsid w:val="001D74A3"/>
    <w:rsid w:val="001D7690"/>
    <w:rsid w:val="001D7892"/>
    <w:rsid w:val="001D79D3"/>
    <w:rsid w:val="001D7B3D"/>
    <w:rsid w:val="001D7D4A"/>
    <w:rsid w:val="001D7D54"/>
    <w:rsid w:val="001D7DAD"/>
    <w:rsid w:val="001E0207"/>
    <w:rsid w:val="001E022B"/>
    <w:rsid w:val="001E08C1"/>
    <w:rsid w:val="001E098B"/>
    <w:rsid w:val="001E0A91"/>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560"/>
    <w:rsid w:val="001E2821"/>
    <w:rsid w:val="001E2ADE"/>
    <w:rsid w:val="001E2DC0"/>
    <w:rsid w:val="001E2FE9"/>
    <w:rsid w:val="001E30E9"/>
    <w:rsid w:val="001E33A4"/>
    <w:rsid w:val="001E371E"/>
    <w:rsid w:val="001E37BA"/>
    <w:rsid w:val="001E3817"/>
    <w:rsid w:val="001E3905"/>
    <w:rsid w:val="001E39FC"/>
    <w:rsid w:val="001E3A3A"/>
    <w:rsid w:val="001E3C0B"/>
    <w:rsid w:val="001E3CB0"/>
    <w:rsid w:val="001E3EC9"/>
    <w:rsid w:val="001E3FBC"/>
    <w:rsid w:val="001E43E4"/>
    <w:rsid w:val="001E44EE"/>
    <w:rsid w:val="001E4743"/>
    <w:rsid w:val="001E4780"/>
    <w:rsid w:val="001E489B"/>
    <w:rsid w:val="001E49A3"/>
    <w:rsid w:val="001E49F1"/>
    <w:rsid w:val="001E4B45"/>
    <w:rsid w:val="001E4B8D"/>
    <w:rsid w:val="001E4BE3"/>
    <w:rsid w:val="001E4CEB"/>
    <w:rsid w:val="001E4F7D"/>
    <w:rsid w:val="001E50C7"/>
    <w:rsid w:val="001E50F2"/>
    <w:rsid w:val="001E5230"/>
    <w:rsid w:val="001E5265"/>
    <w:rsid w:val="001E55E5"/>
    <w:rsid w:val="001E576B"/>
    <w:rsid w:val="001E57DB"/>
    <w:rsid w:val="001E582F"/>
    <w:rsid w:val="001E58AB"/>
    <w:rsid w:val="001E593A"/>
    <w:rsid w:val="001E596A"/>
    <w:rsid w:val="001E5B44"/>
    <w:rsid w:val="001E5C34"/>
    <w:rsid w:val="001E5DE0"/>
    <w:rsid w:val="001E5E33"/>
    <w:rsid w:val="001E5E88"/>
    <w:rsid w:val="001E5F19"/>
    <w:rsid w:val="001E60BD"/>
    <w:rsid w:val="001E60E9"/>
    <w:rsid w:val="001E6254"/>
    <w:rsid w:val="001E6274"/>
    <w:rsid w:val="001E64D4"/>
    <w:rsid w:val="001E660B"/>
    <w:rsid w:val="001E6638"/>
    <w:rsid w:val="001E683F"/>
    <w:rsid w:val="001E69A0"/>
    <w:rsid w:val="001E6BDC"/>
    <w:rsid w:val="001E6CCB"/>
    <w:rsid w:val="001E6D4B"/>
    <w:rsid w:val="001E70C7"/>
    <w:rsid w:val="001E70D4"/>
    <w:rsid w:val="001E71C3"/>
    <w:rsid w:val="001E7289"/>
    <w:rsid w:val="001E73FA"/>
    <w:rsid w:val="001E7474"/>
    <w:rsid w:val="001E76ED"/>
    <w:rsid w:val="001E78BC"/>
    <w:rsid w:val="001E78D6"/>
    <w:rsid w:val="001E78E6"/>
    <w:rsid w:val="001E791E"/>
    <w:rsid w:val="001E7B5B"/>
    <w:rsid w:val="001E7BF8"/>
    <w:rsid w:val="001E7D43"/>
    <w:rsid w:val="001E7D7E"/>
    <w:rsid w:val="001E7DAE"/>
    <w:rsid w:val="001E7EA3"/>
    <w:rsid w:val="001F058B"/>
    <w:rsid w:val="001F086B"/>
    <w:rsid w:val="001F0C32"/>
    <w:rsid w:val="001F0CA0"/>
    <w:rsid w:val="001F0D66"/>
    <w:rsid w:val="001F0DC2"/>
    <w:rsid w:val="001F1074"/>
    <w:rsid w:val="001F10E0"/>
    <w:rsid w:val="001F1161"/>
    <w:rsid w:val="001F1ABC"/>
    <w:rsid w:val="001F1B0E"/>
    <w:rsid w:val="001F1B1C"/>
    <w:rsid w:val="001F1BFD"/>
    <w:rsid w:val="001F1D14"/>
    <w:rsid w:val="001F1E99"/>
    <w:rsid w:val="001F1F29"/>
    <w:rsid w:val="001F203C"/>
    <w:rsid w:val="001F2153"/>
    <w:rsid w:val="001F22E0"/>
    <w:rsid w:val="001F23C3"/>
    <w:rsid w:val="001F25F0"/>
    <w:rsid w:val="001F26BE"/>
    <w:rsid w:val="001F2BCE"/>
    <w:rsid w:val="001F2C02"/>
    <w:rsid w:val="001F2C48"/>
    <w:rsid w:val="001F2DB8"/>
    <w:rsid w:val="001F2DE2"/>
    <w:rsid w:val="001F2DFC"/>
    <w:rsid w:val="001F2E20"/>
    <w:rsid w:val="001F2E33"/>
    <w:rsid w:val="001F318C"/>
    <w:rsid w:val="001F328B"/>
    <w:rsid w:val="001F32C3"/>
    <w:rsid w:val="001F3411"/>
    <w:rsid w:val="001F3606"/>
    <w:rsid w:val="001F3973"/>
    <w:rsid w:val="001F3A71"/>
    <w:rsid w:val="001F3AC4"/>
    <w:rsid w:val="001F3AEC"/>
    <w:rsid w:val="001F3B4D"/>
    <w:rsid w:val="001F3DAA"/>
    <w:rsid w:val="001F3F3B"/>
    <w:rsid w:val="001F3FDC"/>
    <w:rsid w:val="001F3FF7"/>
    <w:rsid w:val="001F40C0"/>
    <w:rsid w:val="001F4358"/>
    <w:rsid w:val="001F4454"/>
    <w:rsid w:val="001F44F4"/>
    <w:rsid w:val="001F4A29"/>
    <w:rsid w:val="001F4A3B"/>
    <w:rsid w:val="001F4B55"/>
    <w:rsid w:val="001F4C48"/>
    <w:rsid w:val="001F4C63"/>
    <w:rsid w:val="001F4D5F"/>
    <w:rsid w:val="001F4D80"/>
    <w:rsid w:val="001F4FAA"/>
    <w:rsid w:val="001F5003"/>
    <w:rsid w:val="001F5147"/>
    <w:rsid w:val="001F529B"/>
    <w:rsid w:val="001F541E"/>
    <w:rsid w:val="001F58A2"/>
    <w:rsid w:val="001F58F7"/>
    <w:rsid w:val="001F5953"/>
    <w:rsid w:val="001F5A24"/>
    <w:rsid w:val="001F5AC3"/>
    <w:rsid w:val="001F5B66"/>
    <w:rsid w:val="001F5C10"/>
    <w:rsid w:val="001F5C54"/>
    <w:rsid w:val="001F5DE2"/>
    <w:rsid w:val="001F5FBC"/>
    <w:rsid w:val="001F5FE2"/>
    <w:rsid w:val="001F6176"/>
    <w:rsid w:val="001F62A0"/>
    <w:rsid w:val="001F63BA"/>
    <w:rsid w:val="001F6434"/>
    <w:rsid w:val="001F6464"/>
    <w:rsid w:val="001F64C1"/>
    <w:rsid w:val="001F651E"/>
    <w:rsid w:val="001F689C"/>
    <w:rsid w:val="001F69EE"/>
    <w:rsid w:val="001F6B16"/>
    <w:rsid w:val="001F6CB3"/>
    <w:rsid w:val="001F6D30"/>
    <w:rsid w:val="001F7263"/>
    <w:rsid w:val="001F73B1"/>
    <w:rsid w:val="001F746C"/>
    <w:rsid w:val="001F76F8"/>
    <w:rsid w:val="001F77C4"/>
    <w:rsid w:val="001F77D2"/>
    <w:rsid w:val="001F77E3"/>
    <w:rsid w:val="001F7825"/>
    <w:rsid w:val="00200052"/>
    <w:rsid w:val="0020014B"/>
    <w:rsid w:val="002001D6"/>
    <w:rsid w:val="00200388"/>
    <w:rsid w:val="0020071C"/>
    <w:rsid w:val="00200AE8"/>
    <w:rsid w:val="00200B38"/>
    <w:rsid w:val="00200BAF"/>
    <w:rsid w:val="00200CE0"/>
    <w:rsid w:val="00200D3E"/>
    <w:rsid w:val="002011AA"/>
    <w:rsid w:val="002011E2"/>
    <w:rsid w:val="002012D7"/>
    <w:rsid w:val="00201642"/>
    <w:rsid w:val="0020172B"/>
    <w:rsid w:val="00201BB9"/>
    <w:rsid w:val="00201C82"/>
    <w:rsid w:val="00201E71"/>
    <w:rsid w:val="002020B2"/>
    <w:rsid w:val="002021B0"/>
    <w:rsid w:val="002024D2"/>
    <w:rsid w:val="00202561"/>
    <w:rsid w:val="0020259D"/>
    <w:rsid w:val="00202664"/>
    <w:rsid w:val="00202836"/>
    <w:rsid w:val="0020298E"/>
    <w:rsid w:val="00202A49"/>
    <w:rsid w:val="00202BA5"/>
    <w:rsid w:val="00202C5E"/>
    <w:rsid w:val="00202ECE"/>
    <w:rsid w:val="00202F26"/>
    <w:rsid w:val="00202FF2"/>
    <w:rsid w:val="00203454"/>
    <w:rsid w:val="0020346A"/>
    <w:rsid w:val="002034EF"/>
    <w:rsid w:val="002035CF"/>
    <w:rsid w:val="002036B7"/>
    <w:rsid w:val="00203A9B"/>
    <w:rsid w:val="00203DA5"/>
    <w:rsid w:val="00203DB6"/>
    <w:rsid w:val="0020435F"/>
    <w:rsid w:val="00204387"/>
    <w:rsid w:val="002043EA"/>
    <w:rsid w:val="002044BE"/>
    <w:rsid w:val="00204685"/>
    <w:rsid w:val="00204724"/>
    <w:rsid w:val="00204853"/>
    <w:rsid w:val="00204A1E"/>
    <w:rsid w:val="00204AF5"/>
    <w:rsid w:val="00204BC0"/>
    <w:rsid w:val="00204D82"/>
    <w:rsid w:val="00204F83"/>
    <w:rsid w:val="0020501E"/>
    <w:rsid w:val="0020516B"/>
    <w:rsid w:val="002054D7"/>
    <w:rsid w:val="002056C9"/>
    <w:rsid w:val="00205732"/>
    <w:rsid w:val="0020580C"/>
    <w:rsid w:val="0020586B"/>
    <w:rsid w:val="00205AD1"/>
    <w:rsid w:val="00205AFB"/>
    <w:rsid w:val="00205C38"/>
    <w:rsid w:val="00205C57"/>
    <w:rsid w:val="00205CB3"/>
    <w:rsid w:val="00205CEE"/>
    <w:rsid w:val="00206113"/>
    <w:rsid w:val="002061D8"/>
    <w:rsid w:val="0020630E"/>
    <w:rsid w:val="00206332"/>
    <w:rsid w:val="002065A5"/>
    <w:rsid w:val="002066FE"/>
    <w:rsid w:val="00206A68"/>
    <w:rsid w:val="00206B5D"/>
    <w:rsid w:val="002072AE"/>
    <w:rsid w:val="002073E2"/>
    <w:rsid w:val="0020747C"/>
    <w:rsid w:val="002075B1"/>
    <w:rsid w:val="00207671"/>
    <w:rsid w:val="0020773D"/>
    <w:rsid w:val="002077B6"/>
    <w:rsid w:val="00207856"/>
    <w:rsid w:val="0020794A"/>
    <w:rsid w:val="00207CB0"/>
    <w:rsid w:val="00207E44"/>
    <w:rsid w:val="00207EA5"/>
    <w:rsid w:val="00207EA9"/>
    <w:rsid w:val="00207F5A"/>
    <w:rsid w:val="00210221"/>
    <w:rsid w:val="0021022E"/>
    <w:rsid w:val="002102DF"/>
    <w:rsid w:val="00210415"/>
    <w:rsid w:val="00210490"/>
    <w:rsid w:val="002104B3"/>
    <w:rsid w:val="002105EE"/>
    <w:rsid w:val="002107A7"/>
    <w:rsid w:val="00210820"/>
    <w:rsid w:val="00210838"/>
    <w:rsid w:val="0021083F"/>
    <w:rsid w:val="00210851"/>
    <w:rsid w:val="002109FF"/>
    <w:rsid w:val="00210CAF"/>
    <w:rsid w:val="00210D13"/>
    <w:rsid w:val="00210EAD"/>
    <w:rsid w:val="00210F3B"/>
    <w:rsid w:val="00211167"/>
    <w:rsid w:val="002111BC"/>
    <w:rsid w:val="00211247"/>
    <w:rsid w:val="00211282"/>
    <w:rsid w:val="00211901"/>
    <w:rsid w:val="00211A4D"/>
    <w:rsid w:val="00211ADB"/>
    <w:rsid w:val="00211B86"/>
    <w:rsid w:val="00211DFA"/>
    <w:rsid w:val="00211E42"/>
    <w:rsid w:val="00211EB1"/>
    <w:rsid w:val="00212122"/>
    <w:rsid w:val="0021218C"/>
    <w:rsid w:val="00212670"/>
    <w:rsid w:val="0021277A"/>
    <w:rsid w:val="00212BBA"/>
    <w:rsid w:val="00212EF8"/>
    <w:rsid w:val="00212F5D"/>
    <w:rsid w:val="002130FD"/>
    <w:rsid w:val="00213134"/>
    <w:rsid w:val="002131EF"/>
    <w:rsid w:val="00213211"/>
    <w:rsid w:val="0021323C"/>
    <w:rsid w:val="00213534"/>
    <w:rsid w:val="00213A91"/>
    <w:rsid w:val="00213AF8"/>
    <w:rsid w:val="00213B75"/>
    <w:rsid w:val="00213B7B"/>
    <w:rsid w:val="00213B9C"/>
    <w:rsid w:val="00213F49"/>
    <w:rsid w:val="002146C2"/>
    <w:rsid w:val="002149D9"/>
    <w:rsid w:val="00214A8A"/>
    <w:rsid w:val="00214AE5"/>
    <w:rsid w:val="00214C2F"/>
    <w:rsid w:val="00214EC6"/>
    <w:rsid w:val="002150A7"/>
    <w:rsid w:val="002150C2"/>
    <w:rsid w:val="002155F9"/>
    <w:rsid w:val="002157A9"/>
    <w:rsid w:val="002158B8"/>
    <w:rsid w:val="00215C3C"/>
    <w:rsid w:val="00215C80"/>
    <w:rsid w:val="00215CA5"/>
    <w:rsid w:val="00215D02"/>
    <w:rsid w:val="00215DC8"/>
    <w:rsid w:val="00215F35"/>
    <w:rsid w:val="0021639D"/>
    <w:rsid w:val="002163B4"/>
    <w:rsid w:val="00216435"/>
    <w:rsid w:val="00216439"/>
    <w:rsid w:val="00216455"/>
    <w:rsid w:val="0021649D"/>
    <w:rsid w:val="002164F5"/>
    <w:rsid w:val="002165B6"/>
    <w:rsid w:val="0021661F"/>
    <w:rsid w:val="002166B0"/>
    <w:rsid w:val="002169EF"/>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9C4"/>
    <w:rsid w:val="00217BF1"/>
    <w:rsid w:val="00217BF3"/>
    <w:rsid w:val="00217CD8"/>
    <w:rsid w:val="00217CF5"/>
    <w:rsid w:val="00217E84"/>
    <w:rsid w:val="00217E96"/>
    <w:rsid w:val="00220196"/>
    <w:rsid w:val="002201FC"/>
    <w:rsid w:val="00220995"/>
    <w:rsid w:val="00220A6B"/>
    <w:rsid w:val="00220B36"/>
    <w:rsid w:val="00220D77"/>
    <w:rsid w:val="00220E17"/>
    <w:rsid w:val="00220E1F"/>
    <w:rsid w:val="0022113E"/>
    <w:rsid w:val="00221226"/>
    <w:rsid w:val="0022146E"/>
    <w:rsid w:val="002214A6"/>
    <w:rsid w:val="0022162A"/>
    <w:rsid w:val="00221866"/>
    <w:rsid w:val="0022199A"/>
    <w:rsid w:val="00221A82"/>
    <w:rsid w:val="00221AB9"/>
    <w:rsid w:val="00221C1A"/>
    <w:rsid w:val="00221C1E"/>
    <w:rsid w:val="00221CAA"/>
    <w:rsid w:val="00221D62"/>
    <w:rsid w:val="00221F05"/>
    <w:rsid w:val="00222071"/>
    <w:rsid w:val="00222085"/>
    <w:rsid w:val="00222310"/>
    <w:rsid w:val="00222602"/>
    <w:rsid w:val="0022297E"/>
    <w:rsid w:val="00222A50"/>
    <w:rsid w:val="00222C75"/>
    <w:rsid w:val="00222D20"/>
    <w:rsid w:val="00222D28"/>
    <w:rsid w:val="00222F5F"/>
    <w:rsid w:val="00223050"/>
    <w:rsid w:val="00223080"/>
    <w:rsid w:val="002232EF"/>
    <w:rsid w:val="002232F5"/>
    <w:rsid w:val="002233FD"/>
    <w:rsid w:val="0022353E"/>
    <w:rsid w:val="002236CB"/>
    <w:rsid w:val="002238A2"/>
    <w:rsid w:val="002239C5"/>
    <w:rsid w:val="00223A2C"/>
    <w:rsid w:val="00223BD4"/>
    <w:rsid w:val="00223C13"/>
    <w:rsid w:val="00223D07"/>
    <w:rsid w:val="00223EB3"/>
    <w:rsid w:val="00223FED"/>
    <w:rsid w:val="002240CD"/>
    <w:rsid w:val="00224143"/>
    <w:rsid w:val="00224195"/>
    <w:rsid w:val="0022434A"/>
    <w:rsid w:val="00224389"/>
    <w:rsid w:val="002244C1"/>
    <w:rsid w:val="002247F9"/>
    <w:rsid w:val="0022480C"/>
    <w:rsid w:val="00224861"/>
    <w:rsid w:val="00224983"/>
    <w:rsid w:val="00224AD4"/>
    <w:rsid w:val="00224D12"/>
    <w:rsid w:val="00224E51"/>
    <w:rsid w:val="00224FBA"/>
    <w:rsid w:val="0022500E"/>
    <w:rsid w:val="00225029"/>
    <w:rsid w:val="00225044"/>
    <w:rsid w:val="00225784"/>
    <w:rsid w:val="002258F3"/>
    <w:rsid w:val="00225917"/>
    <w:rsid w:val="0022594E"/>
    <w:rsid w:val="00225E02"/>
    <w:rsid w:val="00225E26"/>
    <w:rsid w:val="002261A5"/>
    <w:rsid w:val="00226316"/>
    <w:rsid w:val="002264E9"/>
    <w:rsid w:val="00226521"/>
    <w:rsid w:val="0022664B"/>
    <w:rsid w:val="00226764"/>
    <w:rsid w:val="002267FC"/>
    <w:rsid w:val="00226BE1"/>
    <w:rsid w:val="00226D0C"/>
    <w:rsid w:val="00226E48"/>
    <w:rsid w:val="002270FC"/>
    <w:rsid w:val="0022710E"/>
    <w:rsid w:val="002271A0"/>
    <w:rsid w:val="00227206"/>
    <w:rsid w:val="0022766B"/>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836"/>
    <w:rsid w:val="00231B9A"/>
    <w:rsid w:val="00231E8E"/>
    <w:rsid w:val="00231EB5"/>
    <w:rsid w:val="00232177"/>
    <w:rsid w:val="00232219"/>
    <w:rsid w:val="0023287C"/>
    <w:rsid w:val="0023293D"/>
    <w:rsid w:val="00232A43"/>
    <w:rsid w:val="00232C52"/>
    <w:rsid w:val="00232CA2"/>
    <w:rsid w:val="00232CC8"/>
    <w:rsid w:val="00232D55"/>
    <w:rsid w:val="00232F06"/>
    <w:rsid w:val="00232F36"/>
    <w:rsid w:val="002330CB"/>
    <w:rsid w:val="00233149"/>
    <w:rsid w:val="002332F0"/>
    <w:rsid w:val="0023347E"/>
    <w:rsid w:val="002336AB"/>
    <w:rsid w:val="002336FF"/>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9D8"/>
    <w:rsid w:val="00235D0F"/>
    <w:rsid w:val="00235DE9"/>
    <w:rsid w:val="0023600B"/>
    <w:rsid w:val="002361FB"/>
    <w:rsid w:val="0023625B"/>
    <w:rsid w:val="00236428"/>
    <w:rsid w:val="00236460"/>
    <w:rsid w:val="00236461"/>
    <w:rsid w:val="002364CF"/>
    <w:rsid w:val="002364EE"/>
    <w:rsid w:val="0023662D"/>
    <w:rsid w:val="00236778"/>
    <w:rsid w:val="00236797"/>
    <w:rsid w:val="002367EC"/>
    <w:rsid w:val="00236885"/>
    <w:rsid w:val="00236918"/>
    <w:rsid w:val="002369A4"/>
    <w:rsid w:val="00236B22"/>
    <w:rsid w:val="00236B98"/>
    <w:rsid w:val="00236BFD"/>
    <w:rsid w:val="00236EEC"/>
    <w:rsid w:val="0023707C"/>
    <w:rsid w:val="002371BF"/>
    <w:rsid w:val="002371F6"/>
    <w:rsid w:val="0023720B"/>
    <w:rsid w:val="0023735B"/>
    <w:rsid w:val="00237497"/>
    <w:rsid w:val="00237577"/>
    <w:rsid w:val="002375B2"/>
    <w:rsid w:val="002376F2"/>
    <w:rsid w:val="00237739"/>
    <w:rsid w:val="002377AB"/>
    <w:rsid w:val="002377EE"/>
    <w:rsid w:val="002377F1"/>
    <w:rsid w:val="002378CC"/>
    <w:rsid w:val="00237A8A"/>
    <w:rsid w:val="00237C37"/>
    <w:rsid w:val="00237CCC"/>
    <w:rsid w:val="00237CF9"/>
    <w:rsid w:val="00237D9C"/>
    <w:rsid w:val="00237F21"/>
    <w:rsid w:val="00237FCF"/>
    <w:rsid w:val="00240100"/>
    <w:rsid w:val="002401E3"/>
    <w:rsid w:val="002401E4"/>
    <w:rsid w:val="002402FC"/>
    <w:rsid w:val="0024034F"/>
    <w:rsid w:val="002405E2"/>
    <w:rsid w:val="002407E5"/>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B36"/>
    <w:rsid w:val="00241C62"/>
    <w:rsid w:val="00241C88"/>
    <w:rsid w:val="00241E55"/>
    <w:rsid w:val="00241E59"/>
    <w:rsid w:val="00241EE7"/>
    <w:rsid w:val="00241F3A"/>
    <w:rsid w:val="00241F64"/>
    <w:rsid w:val="00241FD6"/>
    <w:rsid w:val="00241FD9"/>
    <w:rsid w:val="00242127"/>
    <w:rsid w:val="00242163"/>
    <w:rsid w:val="0024224F"/>
    <w:rsid w:val="0024225D"/>
    <w:rsid w:val="00242403"/>
    <w:rsid w:val="0024292B"/>
    <w:rsid w:val="002429A7"/>
    <w:rsid w:val="00242A18"/>
    <w:rsid w:val="00242A39"/>
    <w:rsid w:val="00242A72"/>
    <w:rsid w:val="00243084"/>
    <w:rsid w:val="002430CE"/>
    <w:rsid w:val="00243120"/>
    <w:rsid w:val="00243151"/>
    <w:rsid w:val="00243314"/>
    <w:rsid w:val="002433F7"/>
    <w:rsid w:val="0024365E"/>
    <w:rsid w:val="0024391D"/>
    <w:rsid w:val="002439F7"/>
    <w:rsid w:val="00243B6A"/>
    <w:rsid w:val="00243C3B"/>
    <w:rsid w:val="00243ECC"/>
    <w:rsid w:val="00243F14"/>
    <w:rsid w:val="00244041"/>
    <w:rsid w:val="00244060"/>
    <w:rsid w:val="0024438B"/>
    <w:rsid w:val="00244698"/>
    <w:rsid w:val="002446B6"/>
    <w:rsid w:val="00244714"/>
    <w:rsid w:val="00244753"/>
    <w:rsid w:val="00244AC6"/>
    <w:rsid w:val="00244F4F"/>
    <w:rsid w:val="002450D4"/>
    <w:rsid w:val="002450F6"/>
    <w:rsid w:val="0024510F"/>
    <w:rsid w:val="0024511A"/>
    <w:rsid w:val="00245221"/>
    <w:rsid w:val="002452D1"/>
    <w:rsid w:val="002452EE"/>
    <w:rsid w:val="00245355"/>
    <w:rsid w:val="002453D4"/>
    <w:rsid w:val="002455E4"/>
    <w:rsid w:val="00245A15"/>
    <w:rsid w:val="00245C13"/>
    <w:rsid w:val="00245CE3"/>
    <w:rsid w:val="00245D91"/>
    <w:rsid w:val="00245E33"/>
    <w:rsid w:val="00245EB7"/>
    <w:rsid w:val="0024611C"/>
    <w:rsid w:val="0024611F"/>
    <w:rsid w:val="0024625E"/>
    <w:rsid w:val="002462F8"/>
    <w:rsid w:val="00246607"/>
    <w:rsid w:val="00246734"/>
    <w:rsid w:val="00246768"/>
    <w:rsid w:val="00246870"/>
    <w:rsid w:val="00246871"/>
    <w:rsid w:val="002468FD"/>
    <w:rsid w:val="00246AE7"/>
    <w:rsid w:val="00246D48"/>
    <w:rsid w:val="00246D8E"/>
    <w:rsid w:val="00246F3B"/>
    <w:rsid w:val="00247691"/>
    <w:rsid w:val="002477C7"/>
    <w:rsid w:val="002477D4"/>
    <w:rsid w:val="0024798B"/>
    <w:rsid w:val="00247B52"/>
    <w:rsid w:val="00247D76"/>
    <w:rsid w:val="00247F20"/>
    <w:rsid w:val="002500ED"/>
    <w:rsid w:val="00250184"/>
    <w:rsid w:val="002502CA"/>
    <w:rsid w:val="002503B9"/>
    <w:rsid w:val="00250487"/>
    <w:rsid w:val="00250735"/>
    <w:rsid w:val="00250820"/>
    <w:rsid w:val="002508DA"/>
    <w:rsid w:val="00250934"/>
    <w:rsid w:val="00250D0F"/>
    <w:rsid w:val="00250EA3"/>
    <w:rsid w:val="00250F7B"/>
    <w:rsid w:val="00251080"/>
    <w:rsid w:val="0025142A"/>
    <w:rsid w:val="002516D4"/>
    <w:rsid w:val="00251741"/>
    <w:rsid w:val="0025187D"/>
    <w:rsid w:val="0025194C"/>
    <w:rsid w:val="00251A70"/>
    <w:rsid w:val="00251AB4"/>
    <w:rsid w:val="00251BB7"/>
    <w:rsid w:val="00251FB7"/>
    <w:rsid w:val="00252052"/>
    <w:rsid w:val="002520A3"/>
    <w:rsid w:val="002521CF"/>
    <w:rsid w:val="00252207"/>
    <w:rsid w:val="00252218"/>
    <w:rsid w:val="0025232F"/>
    <w:rsid w:val="00252476"/>
    <w:rsid w:val="0025272E"/>
    <w:rsid w:val="00252884"/>
    <w:rsid w:val="00252CDE"/>
    <w:rsid w:val="00252D6E"/>
    <w:rsid w:val="00252E59"/>
    <w:rsid w:val="00252E84"/>
    <w:rsid w:val="00252EC6"/>
    <w:rsid w:val="00253061"/>
    <w:rsid w:val="00253379"/>
    <w:rsid w:val="002537F9"/>
    <w:rsid w:val="00253824"/>
    <w:rsid w:val="002539C2"/>
    <w:rsid w:val="002539DA"/>
    <w:rsid w:val="002539E5"/>
    <w:rsid w:val="00253B7B"/>
    <w:rsid w:val="00253B8A"/>
    <w:rsid w:val="00253C06"/>
    <w:rsid w:val="00253E5A"/>
    <w:rsid w:val="00253FF4"/>
    <w:rsid w:val="0025406B"/>
    <w:rsid w:val="0025416B"/>
    <w:rsid w:val="002542E8"/>
    <w:rsid w:val="0025437B"/>
    <w:rsid w:val="002543B8"/>
    <w:rsid w:val="00254458"/>
    <w:rsid w:val="0025470A"/>
    <w:rsid w:val="002547C2"/>
    <w:rsid w:val="002548F7"/>
    <w:rsid w:val="0025492C"/>
    <w:rsid w:val="00254A75"/>
    <w:rsid w:val="00254B14"/>
    <w:rsid w:val="00254BFC"/>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057"/>
    <w:rsid w:val="00257195"/>
    <w:rsid w:val="002571EE"/>
    <w:rsid w:val="0025729F"/>
    <w:rsid w:val="00257340"/>
    <w:rsid w:val="00257364"/>
    <w:rsid w:val="00257487"/>
    <w:rsid w:val="002575FD"/>
    <w:rsid w:val="0025774E"/>
    <w:rsid w:val="0025777A"/>
    <w:rsid w:val="00257868"/>
    <w:rsid w:val="002579BF"/>
    <w:rsid w:val="002579F1"/>
    <w:rsid w:val="00257D86"/>
    <w:rsid w:val="0026004F"/>
    <w:rsid w:val="00260172"/>
    <w:rsid w:val="002601B4"/>
    <w:rsid w:val="00260202"/>
    <w:rsid w:val="00260275"/>
    <w:rsid w:val="002603D6"/>
    <w:rsid w:val="002605F9"/>
    <w:rsid w:val="002607D7"/>
    <w:rsid w:val="002608C3"/>
    <w:rsid w:val="00260A82"/>
    <w:rsid w:val="00260FA8"/>
    <w:rsid w:val="00261038"/>
    <w:rsid w:val="00261115"/>
    <w:rsid w:val="0026111B"/>
    <w:rsid w:val="0026116D"/>
    <w:rsid w:val="002615E9"/>
    <w:rsid w:val="00261600"/>
    <w:rsid w:val="00261A3E"/>
    <w:rsid w:val="00261A99"/>
    <w:rsid w:val="00261B22"/>
    <w:rsid w:val="00261C77"/>
    <w:rsid w:val="00261DB6"/>
    <w:rsid w:val="00261E98"/>
    <w:rsid w:val="00261FB3"/>
    <w:rsid w:val="0026205F"/>
    <w:rsid w:val="002620AC"/>
    <w:rsid w:val="00262105"/>
    <w:rsid w:val="002623C4"/>
    <w:rsid w:val="002623DE"/>
    <w:rsid w:val="00262615"/>
    <w:rsid w:val="0026276B"/>
    <w:rsid w:val="002627A6"/>
    <w:rsid w:val="002627A9"/>
    <w:rsid w:val="002627F8"/>
    <w:rsid w:val="002629EA"/>
    <w:rsid w:val="00262B51"/>
    <w:rsid w:val="00262BC7"/>
    <w:rsid w:val="00263165"/>
    <w:rsid w:val="0026344D"/>
    <w:rsid w:val="002635E2"/>
    <w:rsid w:val="0026381F"/>
    <w:rsid w:val="00263AB4"/>
    <w:rsid w:val="00263B74"/>
    <w:rsid w:val="00263CF9"/>
    <w:rsid w:val="00263E9A"/>
    <w:rsid w:val="00263FA2"/>
    <w:rsid w:val="002640FB"/>
    <w:rsid w:val="0026421D"/>
    <w:rsid w:val="00264387"/>
    <w:rsid w:val="00264493"/>
    <w:rsid w:val="002645B7"/>
    <w:rsid w:val="0026462D"/>
    <w:rsid w:val="0026469A"/>
    <w:rsid w:val="00264806"/>
    <w:rsid w:val="00264A81"/>
    <w:rsid w:val="00264AC4"/>
    <w:rsid w:val="00264C9A"/>
    <w:rsid w:val="00264F58"/>
    <w:rsid w:val="00265031"/>
    <w:rsid w:val="00265208"/>
    <w:rsid w:val="00265223"/>
    <w:rsid w:val="002652E7"/>
    <w:rsid w:val="002653F8"/>
    <w:rsid w:val="00265767"/>
    <w:rsid w:val="00265A37"/>
    <w:rsid w:val="00265C8B"/>
    <w:rsid w:val="00265DED"/>
    <w:rsid w:val="002660C9"/>
    <w:rsid w:val="002661E7"/>
    <w:rsid w:val="0026638E"/>
    <w:rsid w:val="0026694D"/>
    <w:rsid w:val="00266B6D"/>
    <w:rsid w:val="00266C72"/>
    <w:rsid w:val="00266E4E"/>
    <w:rsid w:val="00266FA9"/>
    <w:rsid w:val="00267000"/>
    <w:rsid w:val="00267191"/>
    <w:rsid w:val="0026719D"/>
    <w:rsid w:val="00267246"/>
    <w:rsid w:val="00267299"/>
    <w:rsid w:val="00267396"/>
    <w:rsid w:val="00267527"/>
    <w:rsid w:val="0026752B"/>
    <w:rsid w:val="00267756"/>
    <w:rsid w:val="002677DD"/>
    <w:rsid w:val="002677F3"/>
    <w:rsid w:val="00267AE7"/>
    <w:rsid w:val="00267D38"/>
    <w:rsid w:val="00267D4E"/>
    <w:rsid w:val="00267FE3"/>
    <w:rsid w:val="00267FF2"/>
    <w:rsid w:val="00270123"/>
    <w:rsid w:val="0027014A"/>
    <w:rsid w:val="0027029C"/>
    <w:rsid w:val="00270380"/>
    <w:rsid w:val="00270494"/>
    <w:rsid w:val="002704C9"/>
    <w:rsid w:val="00270513"/>
    <w:rsid w:val="00270789"/>
    <w:rsid w:val="00270954"/>
    <w:rsid w:val="0027098C"/>
    <w:rsid w:val="00270A05"/>
    <w:rsid w:val="00270C53"/>
    <w:rsid w:val="00270D45"/>
    <w:rsid w:val="00270DE8"/>
    <w:rsid w:val="00270E04"/>
    <w:rsid w:val="00270EA0"/>
    <w:rsid w:val="00270F09"/>
    <w:rsid w:val="00270F8F"/>
    <w:rsid w:val="0027123A"/>
    <w:rsid w:val="00271369"/>
    <w:rsid w:val="002713A9"/>
    <w:rsid w:val="00271441"/>
    <w:rsid w:val="0027150E"/>
    <w:rsid w:val="00271558"/>
    <w:rsid w:val="002718EA"/>
    <w:rsid w:val="00271A03"/>
    <w:rsid w:val="00271A5D"/>
    <w:rsid w:val="00271AD8"/>
    <w:rsid w:val="00271E37"/>
    <w:rsid w:val="00271ED3"/>
    <w:rsid w:val="00271EED"/>
    <w:rsid w:val="00271F59"/>
    <w:rsid w:val="0027206F"/>
    <w:rsid w:val="002722AF"/>
    <w:rsid w:val="002722B9"/>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23"/>
    <w:rsid w:val="0027416A"/>
    <w:rsid w:val="002742AE"/>
    <w:rsid w:val="00274318"/>
    <w:rsid w:val="00274634"/>
    <w:rsid w:val="00274692"/>
    <w:rsid w:val="002746EB"/>
    <w:rsid w:val="00274AD4"/>
    <w:rsid w:val="00274AE7"/>
    <w:rsid w:val="00274BEF"/>
    <w:rsid w:val="00274D5D"/>
    <w:rsid w:val="00274EB5"/>
    <w:rsid w:val="002750E9"/>
    <w:rsid w:val="00275106"/>
    <w:rsid w:val="0027518F"/>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16"/>
    <w:rsid w:val="00276BC9"/>
    <w:rsid w:val="00276D3C"/>
    <w:rsid w:val="00276D6F"/>
    <w:rsid w:val="00276E14"/>
    <w:rsid w:val="00276E72"/>
    <w:rsid w:val="00277132"/>
    <w:rsid w:val="002771CA"/>
    <w:rsid w:val="0027721D"/>
    <w:rsid w:val="0027733C"/>
    <w:rsid w:val="002774E2"/>
    <w:rsid w:val="002775FA"/>
    <w:rsid w:val="00277788"/>
    <w:rsid w:val="002778E3"/>
    <w:rsid w:val="00277A97"/>
    <w:rsid w:val="00277B71"/>
    <w:rsid w:val="00277BE3"/>
    <w:rsid w:val="00277DE6"/>
    <w:rsid w:val="00277E58"/>
    <w:rsid w:val="00280121"/>
    <w:rsid w:val="00280276"/>
    <w:rsid w:val="002803D1"/>
    <w:rsid w:val="00280631"/>
    <w:rsid w:val="0028080F"/>
    <w:rsid w:val="00280835"/>
    <w:rsid w:val="0028085E"/>
    <w:rsid w:val="002808E2"/>
    <w:rsid w:val="00280ACF"/>
    <w:rsid w:val="00280BD7"/>
    <w:rsid w:val="00280C16"/>
    <w:rsid w:val="00280D49"/>
    <w:rsid w:val="00280E37"/>
    <w:rsid w:val="00280E5B"/>
    <w:rsid w:val="00281037"/>
    <w:rsid w:val="00281067"/>
    <w:rsid w:val="002810D5"/>
    <w:rsid w:val="0028129A"/>
    <w:rsid w:val="002815FB"/>
    <w:rsid w:val="002817E8"/>
    <w:rsid w:val="00281AAD"/>
    <w:rsid w:val="00281C1A"/>
    <w:rsid w:val="00281CEA"/>
    <w:rsid w:val="00281FC9"/>
    <w:rsid w:val="00282005"/>
    <w:rsid w:val="00282012"/>
    <w:rsid w:val="00282217"/>
    <w:rsid w:val="00282248"/>
    <w:rsid w:val="00282294"/>
    <w:rsid w:val="002826BB"/>
    <w:rsid w:val="002827E3"/>
    <w:rsid w:val="002829FC"/>
    <w:rsid w:val="00282B32"/>
    <w:rsid w:val="00282BD4"/>
    <w:rsid w:val="00282BEB"/>
    <w:rsid w:val="00282C34"/>
    <w:rsid w:val="00282DF4"/>
    <w:rsid w:val="0028309D"/>
    <w:rsid w:val="00283203"/>
    <w:rsid w:val="0028326B"/>
    <w:rsid w:val="002833B9"/>
    <w:rsid w:val="00283452"/>
    <w:rsid w:val="002836C5"/>
    <w:rsid w:val="00283905"/>
    <w:rsid w:val="002839A4"/>
    <w:rsid w:val="00283ACA"/>
    <w:rsid w:val="00283D21"/>
    <w:rsid w:val="00283D90"/>
    <w:rsid w:val="002840F4"/>
    <w:rsid w:val="00284193"/>
    <w:rsid w:val="0028424B"/>
    <w:rsid w:val="0028433E"/>
    <w:rsid w:val="002844FA"/>
    <w:rsid w:val="00284531"/>
    <w:rsid w:val="00284551"/>
    <w:rsid w:val="00284CBA"/>
    <w:rsid w:val="00284CD4"/>
    <w:rsid w:val="00284F5B"/>
    <w:rsid w:val="0028504B"/>
    <w:rsid w:val="00285068"/>
    <w:rsid w:val="00285173"/>
    <w:rsid w:val="00285365"/>
    <w:rsid w:val="002853C5"/>
    <w:rsid w:val="00285490"/>
    <w:rsid w:val="00285A01"/>
    <w:rsid w:val="00285ABF"/>
    <w:rsid w:val="00285B0F"/>
    <w:rsid w:val="00285BAE"/>
    <w:rsid w:val="00285BC3"/>
    <w:rsid w:val="00285D15"/>
    <w:rsid w:val="00285F4E"/>
    <w:rsid w:val="00285F67"/>
    <w:rsid w:val="0028617C"/>
    <w:rsid w:val="002865CE"/>
    <w:rsid w:val="0028689A"/>
    <w:rsid w:val="002869DC"/>
    <w:rsid w:val="00286CE8"/>
    <w:rsid w:val="00286EED"/>
    <w:rsid w:val="00287004"/>
    <w:rsid w:val="00287034"/>
    <w:rsid w:val="002871BD"/>
    <w:rsid w:val="0028721B"/>
    <w:rsid w:val="0028726E"/>
    <w:rsid w:val="00287300"/>
    <w:rsid w:val="0028745B"/>
    <w:rsid w:val="002874FE"/>
    <w:rsid w:val="002877D4"/>
    <w:rsid w:val="00287A98"/>
    <w:rsid w:val="00287B56"/>
    <w:rsid w:val="00287CB6"/>
    <w:rsid w:val="00287D59"/>
    <w:rsid w:val="00287F39"/>
    <w:rsid w:val="00290117"/>
    <w:rsid w:val="00290161"/>
    <w:rsid w:val="00290314"/>
    <w:rsid w:val="00290473"/>
    <w:rsid w:val="002904DD"/>
    <w:rsid w:val="00290534"/>
    <w:rsid w:val="002905B0"/>
    <w:rsid w:val="002907F5"/>
    <w:rsid w:val="00290948"/>
    <w:rsid w:val="00290A77"/>
    <w:rsid w:val="00290CAA"/>
    <w:rsid w:val="00290EBD"/>
    <w:rsid w:val="00291164"/>
    <w:rsid w:val="002911DE"/>
    <w:rsid w:val="002912E1"/>
    <w:rsid w:val="002913E7"/>
    <w:rsid w:val="00291402"/>
    <w:rsid w:val="0029167F"/>
    <w:rsid w:val="00291686"/>
    <w:rsid w:val="00291770"/>
    <w:rsid w:val="00291928"/>
    <w:rsid w:val="00291999"/>
    <w:rsid w:val="002919C7"/>
    <w:rsid w:val="00291A68"/>
    <w:rsid w:val="00291E80"/>
    <w:rsid w:val="00291F81"/>
    <w:rsid w:val="002921BA"/>
    <w:rsid w:val="002923CA"/>
    <w:rsid w:val="00292461"/>
    <w:rsid w:val="002924A1"/>
    <w:rsid w:val="00292583"/>
    <w:rsid w:val="002925EA"/>
    <w:rsid w:val="00292644"/>
    <w:rsid w:val="002926AE"/>
    <w:rsid w:val="002927EE"/>
    <w:rsid w:val="002929FF"/>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B6"/>
    <w:rsid w:val="002954FC"/>
    <w:rsid w:val="00295548"/>
    <w:rsid w:val="002955E2"/>
    <w:rsid w:val="002956C1"/>
    <w:rsid w:val="0029572F"/>
    <w:rsid w:val="002958B2"/>
    <w:rsid w:val="00295918"/>
    <w:rsid w:val="002959CE"/>
    <w:rsid w:val="00295B37"/>
    <w:rsid w:val="00295CEC"/>
    <w:rsid w:val="00295D44"/>
    <w:rsid w:val="00295D72"/>
    <w:rsid w:val="00295D7C"/>
    <w:rsid w:val="002960AB"/>
    <w:rsid w:val="00296487"/>
    <w:rsid w:val="002967CA"/>
    <w:rsid w:val="0029684F"/>
    <w:rsid w:val="002968AF"/>
    <w:rsid w:val="00296904"/>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DBA"/>
    <w:rsid w:val="002A0E13"/>
    <w:rsid w:val="002A0F02"/>
    <w:rsid w:val="002A0F09"/>
    <w:rsid w:val="002A0FA4"/>
    <w:rsid w:val="002A10CA"/>
    <w:rsid w:val="002A114B"/>
    <w:rsid w:val="002A1189"/>
    <w:rsid w:val="002A11F4"/>
    <w:rsid w:val="002A120F"/>
    <w:rsid w:val="002A1281"/>
    <w:rsid w:val="002A1498"/>
    <w:rsid w:val="002A163C"/>
    <w:rsid w:val="002A17EC"/>
    <w:rsid w:val="002A199E"/>
    <w:rsid w:val="002A1B0F"/>
    <w:rsid w:val="002A1B36"/>
    <w:rsid w:val="002A1EBF"/>
    <w:rsid w:val="002A2058"/>
    <w:rsid w:val="002A2093"/>
    <w:rsid w:val="002A216E"/>
    <w:rsid w:val="002A249B"/>
    <w:rsid w:val="002A254F"/>
    <w:rsid w:val="002A2754"/>
    <w:rsid w:val="002A2A69"/>
    <w:rsid w:val="002A3063"/>
    <w:rsid w:val="002A309C"/>
    <w:rsid w:val="002A32B7"/>
    <w:rsid w:val="002A3350"/>
    <w:rsid w:val="002A3365"/>
    <w:rsid w:val="002A340D"/>
    <w:rsid w:val="002A3802"/>
    <w:rsid w:val="002A3C71"/>
    <w:rsid w:val="002A3D7B"/>
    <w:rsid w:val="002A3E59"/>
    <w:rsid w:val="002A4006"/>
    <w:rsid w:val="002A4152"/>
    <w:rsid w:val="002A41AF"/>
    <w:rsid w:val="002A4208"/>
    <w:rsid w:val="002A43BA"/>
    <w:rsid w:val="002A4430"/>
    <w:rsid w:val="002A44DE"/>
    <w:rsid w:val="002A455F"/>
    <w:rsid w:val="002A464E"/>
    <w:rsid w:val="002A4B19"/>
    <w:rsid w:val="002A4BE6"/>
    <w:rsid w:val="002A4CED"/>
    <w:rsid w:val="002A4DC5"/>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1B3"/>
    <w:rsid w:val="002A6277"/>
    <w:rsid w:val="002A63B7"/>
    <w:rsid w:val="002A6456"/>
    <w:rsid w:val="002A64F9"/>
    <w:rsid w:val="002A6708"/>
    <w:rsid w:val="002A67D5"/>
    <w:rsid w:val="002A68D5"/>
    <w:rsid w:val="002A6D9A"/>
    <w:rsid w:val="002A6EC2"/>
    <w:rsid w:val="002A6F45"/>
    <w:rsid w:val="002A6F85"/>
    <w:rsid w:val="002A7013"/>
    <w:rsid w:val="002A70D0"/>
    <w:rsid w:val="002A739A"/>
    <w:rsid w:val="002A77BE"/>
    <w:rsid w:val="002A78AD"/>
    <w:rsid w:val="002A78AF"/>
    <w:rsid w:val="002A7B3F"/>
    <w:rsid w:val="002A7BC6"/>
    <w:rsid w:val="002A7C6E"/>
    <w:rsid w:val="002A7D16"/>
    <w:rsid w:val="002A7D49"/>
    <w:rsid w:val="002A7E51"/>
    <w:rsid w:val="002A7F84"/>
    <w:rsid w:val="002A7FF8"/>
    <w:rsid w:val="002B048E"/>
    <w:rsid w:val="002B0756"/>
    <w:rsid w:val="002B07A3"/>
    <w:rsid w:val="002B085D"/>
    <w:rsid w:val="002B08A0"/>
    <w:rsid w:val="002B08F9"/>
    <w:rsid w:val="002B0A79"/>
    <w:rsid w:val="002B0B43"/>
    <w:rsid w:val="002B0E14"/>
    <w:rsid w:val="002B0E1A"/>
    <w:rsid w:val="002B1050"/>
    <w:rsid w:val="002B1060"/>
    <w:rsid w:val="002B1133"/>
    <w:rsid w:val="002B122E"/>
    <w:rsid w:val="002B1272"/>
    <w:rsid w:val="002B12FF"/>
    <w:rsid w:val="002B143D"/>
    <w:rsid w:val="002B14E7"/>
    <w:rsid w:val="002B1536"/>
    <w:rsid w:val="002B159D"/>
    <w:rsid w:val="002B15AA"/>
    <w:rsid w:val="002B16DE"/>
    <w:rsid w:val="002B17C9"/>
    <w:rsid w:val="002B1827"/>
    <w:rsid w:val="002B1952"/>
    <w:rsid w:val="002B19D8"/>
    <w:rsid w:val="002B1A89"/>
    <w:rsid w:val="002B1EE1"/>
    <w:rsid w:val="002B1F86"/>
    <w:rsid w:val="002B1F98"/>
    <w:rsid w:val="002B1FFE"/>
    <w:rsid w:val="002B20E4"/>
    <w:rsid w:val="002B21DE"/>
    <w:rsid w:val="002B2202"/>
    <w:rsid w:val="002B2248"/>
    <w:rsid w:val="002B2298"/>
    <w:rsid w:val="002B22CE"/>
    <w:rsid w:val="002B236E"/>
    <w:rsid w:val="002B239B"/>
    <w:rsid w:val="002B2641"/>
    <w:rsid w:val="002B26A6"/>
    <w:rsid w:val="002B26D8"/>
    <w:rsid w:val="002B2ACE"/>
    <w:rsid w:val="002B2C0B"/>
    <w:rsid w:val="002B2D4C"/>
    <w:rsid w:val="002B2F06"/>
    <w:rsid w:val="002B2F75"/>
    <w:rsid w:val="002B2F81"/>
    <w:rsid w:val="002B2FFE"/>
    <w:rsid w:val="002B307D"/>
    <w:rsid w:val="002B310B"/>
    <w:rsid w:val="002B3168"/>
    <w:rsid w:val="002B3359"/>
    <w:rsid w:val="002B3366"/>
    <w:rsid w:val="002B3371"/>
    <w:rsid w:val="002B348B"/>
    <w:rsid w:val="002B358D"/>
    <w:rsid w:val="002B3636"/>
    <w:rsid w:val="002B3773"/>
    <w:rsid w:val="002B3947"/>
    <w:rsid w:val="002B398D"/>
    <w:rsid w:val="002B3D33"/>
    <w:rsid w:val="002B3D42"/>
    <w:rsid w:val="002B3DD9"/>
    <w:rsid w:val="002B3E80"/>
    <w:rsid w:val="002B3EE5"/>
    <w:rsid w:val="002B4223"/>
    <w:rsid w:val="002B4397"/>
    <w:rsid w:val="002B43F8"/>
    <w:rsid w:val="002B44E5"/>
    <w:rsid w:val="002B4627"/>
    <w:rsid w:val="002B462B"/>
    <w:rsid w:val="002B4665"/>
    <w:rsid w:val="002B47BD"/>
    <w:rsid w:val="002B4870"/>
    <w:rsid w:val="002B4962"/>
    <w:rsid w:val="002B4963"/>
    <w:rsid w:val="002B4D2D"/>
    <w:rsid w:val="002B4EB1"/>
    <w:rsid w:val="002B4F67"/>
    <w:rsid w:val="002B4F6E"/>
    <w:rsid w:val="002B50DA"/>
    <w:rsid w:val="002B5398"/>
    <w:rsid w:val="002B5595"/>
    <w:rsid w:val="002B56D9"/>
    <w:rsid w:val="002B59C7"/>
    <w:rsid w:val="002B5BE5"/>
    <w:rsid w:val="002B5D08"/>
    <w:rsid w:val="002B5D4C"/>
    <w:rsid w:val="002B5D93"/>
    <w:rsid w:val="002B5EB1"/>
    <w:rsid w:val="002B5F22"/>
    <w:rsid w:val="002B5F26"/>
    <w:rsid w:val="002B6070"/>
    <w:rsid w:val="002B6074"/>
    <w:rsid w:val="002B64EE"/>
    <w:rsid w:val="002B6530"/>
    <w:rsid w:val="002B66E5"/>
    <w:rsid w:val="002B6978"/>
    <w:rsid w:val="002B6A8C"/>
    <w:rsid w:val="002B6CA5"/>
    <w:rsid w:val="002B7006"/>
    <w:rsid w:val="002B7046"/>
    <w:rsid w:val="002B7067"/>
    <w:rsid w:val="002B70CD"/>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C00"/>
    <w:rsid w:val="002C0D59"/>
    <w:rsid w:val="002C0D7B"/>
    <w:rsid w:val="002C10D5"/>
    <w:rsid w:val="002C1168"/>
    <w:rsid w:val="002C1276"/>
    <w:rsid w:val="002C1280"/>
    <w:rsid w:val="002C150D"/>
    <w:rsid w:val="002C19A1"/>
    <w:rsid w:val="002C19ED"/>
    <w:rsid w:val="002C1A48"/>
    <w:rsid w:val="002C1BEA"/>
    <w:rsid w:val="002C1C5F"/>
    <w:rsid w:val="002C1DCA"/>
    <w:rsid w:val="002C1E49"/>
    <w:rsid w:val="002C1FCE"/>
    <w:rsid w:val="002C2212"/>
    <w:rsid w:val="002C251D"/>
    <w:rsid w:val="002C2548"/>
    <w:rsid w:val="002C2675"/>
    <w:rsid w:val="002C27DD"/>
    <w:rsid w:val="002C283E"/>
    <w:rsid w:val="002C2881"/>
    <w:rsid w:val="002C297A"/>
    <w:rsid w:val="002C2AF0"/>
    <w:rsid w:val="002C2EB3"/>
    <w:rsid w:val="002C2F26"/>
    <w:rsid w:val="002C2FC0"/>
    <w:rsid w:val="002C30CE"/>
    <w:rsid w:val="002C3190"/>
    <w:rsid w:val="002C334E"/>
    <w:rsid w:val="002C36B6"/>
    <w:rsid w:val="002C3C4F"/>
    <w:rsid w:val="002C3D05"/>
    <w:rsid w:val="002C41C3"/>
    <w:rsid w:val="002C434E"/>
    <w:rsid w:val="002C45DE"/>
    <w:rsid w:val="002C4697"/>
    <w:rsid w:val="002C4B92"/>
    <w:rsid w:val="002C4C66"/>
    <w:rsid w:val="002C4C83"/>
    <w:rsid w:val="002C4D74"/>
    <w:rsid w:val="002C4DAF"/>
    <w:rsid w:val="002C4E1D"/>
    <w:rsid w:val="002C4E2E"/>
    <w:rsid w:val="002C4EC5"/>
    <w:rsid w:val="002C4F8F"/>
    <w:rsid w:val="002C546F"/>
    <w:rsid w:val="002C5524"/>
    <w:rsid w:val="002C552F"/>
    <w:rsid w:val="002C5697"/>
    <w:rsid w:val="002C5908"/>
    <w:rsid w:val="002C5923"/>
    <w:rsid w:val="002C59D2"/>
    <w:rsid w:val="002C5EC1"/>
    <w:rsid w:val="002C5EE3"/>
    <w:rsid w:val="002C5EFD"/>
    <w:rsid w:val="002C6280"/>
    <w:rsid w:val="002C6305"/>
    <w:rsid w:val="002C6412"/>
    <w:rsid w:val="002C64F1"/>
    <w:rsid w:val="002C6648"/>
    <w:rsid w:val="002C681F"/>
    <w:rsid w:val="002C6990"/>
    <w:rsid w:val="002C69EC"/>
    <w:rsid w:val="002C6C49"/>
    <w:rsid w:val="002C6DD9"/>
    <w:rsid w:val="002C6EAD"/>
    <w:rsid w:val="002C6FC5"/>
    <w:rsid w:val="002C7062"/>
    <w:rsid w:val="002C70F0"/>
    <w:rsid w:val="002C7266"/>
    <w:rsid w:val="002C75B6"/>
    <w:rsid w:val="002C7736"/>
    <w:rsid w:val="002C7B01"/>
    <w:rsid w:val="002C7B3F"/>
    <w:rsid w:val="002C7BBB"/>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C95"/>
    <w:rsid w:val="002D0D22"/>
    <w:rsid w:val="002D0D40"/>
    <w:rsid w:val="002D106C"/>
    <w:rsid w:val="002D14C9"/>
    <w:rsid w:val="002D14CF"/>
    <w:rsid w:val="002D17BC"/>
    <w:rsid w:val="002D196B"/>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DFE"/>
    <w:rsid w:val="002D2E53"/>
    <w:rsid w:val="002D305D"/>
    <w:rsid w:val="002D3144"/>
    <w:rsid w:val="002D34C9"/>
    <w:rsid w:val="002D3500"/>
    <w:rsid w:val="002D35E7"/>
    <w:rsid w:val="002D3947"/>
    <w:rsid w:val="002D3987"/>
    <w:rsid w:val="002D3A6C"/>
    <w:rsid w:val="002D3CD5"/>
    <w:rsid w:val="002D3D20"/>
    <w:rsid w:val="002D3E6B"/>
    <w:rsid w:val="002D425F"/>
    <w:rsid w:val="002D4261"/>
    <w:rsid w:val="002D44B5"/>
    <w:rsid w:val="002D47F1"/>
    <w:rsid w:val="002D4814"/>
    <w:rsid w:val="002D4880"/>
    <w:rsid w:val="002D48F0"/>
    <w:rsid w:val="002D4935"/>
    <w:rsid w:val="002D4A3F"/>
    <w:rsid w:val="002D4B33"/>
    <w:rsid w:val="002D4BA5"/>
    <w:rsid w:val="002D4BAC"/>
    <w:rsid w:val="002D4C27"/>
    <w:rsid w:val="002D4C79"/>
    <w:rsid w:val="002D4D47"/>
    <w:rsid w:val="002D4D5A"/>
    <w:rsid w:val="002D4DE0"/>
    <w:rsid w:val="002D4ECA"/>
    <w:rsid w:val="002D5084"/>
    <w:rsid w:val="002D509C"/>
    <w:rsid w:val="002D51AE"/>
    <w:rsid w:val="002D560C"/>
    <w:rsid w:val="002D57C1"/>
    <w:rsid w:val="002D598D"/>
    <w:rsid w:val="002D59CB"/>
    <w:rsid w:val="002D5ABA"/>
    <w:rsid w:val="002D5CB4"/>
    <w:rsid w:val="002D5F22"/>
    <w:rsid w:val="002D5F3A"/>
    <w:rsid w:val="002D5F79"/>
    <w:rsid w:val="002D624E"/>
    <w:rsid w:val="002D64F3"/>
    <w:rsid w:val="002D65F2"/>
    <w:rsid w:val="002D67DF"/>
    <w:rsid w:val="002D6A60"/>
    <w:rsid w:val="002D6F74"/>
    <w:rsid w:val="002D71CA"/>
    <w:rsid w:val="002D7440"/>
    <w:rsid w:val="002D7546"/>
    <w:rsid w:val="002D7576"/>
    <w:rsid w:val="002D75B1"/>
    <w:rsid w:val="002D77F7"/>
    <w:rsid w:val="002D7A9F"/>
    <w:rsid w:val="002D7E0E"/>
    <w:rsid w:val="002D7E54"/>
    <w:rsid w:val="002D7EDB"/>
    <w:rsid w:val="002D7F48"/>
    <w:rsid w:val="002E0124"/>
    <w:rsid w:val="002E01B2"/>
    <w:rsid w:val="002E01FB"/>
    <w:rsid w:val="002E032E"/>
    <w:rsid w:val="002E0432"/>
    <w:rsid w:val="002E0481"/>
    <w:rsid w:val="002E0690"/>
    <w:rsid w:val="002E07ED"/>
    <w:rsid w:val="002E099F"/>
    <w:rsid w:val="002E0A8D"/>
    <w:rsid w:val="002E0E02"/>
    <w:rsid w:val="002E0E47"/>
    <w:rsid w:val="002E0F18"/>
    <w:rsid w:val="002E10AF"/>
    <w:rsid w:val="002E10CB"/>
    <w:rsid w:val="002E145F"/>
    <w:rsid w:val="002E14E7"/>
    <w:rsid w:val="002E15CB"/>
    <w:rsid w:val="002E15EE"/>
    <w:rsid w:val="002E17BE"/>
    <w:rsid w:val="002E188C"/>
    <w:rsid w:val="002E1890"/>
    <w:rsid w:val="002E18C3"/>
    <w:rsid w:val="002E1A63"/>
    <w:rsid w:val="002E1B7B"/>
    <w:rsid w:val="002E1C07"/>
    <w:rsid w:val="002E1F58"/>
    <w:rsid w:val="002E24DB"/>
    <w:rsid w:val="002E25FF"/>
    <w:rsid w:val="002E2671"/>
    <w:rsid w:val="002E2782"/>
    <w:rsid w:val="002E295C"/>
    <w:rsid w:val="002E2A49"/>
    <w:rsid w:val="002E2DEC"/>
    <w:rsid w:val="002E2E79"/>
    <w:rsid w:val="002E32C2"/>
    <w:rsid w:val="002E3411"/>
    <w:rsid w:val="002E368B"/>
    <w:rsid w:val="002E37D2"/>
    <w:rsid w:val="002E3A30"/>
    <w:rsid w:val="002E3AA8"/>
    <w:rsid w:val="002E3D73"/>
    <w:rsid w:val="002E3E45"/>
    <w:rsid w:val="002E3F15"/>
    <w:rsid w:val="002E4769"/>
    <w:rsid w:val="002E47BC"/>
    <w:rsid w:val="002E4856"/>
    <w:rsid w:val="002E48DF"/>
    <w:rsid w:val="002E4B1F"/>
    <w:rsid w:val="002E4BD4"/>
    <w:rsid w:val="002E4C7E"/>
    <w:rsid w:val="002E4D0B"/>
    <w:rsid w:val="002E4E5C"/>
    <w:rsid w:val="002E4FCE"/>
    <w:rsid w:val="002E5115"/>
    <w:rsid w:val="002E5208"/>
    <w:rsid w:val="002E5298"/>
    <w:rsid w:val="002E5343"/>
    <w:rsid w:val="002E546D"/>
    <w:rsid w:val="002E55E8"/>
    <w:rsid w:val="002E582C"/>
    <w:rsid w:val="002E5BB2"/>
    <w:rsid w:val="002E5C64"/>
    <w:rsid w:val="002E5CCE"/>
    <w:rsid w:val="002E5D46"/>
    <w:rsid w:val="002E5D9E"/>
    <w:rsid w:val="002E5E26"/>
    <w:rsid w:val="002E5FA1"/>
    <w:rsid w:val="002E6053"/>
    <w:rsid w:val="002E60A4"/>
    <w:rsid w:val="002E65F3"/>
    <w:rsid w:val="002E664D"/>
    <w:rsid w:val="002E676A"/>
    <w:rsid w:val="002E67EF"/>
    <w:rsid w:val="002E6957"/>
    <w:rsid w:val="002E6B7E"/>
    <w:rsid w:val="002E6D0A"/>
    <w:rsid w:val="002E6E6A"/>
    <w:rsid w:val="002E7031"/>
    <w:rsid w:val="002E703C"/>
    <w:rsid w:val="002E705B"/>
    <w:rsid w:val="002E7225"/>
    <w:rsid w:val="002E7349"/>
    <w:rsid w:val="002E7470"/>
    <w:rsid w:val="002E75DD"/>
    <w:rsid w:val="002E76E6"/>
    <w:rsid w:val="002E76FA"/>
    <w:rsid w:val="002E7A16"/>
    <w:rsid w:val="002E7A5E"/>
    <w:rsid w:val="002E7A7B"/>
    <w:rsid w:val="002E7C17"/>
    <w:rsid w:val="002E7C4B"/>
    <w:rsid w:val="002E7CB3"/>
    <w:rsid w:val="002E7E06"/>
    <w:rsid w:val="002F0436"/>
    <w:rsid w:val="002F05E4"/>
    <w:rsid w:val="002F06A8"/>
    <w:rsid w:val="002F06BE"/>
    <w:rsid w:val="002F070F"/>
    <w:rsid w:val="002F079F"/>
    <w:rsid w:val="002F0887"/>
    <w:rsid w:val="002F08BD"/>
    <w:rsid w:val="002F0A07"/>
    <w:rsid w:val="002F0CEE"/>
    <w:rsid w:val="002F0DAA"/>
    <w:rsid w:val="002F0E50"/>
    <w:rsid w:val="002F0E75"/>
    <w:rsid w:val="002F0FB2"/>
    <w:rsid w:val="002F12B5"/>
    <w:rsid w:val="002F12F2"/>
    <w:rsid w:val="002F13FB"/>
    <w:rsid w:val="002F14A9"/>
    <w:rsid w:val="002F15C1"/>
    <w:rsid w:val="002F15F2"/>
    <w:rsid w:val="002F15F9"/>
    <w:rsid w:val="002F16AC"/>
    <w:rsid w:val="002F1883"/>
    <w:rsid w:val="002F1C68"/>
    <w:rsid w:val="002F1C95"/>
    <w:rsid w:val="002F1F76"/>
    <w:rsid w:val="002F21C5"/>
    <w:rsid w:val="002F22B2"/>
    <w:rsid w:val="002F24C6"/>
    <w:rsid w:val="002F2551"/>
    <w:rsid w:val="002F268C"/>
    <w:rsid w:val="002F2B94"/>
    <w:rsid w:val="002F2CD0"/>
    <w:rsid w:val="002F2CE9"/>
    <w:rsid w:val="002F2E9D"/>
    <w:rsid w:val="002F3075"/>
    <w:rsid w:val="002F31C0"/>
    <w:rsid w:val="002F3223"/>
    <w:rsid w:val="002F334D"/>
    <w:rsid w:val="002F3361"/>
    <w:rsid w:val="002F345A"/>
    <w:rsid w:val="002F34C4"/>
    <w:rsid w:val="002F36FF"/>
    <w:rsid w:val="002F372D"/>
    <w:rsid w:val="002F3846"/>
    <w:rsid w:val="002F3B77"/>
    <w:rsid w:val="002F3BEF"/>
    <w:rsid w:val="002F3C24"/>
    <w:rsid w:val="002F4308"/>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9A8"/>
    <w:rsid w:val="002F5B3C"/>
    <w:rsid w:val="002F5CA1"/>
    <w:rsid w:val="002F641F"/>
    <w:rsid w:val="002F68BB"/>
    <w:rsid w:val="002F6A72"/>
    <w:rsid w:val="002F6AC8"/>
    <w:rsid w:val="002F6C3B"/>
    <w:rsid w:val="002F6C5C"/>
    <w:rsid w:val="002F6C9B"/>
    <w:rsid w:val="002F6FCD"/>
    <w:rsid w:val="002F7095"/>
    <w:rsid w:val="002F7174"/>
    <w:rsid w:val="002F71F5"/>
    <w:rsid w:val="002F74DA"/>
    <w:rsid w:val="002F7580"/>
    <w:rsid w:val="002F7647"/>
    <w:rsid w:val="002F785A"/>
    <w:rsid w:val="002F7896"/>
    <w:rsid w:val="002F7976"/>
    <w:rsid w:val="002F7A04"/>
    <w:rsid w:val="002F7B26"/>
    <w:rsid w:val="002F7E29"/>
    <w:rsid w:val="002F7EF4"/>
    <w:rsid w:val="003002BB"/>
    <w:rsid w:val="00300428"/>
    <w:rsid w:val="00300594"/>
    <w:rsid w:val="003005CC"/>
    <w:rsid w:val="0030083C"/>
    <w:rsid w:val="0030088C"/>
    <w:rsid w:val="00300A67"/>
    <w:rsid w:val="00300B89"/>
    <w:rsid w:val="00300B90"/>
    <w:rsid w:val="00300C0A"/>
    <w:rsid w:val="00300CA3"/>
    <w:rsid w:val="00300DA0"/>
    <w:rsid w:val="00300E69"/>
    <w:rsid w:val="00300F2A"/>
    <w:rsid w:val="00300FF2"/>
    <w:rsid w:val="003010AE"/>
    <w:rsid w:val="0030117A"/>
    <w:rsid w:val="0030134A"/>
    <w:rsid w:val="00301479"/>
    <w:rsid w:val="00301740"/>
    <w:rsid w:val="003018C5"/>
    <w:rsid w:val="003018E9"/>
    <w:rsid w:val="00301955"/>
    <w:rsid w:val="00301B2F"/>
    <w:rsid w:val="00301BC8"/>
    <w:rsid w:val="00301C52"/>
    <w:rsid w:val="00301C55"/>
    <w:rsid w:val="00301F54"/>
    <w:rsid w:val="00302194"/>
    <w:rsid w:val="0030224D"/>
    <w:rsid w:val="00302389"/>
    <w:rsid w:val="00302540"/>
    <w:rsid w:val="0030260D"/>
    <w:rsid w:val="00302767"/>
    <w:rsid w:val="00302770"/>
    <w:rsid w:val="0030278E"/>
    <w:rsid w:val="00302843"/>
    <w:rsid w:val="00302A67"/>
    <w:rsid w:val="00302B1A"/>
    <w:rsid w:val="00302B63"/>
    <w:rsid w:val="00302CEF"/>
    <w:rsid w:val="00302E02"/>
    <w:rsid w:val="00302E2C"/>
    <w:rsid w:val="00302FBD"/>
    <w:rsid w:val="0030302E"/>
    <w:rsid w:val="0030319C"/>
    <w:rsid w:val="003031E8"/>
    <w:rsid w:val="003032C4"/>
    <w:rsid w:val="0030333E"/>
    <w:rsid w:val="003034B3"/>
    <w:rsid w:val="00303755"/>
    <w:rsid w:val="00303843"/>
    <w:rsid w:val="003038D8"/>
    <w:rsid w:val="003038E7"/>
    <w:rsid w:val="0030395F"/>
    <w:rsid w:val="00303A34"/>
    <w:rsid w:val="00303B36"/>
    <w:rsid w:val="00303D8C"/>
    <w:rsid w:val="00304320"/>
    <w:rsid w:val="003044A4"/>
    <w:rsid w:val="003044EF"/>
    <w:rsid w:val="00304567"/>
    <w:rsid w:val="00304650"/>
    <w:rsid w:val="003046AB"/>
    <w:rsid w:val="0030478A"/>
    <w:rsid w:val="00304845"/>
    <w:rsid w:val="003048AE"/>
    <w:rsid w:val="003048DB"/>
    <w:rsid w:val="0030495A"/>
    <w:rsid w:val="003049E7"/>
    <w:rsid w:val="00304BD1"/>
    <w:rsid w:val="00304C8D"/>
    <w:rsid w:val="00304D87"/>
    <w:rsid w:val="00304F7B"/>
    <w:rsid w:val="00305192"/>
    <w:rsid w:val="003051FB"/>
    <w:rsid w:val="0030522F"/>
    <w:rsid w:val="003052A0"/>
    <w:rsid w:val="00305395"/>
    <w:rsid w:val="00305458"/>
    <w:rsid w:val="00305638"/>
    <w:rsid w:val="003056AC"/>
    <w:rsid w:val="003056F7"/>
    <w:rsid w:val="00305931"/>
    <w:rsid w:val="00305976"/>
    <w:rsid w:val="00305984"/>
    <w:rsid w:val="003059E7"/>
    <w:rsid w:val="00305A29"/>
    <w:rsid w:val="00305B6D"/>
    <w:rsid w:val="00305B9A"/>
    <w:rsid w:val="00305BA0"/>
    <w:rsid w:val="00305C58"/>
    <w:rsid w:val="003064D2"/>
    <w:rsid w:val="00306544"/>
    <w:rsid w:val="00306572"/>
    <w:rsid w:val="003065DB"/>
    <w:rsid w:val="003065E7"/>
    <w:rsid w:val="00306662"/>
    <w:rsid w:val="0030672A"/>
    <w:rsid w:val="00306988"/>
    <w:rsid w:val="003069E2"/>
    <w:rsid w:val="00306B3C"/>
    <w:rsid w:val="00306CA5"/>
    <w:rsid w:val="00306D09"/>
    <w:rsid w:val="00306E42"/>
    <w:rsid w:val="00306E88"/>
    <w:rsid w:val="00306F9C"/>
    <w:rsid w:val="003070FC"/>
    <w:rsid w:val="0030723B"/>
    <w:rsid w:val="00307701"/>
    <w:rsid w:val="00307854"/>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CB2"/>
    <w:rsid w:val="00310DE9"/>
    <w:rsid w:val="00310FA8"/>
    <w:rsid w:val="0031110D"/>
    <w:rsid w:val="003111C2"/>
    <w:rsid w:val="003111C4"/>
    <w:rsid w:val="00311299"/>
    <w:rsid w:val="003113BD"/>
    <w:rsid w:val="00311557"/>
    <w:rsid w:val="0031170C"/>
    <w:rsid w:val="0031171E"/>
    <w:rsid w:val="00311C73"/>
    <w:rsid w:val="00311CF1"/>
    <w:rsid w:val="00311D67"/>
    <w:rsid w:val="00311E55"/>
    <w:rsid w:val="00311EC7"/>
    <w:rsid w:val="00311EF1"/>
    <w:rsid w:val="00311FC6"/>
    <w:rsid w:val="00312058"/>
    <w:rsid w:val="0031220C"/>
    <w:rsid w:val="003123C5"/>
    <w:rsid w:val="00312551"/>
    <w:rsid w:val="003127AE"/>
    <w:rsid w:val="00312869"/>
    <w:rsid w:val="003128E9"/>
    <w:rsid w:val="0031291D"/>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AAF"/>
    <w:rsid w:val="00314AEC"/>
    <w:rsid w:val="00314B3C"/>
    <w:rsid w:val="00314D7B"/>
    <w:rsid w:val="00314DF1"/>
    <w:rsid w:val="00314E5B"/>
    <w:rsid w:val="00314FE1"/>
    <w:rsid w:val="003150AF"/>
    <w:rsid w:val="00315158"/>
    <w:rsid w:val="00315E74"/>
    <w:rsid w:val="00316264"/>
    <w:rsid w:val="003163D1"/>
    <w:rsid w:val="003167AA"/>
    <w:rsid w:val="003167D3"/>
    <w:rsid w:val="0031680F"/>
    <w:rsid w:val="003169EA"/>
    <w:rsid w:val="00316A46"/>
    <w:rsid w:val="00316A63"/>
    <w:rsid w:val="00316B4B"/>
    <w:rsid w:val="00316D2A"/>
    <w:rsid w:val="00316D7D"/>
    <w:rsid w:val="00316DA2"/>
    <w:rsid w:val="00316EC3"/>
    <w:rsid w:val="003170BD"/>
    <w:rsid w:val="0031714F"/>
    <w:rsid w:val="00317204"/>
    <w:rsid w:val="003172A0"/>
    <w:rsid w:val="003172E6"/>
    <w:rsid w:val="003173DF"/>
    <w:rsid w:val="00317430"/>
    <w:rsid w:val="00317469"/>
    <w:rsid w:val="0031768F"/>
    <w:rsid w:val="003176A2"/>
    <w:rsid w:val="00317AF5"/>
    <w:rsid w:val="00317C8F"/>
    <w:rsid w:val="00317E70"/>
    <w:rsid w:val="00317F14"/>
    <w:rsid w:val="00317F22"/>
    <w:rsid w:val="00317F42"/>
    <w:rsid w:val="00317F52"/>
    <w:rsid w:val="00317F5C"/>
    <w:rsid w:val="00317FC1"/>
    <w:rsid w:val="00320065"/>
    <w:rsid w:val="003200DB"/>
    <w:rsid w:val="003200F2"/>
    <w:rsid w:val="003203AB"/>
    <w:rsid w:val="003203AF"/>
    <w:rsid w:val="00320594"/>
    <w:rsid w:val="0032059E"/>
    <w:rsid w:val="003208F1"/>
    <w:rsid w:val="0032092F"/>
    <w:rsid w:val="00320955"/>
    <w:rsid w:val="00320959"/>
    <w:rsid w:val="00320962"/>
    <w:rsid w:val="00320B42"/>
    <w:rsid w:val="00320E20"/>
    <w:rsid w:val="00320EB4"/>
    <w:rsid w:val="00321050"/>
    <w:rsid w:val="0032139B"/>
    <w:rsid w:val="00321481"/>
    <w:rsid w:val="003214D7"/>
    <w:rsid w:val="00321777"/>
    <w:rsid w:val="00321E9D"/>
    <w:rsid w:val="003220B9"/>
    <w:rsid w:val="003222B4"/>
    <w:rsid w:val="003223E5"/>
    <w:rsid w:val="003224D9"/>
    <w:rsid w:val="00322674"/>
    <w:rsid w:val="003228A8"/>
    <w:rsid w:val="003228D7"/>
    <w:rsid w:val="00322923"/>
    <w:rsid w:val="003229C0"/>
    <w:rsid w:val="003229FE"/>
    <w:rsid w:val="00322D34"/>
    <w:rsid w:val="00322D71"/>
    <w:rsid w:val="00322E31"/>
    <w:rsid w:val="00323298"/>
    <w:rsid w:val="0032333B"/>
    <w:rsid w:val="003234D1"/>
    <w:rsid w:val="0032369D"/>
    <w:rsid w:val="003237D0"/>
    <w:rsid w:val="003239E5"/>
    <w:rsid w:val="00323B02"/>
    <w:rsid w:val="00323C06"/>
    <w:rsid w:val="00323C0D"/>
    <w:rsid w:val="00323D85"/>
    <w:rsid w:val="00323E9B"/>
    <w:rsid w:val="00323EF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31"/>
    <w:rsid w:val="003251D1"/>
    <w:rsid w:val="0032521F"/>
    <w:rsid w:val="00325239"/>
    <w:rsid w:val="003252F9"/>
    <w:rsid w:val="003253D4"/>
    <w:rsid w:val="00325495"/>
    <w:rsid w:val="003255D0"/>
    <w:rsid w:val="003257B2"/>
    <w:rsid w:val="0032583F"/>
    <w:rsid w:val="0032593B"/>
    <w:rsid w:val="00325E5C"/>
    <w:rsid w:val="00325F55"/>
    <w:rsid w:val="003261A8"/>
    <w:rsid w:val="00326367"/>
    <w:rsid w:val="003263E2"/>
    <w:rsid w:val="003265AD"/>
    <w:rsid w:val="00326A12"/>
    <w:rsid w:val="00326B29"/>
    <w:rsid w:val="00326B59"/>
    <w:rsid w:val="00326B6F"/>
    <w:rsid w:val="00326BB8"/>
    <w:rsid w:val="00326C61"/>
    <w:rsid w:val="00326D6A"/>
    <w:rsid w:val="00327038"/>
    <w:rsid w:val="00327052"/>
    <w:rsid w:val="0032714B"/>
    <w:rsid w:val="003273D3"/>
    <w:rsid w:val="00327628"/>
    <w:rsid w:val="00327693"/>
    <w:rsid w:val="0032784D"/>
    <w:rsid w:val="00327CD1"/>
    <w:rsid w:val="00327D83"/>
    <w:rsid w:val="00327DF3"/>
    <w:rsid w:val="00327E5E"/>
    <w:rsid w:val="00327EA6"/>
    <w:rsid w:val="00327ECC"/>
    <w:rsid w:val="00327EEC"/>
    <w:rsid w:val="0033017E"/>
    <w:rsid w:val="003302F4"/>
    <w:rsid w:val="003302FE"/>
    <w:rsid w:val="003303E2"/>
    <w:rsid w:val="00330531"/>
    <w:rsid w:val="0033054C"/>
    <w:rsid w:val="00330566"/>
    <w:rsid w:val="0033065A"/>
    <w:rsid w:val="00330820"/>
    <w:rsid w:val="00330B24"/>
    <w:rsid w:val="00330CEE"/>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28D"/>
    <w:rsid w:val="003332C3"/>
    <w:rsid w:val="00333572"/>
    <w:rsid w:val="00333753"/>
    <w:rsid w:val="00333999"/>
    <w:rsid w:val="003339EE"/>
    <w:rsid w:val="00333A66"/>
    <w:rsid w:val="00333AA6"/>
    <w:rsid w:val="00333CA5"/>
    <w:rsid w:val="00333D4A"/>
    <w:rsid w:val="00333D87"/>
    <w:rsid w:val="00333EE9"/>
    <w:rsid w:val="0033410A"/>
    <w:rsid w:val="00334606"/>
    <w:rsid w:val="003348A5"/>
    <w:rsid w:val="00334BF1"/>
    <w:rsid w:val="00334DD8"/>
    <w:rsid w:val="00334E8D"/>
    <w:rsid w:val="00334EA9"/>
    <w:rsid w:val="003350A1"/>
    <w:rsid w:val="00335227"/>
    <w:rsid w:val="003352D3"/>
    <w:rsid w:val="00335322"/>
    <w:rsid w:val="003353D8"/>
    <w:rsid w:val="003355A0"/>
    <w:rsid w:val="00335857"/>
    <w:rsid w:val="00335A41"/>
    <w:rsid w:val="00335A55"/>
    <w:rsid w:val="00335BA6"/>
    <w:rsid w:val="00335C05"/>
    <w:rsid w:val="00335C65"/>
    <w:rsid w:val="00336496"/>
    <w:rsid w:val="00336585"/>
    <w:rsid w:val="00336608"/>
    <w:rsid w:val="00336636"/>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01"/>
    <w:rsid w:val="00337B6A"/>
    <w:rsid w:val="00337D7A"/>
    <w:rsid w:val="00337DDF"/>
    <w:rsid w:val="00337DEE"/>
    <w:rsid w:val="00337DFC"/>
    <w:rsid w:val="00337E73"/>
    <w:rsid w:val="00337FF9"/>
    <w:rsid w:val="003400BF"/>
    <w:rsid w:val="00340114"/>
    <w:rsid w:val="003402D2"/>
    <w:rsid w:val="00340366"/>
    <w:rsid w:val="003406D4"/>
    <w:rsid w:val="003407E3"/>
    <w:rsid w:val="00340A44"/>
    <w:rsid w:val="00340A46"/>
    <w:rsid w:val="00340A9E"/>
    <w:rsid w:val="00340B71"/>
    <w:rsid w:val="00340BA1"/>
    <w:rsid w:val="00340C89"/>
    <w:rsid w:val="00340CDB"/>
    <w:rsid w:val="00340EDA"/>
    <w:rsid w:val="00341204"/>
    <w:rsid w:val="00341424"/>
    <w:rsid w:val="00341898"/>
    <w:rsid w:val="003419FD"/>
    <w:rsid w:val="00341A03"/>
    <w:rsid w:val="00341B64"/>
    <w:rsid w:val="00341C1E"/>
    <w:rsid w:val="00341CF3"/>
    <w:rsid w:val="00341CFD"/>
    <w:rsid w:val="00341D36"/>
    <w:rsid w:val="00341D3E"/>
    <w:rsid w:val="00341E8B"/>
    <w:rsid w:val="00341EC7"/>
    <w:rsid w:val="00341F5D"/>
    <w:rsid w:val="00342465"/>
    <w:rsid w:val="00342554"/>
    <w:rsid w:val="00342721"/>
    <w:rsid w:val="00342828"/>
    <w:rsid w:val="00342880"/>
    <w:rsid w:val="00342988"/>
    <w:rsid w:val="003429FC"/>
    <w:rsid w:val="00342B2D"/>
    <w:rsid w:val="00342B79"/>
    <w:rsid w:val="00342CB8"/>
    <w:rsid w:val="003430B3"/>
    <w:rsid w:val="003431AC"/>
    <w:rsid w:val="00343298"/>
    <w:rsid w:val="00343313"/>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83F"/>
    <w:rsid w:val="00344AE9"/>
    <w:rsid w:val="00344C0F"/>
    <w:rsid w:val="00344C56"/>
    <w:rsid w:val="00344D2E"/>
    <w:rsid w:val="00344D54"/>
    <w:rsid w:val="00344D99"/>
    <w:rsid w:val="00344E3F"/>
    <w:rsid w:val="00344FB9"/>
    <w:rsid w:val="003450D5"/>
    <w:rsid w:val="003451CC"/>
    <w:rsid w:val="003453B5"/>
    <w:rsid w:val="00345553"/>
    <w:rsid w:val="00345B38"/>
    <w:rsid w:val="00345C1B"/>
    <w:rsid w:val="00345DFE"/>
    <w:rsid w:val="00346047"/>
    <w:rsid w:val="003460B3"/>
    <w:rsid w:val="003461BC"/>
    <w:rsid w:val="00346548"/>
    <w:rsid w:val="003465E5"/>
    <w:rsid w:val="003469A1"/>
    <w:rsid w:val="00346B09"/>
    <w:rsid w:val="00346E0C"/>
    <w:rsid w:val="00347236"/>
    <w:rsid w:val="00347389"/>
    <w:rsid w:val="003474D9"/>
    <w:rsid w:val="00347567"/>
    <w:rsid w:val="003475B9"/>
    <w:rsid w:val="00347770"/>
    <w:rsid w:val="00347A17"/>
    <w:rsid w:val="00347E60"/>
    <w:rsid w:val="0035023A"/>
    <w:rsid w:val="0035027F"/>
    <w:rsid w:val="003502E5"/>
    <w:rsid w:val="0035034E"/>
    <w:rsid w:val="00350394"/>
    <w:rsid w:val="003503D2"/>
    <w:rsid w:val="00350424"/>
    <w:rsid w:val="003505D8"/>
    <w:rsid w:val="0035064F"/>
    <w:rsid w:val="00350A2E"/>
    <w:rsid w:val="00350A40"/>
    <w:rsid w:val="00350AF6"/>
    <w:rsid w:val="00350BC7"/>
    <w:rsid w:val="00350C8F"/>
    <w:rsid w:val="00350F2E"/>
    <w:rsid w:val="00350F35"/>
    <w:rsid w:val="00351015"/>
    <w:rsid w:val="00351114"/>
    <w:rsid w:val="00351144"/>
    <w:rsid w:val="003514B7"/>
    <w:rsid w:val="003514F9"/>
    <w:rsid w:val="0035150E"/>
    <w:rsid w:val="00351514"/>
    <w:rsid w:val="00351610"/>
    <w:rsid w:val="003516F0"/>
    <w:rsid w:val="0035178B"/>
    <w:rsid w:val="003519DA"/>
    <w:rsid w:val="00351E14"/>
    <w:rsid w:val="00351F12"/>
    <w:rsid w:val="00351F9D"/>
    <w:rsid w:val="00351FB7"/>
    <w:rsid w:val="0035207B"/>
    <w:rsid w:val="0035225C"/>
    <w:rsid w:val="003523AC"/>
    <w:rsid w:val="0035280B"/>
    <w:rsid w:val="003528FA"/>
    <w:rsid w:val="00352964"/>
    <w:rsid w:val="00352A42"/>
    <w:rsid w:val="00352ACC"/>
    <w:rsid w:val="00352B8B"/>
    <w:rsid w:val="00352CB3"/>
    <w:rsid w:val="00352E86"/>
    <w:rsid w:val="00352EDB"/>
    <w:rsid w:val="00353149"/>
    <w:rsid w:val="003531FE"/>
    <w:rsid w:val="00353203"/>
    <w:rsid w:val="003533CC"/>
    <w:rsid w:val="00353693"/>
    <w:rsid w:val="00353724"/>
    <w:rsid w:val="00353A07"/>
    <w:rsid w:val="00353C53"/>
    <w:rsid w:val="00353D02"/>
    <w:rsid w:val="00353EAF"/>
    <w:rsid w:val="0035402C"/>
    <w:rsid w:val="00354090"/>
    <w:rsid w:val="0035411B"/>
    <w:rsid w:val="00354246"/>
    <w:rsid w:val="00354251"/>
    <w:rsid w:val="00354289"/>
    <w:rsid w:val="00354788"/>
    <w:rsid w:val="0035486E"/>
    <w:rsid w:val="00354A6C"/>
    <w:rsid w:val="00354BB3"/>
    <w:rsid w:val="00354D29"/>
    <w:rsid w:val="00354E69"/>
    <w:rsid w:val="0035536F"/>
    <w:rsid w:val="003555C7"/>
    <w:rsid w:val="003555FF"/>
    <w:rsid w:val="0035594A"/>
    <w:rsid w:val="00355C64"/>
    <w:rsid w:val="00355DBD"/>
    <w:rsid w:val="00355E9E"/>
    <w:rsid w:val="0035638F"/>
    <w:rsid w:val="003564E8"/>
    <w:rsid w:val="003565D2"/>
    <w:rsid w:val="00356734"/>
    <w:rsid w:val="0035678E"/>
    <w:rsid w:val="003567CE"/>
    <w:rsid w:val="00356875"/>
    <w:rsid w:val="00356935"/>
    <w:rsid w:val="00356980"/>
    <w:rsid w:val="00356AFF"/>
    <w:rsid w:val="00356D68"/>
    <w:rsid w:val="00356E75"/>
    <w:rsid w:val="00356EDB"/>
    <w:rsid w:val="003570FB"/>
    <w:rsid w:val="003573A4"/>
    <w:rsid w:val="00357499"/>
    <w:rsid w:val="00357512"/>
    <w:rsid w:val="00357883"/>
    <w:rsid w:val="003578AF"/>
    <w:rsid w:val="00357AE0"/>
    <w:rsid w:val="00357CCB"/>
    <w:rsid w:val="00357E7C"/>
    <w:rsid w:val="0036009B"/>
    <w:rsid w:val="0036010B"/>
    <w:rsid w:val="0036013E"/>
    <w:rsid w:val="00360193"/>
    <w:rsid w:val="00360246"/>
    <w:rsid w:val="00360247"/>
    <w:rsid w:val="003602D7"/>
    <w:rsid w:val="003604CC"/>
    <w:rsid w:val="0036056D"/>
    <w:rsid w:val="00360D8D"/>
    <w:rsid w:val="00360E91"/>
    <w:rsid w:val="00360F74"/>
    <w:rsid w:val="00361230"/>
    <w:rsid w:val="003612CD"/>
    <w:rsid w:val="00361433"/>
    <w:rsid w:val="003614EA"/>
    <w:rsid w:val="0036163B"/>
    <w:rsid w:val="003616F4"/>
    <w:rsid w:val="00361787"/>
    <w:rsid w:val="00361821"/>
    <w:rsid w:val="00361B48"/>
    <w:rsid w:val="00361C0A"/>
    <w:rsid w:val="00361C83"/>
    <w:rsid w:val="00361D99"/>
    <w:rsid w:val="00361DF6"/>
    <w:rsid w:val="00361F7E"/>
    <w:rsid w:val="003620F0"/>
    <w:rsid w:val="00362498"/>
    <w:rsid w:val="003625BB"/>
    <w:rsid w:val="00362C14"/>
    <w:rsid w:val="00362D8C"/>
    <w:rsid w:val="00362E10"/>
    <w:rsid w:val="003630CE"/>
    <w:rsid w:val="00363444"/>
    <w:rsid w:val="003634E1"/>
    <w:rsid w:val="00363569"/>
    <w:rsid w:val="0036359D"/>
    <w:rsid w:val="00363639"/>
    <w:rsid w:val="00363676"/>
    <w:rsid w:val="00363769"/>
    <w:rsid w:val="00363899"/>
    <w:rsid w:val="003638AE"/>
    <w:rsid w:val="00363A0B"/>
    <w:rsid w:val="00363AB1"/>
    <w:rsid w:val="00363B74"/>
    <w:rsid w:val="00363DBE"/>
    <w:rsid w:val="00363E25"/>
    <w:rsid w:val="0036406B"/>
    <w:rsid w:val="003642D2"/>
    <w:rsid w:val="00364368"/>
    <w:rsid w:val="003647D6"/>
    <w:rsid w:val="003648E9"/>
    <w:rsid w:val="00364929"/>
    <w:rsid w:val="00364CB9"/>
    <w:rsid w:val="00364DF6"/>
    <w:rsid w:val="00364EBD"/>
    <w:rsid w:val="00364ED0"/>
    <w:rsid w:val="0036500D"/>
    <w:rsid w:val="0036503E"/>
    <w:rsid w:val="003651C5"/>
    <w:rsid w:val="003651DC"/>
    <w:rsid w:val="00365224"/>
    <w:rsid w:val="00365289"/>
    <w:rsid w:val="003652FA"/>
    <w:rsid w:val="00365317"/>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3E"/>
    <w:rsid w:val="0036779B"/>
    <w:rsid w:val="003677BB"/>
    <w:rsid w:val="003678A3"/>
    <w:rsid w:val="003679F3"/>
    <w:rsid w:val="00367A5B"/>
    <w:rsid w:val="00367BA9"/>
    <w:rsid w:val="00367DF8"/>
    <w:rsid w:val="00370093"/>
    <w:rsid w:val="003700EA"/>
    <w:rsid w:val="00370155"/>
    <w:rsid w:val="003702C3"/>
    <w:rsid w:val="0037038C"/>
    <w:rsid w:val="0037062E"/>
    <w:rsid w:val="0037076D"/>
    <w:rsid w:val="00370967"/>
    <w:rsid w:val="00370BA0"/>
    <w:rsid w:val="00370BB6"/>
    <w:rsid w:val="00370BDD"/>
    <w:rsid w:val="00370F26"/>
    <w:rsid w:val="003711CC"/>
    <w:rsid w:val="00371233"/>
    <w:rsid w:val="003712CE"/>
    <w:rsid w:val="003717F8"/>
    <w:rsid w:val="00371863"/>
    <w:rsid w:val="00371924"/>
    <w:rsid w:val="00371AF2"/>
    <w:rsid w:val="00371CA8"/>
    <w:rsid w:val="00371DA0"/>
    <w:rsid w:val="00371DDB"/>
    <w:rsid w:val="003721DE"/>
    <w:rsid w:val="003722D6"/>
    <w:rsid w:val="00372365"/>
    <w:rsid w:val="00372765"/>
    <w:rsid w:val="003727C2"/>
    <w:rsid w:val="003728DB"/>
    <w:rsid w:val="003728F2"/>
    <w:rsid w:val="003728FC"/>
    <w:rsid w:val="003729C8"/>
    <w:rsid w:val="00372B28"/>
    <w:rsid w:val="00372C20"/>
    <w:rsid w:val="00372F99"/>
    <w:rsid w:val="00372FB4"/>
    <w:rsid w:val="003730E3"/>
    <w:rsid w:val="003730E4"/>
    <w:rsid w:val="003731D0"/>
    <w:rsid w:val="003731D2"/>
    <w:rsid w:val="0037345A"/>
    <w:rsid w:val="0037357C"/>
    <w:rsid w:val="003736BE"/>
    <w:rsid w:val="0037374E"/>
    <w:rsid w:val="003737BF"/>
    <w:rsid w:val="00373891"/>
    <w:rsid w:val="003738FA"/>
    <w:rsid w:val="00373B7A"/>
    <w:rsid w:val="00373C40"/>
    <w:rsid w:val="00373DA4"/>
    <w:rsid w:val="00373DBB"/>
    <w:rsid w:val="00373E7F"/>
    <w:rsid w:val="00373EE1"/>
    <w:rsid w:val="00373EF0"/>
    <w:rsid w:val="00374053"/>
    <w:rsid w:val="003742F2"/>
    <w:rsid w:val="003743F4"/>
    <w:rsid w:val="0037457A"/>
    <w:rsid w:val="003745AD"/>
    <w:rsid w:val="0037493B"/>
    <w:rsid w:val="00374B42"/>
    <w:rsid w:val="00374D3D"/>
    <w:rsid w:val="00375001"/>
    <w:rsid w:val="003752C4"/>
    <w:rsid w:val="00375650"/>
    <w:rsid w:val="003757B2"/>
    <w:rsid w:val="003758C3"/>
    <w:rsid w:val="00375A67"/>
    <w:rsid w:val="00375EC5"/>
    <w:rsid w:val="0037600B"/>
    <w:rsid w:val="00376114"/>
    <w:rsid w:val="00376277"/>
    <w:rsid w:val="0037641A"/>
    <w:rsid w:val="00376625"/>
    <w:rsid w:val="00376676"/>
    <w:rsid w:val="003766FE"/>
    <w:rsid w:val="0037684C"/>
    <w:rsid w:val="00376B79"/>
    <w:rsid w:val="00376E5D"/>
    <w:rsid w:val="00376F32"/>
    <w:rsid w:val="00377041"/>
    <w:rsid w:val="00377175"/>
    <w:rsid w:val="003772FA"/>
    <w:rsid w:val="0037749C"/>
    <w:rsid w:val="00377639"/>
    <w:rsid w:val="003776F8"/>
    <w:rsid w:val="003777E3"/>
    <w:rsid w:val="00377943"/>
    <w:rsid w:val="00377A82"/>
    <w:rsid w:val="00377AA1"/>
    <w:rsid w:val="00377CB1"/>
    <w:rsid w:val="00377D1B"/>
    <w:rsid w:val="00377EEC"/>
    <w:rsid w:val="00377F61"/>
    <w:rsid w:val="003801A3"/>
    <w:rsid w:val="003801C4"/>
    <w:rsid w:val="003803C2"/>
    <w:rsid w:val="0038085D"/>
    <w:rsid w:val="003808B6"/>
    <w:rsid w:val="003808DE"/>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26"/>
    <w:rsid w:val="00383248"/>
    <w:rsid w:val="00383462"/>
    <w:rsid w:val="003836C8"/>
    <w:rsid w:val="00383771"/>
    <w:rsid w:val="00383CF6"/>
    <w:rsid w:val="00383D2B"/>
    <w:rsid w:val="00383D45"/>
    <w:rsid w:val="00383E8C"/>
    <w:rsid w:val="00384083"/>
    <w:rsid w:val="003840E7"/>
    <w:rsid w:val="0038411E"/>
    <w:rsid w:val="0038420E"/>
    <w:rsid w:val="0038424E"/>
    <w:rsid w:val="003842E7"/>
    <w:rsid w:val="003844F1"/>
    <w:rsid w:val="00384590"/>
    <w:rsid w:val="003848A4"/>
    <w:rsid w:val="00384A46"/>
    <w:rsid w:val="00384B69"/>
    <w:rsid w:val="00384C04"/>
    <w:rsid w:val="00384C10"/>
    <w:rsid w:val="00384C9A"/>
    <w:rsid w:val="00384D42"/>
    <w:rsid w:val="00384D8B"/>
    <w:rsid w:val="00384E0B"/>
    <w:rsid w:val="003850EF"/>
    <w:rsid w:val="0038534D"/>
    <w:rsid w:val="00385692"/>
    <w:rsid w:val="00385A45"/>
    <w:rsid w:val="00385AB7"/>
    <w:rsid w:val="00385B6D"/>
    <w:rsid w:val="00385CBB"/>
    <w:rsid w:val="00385CCC"/>
    <w:rsid w:val="00385DC7"/>
    <w:rsid w:val="00386001"/>
    <w:rsid w:val="0038636E"/>
    <w:rsid w:val="003864FF"/>
    <w:rsid w:val="003865A9"/>
    <w:rsid w:val="00386826"/>
    <w:rsid w:val="00386838"/>
    <w:rsid w:val="00386882"/>
    <w:rsid w:val="003868D5"/>
    <w:rsid w:val="00386908"/>
    <w:rsid w:val="00386B88"/>
    <w:rsid w:val="00386BA5"/>
    <w:rsid w:val="00386CA8"/>
    <w:rsid w:val="00386DB1"/>
    <w:rsid w:val="00386EA3"/>
    <w:rsid w:val="0038712A"/>
    <w:rsid w:val="00387260"/>
    <w:rsid w:val="00387613"/>
    <w:rsid w:val="00387749"/>
    <w:rsid w:val="00387A37"/>
    <w:rsid w:val="00387AD0"/>
    <w:rsid w:val="00387C9B"/>
    <w:rsid w:val="00387DAC"/>
    <w:rsid w:val="00387E9F"/>
    <w:rsid w:val="00387F2F"/>
    <w:rsid w:val="00387FB5"/>
    <w:rsid w:val="0039002E"/>
    <w:rsid w:val="003904C1"/>
    <w:rsid w:val="00390A2C"/>
    <w:rsid w:val="00390AC7"/>
    <w:rsid w:val="00390C2F"/>
    <w:rsid w:val="00390E6F"/>
    <w:rsid w:val="00390FB3"/>
    <w:rsid w:val="00391151"/>
    <w:rsid w:val="003911A0"/>
    <w:rsid w:val="00391252"/>
    <w:rsid w:val="00391303"/>
    <w:rsid w:val="00391553"/>
    <w:rsid w:val="003916AA"/>
    <w:rsid w:val="0039184E"/>
    <w:rsid w:val="00391979"/>
    <w:rsid w:val="00391C0C"/>
    <w:rsid w:val="00391C7B"/>
    <w:rsid w:val="00391F6D"/>
    <w:rsid w:val="00391FF2"/>
    <w:rsid w:val="003920CD"/>
    <w:rsid w:val="003922B6"/>
    <w:rsid w:val="00392420"/>
    <w:rsid w:val="00392577"/>
    <w:rsid w:val="003926ED"/>
    <w:rsid w:val="003928AC"/>
    <w:rsid w:val="003928E0"/>
    <w:rsid w:val="00392984"/>
    <w:rsid w:val="00392A38"/>
    <w:rsid w:val="00392ABD"/>
    <w:rsid w:val="00392DCC"/>
    <w:rsid w:val="00392EA9"/>
    <w:rsid w:val="00392F20"/>
    <w:rsid w:val="00392F6F"/>
    <w:rsid w:val="00393126"/>
    <w:rsid w:val="00393704"/>
    <w:rsid w:val="003937AC"/>
    <w:rsid w:val="00393841"/>
    <w:rsid w:val="00393AA2"/>
    <w:rsid w:val="00393C16"/>
    <w:rsid w:val="00393C64"/>
    <w:rsid w:val="003940B2"/>
    <w:rsid w:val="003941E5"/>
    <w:rsid w:val="0039437E"/>
    <w:rsid w:val="003943DC"/>
    <w:rsid w:val="00394423"/>
    <w:rsid w:val="00394552"/>
    <w:rsid w:val="0039471E"/>
    <w:rsid w:val="00394B70"/>
    <w:rsid w:val="00394CC5"/>
    <w:rsid w:val="00394CD0"/>
    <w:rsid w:val="00394D54"/>
    <w:rsid w:val="00394E0D"/>
    <w:rsid w:val="0039538D"/>
    <w:rsid w:val="003954BE"/>
    <w:rsid w:val="00395573"/>
    <w:rsid w:val="00395592"/>
    <w:rsid w:val="003955BA"/>
    <w:rsid w:val="0039567C"/>
    <w:rsid w:val="003956ED"/>
    <w:rsid w:val="00395983"/>
    <w:rsid w:val="003959CE"/>
    <w:rsid w:val="003959D5"/>
    <w:rsid w:val="00395ACB"/>
    <w:rsid w:val="00395CD9"/>
    <w:rsid w:val="00395E05"/>
    <w:rsid w:val="00395F56"/>
    <w:rsid w:val="00395FD9"/>
    <w:rsid w:val="0039610B"/>
    <w:rsid w:val="0039614F"/>
    <w:rsid w:val="003962B8"/>
    <w:rsid w:val="00396657"/>
    <w:rsid w:val="0039670C"/>
    <w:rsid w:val="0039682A"/>
    <w:rsid w:val="0039682E"/>
    <w:rsid w:val="00396873"/>
    <w:rsid w:val="003969E6"/>
    <w:rsid w:val="003969FC"/>
    <w:rsid w:val="00396BED"/>
    <w:rsid w:val="00396D80"/>
    <w:rsid w:val="00396FDB"/>
    <w:rsid w:val="00396FDF"/>
    <w:rsid w:val="0039737C"/>
    <w:rsid w:val="0039788B"/>
    <w:rsid w:val="00397AB6"/>
    <w:rsid w:val="00397C07"/>
    <w:rsid w:val="00397C70"/>
    <w:rsid w:val="00397C87"/>
    <w:rsid w:val="00397D4F"/>
    <w:rsid w:val="00397EF7"/>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1FB4"/>
    <w:rsid w:val="003A20A2"/>
    <w:rsid w:val="003A21A6"/>
    <w:rsid w:val="003A2384"/>
    <w:rsid w:val="003A24C9"/>
    <w:rsid w:val="003A2993"/>
    <w:rsid w:val="003A2ACB"/>
    <w:rsid w:val="003A2AD0"/>
    <w:rsid w:val="003A2C22"/>
    <w:rsid w:val="003A2C59"/>
    <w:rsid w:val="003A2C9F"/>
    <w:rsid w:val="003A2DDF"/>
    <w:rsid w:val="003A2F05"/>
    <w:rsid w:val="003A2F18"/>
    <w:rsid w:val="003A2FB0"/>
    <w:rsid w:val="003A310C"/>
    <w:rsid w:val="003A3187"/>
    <w:rsid w:val="003A328D"/>
    <w:rsid w:val="003A3457"/>
    <w:rsid w:val="003A3552"/>
    <w:rsid w:val="003A36F6"/>
    <w:rsid w:val="003A384F"/>
    <w:rsid w:val="003A3EFF"/>
    <w:rsid w:val="003A3F43"/>
    <w:rsid w:val="003A3F6E"/>
    <w:rsid w:val="003A3FEE"/>
    <w:rsid w:val="003A4354"/>
    <w:rsid w:val="003A43F1"/>
    <w:rsid w:val="003A4436"/>
    <w:rsid w:val="003A456D"/>
    <w:rsid w:val="003A4575"/>
    <w:rsid w:val="003A45E0"/>
    <w:rsid w:val="003A4673"/>
    <w:rsid w:val="003A4745"/>
    <w:rsid w:val="003A47B2"/>
    <w:rsid w:val="003A4A08"/>
    <w:rsid w:val="003A4A44"/>
    <w:rsid w:val="003A4BE1"/>
    <w:rsid w:val="003A4BF4"/>
    <w:rsid w:val="003A4E54"/>
    <w:rsid w:val="003A4FA3"/>
    <w:rsid w:val="003A50BA"/>
    <w:rsid w:val="003A5132"/>
    <w:rsid w:val="003A516A"/>
    <w:rsid w:val="003A53F3"/>
    <w:rsid w:val="003A57F4"/>
    <w:rsid w:val="003A59FA"/>
    <w:rsid w:val="003A5A75"/>
    <w:rsid w:val="003A5CE6"/>
    <w:rsid w:val="003A5DB9"/>
    <w:rsid w:val="003A5F17"/>
    <w:rsid w:val="003A5F1F"/>
    <w:rsid w:val="003A5FAC"/>
    <w:rsid w:val="003A6105"/>
    <w:rsid w:val="003A6217"/>
    <w:rsid w:val="003A6300"/>
    <w:rsid w:val="003A65B2"/>
    <w:rsid w:val="003A65C3"/>
    <w:rsid w:val="003A66D0"/>
    <w:rsid w:val="003A6792"/>
    <w:rsid w:val="003A679E"/>
    <w:rsid w:val="003A6875"/>
    <w:rsid w:val="003A68F2"/>
    <w:rsid w:val="003A6933"/>
    <w:rsid w:val="003A6936"/>
    <w:rsid w:val="003A6BE7"/>
    <w:rsid w:val="003A6EA4"/>
    <w:rsid w:val="003A6F74"/>
    <w:rsid w:val="003A7035"/>
    <w:rsid w:val="003A72B4"/>
    <w:rsid w:val="003A750E"/>
    <w:rsid w:val="003A777A"/>
    <w:rsid w:val="003A784B"/>
    <w:rsid w:val="003A79F1"/>
    <w:rsid w:val="003A7AAA"/>
    <w:rsid w:val="003A7B6C"/>
    <w:rsid w:val="003A7CBE"/>
    <w:rsid w:val="003A7D9E"/>
    <w:rsid w:val="003A7DBA"/>
    <w:rsid w:val="003A7DCF"/>
    <w:rsid w:val="003A7EB2"/>
    <w:rsid w:val="003B0179"/>
    <w:rsid w:val="003B02C0"/>
    <w:rsid w:val="003B0570"/>
    <w:rsid w:val="003B0680"/>
    <w:rsid w:val="003B070D"/>
    <w:rsid w:val="003B0716"/>
    <w:rsid w:val="003B0976"/>
    <w:rsid w:val="003B0A0B"/>
    <w:rsid w:val="003B0A86"/>
    <w:rsid w:val="003B0A91"/>
    <w:rsid w:val="003B0D13"/>
    <w:rsid w:val="003B0DA5"/>
    <w:rsid w:val="003B0F2B"/>
    <w:rsid w:val="003B0FA7"/>
    <w:rsid w:val="003B152C"/>
    <w:rsid w:val="003B15EE"/>
    <w:rsid w:val="003B1640"/>
    <w:rsid w:val="003B175F"/>
    <w:rsid w:val="003B1775"/>
    <w:rsid w:val="003B1894"/>
    <w:rsid w:val="003B18CC"/>
    <w:rsid w:val="003B1A44"/>
    <w:rsid w:val="003B1E46"/>
    <w:rsid w:val="003B20B4"/>
    <w:rsid w:val="003B2356"/>
    <w:rsid w:val="003B235E"/>
    <w:rsid w:val="003B242F"/>
    <w:rsid w:val="003B2516"/>
    <w:rsid w:val="003B25B5"/>
    <w:rsid w:val="003B27E3"/>
    <w:rsid w:val="003B27E5"/>
    <w:rsid w:val="003B2C96"/>
    <w:rsid w:val="003B2C9C"/>
    <w:rsid w:val="003B2D4E"/>
    <w:rsid w:val="003B2D6D"/>
    <w:rsid w:val="003B31A7"/>
    <w:rsid w:val="003B328A"/>
    <w:rsid w:val="003B33B1"/>
    <w:rsid w:val="003B37F4"/>
    <w:rsid w:val="003B39FB"/>
    <w:rsid w:val="003B3AB4"/>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32E"/>
    <w:rsid w:val="003B5651"/>
    <w:rsid w:val="003B57A9"/>
    <w:rsid w:val="003B5A38"/>
    <w:rsid w:val="003B5B92"/>
    <w:rsid w:val="003B5BB6"/>
    <w:rsid w:val="003B5BB8"/>
    <w:rsid w:val="003B5E10"/>
    <w:rsid w:val="003B5E5E"/>
    <w:rsid w:val="003B5ED2"/>
    <w:rsid w:val="003B6170"/>
    <w:rsid w:val="003B641C"/>
    <w:rsid w:val="003B645D"/>
    <w:rsid w:val="003B6533"/>
    <w:rsid w:val="003B6674"/>
    <w:rsid w:val="003B66DF"/>
    <w:rsid w:val="003B673B"/>
    <w:rsid w:val="003B68C0"/>
    <w:rsid w:val="003B693F"/>
    <w:rsid w:val="003B6A89"/>
    <w:rsid w:val="003B6AE2"/>
    <w:rsid w:val="003B6D56"/>
    <w:rsid w:val="003B6DFD"/>
    <w:rsid w:val="003B701D"/>
    <w:rsid w:val="003B7163"/>
    <w:rsid w:val="003B7352"/>
    <w:rsid w:val="003B7513"/>
    <w:rsid w:val="003B7551"/>
    <w:rsid w:val="003B75E4"/>
    <w:rsid w:val="003B7601"/>
    <w:rsid w:val="003B7749"/>
    <w:rsid w:val="003B7775"/>
    <w:rsid w:val="003B7837"/>
    <w:rsid w:val="003B7931"/>
    <w:rsid w:val="003B7A70"/>
    <w:rsid w:val="003B7B76"/>
    <w:rsid w:val="003C00DF"/>
    <w:rsid w:val="003C00EB"/>
    <w:rsid w:val="003C01DF"/>
    <w:rsid w:val="003C022C"/>
    <w:rsid w:val="003C03B7"/>
    <w:rsid w:val="003C0605"/>
    <w:rsid w:val="003C07E3"/>
    <w:rsid w:val="003C0883"/>
    <w:rsid w:val="003C0955"/>
    <w:rsid w:val="003C0A80"/>
    <w:rsid w:val="003C0BF5"/>
    <w:rsid w:val="003C10E0"/>
    <w:rsid w:val="003C1147"/>
    <w:rsid w:val="003C11E0"/>
    <w:rsid w:val="003C12B6"/>
    <w:rsid w:val="003C12C7"/>
    <w:rsid w:val="003C13C8"/>
    <w:rsid w:val="003C13EB"/>
    <w:rsid w:val="003C1626"/>
    <w:rsid w:val="003C1903"/>
    <w:rsid w:val="003C1936"/>
    <w:rsid w:val="003C1B20"/>
    <w:rsid w:val="003C1BF3"/>
    <w:rsid w:val="003C1C10"/>
    <w:rsid w:val="003C1D48"/>
    <w:rsid w:val="003C1DFE"/>
    <w:rsid w:val="003C1F3D"/>
    <w:rsid w:val="003C21C7"/>
    <w:rsid w:val="003C2336"/>
    <w:rsid w:val="003C2518"/>
    <w:rsid w:val="003C272E"/>
    <w:rsid w:val="003C27A4"/>
    <w:rsid w:val="003C28F3"/>
    <w:rsid w:val="003C294E"/>
    <w:rsid w:val="003C2997"/>
    <w:rsid w:val="003C2CDE"/>
    <w:rsid w:val="003C2DAF"/>
    <w:rsid w:val="003C2F98"/>
    <w:rsid w:val="003C2FF3"/>
    <w:rsid w:val="003C3001"/>
    <w:rsid w:val="003C30C0"/>
    <w:rsid w:val="003C3132"/>
    <w:rsid w:val="003C31D2"/>
    <w:rsid w:val="003C32A2"/>
    <w:rsid w:val="003C33A3"/>
    <w:rsid w:val="003C33AD"/>
    <w:rsid w:val="003C344B"/>
    <w:rsid w:val="003C3528"/>
    <w:rsid w:val="003C3910"/>
    <w:rsid w:val="003C3958"/>
    <w:rsid w:val="003C3993"/>
    <w:rsid w:val="003C39C7"/>
    <w:rsid w:val="003C3EC3"/>
    <w:rsid w:val="003C4141"/>
    <w:rsid w:val="003C42E1"/>
    <w:rsid w:val="003C4323"/>
    <w:rsid w:val="003C460F"/>
    <w:rsid w:val="003C46F1"/>
    <w:rsid w:val="003C485C"/>
    <w:rsid w:val="003C4AA7"/>
    <w:rsid w:val="003C529C"/>
    <w:rsid w:val="003C52A0"/>
    <w:rsid w:val="003C5488"/>
    <w:rsid w:val="003C548C"/>
    <w:rsid w:val="003C57C1"/>
    <w:rsid w:val="003C59C5"/>
    <w:rsid w:val="003C5A50"/>
    <w:rsid w:val="003C5AE2"/>
    <w:rsid w:val="003C5BA9"/>
    <w:rsid w:val="003C5BBD"/>
    <w:rsid w:val="003C5C79"/>
    <w:rsid w:val="003C5CA7"/>
    <w:rsid w:val="003C5CBC"/>
    <w:rsid w:val="003C5CEA"/>
    <w:rsid w:val="003C5FF3"/>
    <w:rsid w:val="003C61AD"/>
    <w:rsid w:val="003C6473"/>
    <w:rsid w:val="003C6476"/>
    <w:rsid w:val="003C64A3"/>
    <w:rsid w:val="003C659B"/>
    <w:rsid w:val="003C65ED"/>
    <w:rsid w:val="003C6696"/>
    <w:rsid w:val="003C6709"/>
    <w:rsid w:val="003C672D"/>
    <w:rsid w:val="003C68C7"/>
    <w:rsid w:val="003C6913"/>
    <w:rsid w:val="003C6A73"/>
    <w:rsid w:val="003C6ACC"/>
    <w:rsid w:val="003C6C63"/>
    <w:rsid w:val="003C6C7A"/>
    <w:rsid w:val="003C6C89"/>
    <w:rsid w:val="003C6EF7"/>
    <w:rsid w:val="003C707F"/>
    <w:rsid w:val="003C70AC"/>
    <w:rsid w:val="003C71E0"/>
    <w:rsid w:val="003C7209"/>
    <w:rsid w:val="003C72AD"/>
    <w:rsid w:val="003C7498"/>
    <w:rsid w:val="003C775E"/>
    <w:rsid w:val="003C7B47"/>
    <w:rsid w:val="003C7E08"/>
    <w:rsid w:val="003C7E16"/>
    <w:rsid w:val="003C7ED1"/>
    <w:rsid w:val="003D009B"/>
    <w:rsid w:val="003D0235"/>
    <w:rsid w:val="003D0247"/>
    <w:rsid w:val="003D026D"/>
    <w:rsid w:val="003D02E9"/>
    <w:rsid w:val="003D06B3"/>
    <w:rsid w:val="003D0820"/>
    <w:rsid w:val="003D08C1"/>
    <w:rsid w:val="003D0ACD"/>
    <w:rsid w:val="003D0D72"/>
    <w:rsid w:val="003D0F88"/>
    <w:rsid w:val="003D107C"/>
    <w:rsid w:val="003D10D5"/>
    <w:rsid w:val="003D1515"/>
    <w:rsid w:val="003D1AC5"/>
    <w:rsid w:val="003D1C61"/>
    <w:rsid w:val="003D1D55"/>
    <w:rsid w:val="003D1D7A"/>
    <w:rsid w:val="003D1DEA"/>
    <w:rsid w:val="003D24AA"/>
    <w:rsid w:val="003D2759"/>
    <w:rsid w:val="003D27A4"/>
    <w:rsid w:val="003D2C9C"/>
    <w:rsid w:val="003D2DC9"/>
    <w:rsid w:val="003D325C"/>
    <w:rsid w:val="003D327A"/>
    <w:rsid w:val="003D33C7"/>
    <w:rsid w:val="003D354D"/>
    <w:rsid w:val="003D368B"/>
    <w:rsid w:val="003D384F"/>
    <w:rsid w:val="003D38A6"/>
    <w:rsid w:val="003D38BB"/>
    <w:rsid w:val="003D3A7D"/>
    <w:rsid w:val="003D3E21"/>
    <w:rsid w:val="003D4190"/>
    <w:rsid w:val="003D44E5"/>
    <w:rsid w:val="003D44FE"/>
    <w:rsid w:val="003D49E1"/>
    <w:rsid w:val="003D4C0E"/>
    <w:rsid w:val="003D4C81"/>
    <w:rsid w:val="003D4E3D"/>
    <w:rsid w:val="003D4F83"/>
    <w:rsid w:val="003D51BB"/>
    <w:rsid w:val="003D5455"/>
    <w:rsid w:val="003D56A2"/>
    <w:rsid w:val="003D5854"/>
    <w:rsid w:val="003D5935"/>
    <w:rsid w:val="003D59A5"/>
    <w:rsid w:val="003D59D3"/>
    <w:rsid w:val="003D5A3E"/>
    <w:rsid w:val="003D5A98"/>
    <w:rsid w:val="003D5C6D"/>
    <w:rsid w:val="003D5D38"/>
    <w:rsid w:val="003D5E15"/>
    <w:rsid w:val="003D5E43"/>
    <w:rsid w:val="003D5EA3"/>
    <w:rsid w:val="003D6045"/>
    <w:rsid w:val="003D605C"/>
    <w:rsid w:val="003D6092"/>
    <w:rsid w:val="003D60A5"/>
    <w:rsid w:val="003D6170"/>
    <w:rsid w:val="003D65E8"/>
    <w:rsid w:val="003D69B7"/>
    <w:rsid w:val="003D69CD"/>
    <w:rsid w:val="003D6C1B"/>
    <w:rsid w:val="003D6C59"/>
    <w:rsid w:val="003D6E47"/>
    <w:rsid w:val="003D6F90"/>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4B"/>
    <w:rsid w:val="003E01D9"/>
    <w:rsid w:val="003E0360"/>
    <w:rsid w:val="003E04B3"/>
    <w:rsid w:val="003E06CB"/>
    <w:rsid w:val="003E0A5B"/>
    <w:rsid w:val="003E0A5D"/>
    <w:rsid w:val="003E0D12"/>
    <w:rsid w:val="003E0D81"/>
    <w:rsid w:val="003E0DCE"/>
    <w:rsid w:val="003E0F2A"/>
    <w:rsid w:val="003E1145"/>
    <w:rsid w:val="003E11AF"/>
    <w:rsid w:val="003E145C"/>
    <w:rsid w:val="003E14DD"/>
    <w:rsid w:val="003E15B2"/>
    <w:rsid w:val="003E1671"/>
    <w:rsid w:val="003E16E5"/>
    <w:rsid w:val="003E173D"/>
    <w:rsid w:val="003E1768"/>
    <w:rsid w:val="003E18D7"/>
    <w:rsid w:val="003E1A8C"/>
    <w:rsid w:val="003E1C0E"/>
    <w:rsid w:val="003E1CC2"/>
    <w:rsid w:val="003E1E1E"/>
    <w:rsid w:val="003E21AF"/>
    <w:rsid w:val="003E225A"/>
    <w:rsid w:val="003E2496"/>
    <w:rsid w:val="003E24C5"/>
    <w:rsid w:val="003E24F2"/>
    <w:rsid w:val="003E264E"/>
    <w:rsid w:val="003E266A"/>
    <w:rsid w:val="003E285E"/>
    <w:rsid w:val="003E286F"/>
    <w:rsid w:val="003E290D"/>
    <w:rsid w:val="003E29CF"/>
    <w:rsid w:val="003E2D24"/>
    <w:rsid w:val="003E2F73"/>
    <w:rsid w:val="003E318D"/>
    <w:rsid w:val="003E32F5"/>
    <w:rsid w:val="003E3389"/>
    <w:rsid w:val="003E3479"/>
    <w:rsid w:val="003E34B5"/>
    <w:rsid w:val="003E3653"/>
    <w:rsid w:val="003E39CF"/>
    <w:rsid w:val="003E3BB4"/>
    <w:rsid w:val="003E3D3B"/>
    <w:rsid w:val="003E4010"/>
    <w:rsid w:val="003E4166"/>
    <w:rsid w:val="003E43B0"/>
    <w:rsid w:val="003E4611"/>
    <w:rsid w:val="003E47D9"/>
    <w:rsid w:val="003E48A6"/>
    <w:rsid w:val="003E48BF"/>
    <w:rsid w:val="003E4ABB"/>
    <w:rsid w:val="003E513E"/>
    <w:rsid w:val="003E52DD"/>
    <w:rsid w:val="003E5381"/>
    <w:rsid w:val="003E551F"/>
    <w:rsid w:val="003E574E"/>
    <w:rsid w:val="003E57D9"/>
    <w:rsid w:val="003E5859"/>
    <w:rsid w:val="003E5886"/>
    <w:rsid w:val="003E5C52"/>
    <w:rsid w:val="003E5D48"/>
    <w:rsid w:val="003E5D4B"/>
    <w:rsid w:val="003E5E54"/>
    <w:rsid w:val="003E5F4B"/>
    <w:rsid w:val="003E5FD6"/>
    <w:rsid w:val="003E61A3"/>
    <w:rsid w:val="003E6221"/>
    <w:rsid w:val="003E62C5"/>
    <w:rsid w:val="003E6321"/>
    <w:rsid w:val="003E6471"/>
    <w:rsid w:val="003E683B"/>
    <w:rsid w:val="003E6CD5"/>
    <w:rsid w:val="003E6CEB"/>
    <w:rsid w:val="003E6CF1"/>
    <w:rsid w:val="003E6DF8"/>
    <w:rsid w:val="003E6E9C"/>
    <w:rsid w:val="003E7077"/>
    <w:rsid w:val="003E71B5"/>
    <w:rsid w:val="003E7495"/>
    <w:rsid w:val="003E75D5"/>
    <w:rsid w:val="003E76CB"/>
    <w:rsid w:val="003E77CF"/>
    <w:rsid w:val="003E78F1"/>
    <w:rsid w:val="003E790E"/>
    <w:rsid w:val="003E7C69"/>
    <w:rsid w:val="003E7DA4"/>
    <w:rsid w:val="003E7DE2"/>
    <w:rsid w:val="003E7F11"/>
    <w:rsid w:val="003E7FD7"/>
    <w:rsid w:val="003F06DC"/>
    <w:rsid w:val="003F0738"/>
    <w:rsid w:val="003F0758"/>
    <w:rsid w:val="003F08DB"/>
    <w:rsid w:val="003F08F7"/>
    <w:rsid w:val="003F0A5C"/>
    <w:rsid w:val="003F0A75"/>
    <w:rsid w:val="003F0A92"/>
    <w:rsid w:val="003F0B11"/>
    <w:rsid w:val="003F0B31"/>
    <w:rsid w:val="003F0D40"/>
    <w:rsid w:val="003F0E08"/>
    <w:rsid w:val="003F1019"/>
    <w:rsid w:val="003F102C"/>
    <w:rsid w:val="003F1088"/>
    <w:rsid w:val="003F1136"/>
    <w:rsid w:val="003F13B4"/>
    <w:rsid w:val="003F13DE"/>
    <w:rsid w:val="003F15AE"/>
    <w:rsid w:val="003F17CE"/>
    <w:rsid w:val="003F1A02"/>
    <w:rsid w:val="003F1B0D"/>
    <w:rsid w:val="003F1BDF"/>
    <w:rsid w:val="003F1C72"/>
    <w:rsid w:val="003F1FBA"/>
    <w:rsid w:val="003F203C"/>
    <w:rsid w:val="003F2276"/>
    <w:rsid w:val="003F2355"/>
    <w:rsid w:val="003F26FC"/>
    <w:rsid w:val="003F281E"/>
    <w:rsid w:val="003F28B1"/>
    <w:rsid w:val="003F2A54"/>
    <w:rsid w:val="003F2B53"/>
    <w:rsid w:val="003F2E21"/>
    <w:rsid w:val="003F3090"/>
    <w:rsid w:val="003F32CF"/>
    <w:rsid w:val="003F35D6"/>
    <w:rsid w:val="003F370E"/>
    <w:rsid w:val="003F3762"/>
    <w:rsid w:val="003F386F"/>
    <w:rsid w:val="003F3AA2"/>
    <w:rsid w:val="003F3AAB"/>
    <w:rsid w:val="003F3C03"/>
    <w:rsid w:val="003F3FF4"/>
    <w:rsid w:val="003F4024"/>
    <w:rsid w:val="003F4133"/>
    <w:rsid w:val="003F4206"/>
    <w:rsid w:val="003F4254"/>
    <w:rsid w:val="003F4351"/>
    <w:rsid w:val="003F487B"/>
    <w:rsid w:val="003F48BC"/>
    <w:rsid w:val="003F48E2"/>
    <w:rsid w:val="003F48EB"/>
    <w:rsid w:val="003F496D"/>
    <w:rsid w:val="003F4DA9"/>
    <w:rsid w:val="003F4DDE"/>
    <w:rsid w:val="003F5319"/>
    <w:rsid w:val="003F5412"/>
    <w:rsid w:val="003F576B"/>
    <w:rsid w:val="003F57DE"/>
    <w:rsid w:val="003F58BA"/>
    <w:rsid w:val="003F5BEC"/>
    <w:rsid w:val="003F5BF6"/>
    <w:rsid w:val="003F5C63"/>
    <w:rsid w:val="003F5D30"/>
    <w:rsid w:val="003F5E2E"/>
    <w:rsid w:val="003F5EB6"/>
    <w:rsid w:val="003F648D"/>
    <w:rsid w:val="003F67F2"/>
    <w:rsid w:val="003F6CCA"/>
    <w:rsid w:val="003F6EC1"/>
    <w:rsid w:val="003F7107"/>
    <w:rsid w:val="003F74E9"/>
    <w:rsid w:val="003F7638"/>
    <w:rsid w:val="003F7717"/>
    <w:rsid w:val="003F777A"/>
    <w:rsid w:val="003F7902"/>
    <w:rsid w:val="003F7AE5"/>
    <w:rsid w:val="003F7CDF"/>
    <w:rsid w:val="003F7E03"/>
    <w:rsid w:val="003F7FC0"/>
    <w:rsid w:val="003F7FDA"/>
    <w:rsid w:val="00400097"/>
    <w:rsid w:val="00400362"/>
    <w:rsid w:val="004003B0"/>
    <w:rsid w:val="00400501"/>
    <w:rsid w:val="00400592"/>
    <w:rsid w:val="00400645"/>
    <w:rsid w:val="0040068E"/>
    <w:rsid w:val="004006C9"/>
    <w:rsid w:val="00400957"/>
    <w:rsid w:val="004009B9"/>
    <w:rsid w:val="00400A22"/>
    <w:rsid w:val="00400B1A"/>
    <w:rsid w:val="00400E7B"/>
    <w:rsid w:val="00400F08"/>
    <w:rsid w:val="004014DF"/>
    <w:rsid w:val="0040157E"/>
    <w:rsid w:val="004015F9"/>
    <w:rsid w:val="00401618"/>
    <w:rsid w:val="00401A48"/>
    <w:rsid w:val="00401C54"/>
    <w:rsid w:val="00401D9E"/>
    <w:rsid w:val="00401E66"/>
    <w:rsid w:val="00401F21"/>
    <w:rsid w:val="00401F7C"/>
    <w:rsid w:val="0040205C"/>
    <w:rsid w:val="004020A9"/>
    <w:rsid w:val="004023A0"/>
    <w:rsid w:val="00402536"/>
    <w:rsid w:val="00402768"/>
    <w:rsid w:val="004027C1"/>
    <w:rsid w:val="004027E2"/>
    <w:rsid w:val="0040280C"/>
    <w:rsid w:val="00402860"/>
    <w:rsid w:val="004029AE"/>
    <w:rsid w:val="00402AC0"/>
    <w:rsid w:val="00402B0F"/>
    <w:rsid w:val="00402BC7"/>
    <w:rsid w:val="00402CDD"/>
    <w:rsid w:val="00402FF0"/>
    <w:rsid w:val="00403065"/>
    <w:rsid w:val="004033AE"/>
    <w:rsid w:val="004033D6"/>
    <w:rsid w:val="0040365A"/>
    <w:rsid w:val="0040373D"/>
    <w:rsid w:val="004038EB"/>
    <w:rsid w:val="00403926"/>
    <w:rsid w:val="00403A29"/>
    <w:rsid w:val="00403B39"/>
    <w:rsid w:val="00403B43"/>
    <w:rsid w:val="00403BFE"/>
    <w:rsid w:val="00403CD8"/>
    <w:rsid w:val="00403CE5"/>
    <w:rsid w:val="00403E4F"/>
    <w:rsid w:val="00403F5E"/>
    <w:rsid w:val="00404250"/>
    <w:rsid w:val="0040431A"/>
    <w:rsid w:val="00404565"/>
    <w:rsid w:val="0040464D"/>
    <w:rsid w:val="004047ED"/>
    <w:rsid w:val="00404981"/>
    <w:rsid w:val="00404B4D"/>
    <w:rsid w:val="00404BFE"/>
    <w:rsid w:val="00404D40"/>
    <w:rsid w:val="00404E69"/>
    <w:rsid w:val="00404E8E"/>
    <w:rsid w:val="00404F22"/>
    <w:rsid w:val="00404FF5"/>
    <w:rsid w:val="004055AA"/>
    <w:rsid w:val="004055DE"/>
    <w:rsid w:val="00405603"/>
    <w:rsid w:val="00405615"/>
    <w:rsid w:val="00405727"/>
    <w:rsid w:val="00405797"/>
    <w:rsid w:val="004057C3"/>
    <w:rsid w:val="00405A68"/>
    <w:rsid w:val="00405AE6"/>
    <w:rsid w:val="00405B8A"/>
    <w:rsid w:val="00405DEB"/>
    <w:rsid w:val="00405E89"/>
    <w:rsid w:val="00405F25"/>
    <w:rsid w:val="00405F2B"/>
    <w:rsid w:val="00405F72"/>
    <w:rsid w:val="004061E9"/>
    <w:rsid w:val="0040629F"/>
    <w:rsid w:val="00406309"/>
    <w:rsid w:val="00406428"/>
    <w:rsid w:val="004065DB"/>
    <w:rsid w:val="004065E9"/>
    <w:rsid w:val="0040663E"/>
    <w:rsid w:val="00406706"/>
    <w:rsid w:val="00406745"/>
    <w:rsid w:val="004068D1"/>
    <w:rsid w:val="00406CB7"/>
    <w:rsid w:val="00406CFF"/>
    <w:rsid w:val="00406D89"/>
    <w:rsid w:val="00406E2E"/>
    <w:rsid w:val="00406FCF"/>
    <w:rsid w:val="004070C5"/>
    <w:rsid w:val="0040720D"/>
    <w:rsid w:val="004072CB"/>
    <w:rsid w:val="0040732F"/>
    <w:rsid w:val="00407448"/>
    <w:rsid w:val="004074C3"/>
    <w:rsid w:val="004074FF"/>
    <w:rsid w:val="0040752A"/>
    <w:rsid w:val="00407596"/>
    <w:rsid w:val="004075DC"/>
    <w:rsid w:val="00407687"/>
    <w:rsid w:val="004079DD"/>
    <w:rsid w:val="004079EE"/>
    <w:rsid w:val="00407CBD"/>
    <w:rsid w:val="00407DDB"/>
    <w:rsid w:val="0041000D"/>
    <w:rsid w:val="00410017"/>
    <w:rsid w:val="00410224"/>
    <w:rsid w:val="00410365"/>
    <w:rsid w:val="00410588"/>
    <w:rsid w:val="004107CB"/>
    <w:rsid w:val="00410A6E"/>
    <w:rsid w:val="00410BB9"/>
    <w:rsid w:val="00410E28"/>
    <w:rsid w:val="00410E8D"/>
    <w:rsid w:val="0041104D"/>
    <w:rsid w:val="00411323"/>
    <w:rsid w:val="004116AE"/>
    <w:rsid w:val="00411731"/>
    <w:rsid w:val="004117D2"/>
    <w:rsid w:val="004119B1"/>
    <w:rsid w:val="00411A0E"/>
    <w:rsid w:val="00411A3F"/>
    <w:rsid w:val="00411A44"/>
    <w:rsid w:val="00411AC5"/>
    <w:rsid w:val="00411DFF"/>
    <w:rsid w:val="00411FFB"/>
    <w:rsid w:val="0041200E"/>
    <w:rsid w:val="0041204B"/>
    <w:rsid w:val="004122DE"/>
    <w:rsid w:val="004123AC"/>
    <w:rsid w:val="0041252C"/>
    <w:rsid w:val="00412963"/>
    <w:rsid w:val="00412A80"/>
    <w:rsid w:val="00412BCF"/>
    <w:rsid w:val="00412ED4"/>
    <w:rsid w:val="00412F5C"/>
    <w:rsid w:val="00412FFC"/>
    <w:rsid w:val="00413039"/>
    <w:rsid w:val="004130CB"/>
    <w:rsid w:val="0041310A"/>
    <w:rsid w:val="00413575"/>
    <w:rsid w:val="004135F0"/>
    <w:rsid w:val="004137A5"/>
    <w:rsid w:val="004137FD"/>
    <w:rsid w:val="0041389E"/>
    <w:rsid w:val="004138B4"/>
    <w:rsid w:val="00413926"/>
    <w:rsid w:val="00413B55"/>
    <w:rsid w:val="00413E77"/>
    <w:rsid w:val="0041400F"/>
    <w:rsid w:val="00414073"/>
    <w:rsid w:val="004142CB"/>
    <w:rsid w:val="00414481"/>
    <w:rsid w:val="004146EC"/>
    <w:rsid w:val="0041474A"/>
    <w:rsid w:val="0041479E"/>
    <w:rsid w:val="00414AEC"/>
    <w:rsid w:val="00415445"/>
    <w:rsid w:val="00415554"/>
    <w:rsid w:val="00415653"/>
    <w:rsid w:val="00415878"/>
    <w:rsid w:val="004158DC"/>
    <w:rsid w:val="00415E6F"/>
    <w:rsid w:val="00415FFD"/>
    <w:rsid w:val="0041602A"/>
    <w:rsid w:val="00416157"/>
    <w:rsid w:val="00416158"/>
    <w:rsid w:val="0041620F"/>
    <w:rsid w:val="004162B9"/>
    <w:rsid w:val="00416318"/>
    <w:rsid w:val="00416393"/>
    <w:rsid w:val="0041655F"/>
    <w:rsid w:val="004165BE"/>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85E"/>
    <w:rsid w:val="00420964"/>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0F9"/>
    <w:rsid w:val="004224C5"/>
    <w:rsid w:val="0042252C"/>
    <w:rsid w:val="004225C5"/>
    <w:rsid w:val="004225E2"/>
    <w:rsid w:val="00422921"/>
    <w:rsid w:val="00422A58"/>
    <w:rsid w:val="0042313D"/>
    <w:rsid w:val="00423315"/>
    <w:rsid w:val="004234F2"/>
    <w:rsid w:val="00423592"/>
    <w:rsid w:val="004235BA"/>
    <w:rsid w:val="004236D1"/>
    <w:rsid w:val="004236EE"/>
    <w:rsid w:val="00423895"/>
    <w:rsid w:val="004239B9"/>
    <w:rsid w:val="00423CE2"/>
    <w:rsid w:val="00423D2D"/>
    <w:rsid w:val="00423D4A"/>
    <w:rsid w:val="00423D7A"/>
    <w:rsid w:val="00423E09"/>
    <w:rsid w:val="00423E24"/>
    <w:rsid w:val="0042408E"/>
    <w:rsid w:val="00424187"/>
    <w:rsid w:val="00424219"/>
    <w:rsid w:val="0042421C"/>
    <w:rsid w:val="004242B1"/>
    <w:rsid w:val="004242C1"/>
    <w:rsid w:val="0042449E"/>
    <w:rsid w:val="00424733"/>
    <w:rsid w:val="00424814"/>
    <w:rsid w:val="0042485D"/>
    <w:rsid w:val="0042493D"/>
    <w:rsid w:val="004249E0"/>
    <w:rsid w:val="00424A0B"/>
    <w:rsid w:val="00424B4A"/>
    <w:rsid w:val="00424D69"/>
    <w:rsid w:val="00424DC5"/>
    <w:rsid w:val="0042526C"/>
    <w:rsid w:val="004252DA"/>
    <w:rsid w:val="004252DD"/>
    <w:rsid w:val="004253EF"/>
    <w:rsid w:val="004253F6"/>
    <w:rsid w:val="004254E3"/>
    <w:rsid w:val="00425ADC"/>
    <w:rsid w:val="00425F82"/>
    <w:rsid w:val="00426211"/>
    <w:rsid w:val="004262DC"/>
    <w:rsid w:val="004264D1"/>
    <w:rsid w:val="0042668C"/>
    <w:rsid w:val="0042674B"/>
    <w:rsid w:val="0042674F"/>
    <w:rsid w:val="00426754"/>
    <w:rsid w:val="00426878"/>
    <w:rsid w:val="004269D2"/>
    <w:rsid w:val="00426B14"/>
    <w:rsid w:val="00426D74"/>
    <w:rsid w:val="00426FCC"/>
    <w:rsid w:val="00427091"/>
    <w:rsid w:val="00427134"/>
    <w:rsid w:val="00427190"/>
    <w:rsid w:val="0042743A"/>
    <w:rsid w:val="0042748F"/>
    <w:rsid w:val="004274B4"/>
    <w:rsid w:val="004275BC"/>
    <w:rsid w:val="004275CD"/>
    <w:rsid w:val="004275D0"/>
    <w:rsid w:val="00427880"/>
    <w:rsid w:val="00427898"/>
    <w:rsid w:val="004278A3"/>
    <w:rsid w:val="00427D07"/>
    <w:rsid w:val="0043031B"/>
    <w:rsid w:val="0043059C"/>
    <w:rsid w:val="00430617"/>
    <w:rsid w:val="004307B9"/>
    <w:rsid w:val="004307EB"/>
    <w:rsid w:val="004307F2"/>
    <w:rsid w:val="00430BB4"/>
    <w:rsid w:val="00430BF2"/>
    <w:rsid w:val="00430C49"/>
    <w:rsid w:val="0043107A"/>
    <w:rsid w:val="004310B1"/>
    <w:rsid w:val="004310BB"/>
    <w:rsid w:val="00431238"/>
    <w:rsid w:val="00431657"/>
    <w:rsid w:val="004317EB"/>
    <w:rsid w:val="004318B9"/>
    <w:rsid w:val="00431CA2"/>
    <w:rsid w:val="00431CC5"/>
    <w:rsid w:val="00431DD8"/>
    <w:rsid w:val="00431E06"/>
    <w:rsid w:val="00431EBE"/>
    <w:rsid w:val="00432012"/>
    <w:rsid w:val="004323E4"/>
    <w:rsid w:val="004323EA"/>
    <w:rsid w:val="004325BE"/>
    <w:rsid w:val="004326AB"/>
    <w:rsid w:val="0043283C"/>
    <w:rsid w:val="0043289F"/>
    <w:rsid w:val="004328E8"/>
    <w:rsid w:val="00432ABE"/>
    <w:rsid w:val="00432C70"/>
    <w:rsid w:val="00432C84"/>
    <w:rsid w:val="00432CD6"/>
    <w:rsid w:val="00432EE5"/>
    <w:rsid w:val="00432EF2"/>
    <w:rsid w:val="00432F05"/>
    <w:rsid w:val="00432FE3"/>
    <w:rsid w:val="004330A7"/>
    <w:rsid w:val="004333AB"/>
    <w:rsid w:val="00433461"/>
    <w:rsid w:val="004335A8"/>
    <w:rsid w:val="0043365C"/>
    <w:rsid w:val="0043366A"/>
    <w:rsid w:val="0043373F"/>
    <w:rsid w:val="0043378D"/>
    <w:rsid w:val="00433804"/>
    <w:rsid w:val="00433B8A"/>
    <w:rsid w:val="00433DD4"/>
    <w:rsid w:val="00433F58"/>
    <w:rsid w:val="00433F5E"/>
    <w:rsid w:val="0043427D"/>
    <w:rsid w:val="004343CB"/>
    <w:rsid w:val="004345AF"/>
    <w:rsid w:val="00434828"/>
    <w:rsid w:val="0043490D"/>
    <w:rsid w:val="004349FF"/>
    <w:rsid w:val="00434A27"/>
    <w:rsid w:val="00434ABA"/>
    <w:rsid w:val="00434B71"/>
    <w:rsid w:val="00434D70"/>
    <w:rsid w:val="00434D7C"/>
    <w:rsid w:val="004352BD"/>
    <w:rsid w:val="004353CB"/>
    <w:rsid w:val="0043565B"/>
    <w:rsid w:val="0043580D"/>
    <w:rsid w:val="00435919"/>
    <w:rsid w:val="00435992"/>
    <w:rsid w:val="00435C9B"/>
    <w:rsid w:val="00435D70"/>
    <w:rsid w:val="00435EFE"/>
    <w:rsid w:val="00436159"/>
    <w:rsid w:val="004361C8"/>
    <w:rsid w:val="004363CC"/>
    <w:rsid w:val="00436423"/>
    <w:rsid w:val="00436960"/>
    <w:rsid w:val="00436B4D"/>
    <w:rsid w:val="00436CCF"/>
    <w:rsid w:val="00436DFF"/>
    <w:rsid w:val="00436EFB"/>
    <w:rsid w:val="00436FFC"/>
    <w:rsid w:val="004371F3"/>
    <w:rsid w:val="00437211"/>
    <w:rsid w:val="004374A4"/>
    <w:rsid w:val="004374DC"/>
    <w:rsid w:val="0043750D"/>
    <w:rsid w:val="00437680"/>
    <w:rsid w:val="00437826"/>
    <w:rsid w:val="0043791D"/>
    <w:rsid w:val="00437996"/>
    <w:rsid w:val="00437AEB"/>
    <w:rsid w:val="00437B15"/>
    <w:rsid w:val="00437CD5"/>
    <w:rsid w:val="00437FCA"/>
    <w:rsid w:val="004400D5"/>
    <w:rsid w:val="0044039F"/>
    <w:rsid w:val="0044048A"/>
    <w:rsid w:val="0044065C"/>
    <w:rsid w:val="0044068F"/>
    <w:rsid w:val="00440869"/>
    <w:rsid w:val="004408B5"/>
    <w:rsid w:val="00440A24"/>
    <w:rsid w:val="00440A56"/>
    <w:rsid w:val="00440B33"/>
    <w:rsid w:val="00440B4D"/>
    <w:rsid w:val="00440C98"/>
    <w:rsid w:val="00440C9F"/>
    <w:rsid w:val="00440D5D"/>
    <w:rsid w:val="00440DFF"/>
    <w:rsid w:val="00440E44"/>
    <w:rsid w:val="00440FA3"/>
    <w:rsid w:val="00441141"/>
    <w:rsid w:val="00441277"/>
    <w:rsid w:val="004412B4"/>
    <w:rsid w:val="004412D7"/>
    <w:rsid w:val="00441373"/>
    <w:rsid w:val="004414A9"/>
    <w:rsid w:val="004415B9"/>
    <w:rsid w:val="004418E9"/>
    <w:rsid w:val="00441A0D"/>
    <w:rsid w:val="00441A72"/>
    <w:rsid w:val="00441B06"/>
    <w:rsid w:val="00441CED"/>
    <w:rsid w:val="00441D79"/>
    <w:rsid w:val="00441E07"/>
    <w:rsid w:val="00441E4A"/>
    <w:rsid w:val="00441F43"/>
    <w:rsid w:val="00442021"/>
    <w:rsid w:val="00442456"/>
    <w:rsid w:val="00442532"/>
    <w:rsid w:val="00442892"/>
    <w:rsid w:val="00442A69"/>
    <w:rsid w:val="00442C43"/>
    <w:rsid w:val="00442D40"/>
    <w:rsid w:val="00442D75"/>
    <w:rsid w:val="00442DA7"/>
    <w:rsid w:val="00442DE6"/>
    <w:rsid w:val="00442F7B"/>
    <w:rsid w:val="00442FAC"/>
    <w:rsid w:val="00443084"/>
    <w:rsid w:val="00443090"/>
    <w:rsid w:val="00443146"/>
    <w:rsid w:val="0044314E"/>
    <w:rsid w:val="00443242"/>
    <w:rsid w:val="00443281"/>
    <w:rsid w:val="00443452"/>
    <w:rsid w:val="00443471"/>
    <w:rsid w:val="00443580"/>
    <w:rsid w:val="004435C4"/>
    <w:rsid w:val="004437A8"/>
    <w:rsid w:val="004437E6"/>
    <w:rsid w:val="00443B43"/>
    <w:rsid w:val="00443B63"/>
    <w:rsid w:val="00443BAD"/>
    <w:rsid w:val="00443C30"/>
    <w:rsid w:val="00443ECC"/>
    <w:rsid w:val="004441CE"/>
    <w:rsid w:val="004441D9"/>
    <w:rsid w:val="0044467B"/>
    <w:rsid w:val="00444720"/>
    <w:rsid w:val="00444815"/>
    <w:rsid w:val="004448FD"/>
    <w:rsid w:val="00444AC9"/>
    <w:rsid w:val="00444AEB"/>
    <w:rsid w:val="00444C26"/>
    <w:rsid w:val="00444CA4"/>
    <w:rsid w:val="00444CD0"/>
    <w:rsid w:val="00444F7E"/>
    <w:rsid w:val="00445014"/>
    <w:rsid w:val="004451C0"/>
    <w:rsid w:val="0044525F"/>
    <w:rsid w:val="004455E6"/>
    <w:rsid w:val="00445989"/>
    <w:rsid w:val="00445ADB"/>
    <w:rsid w:val="00445BFD"/>
    <w:rsid w:val="00445D3B"/>
    <w:rsid w:val="0044625E"/>
    <w:rsid w:val="004464BF"/>
    <w:rsid w:val="0044657C"/>
    <w:rsid w:val="004466E4"/>
    <w:rsid w:val="0044691E"/>
    <w:rsid w:val="00446B94"/>
    <w:rsid w:val="00446CE7"/>
    <w:rsid w:val="00446E91"/>
    <w:rsid w:val="00446EC5"/>
    <w:rsid w:val="00446F71"/>
    <w:rsid w:val="0044719F"/>
    <w:rsid w:val="00447231"/>
    <w:rsid w:val="004473F5"/>
    <w:rsid w:val="00447610"/>
    <w:rsid w:val="0044770B"/>
    <w:rsid w:val="00447763"/>
    <w:rsid w:val="004479CB"/>
    <w:rsid w:val="00447B44"/>
    <w:rsid w:val="00447CB3"/>
    <w:rsid w:val="00447DFC"/>
    <w:rsid w:val="00447EA7"/>
    <w:rsid w:val="00447FFD"/>
    <w:rsid w:val="00450159"/>
    <w:rsid w:val="0045037D"/>
    <w:rsid w:val="0045049A"/>
    <w:rsid w:val="0045051F"/>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0BE"/>
    <w:rsid w:val="0045225A"/>
    <w:rsid w:val="00452271"/>
    <w:rsid w:val="00452323"/>
    <w:rsid w:val="004523BB"/>
    <w:rsid w:val="0045255E"/>
    <w:rsid w:val="0045262F"/>
    <w:rsid w:val="004526A0"/>
    <w:rsid w:val="00452987"/>
    <w:rsid w:val="00452C83"/>
    <w:rsid w:val="00452E6D"/>
    <w:rsid w:val="00453109"/>
    <w:rsid w:val="004532D7"/>
    <w:rsid w:val="004533F0"/>
    <w:rsid w:val="0045364D"/>
    <w:rsid w:val="0045399E"/>
    <w:rsid w:val="00453DB4"/>
    <w:rsid w:val="00453F3A"/>
    <w:rsid w:val="00453F62"/>
    <w:rsid w:val="00453F75"/>
    <w:rsid w:val="00453FE5"/>
    <w:rsid w:val="00454149"/>
    <w:rsid w:val="0045415F"/>
    <w:rsid w:val="00454C30"/>
    <w:rsid w:val="00454CE7"/>
    <w:rsid w:val="00454D86"/>
    <w:rsid w:val="00455009"/>
    <w:rsid w:val="0045515D"/>
    <w:rsid w:val="00455243"/>
    <w:rsid w:val="00455337"/>
    <w:rsid w:val="004555A2"/>
    <w:rsid w:val="0045586B"/>
    <w:rsid w:val="00455A14"/>
    <w:rsid w:val="00455D75"/>
    <w:rsid w:val="00455E86"/>
    <w:rsid w:val="00455F04"/>
    <w:rsid w:val="00455F5F"/>
    <w:rsid w:val="00455F6A"/>
    <w:rsid w:val="00456101"/>
    <w:rsid w:val="004562B3"/>
    <w:rsid w:val="00456342"/>
    <w:rsid w:val="00456364"/>
    <w:rsid w:val="004563E3"/>
    <w:rsid w:val="004565DC"/>
    <w:rsid w:val="0045669E"/>
    <w:rsid w:val="004566D1"/>
    <w:rsid w:val="00456948"/>
    <w:rsid w:val="004569D1"/>
    <w:rsid w:val="004569DA"/>
    <w:rsid w:val="00456A73"/>
    <w:rsid w:val="00456B9B"/>
    <w:rsid w:val="00456E33"/>
    <w:rsid w:val="00456EFD"/>
    <w:rsid w:val="0045712A"/>
    <w:rsid w:val="004574F7"/>
    <w:rsid w:val="00457580"/>
    <w:rsid w:val="004575E6"/>
    <w:rsid w:val="00457857"/>
    <w:rsid w:val="00457A26"/>
    <w:rsid w:val="00457BF2"/>
    <w:rsid w:val="00457F3F"/>
    <w:rsid w:val="004601BD"/>
    <w:rsid w:val="00460383"/>
    <w:rsid w:val="0046057E"/>
    <w:rsid w:val="00460BB8"/>
    <w:rsid w:val="00460BEF"/>
    <w:rsid w:val="00460C27"/>
    <w:rsid w:val="00460D2C"/>
    <w:rsid w:val="00460EF5"/>
    <w:rsid w:val="00460F4E"/>
    <w:rsid w:val="00460FAB"/>
    <w:rsid w:val="00460FDB"/>
    <w:rsid w:val="0046108A"/>
    <w:rsid w:val="004610D5"/>
    <w:rsid w:val="004611C4"/>
    <w:rsid w:val="00461412"/>
    <w:rsid w:val="004614D7"/>
    <w:rsid w:val="00461880"/>
    <w:rsid w:val="0046194F"/>
    <w:rsid w:val="004619F5"/>
    <w:rsid w:val="00461A82"/>
    <w:rsid w:val="00461B44"/>
    <w:rsid w:val="00461C3C"/>
    <w:rsid w:val="00461D61"/>
    <w:rsid w:val="00461E64"/>
    <w:rsid w:val="00461F25"/>
    <w:rsid w:val="00462381"/>
    <w:rsid w:val="00462568"/>
    <w:rsid w:val="00462586"/>
    <w:rsid w:val="00462895"/>
    <w:rsid w:val="004628A7"/>
    <w:rsid w:val="00462971"/>
    <w:rsid w:val="00462AF6"/>
    <w:rsid w:val="00462B9C"/>
    <w:rsid w:val="00462BA3"/>
    <w:rsid w:val="00462E0A"/>
    <w:rsid w:val="00462E4E"/>
    <w:rsid w:val="00462E57"/>
    <w:rsid w:val="0046305F"/>
    <w:rsid w:val="004634B9"/>
    <w:rsid w:val="004634D7"/>
    <w:rsid w:val="00463565"/>
    <w:rsid w:val="0046366E"/>
    <w:rsid w:val="0046371F"/>
    <w:rsid w:val="00463779"/>
    <w:rsid w:val="00463891"/>
    <w:rsid w:val="00463A94"/>
    <w:rsid w:val="00463C58"/>
    <w:rsid w:val="00463D8B"/>
    <w:rsid w:val="0046403C"/>
    <w:rsid w:val="0046419E"/>
    <w:rsid w:val="004644CC"/>
    <w:rsid w:val="00464582"/>
    <w:rsid w:val="004646C5"/>
    <w:rsid w:val="004646C7"/>
    <w:rsid w:val="0046476B"/>
    <w:rsid w:val="00464843"/>
    <w:rsid w:val="00464961"/>
    <w:rsid w:val="00464B8D"/>
    <w:rsid w:val="00464E1D"/>
    <w:rsid w:val="00464E34"/>
    <w:rsid w:val="00465052"/>
    <w:rsid w:val="00465058"/>
    <w:rsid w:val="004652C7"/>
    <w:rsid w:val="0046545B"/>
    <w:rsid w:val="0046546A"/>
    <w:rsid w:val="00465489"/>
    <w:rsid w:val="0046550A"/>
    <w:rsid w:val="0046569A"/>
    <w:rsid w:val="004656E7"/>
    <w:rsid w:val="00465839"/>
    <w:rsid w:val="00465A11"/>
    <w:rsid w:val="00465A30"/>
    <w:rsid w:val="00465A68"/>
    <w:rsid w:val="00465A75"/>
    <w:rsid w:val="00465EFF"/>
    <w:rsid w:val="004661BA"/>
    <w:rsid w:val="004662D9"/>
    <w:rsid w:val="0046680E"/>
    <w:rsid w:val="00466820"/>
    <w:rsid w:val="00466855"/>
    <w:rsid w:val="004668B1"/>
    <w:rsid w:val="00466DF9"/>
    <w:rsid w:val="00466E96"/>
    <w:rsid w:val="00466F27"/>
    <w:rsid w:val="004670DA"/>
    <w:rsid w:val="00467202"/>
    <w:rsid w:val="004675A6"/>
    <w:rsid w:val="004675C1"/>
    <w:rsid w:val="0046789A"/>
    <w:rsid w:val="00467A57"/>
    <w:rsid w:val="00467B18"/>
    <w:rsid w:val="00467C0E"/>
    <w:rsid w:val="00467D15"/>
    <w:rsid w:val="00467DEA"/>
    <w:rsid w:val="00467E4E"/>
    <w:rsid w:val="00467F0D"/>
    <w:rsid w:val="00467F29"/>
    <w:rsid w:val="00470002"/>
    <w:rsid w:val="0047018C"/>
    <w:rsid w:val="0047019F"/>
    <w:rsid w:val="0047020F"/>
    <w:rsid w:val="004704E0"/>
    <w:rsid w:val="004708E1"/>
    <w:rsid w:val="00470924"/>
    <w:rsid w:val="0047097F"/>
    <w:rsid w:val="00470A02"/>
    <w:rsid w:val="00470BA1"/>
    <w:rsid w:val="00470D64"/>
    <w:rsid w:val="00470D94"/>
    <w:rsid w:val="00470F04"/>
    <w:rsid w:val="0047102A"/>
    <w:rsid w:val="0047103C"/>
    <w:rsid w:val="00471100"/>
    <w:rsid w:val="004711AD"/>
    <w:rsid w:val="00471454"/>
    <w:rsid w:val="00471568"/>
    <w:rsid w:val="004715E9"/>
    <w:rsid w:val="004716E2"/>
    <w:rsid w:val="00471728"/>
    <w:rsid w:val="00471954"/>
    <w:rsid w:val="00471A99"/>
    <w:rsid w:val="00471ACA"/>
    <w:rsid w:val="00471C02"/>
    <w:rsid w:val="00471C14"/>
    <w:rsid w:val="00471D1C"/>
    <w:rsid w:val="00471DA8"/>
    <w:rsid w:val="00471E6F"/>
    <w:rsid w:val="004720BD"/>
    <w:rsid w:val="00472270"/>
    <w:rsid w:val="00472277"/>
    <w:rsid w:val="00472292"/>
    <w:rsid w:val="004724A5"/>
    <w:rsid w:val="00472606"/>
    <w:rsid w:val="0047273F"/>
    <w:rsid w:val="00472776"/>
    <w:rsid w:val="00472ADC"/>
    <w:rsid w:val="00472F10"/>
    <w:rsid w:val="00472F13"/>
    <w:rsid w:val="00472F7B"/>
    <w:rsid w:val="00472FCB"/>
    <w:rsid w:val="004732E0"/>
    <w:rsid w:val="00473364"/>
    <w:rsid w:val="004734CD"/>
    <w:rsid w:val="00473813"/>
    <w:rsid w:val="00473829"/>
    <w:rsid w:val="0047395A"/>
    <w:rsid w:val="00473B30"/>
    <w:rsid w:val="00473BA2"/>
    <w:rsid w:val="00473BBD"/>
    <w:rsid w:val="00473C74"/>
    <w:rsid w:val="00473CF1"/>
    <w:rsid w:val="00473EC1"/>
    <w:rsid w:val="00473FCE"/>
    <w:rsid w:val="00474304"/>
    <w:rsid w:val="00474574"/>
    <w:rsid w:val="00474636"/>
    <w:rsid w:val="004748E9"/>
    <w:rsid w:val="00474948"/>
    <w:rsid w:val="00474B9F"/>
    <w:rsid w:val="00474C58"/>
    <w:rsid w:val="00474F8B"/>
    <w:rsid w:val="00475306"/>
    <w:rsid w:val="00475373"/>
    <w:rsid w:val="00475418"/>
    <w:rsid w:val="00475630"/>
    <w:rsid w:val="004757B7"/>
    <w:rsid w:val="0047589C"/>
    <w:rsid w:val="004758B6"/>
    <w:rsid w:val="00475940"/>
    <w:rsid w:val="0047597D"/>
    <w:rsid w:val="00475C15"/>
    <w:rsid w:val="00475F95"/>
    <w:rsid w:val="0047608B"/>
    <w:rsid w:val="00476098"/>
    <w:rsid w:val="00476196"/>
    <w:rsid w:val="004761EF"/>
    <w:rsid w:val="004762FC"/>
    <w:rsid w:val="00476301"/>
    <w:rsid w:val="004764B7"/>
    <w:rsid w:val="004764F5"/>
    <w:rsid w:val="004765A3"/>
    <w:rsid w:val="004766D1"/>
    <w:rsid w:val="0047676E"/>
    <w:rsid w:val="00476830"/>
    <w:rsid w:val="0047698A"/>
    <w:rsid w:val="00476A9E"/>
    <w:rsid w:val="00476ADB"/>
    <w:rsid w:val="00476BB9"/>
    <w:rsid w:val="00476D4D"/>
    <w:rsid w:val="00476F3F"/>
    <w:rsid w:val="00476FBA"/>
    <w:rsid w:val="004771B0"/>
    <w:rsid w:val="004772BA"/>
    <w:rsid w:val="00477327"/>
    <w:rsid w:val="00477427"/>
    <w:rsid w:val="004775C4"/>
    <w:rsid w:val="004776C9"/>
    <w:rsid w:val="004776E8"/>
    <w:rsid w:val="00477818"/>
    <w:rsid w:val="00477831"/>
    <w:rsid w:val="00477898"/>
    <w:rsid w:val="004778BE"/>
    <w:rsid w:val="00477AF0"/>
    <w:rsid w:val="00477C5B"/>
    <w:rsid w:val="00477D81"/>
    <w:rsid w:val="00477D8C"/>
    <w:rsid w:val="00477DB0"/>
    <w:rsid w:val="004800CE"/>
    <w:rsid w:val="004803B7"/>
    <w:rsid w:val="0048055D"/>
    <w:rsid w:val="0048059B"/>
    <w:rsid w:val="00480ABA"/>
    <w:rsid w:val="00480D64"/>
    <w:rsid w:val="00480F68"/>
    <w:rsid w:val="00480FAB"/>
    <w:rsid w:val="004811F3"/>
    <w:rsid w:val="00481218"/>
    <w:rsid w:val="00481378"/>
    <w:rsid w:val="004813F4"/>
    <w:rsid w:val="004815A2"/>
    <w:rsid w:val="004815B7"/>
    <w:rsid w:val="00481638"/>
    <w:rsid w:val="0048190B"/>
    <w:rsid w:val="00481A42"/>
    <w:rsid w:val="00481B1D"/>
    <w:rsid w:val="00481B63"/>
    <w:rsid w:val="00481C9D"/>
    <w:rsid w:val="00481D0A"/>
    <w:rsid w:val="00481E80"/>
    <w:rsid w:val="00481E9C"/>
    <w:rsid w:val="00482041"/>
    <w:rsid w:val="0048206C"/>
    <w:rsid w:val="00482181"/>
    <w:rsid w:val="004821AA"/>
    <w:rsid w:val="004821CA"/>
    <w:rsid w:val="00482454"/>
    <w:rsid w:val="004825C7"/>
    <w:rsid w:val="004827E0"/>
    <w:rsid w:val="004828E7"/>
    <w:rsid w:val="00482A58"/>
    <w:rsid w:val="00482B1C"/>
    <w:rsid w:val="00482C2D"/>
    <w:rsid w:val="00482C83"/>
    <w:rsid w:val="00482D00"/>
    <w:rsid w:val="00482EFF"/>
    <w:rsid w:val="0048323C"/>
    <w:rsid w:val="00483264"/>
    <w:rsid w:val="00483324"/>
    <w:rsid w:val="00483381"/>
    <w:rsid w:val="0048339B"/>
    <w:rsid w:val="0048347E"/>
    <w:rsid w:val="0048348D"/>
    <w:rsid w:val="004836FE"/>
    <w:rsid w:val="00483822"/>
    <w:rsid w:val="00483A69"/>
    <w:rsid w:val="00483D71"/>
    <w:rsid w:val="00483E1D"/>
    <w:rsid w:val="00483F39"/>
    <w:rsid w:val="004840CE"/>
    <w:rsid w:val="00484187"/>
    <w:rsid w:val="004841DE"/>
    <w:rsid w:val="00484357"/>
    <w:rsid w:val="0048439E"/>
    <w:rsid w:val="0048445F"/>
    <w:rsid w:val="00484491"/>
    <w:rsid w:val="004844FC"/>
    <w:rsid w:val="00484537"/>
    <w:rsid w:val="00484539"/>
    <w:rsid w:val="00484742"/>
    <w:rsid w:val="004847B0"/>
    <w:rsid w:val="00484832"/>
    <w:rsid w:val="00484877"/>
    <w:rsid w:val="00484A3D"/>
    <w:rsid w:val="00484AC6"/>
    <w:rsid w:val="00484B75"/>
    <w:rsid w:val="00484CAB"/>
    <w:rsid w:val="00484D34"/>
    <w:rsid w:val="00484F0E"/>
    <w:rsid w:val="0048511E"/>
    <w:rsid w:val="004852DC"/>
    <w:rsid w:val="00485334"/>
    <w:rsid w:val="00485703"/>
    <w:rsid w:val="004857BC"/>
    <w:rsid w:val="00485882"/>
    <w:rsid w:val="00485A38"/>
    <w:rsid w:val="00485ACA"/>
    <w:rsid w:val="00485C51"/>
    <w:rsid w:val="00485EE3"/>
    <w:rsid w:val="00485F32"/>
    <w:rsid w:val="00486058"/>
    <w:rsid w:val="004860AC"/>
    <w:rsid w:val="0048614C"/>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478"/>
    <w:rsid w:val="0048759A"/>
    <w:rsid w:val="00487724"/>
    <w:rsid w:val="00487726"/>
    <w:rsid w:val="00487729"/>
    <w:rsid w:val="00487A6F"/>
    <w:rsid w:val="00487CC4"/>
    <w:rsid w:val="00487EA0"/>
    <w:rsid w:val="00487EB6"/>
    <w:rsid w:val="0049007B"/>
    <w:rsid w:val="004904EC"/>
    <w:rsid w:val="00490530"/>
    <w:rsid w:val="00490624"/>
    <w:rsid w:val="004909E7"/>
    <w:rsid w:val="00490C58"/>
    <w:rsid w:val="00490C64"/>
    <w:rsid w:val="00490F56"/>
    <w:rsid w:val="0049115D"/>
    <w:rsid w:val="00491195"/>
    <w:rsid w:val="0049122F"/>
    <w:rsid w:val="0049127E"/>
    <w:rsid w:val="004914F2"/>
    <w:rsid w:val="00491630"/>
    <w:rsid w:val="00491670"/>
    <w:rsid w:val="004916F5"/>
    <w:rsid w:val="00491A4F"/>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BAE"/>
    <w:rsid w:val="00492C19"/>
    <w:rsid w:val="00492C69"/>
    <w:rsid w:val="00492D0D"/>
    <w:rsid w:val="00492DD1"/>
    <w:rsid w:val="00492EAB"/>
    <w:rsid w:val="00492F98"/>
    <w:rsid w:val="004930C7"/>
    <w:rsid w:val="0049311E"/>
    <w:rsid w:val="00493133"/>
    <w:rsid w:val="00493187"/>
    <w:rsid w:val="0049333B"/>
    <w:rsid w:val="004934FD"/>
    <w:rsid w:val="0049369F"/>
    <w:rsid w:val="00493939"/>
    <w:rsid w:val="00493ABC"/>
    <w:rsid w:val="00493D1B"/>
    <w:rsid w:val="00493ED8"/>
    <w:rsid w:val="00493FA1"/>
    <w:rsid w:val="00493FCC"/>
    <w:rsid w:val="0049406D"/>
    <w:rsid w:val="00494217"/>
    <w:rsid w:val="00494478"/>
    <w:rsid w:val="004944A6"/>
    <w:rsid w:val="004947B1"/>
    <w:rsid w:val="00494922"/>
    <w:rsid w:val="00494BE0"/>
    <w:rsid w:val="00494CCB"/>
    <w:rsid w:val="00495300"/>
    <w:rsid w:val="00495418"/>
    <w:rsid w:val="00495594"/>
    <w:rsid w:val="004957AF"/>
    <w:rsid w:val="004959BA"/>
    <w:rsid w:val="00495A2D"/>
    <w:rsid w:val="00495AB4"/>
    <w:rsid w:val="00495AD3"/>
    <w:rsid w:val="00495AE3"/>
    <w:rsid w:val="00495C5B"/>
    <w:rsid w:val="00495D3F"/>
    <w:rsid w:val="00495EE6"/>
    <w:rsid w:val="0049613D"/>
    <w:rsid w:val="0049617B"/>
    <w:rsid w:val="004961C1"/>
    <w:rsid w:val="004961DC"/>
    <w:rsid w:val="00496290"/>
    <w:rsid w:val="004963F1"/>
    <w:rsid w:val="0049652B"/>
    <w:rsid w:val="00496549"/>
    <w:rsid w:val="0049655F"/>
    <w:rsid w:val="00496B87"/>
    <w:rsid w:val="00496C61"/>
    <w:rsid w:val="00496CC3"/>
    <w:rsid w:val="00497033"/>
    <w:rsid w:val="00497087"/>
    <w:rsid w:val="00497097"/>
    <w:rsid w:val="004971D7"/>
    <w:rsid w:val="00497382"/>
    <w:rsid w:val="004973EE"/>
    <w:rsid w:val="00497441"/>
    <w:rsid w:val="004974BB"/>
    <w:rsid w:val="00497556"/>
    <w:rsid w:val="00497764"/>
    <w:rsid w:val="00497961"/>
    <w:rsid w:val="00497979"/>
    <w:rsid w:val="004979FA"/>
    <w:rsid w:val="00497ABB"/>
    <w:rsid w:val="00497DF5"/>
    <w:rsid w:val="00497E4D"/>
    <w:rsid w:val="00497EF4"/>
    <w:rsid w:val="00497F4B"/>
    <w:rsid w:val="00497F78"/>
    <w:rsid w:val="004A004D"/>
    <w:rsid w:val="004A0164"/>
    <w:rsid w:val="004A0348"/>
    <w:rsid w:val="004A061A"/>
    <w:rsid w:val="004A0722"/>
    <w:rsid w:val="004A0725"/>
    <w:rsid w:val="004A07B6"/>
    <w:rsid w:val="004A0927"/>
    <w:rsid w:val="004A095C"/>
    <w:rsid w:val="004A0C23"/>
    <w:rsid w:val="004A0F8E"/>
    <w:rsid w:val="004A0F92"/>
    <w:rsid w:val="004A110D"/>
    <w:rsid w:val="004A119D"/>
    <w:rsid w:val="004A11C8"/>
    <w:rsid w:val="004A1242"/>
    <w:rsid w:val="004A12A4"/>
    <w:rsid w:val="004A1486"/>
    <w:rsid w:val="004A14CC"/>
    <w:rsid w:val="004A153B"/>
    <w:rsid w:val="004A16D0"/>
    <w:rsid w:val="004A1867"/>
    <w:rsid w:val="004A1972"/>
    <w:rsid w:val="004A1C24"/>
    <w:rsid w:val="004A222A"/>
    <w:rsid w:val="004A2253"/>
    <w:rsid w:val="004A22A8"/>
    <w:rsid w:val="004A239B"/>
    <w:rsid w:val="004A251B"/>
    <w:rsid w:val="004A276D"/>
    <w:rsid w:val="004A2790"/>
    <w:rsid w:val="004A288E"/>
    <w:rsid w:val="004A2CE0"/>
    <w:rsid w:val="004A2E32"/>
    <w:rsid w:val="004A2EF0"/>
    <w:rsid w:val="004A311C"/>
    <w:rsid w:val="004A3210"/>
    <w:rsid w:val="004A3287"/>
    <w:rsid w:val="004A328D"/>
    <w:rsid w:val="004A3552"/>
    <w:rsid w:val="004A37A5"/>
    <w:rsid w:val="004A38E4"/>
    <w:rsid w:val="004A3A57"/>
    <w:rsid w:val="004A3C7E"/>
    <w:rsid w:val="004A40EC"/>
    <w:rsid w:val="004A425F"/>
    <w:rsid w:val="004A445D"/>
    <w:rsid w:val="004A45CC"/>
    <w:rsid w:val="004A46B3"/>
    <w:rsid w:val="004A4731"/>
    <w:rsid w:val="004A473A"/>
    <w:rsid w:val="004A48AD"/>
    <w:rsid w:val="004A492E"/>
    <w:rsid w:val="004A4DD4"/>
    <w:rsid w:val="004A4F25"/>
    <w:rsid w:val="004A4F38"/>
    <w:rsid w:val="004A4FDA"/>
    <w:rsid w:val="004A5202"/>
    <w:rsid w:val="004A5415"/>
    <w:rsid w:val="004A541C"/>
    <w:rsid w:val="004A5485"/>
    <w:rsid w:val="004A561D"/>
    <w:rsid w:val="004A56A5"/>
    <w:rsid w:val="004A56F9"/>
    <w:rsid w:val="004A57C9"/>
    <w:rsid w:val="004A5E48"/>
    <w:rsid w:val="004A5EF8"/>
    <w:rsid w:val="004A6124"/>
    <w:rsid w:val="004A624E"/>
    <w:rsid w:val="004A633E"/>
    <w:rsid w:val="004A6372"/>
    <w:rsid w:val="004A655F"/>
    <w:rsid w:val="004A67EA"/>
    <w:rsid w:val="004A67F8"/>
    <w:rsid w:val="004A6E2E"/>
    <w:rsid w:val="004A6E88"/>
    <w:rsid w:val="004A6EC7"/>
    <w:rsid w:val="004A7393"/>
    <w:rsid w:val="004A73E7"/>
    <w:rsid w:val="004A7681"/>
    <w:rsid w:val="004A780A"/>
    <w:rsid w:val="004A7C5D"/>
    <w:rsid w:val="004A7C9E"/>
    <w:rsid w:val="004A7CED"/>
    <w:rsid w:val="004A7D85"/>
    <w:rsid w:val="004A7D9E"/>
    <w:rsid w:val="004A7DC2"/>
    <w:rsid w:val="004A7F14"/>
    <w:rsid w:val="004A7F59"/>
    <w:rsid w:val="004B0063"/>
    <w:rsid w:val="004B015A"/>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8A7"/>
    <w:rsid w:val="004B1C8B"/>
    <w:rsid w:val="004B1CB8"/>
    <w:rsid w:val="004B1CCB"/>
    <w:rsid w:val="004B1F21"/>
    <w:rsid w:val="004B2673"/>
    <w:rsid w:val="004B273D"/>
    <w:rsid w:val="004B278A"/>
    <w:rsid w:val="004B2A08"/>
    <w:rsid w:val="004B2BC3"/>
    <w:rsid w:val="004B2D47"/>
    <w:rsid w:val="004B2E03"/>
    <w:rsid w:val="004B2ECA"/>
    <w:rsid w:val="004B3007"/>
    <w:rsid w:val="004B3081"/>
    <w:rsid w:val="004B3166"/>
    <w:rsid w:val="004B3433"/>
    <w:rsid w:val="004B369C"/>
    <w:rsid w:val="004B3705"/>
    <w:rsid w:val="004B3758"/>
    <w:rsid w:val="004B381E"/>
    <w:rsid w:val="004B396E"/>
    <w:rsid w:val="004B3CE5"/>
    <w:rsid w:val="004B4026"/>
    <w:rsid w:val="004B414A"/>
    <w:rsid w:val="004B41DE"/>
    <w:rsid w:val="004B4342"/>
    <w:rsid w:val="004B464C"/>
    <w:rsid w:val="004B47D4"/>
    <w:rsid w:val="004B493A"/>
    <w:rsid w:val="004B4989"/>
    <w:rsid w:val="004B4A15"/>
    <w:rsid w:val="004B4C22"/>
    <w:rsid w:val="004B4F6D"/>
    <w:rsid w:val="004B4FDC"/>
    <w:rsid w:val="004B4FEB"/>
    <w:rsid w:val="004B50CC"/>
    <w:rsid w:val="004B514D"/>
    <w:rsid w:val="004B520B"/>
    <w:rsid w:val="004B5279"/>
    <w:rsid w:val="004B529A"/>
    <w:rsid w:val="004B53A5"/>
    <w:rsid w:val="004B5512"/>
    <w:rsid w:val="004B58C4"/>
    <w:rsid w:val="004B58F4"/>
    <w:rsid w:val="004B5A4E"/>
    <w:rsid w:val="004B5B98"/>
    <w:rsid w:val="004B5CA7"/>
    <w:rsid w:val="004B5CE2"/>
    <w:rsid w:val="004B610C"/>
    <w:rsid w:val="004B6278"/>
    <w:rsid w:val="004B636C"/>
    <w:rsid w:val="004B637D"/>
    <w:rsid w:val="004B64A4"/>
    <w:rsid w:val="004B6593"/>
    <w:rsid w:val="004B6619"/>
    <w:rsid w:val="004B6644"/>
    <w:rsid w:val="004B67FD"/>
    <w:rsid w:val="004B6959"/>
    <w:rsid w:val="004B6A81"/>
    <w:rsid w:val="004B6AC9"/>
    <w:rsid w:val="004B6C6B"/>
    <w:rsid w:val="004B6F66"/>
    <w:rsid w:val="004B71A8"/>
    <w:rsid w:val="004B723F"/>
    <w:rsid w:val="004B73B9"/>
    <w:rsid w:val="004B766E"/>
    <w:rsid w:val="004B76CE"/>
    <w:rsid w:val="004B780A"/>
    <w:rsid w:val="004B78D5"/>
    <w:rsid w:val="004B7902"/>
    <w:rsid w:val="004B7AAB"/>
    <w:rsid w:val="004B7B7A"/>
    <w:rsid w:val="004B7C5E"/>
    <w:rsid w:val="004B7D4B"/>
    <w:rsid w:val="004B7DF2"/>
    <w:rsid w:val="004C014C"/>
    <w:rsid w:val="004C01A1"/>
    <w:rsid w:val="004C01C3"/>
    <w:rsid w:val="004C0274"/>
    <w:rsid w:val="004C02B9"/>
    <w:rsid w:val="004C02E4"/>
    <w:rsid w:val="004C051D"/>
    <w:rsid w:val="004C062D"/>
    <w:rsid w:val="004C07E4"/>
    <w:rsid w:val="004C0937"/>
    <w:rsid w:val="004C0A07"/>
    <w:rsid w:val="004C0A5B"/>
    <w:rsid w:val="004C0BC0"/>
    <w:rsid w:val="004C0C68"/>
    <w:rsid w:val="004C0ECA"/>
    <w:rsid w:val="004C12B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36"/>
    <w:rsid w:val="004C2487"/>
    <w:rsid w:val="004C25CA"/>
    <w:rsid w:val="004C26B3"/>
    <w:rsid w:val="004C26CE"/>
    <w:rsid w:val="004C284E"/>
    <w:rsid w:val="004C2899"/>
    <w:rsid w:val="004C2C00"/>
    <w:rsid w:val="004C2DE0"/>
    <w:rsid w:val="004C2E12"/>
    <w:rsid w:val="004C31A6"/>
    <w:rsid w:val="004C32F8"/>
    <w:rsid w:val="004C3537"/>
    <w:rsid w:val="004C3728"/>
    <w:rsid w:val="004C3950"/>
    <w:rsid w:val="004C3985"/>
    <w:rsid w:val="004C3992"/>
    <w:rsid w:val="004C3AA5"/>
    <w:rsid w:val="004C3C7D"/>
    <w:rsid w:val="004C3D23"/>
    <w:rsid w:val="004C4066"/>
    <w:rsid w:val="004C40A5"/>
    <w:rsid w:val="004C44D0"/>
    <w:rsid w:val="004C469C"/>
    <w:rsid w:val="004C47E8"/>
    <w:rsid w:val="004C4913"/>
    <w:rsid w:val="004C49CD"/>
    <w:rsid w:val="004C4B3A"/>
    <w:rsid w:val="004C4BD5"/>
    <w:rsid w:val="004C4D64"/>
    <w:rsid w:val="004C4F74"/>
    <w:rsid w:val="004C4FD0"/>
    <w:rsid w:val="004C5131"/>
    <w:rsid w:val="004C55BC"/>
    <w:rsid w:val="004C5682"/>
    <w:rsid w:val="004C59D7"/>
    <w:rsid w:val="004C5BC0"/>
    <w:rsid w:val="004C5C45"/>
    <w:rsid w:val="004C60AF"/>
    <w:rsid w:val="004C6132"/>
    <w:rsid w:val="004C6208"/>
    <w:rsid w:val="004C623C"/>
    <w:rsid w:val="004C6481"/>
    <w:rsid w:val="004C65F0"/>
    <w:rsid w:val="004C6AF2"/>
    <w:rsid w:val="004C6B0F"/>
    <w:rsid w:val="004C6C10"/>
    <w:rsid w:val="004C6C4D"/>
    <w:rsid w:val="004C6E2F"/>
    <w:rsid w:val="004C6F94"/>
    <w:rsid w:val="004C70C9"/>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008"/>
    <w:rsid w:val="004D0150"/>
    <w:rsid w:val="004D079D"/>
    <w:rsid w:val="004D07DB"/>
    <w:rsid w:val="004D0965"/>
    <w:rsid w:val="004D0C08"/>
    <w:rsid w:val="004D0C61"/>
    <w:rsid w:val="004D0C8B"/>
    <w:rsid w:val="004D0CC0"/>
    <w:rsid w:val="004D0CEA"/>
    <w:rsid w:val="004D0DA6"/>
    <w:rsid w:val="004D0E36"/>
    <w:rsid w:val="004D0EB8"/>
    <w:rsid w:val="004D0FA1"/>
    <w:rsid w:val="004D0FA5"/>
    <w:rsid w:val="004D12AE"/>
    <w:rsid w:val="004D12BD"/>
    <w:rsid w:val="004D13EE"/>
    <w:rsid w:val="004D14D4"/>
    <w:rsid w:val="004D15C9"/>
    <w:rsid w:val="004D18F2"/>
    <w:rsid w:val="004D1A65"/>
    <w:rsid w:val="004D1B50"/>
    <w:rsid w:val="004D1F26"/>
    <w:rsid w:val="004D210D"/>
    <w:rsid w:val="004D21A4"/>
    <w:rsid w:val="004D25FF"/>
    <w:rsid w:val="004D2874"/>
    <w:rsid w:val="004D28A3"/>
    <w:rsid w:val="004D2B12"/>
    <w:rsid w:val="004D2B3F"/>
    <w:rsid w:val="004D2C48"/>
    <w:rsid w:val="004D2C7C"/>
    <w:rsid w:val="004D2E64"/>
    <w:rsid w:val="004D2F2F"/>
    <w:rsid w:val="004D2FED"/>
    <w:rsid w:val="004D30B5"/>
    <w:rsid w:val="004D31C6"/>
    <w:rsid w:val="004D3476"/>
    <w:rsid w:val="004D3A33"/>
    <w:rsid w:val="004D3A66"/>
    <w:rsid w:val="004D3C52"/>
    <w:rsid w:val="004D3E7E"/>
    <w:rsid w:val="004D3EA2"/>
    <w:rsid w:val="004D3FAC"/>
    <w:rsid w:val="004D3FFA"/>
    <w:rsid w:val="004D4109"/>
    <w:rsid w:val="004D419A"/>
    <w:rsid w:val="004D43A0"/>
    <w:rsid w:val="004D45AF"/>
    <w:rsid w:val="004D4B0E"/>
    <w:rsid w:val="004D4BF5"/>
    <w:rsid w:val="004D4C37"/>
    <w:rsid w:val="004D4E0D"/>
    <w:rsid w:val="004D5047"/>
    <w:rsid w:val="004D51A3"/>
    <w:rsid w:val="004D537D"/>
    <w:rsid w:val="004D53BC"/>
    <w:rsid w:val="004D5714"/>
    <w:rsid w:val="004D57C1"/>
    <w:rsid w:val="004D598E"/>
    <w:rsid w:val="004D5A02"/>
    <w:rsid w:val="004D5B0E"/>
    <w:rsid w:val="004D5C4F"/>
    <w:rsid w:val="004D5E4C"/>
    <w:rsid w:val="004D5EC1"/>
    <w:rsid w:val="004D600D"/>
    <w:rsid w:val="004D617F"/>
    <w:rsid w:val="004D61E6"/>
    <w:rsid w:val="004D6484"/>
    <w:rsid w:val="004D6759"/>
    <w:rsid w:val="004D6776"/>
    <w:rsid w:val="004D6A63"/>
    <w:rsid w:val="004D6CF7"/>
    <w:rsid w:val="004D6D05"/>
    <w:rsid w:val="004D6D59"/>
    <w:rsid w:val="004D6EBF"/>
    <w:rsid w:val="004D71CC"/>
    <w:rsid w:val="004D729D"/>
    <w:rsid w:val="004D73A4"/>
    <w:rsid w:val="004D7423"/>
    <w:rsid w:val="004D7A8D"/>
    <w:rsid w:val="004D7E1D"/>
    <w:rsid w:val="004D7F1A"/>
    <w:rsid w:val="004E002C"/>
    <w:rsid w:val="004E0290"/>
    <w:rsid w:val="004E030E"/>
    <w:rsid w:val="004E0479"/>
    <w:rsid w:val="004E072A"/>
    <w:rsid w:val="004E078B"/>
    <w:rsid w:val="004E08FB"/>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0CB"/>
    <w:rsid w:val="004E2237"/>
    <w:rsid w:val="004E22B6"/>
    <w:rsid w:val="004E2414"/>
    <w:rsid w:val="004E243D"/>
    <w:rsid w:val="004E248A"/>
    <w:rsid w:val="004E2514"/>
    <w:rsid w:val="004E25D9"/>
    <w:rsid w:val="004E28E9"/>
    <w:rsid w:val="004E299C"/>
    <w:rsid w:val="004E29EB"/>
    <w:rsid w:val="004E2B86"/>
    <w:rsid w:val="004E2C78"/>
    <w:rsid w:val="004E2C9E"/>
    <w:rsid w:val="004E2D2A"/>
    <w:rsid w:val="004E30A3"/>
    <w:rsid w:val="004E31F2"/>
    <w:rsid w:val="004E34FF"/>
    <w:rsid w:val="004E35E1"/>
    <w:rsid w:val="004E3679"/>
    <w:rsid w:val="004E3A8B"/>
    <w:rsid w:val="004E3B66"/>
    <w:rsid w:val="004E3CD3"/>
    <w:rsid w:val="004E3DCB"/>
    <w:rsid w:val="004E3EFE"/>
    <w:rsid w:val="004E3F98"/>
    <w:rsid w:val="004E3FAF"/>
    <w:rsid w:val="004E41BD"/>
    <w:rsid w:val="004E4273"/>
    <w:rsid w:val="004E4716"/>
    <w:rsid w:val="004E4739"/>
    <w:rsid w:val="004E4882"/>
    <w:rsid w:val="004E4ECA"/>
    <w:rsid w:val="004E514F"/>
    <w:rsid w:val="004E558F"/>
    <w:rsid w:val="004E5809"/>
    <w:rsid w:val="004E582D"/>
    <w:rsid w:val="004E5903"/>
    <w:rsid w:val="004E5B91"/>
    <w:rsid w:val="004E5C8C"/>
    <w:rsid w:val="004E5D10"/>
    <w:rsid w:val="004E5E01"/>
    <w:rsid w:val="004E5FC7"/>
    <w:rsid w:val="004E5FDD"/>
    <w:rsid w:val="004E5FF0"/>
    <w:rsid w:val="004E635C"/>
    <w:rsid w:val="004E6539"/>
    <w:rsid w:val="004E69B2"/>
    <w:rsid w:val="004E6B3B"/>
    <w:rsid w:val="004E6BBF"/>
    <w:rsid w:val="004E6DB3"/>
    <w:rsid w:val="004E6DE9"/>
    <w:rsid w:val="004E6EA2"/>
    <w:rsid w:val="004E71A2"/>
    <w:rsid w:val="004E7592"/>
    <w:rsid w:val="004E7782"/>
    <w:rsid w:val="004E7B11"/>
    <w:rsid w:val="004E7F08"/>
    <w:rsid w:val="004E7F74"/>
    <w:rsid w:val="004F0050"/>
    <w:rsid w:val="004F03F3"/>
    <w:rsid w:val="004F03FE"/>
    <w:rsid w:val="004F06F2"/>
    <w:rsid w:val="004F0792"/>
    <w:rsid w:val="004F0C1B"/>
    <w:rsid w:val="004F0C1D"/>
    <w:rsid w:val="004F0D7C"/>
    <w:rsid w:val="004F0EB9"/>
    <w:rsid w:val="004F124E"/>
    <w:rsid w:val="004F1532"/>
    <w:rsid w:val="004F16A4"/>
    <w:rsid w:val="004F1878"/>
    <w:rsid w:val="004F19EC"/>
    <w:rsid w:val="004F1BE6"/>
    <w:rsid w:val="004F1D0F"/>
    <w:rsid w:val="004F1D1F"/>
    <w:rsid w:val="004F1D67"/>
    <w:rsid w:val="004F1D7F"/>
    <w:rsid w:val="004F1DD5"/>
    <w:rsid w:val="004F1E67"/>
    <w:rsid w:val="004F1EC8"/>
    <w:rsid w:val="004F208F"/>
    <w:rsid w:val="004F21BC"/>
    <w:rsid w:val="004F223B"/>
    <w:rsid w:val="004F228C"/>
    <w:rsid w:val="004F2301"/>
    <w:rsid w:val="004F233B"/>
    <w:rsid w:val="004F23F5"/>
    <w:rsid w:val="004F23FB"/>
    <w:rsid w:val="004F242E"/>
    <w:rsid w:val="004F2706"/>
    <w:rsid w:val="004F2712"/>
    <w:rsid w:val="004F28E5"/>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DE"/>
    <w:rsid w:val="004F42E6"/>
    <w:rsid w:val="004F4476"/>
    <w:rsid w:val="004F4617"/>
    <w:rsid w:val="004F463C"/>
    <w:rsid w:val="004F46B2"/>
    <w:rsid w:val="004F47D6"/>
    <w:rsid w:val="004F4C39"/>
    <w:rsid w:val="004F4CAD"/>
    <w:rsid w:val="004F4D25"/>
    <w:rsid w:val="004F4DB8"/>
    <w:rsid w:val="004F4F6C"/>
    <w:rsid w:val="004F4FB2"/>
    <w:rsid w:val="004F5070"/>
    <w:rsid w:val="004F5126"/>
    <w:rsid w:val="004F5136"/>
    <w:rsid w:val="004F51DD"/>
    <w:rsid w:val="004F5229"/>
    <w:rsid w:val="004F537F"/>
    <w:rsid w:val="004F53E0"/>
    <w:rsid w:val="004F547D"/>
    <w:rsid w:val="004F552B"/>
    <w:rsid w:val="004F55F9"/>
    <w:rsid w:val="004F5712"/>
    <w:rsid w:val="004F5787"/>
    <w:rsid w:val="004F5B3A"/>
    <w:rsid w:val="004F5B42"/>
    <w:rsid w:val="004F5D23"/>
    <w:rsid w:val="004F5D5A"/>
    <w:rsid w:val="004F5D88"/>
    <w:rsid w:val="004F5EC3"/>
    <w:rsid w:val="004F5F89"/>
    <w:rsid w:val="004F607E"/>
    <w:rsid w:val="004F60F3"/>
    <w:rsid w:val="004F61A4"/>
    <w:rsid w:val="004F6248"/>
    <w:rsid w:val="004F62B5"/>
    <w:rsid w:val="004F6307"/>
    <w:rsid w:val="004F6328"/>
    <w:rsid w:val="004F6505"/>
    <w:rsid w:val="004F69C7"/>
    <w:rsid w:val="004F6A2D"/>
    <w:rsid w:val="004F6C5B"/>
    <w:rsid w:val="004F6C7F"/>
    <w:rsid w:val="004F6D01"/>
    <w:rsid w:val="004F6D26"/>
    <w:rsid w:val="004F6EC8"/>
    <w:rsid w:val="004F6ED1"/>
    <w:rsid w:val="004F75AB"/>
    <w:rsid w:val="004F75D3"/>
    <w:rsid w:val="004F76D5"/>
    <w:rsid w:val="004F77AA"/>
    <w:rsid w:val="004F780A"/>
    <w:rsid w:val="004F7A45"/>
    <w:rsid w:val="004F7B37"/>
    <w:rsid w:val="004F7E33"/>
    <w:rsid w:val="004F7E76"/>
    <w:rsid w:val="004F7EF6"/>
    <w:rsid w:val="004F7FAF"/>
    <w:rsid w:val="005000F0"/>
    <w:rsid w:val="00500169"/>
    <w:rsid w:val="00500544"/>
    <w:rsid w:val="005005F7"/>
    <w:rsid w:val="005006F5"/>
    <w:rsid w:val="00500817"/>
    <w:rsid w:val="00500895"/>
    <w:rsid w:val="00500971"/>
    <w:rsid w:val="00500A94"/>
    <w:rsid w:val="00500B95"/>
    <w:rsid w:val="00500BE5"/>
    <w:rsid w:val="00500C3A"/>
    <w:rsid w:val="00500CF0"/>
    <w:rsid w:val="0050110C"/>
    <w:rsid w:val="005012F7"/>
    <w:rsid w:val="005013B7"/>
    <w:rsid w:val="00501686"/>
    <w:rsid w:val="0050173B"/>
    <w:rsid w:val="00501771"/>
    <w:rsid w:val="005017CA"/>
    <w:rsid w:val="00501870"/>
    <w:rsid w:val="005018D7"/>
    <w:rsid w:val="00501961"/>
    <w:rsid w:val="00501A3B"/>
    <w:rsid w:val="00501A6F"/>
    <w:rsid w:val="00501C2E"/>
    <w:rsid w:val="00501C65"/>
    <w:rsid w:val="00501DDD"/>
    <w:rsid w:val="00501E71"/>
    <w:rsid w:val="00502088"/>
    <w:rsid w:val="005021A9"/>
    <w:rsid w:val="005023DA"/>
    <w:rsid w:val="00502744"/>
    <w:rsid w:val="00502899"/>
    <w:rsid w:val="00502901"/>
    <w:rsid w:val="00502A86"/>
    <w:rsid w:val="00502AFC"/>
    <w:rsid w:val="00502EFE"/>
    <w:rsid w:val="00502F5A"/>
    <w:rsid w:val="00502FB4"/>
    <w:rsid w:val="00503160"/>
    <w:rsid w:val="0050338B"/>
    <w:rsid w:val="005033F7"/>
    <w:rsid w:val="005034EB"/>
    <w:rsid w:val="005035EA"/>
    <w:rsid w:val="0050364A"/>
    <w:rsid w:val="0050372A"/>
    <w:rsid w:val="00503768"/>
    <w:rsid w:val="00503BAA"/>
    <w:rsid w:val="00503C24"/>
    <w:rsid w:val="00503D95"/>
    <w:rsid w:val="00503F70"/>
    <w:rsid w:val="00504102"/>
    <w:rsid w:val="005042A8"/>
    <w:rsid w:val="005047C1"/>
    <w:rsid w:val="00504828"/>
    <w:rsid w:val="005048B1"/>
    <w:rsid w:val="0050494A"/>
    <w:rsid w:val="00504B3B"/>
    <w:rsid w:val="00504C8B"/>
    <w:rsid w:val="00504DBC"/>
    <w:rsid w:val="00504E9C"/>
    <w:rsid w:val="00504EBE"/>
    <w:rsid w:val="00504F9D"/>
    <w:rsid w:val="005055C4"/>
    <w:rsid w:val="00505774"/>
    <w:rsid w:val="00505805"/>
    <w:rsid w:val="0050584D"/>
    <w:rsid w:val="00505CF8"/>
    <w:rsid w:val="00506293"/>
    <w:rsid w:val="00506295"/>
    <w:rsid w:val="0050631A"/>
    <w:rsid w:val="005066B4"/>
    <w:rsid w:val="005066CF"/>
    <w:rsid w:val="0050678E"/>
    <w:rsid w:val="00506908"/>
    <w:rsid w:val="00506B4A"/>
    <w:rsid w:val="00506CF9"/>
    <w:rsid w:val="00506DA7"/>
    <w:rsid w:val="00506DCF"/>
    <w:rsid w:val="0050708C"/>
    <w:rsid w:val="005070C8"/>
    <w:rsid w:val="00507182"/>
    <w:rsid w:val="005071E9"/>
    <w:rsid w:val="00507218"/>
    <w:rsid w:val="005073A1"/>
    <w:rsid w:val="00507784"/>
    <w:rsid w:val="00507795"/>
    <w:rsid w:val="0050794C"/>
    <w:rsid w:val="00507987"/>
    <w:rsid w:val="005079B7"/>
    <w:rsid w:val="00507AA7"/>
    <w:rsid w:val="00507C63"/>
    <w:rsid w:val="00507CDF"/>
    <w:rsid w:val="00507D13"/>
    <w:rsid w:val="00507D2F"/>
    <w:rsid w:val="00507DAA"/>
    <w:rsid w:val="005101F4"/>
    <w:rsid w:val="005103A6"/>
    <w:rsid w:val="00510418"/>
    <w:rsid w:val="00510476"/>
    <w:rsid w:val="0051057F"/>
    <w:rsid w:val="00510591"/>
    <w:rsid w:val="00510744"/>
    <w:rsid w:val="0051098A"/>
    <w:rsid w:val="00510A03"/>
    <w:rsid w:val="00510F5F"/>
    <w:rsid w:val="0051104C"/>
    <w:rsid w:val="00511257"/>
    <w:rsid w:val="0051132E"/>
    <w:rsid w:val="00511389"/>
    <w:rsid w:val="00511431"/>
    <w:rsid w:val="005114E7"/>
    <w:rsid w:val="00511630"/>
    <w:rsid w:val="00511704"/>
    <w:rsid w:val="005117E5"/>
    <w:rsid w:val="00511851"/>
    <w:rsid w:val="00511A81"/>
    <w:rsid w:val="00511BD1"/>
    <w:rsid w:val="00511FA3"/>
    <w:rsid w:val="00512024"/>
    <w:rsid w:val="0051225B"/>
    <w:rsid w:val="00512356"/>
    <w:rsid w:val="0051241C"/>
    <w:rsid w:val="005125AD"/>
    <w:rsid w:val="005125F5"/>
    <w:rsid w:val="005127F6"/>
    <w:rsid w:val="00512829"/>
    <w:rsid w:val="00512D70"/>
    <w:rsid w:val="00512D98"/>
    <w:rsid w:val="00512DEF"/>
    <w:rsid w:val="00512F6B"/>
    <w:rsid w:val="005130EA"/>
    <w:rsid w:val="005135E9"/>
    <w:rsid w:val="00513763"/>
    <w:rsid w:val="00513958"/>
    <w:rsid w:val="00513B28"/>
    <w:rsid w:val="00513BF4"/>
    <w:rsid w:val="00513F34"/>
    <w:rsid w:val="00513F40"/>
    <w:rsid w:val="005142B7"/>
    <w:rsid w:val="005145B8"/>
    <w:rsid w:val="00514679"/>
    <w:rsid w:val="00514AF5"/>
    <w:rsid w:val="00514B33"/>
    <w:rsid w:val="00514CBA"/>
    <w:rsid w:val="00514E0C"/>
    <w:rsid w:val="00514F32"/>
    <w:rsid w:val="00514FCF"/>
    <w:rsid w:val="0051504A"/>
    <w:rsid w:val="00515099"/>
    <w:rsid w:val="0051513A"/>
    <w:rsid w:val="00515199"/>
    <w:rsid w:val="0051543C"/>
    <w:rsid w:val="0051556D"/>
    <w:rsid w:val="005155A5"/>
    <w:rsid w:val="005156D1"/>
    <w:rsid w:val="005156DA"/>
    <w:rsid w:val="005157A6"/>
    <w:rsid w:val="005157EB"/>
    <w:rsid w:val="005157EF"/>
    <w:rsid w:val="00515B0B"/>
    <w:rsid w:val="00515B7F"/>
    <w:rsid w:val="00515C4F"/>
    <w:rsid w:val="00515C7E"/>
    <w:rsid w:val="00515F34"/>
    <w:rsid w:val="00515FAF"/>
    <w:rsid w:val="00516055"/>
    <w:rsid w:val="0051621F"/>
    <w:rsid w:val="00516268"/>
    <w:rsid w:val="005162D3"/>
    <w:rsid w:val="005162D7"/>
    <w:rsid w:val="0051635C"/>
    <w:rsid w:val="00516531"/>
    <w:rsid w:val="005166C2"/>
    <w:rsid w:val="005166CD"/>
    <w:rsid w:val="00516A91"/>
    <w:rsid w:val="00516ACE"/>
    <w:rsid w:val="00516ADA"/>
    <w:rsid w:val="00516AFF"/>
    <w:rsid w:val="00516CD7"/>
    <w:rsid w:val="00516D7A"/>
    <w:rsid w:val="00516DF2"/>
    <w:rsid w:val="00516E98"/>
    <w:rsid w:val="00516EA5"/>
    <w:rsid w:val="00516FF3"/>
    <w:rsid w:val="00517121"/>
    <w:rsid w:val="005172DC"/>
    <w:rsid w:val="0051738B"/>
    <w:rsid w:val="00517583"/>
    <w:rsid w:val="00517635"/>
    <w:rsid w:val="0051763B"/>
    <w:rsid w:val="00517830"/>
    <w:rsid w:val="00517982"/>
    <w:rsid w:val="00517AE4"/>
    <w:rsid w:val="00517B99"/>
    <w:rsid w:val="00517BA9"/>
    <w:rsid w:val="00517CE1"/>
    <w:rsid w:val="00517DA8"/>
    <w:rsid w:val="00520178"/>
    <w:rsid w:val="0052020A"/>
    <w:rsid w:val="00520224"/>
    <w:rsid w:val="0052027D"/>
    <w:rsid w:val="00520336"/>
    <w:rsid w:val="00520396"/>
    <w:rsid w:val="005203DC"/>
    <w:rsid w:val="005206D7"/>
    <w:rsid w:val="00520C8C"/>
    <w:rsid w:val="00521057"/>
    <w:rsid w:val="005210C7"/>
    <w:rsid w:val="005211C7"/>
    <w:rsid w:val="0052125E"/>
    <w:rsid w:val="00521277"/>
    <w:rsid w:val="0052132A"/>
    <w:rsid w:val="00521476"/>
    <w:rsid w:val="005214A2"/>
    <w:rsid w:val="005214E0"/>
    <w:rsid w:val="005216A2"/>
    <w:rsid w:val="005216D8"/>
    <w:rsid w:val="00521AB2"/>
    <w:rsid w:val="00521D85"/>
    <w:rsid w:val="00521E41"/>
    <w:rsid w:val="00521E48"/>
    <w:rsid w:val="00521F5B"/>
    <w:rsid w:val="00522059"/>
    <w:rsid w:val="005221BB"/>
    <w:rsid w:val="00522340"/>
    <w:rsid w:val="005225BE"/>
    <w:rsid w:val="00522654"/>
    <w:rsid w:val="00522AB4"/>
    <w:rsid w:val="00522C20"/>
    <w:rsid w:val="00522F80"/>
    <w:rsid w:val="0052319D"/>
    <w:rsid w:val="005233EB"/>
    <w:rsid w:val="005236E8"/>
    <w:rsid w:val="0052381F"/>
    <w:rsid w:val="00523A26"/>
    <w:rsid w:val="00523CCA"/>
    <w:rsid w:val="005244D2"/>
    <w:rsid w:val="00524517"/>
    <w:rsid w:val="0052461F"/>
    <w:rsid w:val="00524691"/>
    <w:rsid w:val="0052490A"/>
    <w:rsid w:val="00524920"/>
    <w:rsid w:val="00524A5B"/>
    <w:rsid w:val="00524A7E"/>
    <w:rsid w:val="00524AD4"/>
    <w:rsid w:val="00524AFE"/>
    <w:rsid w:val="00524C15"/>
    <w:rsid w:val="00524CBC"/>
    <w:rsid w:val="00524CD6"/>
    <w:rsid w:val="00524E6F"/>
    <w:rsid w:val="00524F29"/>
    <w:rsid w:val="005253CB"/>
    <w:rsid w:val="00525401"/>
    <w:rsid w:val="005255BC"/>
    <w:rsid w:val="00525602"/>
    <w:rsid w:val="005257AB"/>
    <w:rsid w:val="005258D2"/>
    <w:rsid w:val="00525ACF"/>
    <w:rsid w:val="00525B23"/>
    <w:rsid w:val="00525CFE"/>
    <w:rsid w:val="00525D0F"/>
    <w:rsid w:val="0052652D"/>
    <w:rsid w:val="00526870"/>
    <w:rsid w:val="00526A20"/>
    <w:rsid w:val="00526A35"/>
    <w:rsid w:val="00526A46"/>
    <w:rsid w:val="00526A9F"/>
    <w:rsid w:val="00526BB1"/>
    <w:rsid w:val="00526C1C"/>
    <w:rsid w:val="00526C39"/>
    <w:rsid w:val="00526C4D"/>
    <w:rsid w:val="00526C91"/>
    <w:rsid w:val="00526CDB"/>
    <w:rsid w:val="00526D5B"/>
    <w:rsid w:val="00526E83"/>
    <w:rsid w:val="0052726A"/>
    <w:rsid w:val="005273B7"/>
    <w:rsid w:val="00527454"/>
    <w:rsid w:val="005275AB"/>
    <w:rsid w:val="0052771F"/>
    <w:rsid w:val="005277F8"/>
    <w:rsid w:val="00527895"/>
    <w:rsid w:val="00527990"/>
    <w:rsid w:val="00527AC0"/>
    <w:rsid w:val="00527B48"/>
    <w:rsid w:val="00527BD3"/>
    <w:rsid w:val="00527C04"/>
    <w:rsid w:val="00530142"/>
    <w:rsid w:val="005301AA"/>
    <w:rsid w:val="005301DC"/>
    <w:rsid w:val="00530238"/>
    <w:rsid w:val="00530603"/>
    <w:rsid w:val="00530815"/>
    <w:rsid w:val="00530843"/>
    <w:rsid w:val="0053091F"/>
    <w:rsid w:val="005309E2"/>
    <w:rsid w:val="005309F5"/>
    <w:rsid w:val="00530A69"/>
    <w:rsid w:val="00530B73"/>
    <w:rsid w:val="00530BD3"/>
    <w:rsid w:val="00530DB0"/>
    <w:rsid w:val="00530FFC"/>
    <w:rsid w:val="00531159"/>
    <w:rsid w:val="005311AD"/>
    <w:rsid w:val="00531273"/>
    <w:rsid w:val="005313A3"/>
    <w:rsid w:val="005313CB"/>
    <w:rsid w:val="005313DC"/>
    <w:rsid w:val="00531529"/>
    <w:rsid w:val="00531615"/>
    <w:rsid w:val="00531629"/>
    <w:rsid w:val="0053163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4B"/>
    <w:rsid w:val="00532685"/>
    <w:rsid w:val="00532809"/>
    <w:rsid w:val="005328AF"/>
    <w:rsid w:val="005328F8"/>
    <w:rsid w:val="00532965"/>
    <w:rsid w:val="00532AB3"/>
    <w:rsid w:val="00532C3F"/>
    <w:rsid w:val="00532C4A"/>
    <w:rsid w:val="00532CC7"/>
    <w:rsid w:val="00532F20"/>
    <w:rsid w:val="0053307F"/>
    <w:rsid w:val="005333CC"/>
    <w:rsid w:val="005335AB"/>
    <w:rsid w:val="00533A48"/>
    <w:rsid w:val="00533A54"/>
    <w:rsid w:val="00533C81"/>
    <w:rsid w:val="00533E20"/>
    <w:rsid w:val="00533F0A"/>
    <w:rsid w:val="00533F97"/>
    <w:rsid w:val="0053411A"/>
    <w:rsid w:val="0053417A"/>
    <w:rsid w:val="005341CD"/>
    <w:rsid w:val="00534329"/>
    <w:rsid w:val="0053436C"/>
    <w:rsid w:val="005343AD"/>
    <w:rsid w:val="005347FC"/>
    <w:rsid w:val="00534A86"/>
    <w:rsid w:val="00534ADF"/>
    <w:rsid w:val="00534BF3"/>
    <w:rsid w:val="00534E6F"/>
    <w:rsid w:val="00535183"/>
    <w:rsid w:val="005353C7"/>
    <w:rsid w:val="005353DF"/>
    <w:rsid w:val="005354B5"/>
    <w:rsid w:val="005357F8"/>
    <w:rsid w:val="00535831"/>
    <w:rsid w:val="005358BA"/>
    <w:rsid w:val="0053592A"/>
    <w:rsid w:val="005359BE"/>
    <w:rsid w:val="00535C5C"/>
    <w:rsid w:val="00535E7F"/>
    <w:rsid w:val="00535E87"/>
    <w:rsid w:val="00535E8E"/>
    <w:rsid w:val="00535F73"/>
    <w:rsid w:val="00536261"/>
    <w:rsid w:val="00536400"/>
    <w:rsid w:val="005368F9"/>
    <w:rsid w:val="00536927"/>
    <w:rsid w:val="005369D1"/>
    <w:rsid w:val="00536B50"/>
    <w:rsid w:val="00536B70"/>
    <w:rsid w:val="00536C00"/>
    <w:rsid w:val="00536F16"/>
    <w:rsid w:val="00536F4D"/>
    <w:rsid w:val="00537055"/>
    <w:rsid w:val="005370A4"/>
    <w:rsid w:val="005370A9"/>
    <w:rsid w:val="005371D1"/>
    <w:rsid w:val="0053721D"/>
    <w:rsid w:val="00537357"/>
    <w:rsid w:val="0053753C"/>
    <w:rsid w:val="00537674"/>
    <w:rsid w:val="00537992"/>
    <w:rsid w:val="005379EE"/>
    <w:rsid w:val="00537B13"/>
    <w:rsid w:val="00537B7D"/>
    <w:rsid w:val="00537C2A"/>
    <w:rsid w:val="00537DFE"/>
    <w:rsid w:val="00537EB0"/>
    <w:rsid w:val="00537EC7"/>
    <w:rsid w:val="005401CE"/>
    <w:rsid w:val="00540400"/>
    <w:rsid w:val="00540477"/>
    <w:rsid w:val="0054057B"/>
    <w:rsid w:val="0054057D"/>
    <w:rsid w:val="005406DF"/>
    <w:rsid w:val="0054073E"/>
    <w:rsid w:val="00540886"/>
    <w:rsid w:val="00540D96"/>
    <w:rsid w:val="00540EAA"/>
    <w:rsid w:val="00541296"/>
    <w:rsid w:val="005415F2"/>
    <w:rsid w:val="00541719"/>
    <w:rsid w:val="00541766"/>
    <w:rsid w:val="00541906"/>
    <w:rsid w:val="00541A4B"/>
    <w:rsid w:val="00541A9D"/>
    <w:rsid w:val="00541ACC"/>
    <w:rsid w:val="00541B0D"/>
    <w:rsid w:val="00541CB3"/>
    <w:rsid w:val="00541CD2"/>
    <w:rsid w:val="00541D57"/>
    <w:rsid w:val="00541E48"/>
    <w:rsid w:val="00541E8B"/>
    <w:rsid w:val="00541F24"/>
    <w:rsid w:val="00541FA1"/>
    <w:rsid w:val="00541FD8"/>
    <w:rsid w:val="00542047"/>
    <w:rsid w:val="0054216B"/>
    <w:rsid w:val="0054233A"/>
    <w:rsid w:val="00542380"/>
    <w:rsid w:val="005424D8"/>
    <w:rsid w:val="00542502"/>
    <w:rsid w:val="0054256A"/>
    <w:rsid w:val="005428C1"/>
    <w:rsid w:val="005428D0"/>
    <w:rsid w:val="00542C50"/>
    <w:rsid w:val="00542DE8"/>
    <w:rsid w:val="00542EC6"/>
    <w:rsid w:val="00543333"/>
    <w:rsid w:val="00543361"/>
    <w:rsid w:val="0054341F"/>
    <w:rsid w:val="005435B0"/>
    <w:rsid w:val="005435B3"/>
    <w:rsid w:val="0054380D"/>
    <w:rsid w:val="00543855"/>
    <w:rsid w:val="005438AC"/>
    <w:rsid w:val="00543999"/>
    <w:rsid w:val="005439C9"/>
    <w:rsid w:val="00543A48"/>
    <w:rsid w:val="00543ABC"/>
    <w:rsid w:val="00543C4C"/>
    <w:rsid w:val="00543E7D"/>
    <w:rsid w:val="00544020"/>
    <w:rsid w:val="0054406B"/>
    <w:rsid w:val="005440C7"/>
    <w:rsid w:val="005440E3"/>
    <w:rsid w:val="005442DF"/>
    <w:rsid w:val="005444AB"/>
    <w:rsid w:val="00544727"/>
    <w:rsid w:val="00544769"/>
    <w:rsid w:val="005447DC"/>
    <w:rsid w:val="0054480E"/>
    <w:rsid w:val="00544996"/>
    <w:rsid w:val="00544A66"/>
    <w:rsid w:val="00544B01"/>
    <w:rsid w:val="00544CA4"/>
    <w:rsid w:val="00544F8F"/>
    <w:rsid w:val="0054500E"/>
    <w:rsid w:val="005451C8"/>
    <w:rsid w:val="005451DE"/>
    <w:rsid w:val="00545252"/>
    <w:rsid w:val="00545253"/>
    <w:rsid w:val="0054530C"/>
    <w:rsid w:val="0054556A"/>
    <w:rsid w:val="00545675"/>
    <w:rsid w:val="005457AE"/>
    <w:rsid w:val="0054582D"/>
    <w:rsid w:val="00545896"/>
    <w:rsid w:val="005458EA"/>
    <w:rsid w:val="00545979"/>
    <w:rsid w:val="00545C71"/>
    <w:rsid w:val="00545EE7"/>
    <w:rsid w:val="00545F0B"/>
    <w:rsid w:val="005465D7"/>
    <w:rsid w:val="00546679"/>
    <w:rsid w:val="0054679C"/>
    <w:rsid w:val="0054693B"/>
    <w:rsid w:val="00546AF3"/>
    <w:rsid w:val="00546B9E"/>
    <w:rsid w:val="00546D8F"/>
    <w:rsid w:val="00546E04"/>
    <w:rsid w:val="00546EFC"/>
    <w:rsid w:val="00547074"/>
    <w:rsid w:val="00547098"/>
    <w:rsid w:val="00547117"/>
    <w:rsid w:val="00547131"/>
    <w:rsid w:val="005471F1"/>
    <w:rsid w:val="005473CC"/>
    <w:rsid w:val="00547475"/>
    <w:rsid w:val="00547603"/>
    <w:rsid w:val="0054782E"/>
    <w:rsid w:val="00547872"/>
    <w:rsid w:val="0054788D"/>
    <w:rsid w:val="005478F6"/>
    <w:rsid w:val="00547948"/>
    <w:rsid w:val="005479BD"/>
    <w:rsid w:val="00547B29"/>
    <w:rsid w:val="00547CEE"/>
    <w:rsid w:val="00547DBC"/>
    <w:rsid w:val="00547DFF"/>
    <w:rsid w:val="00547F05"/>
    <w:rsid w:val="00547F60"/>
    <w:rsid w:val="00550137"/>
    <w:rsid w:val="005502FA"/>
    <w:rsid w:val="0055045B"/>
    <w:rsid w:val="005507C9"/>
    <w:rsid w:val="005508A8"/>
    <w:rsid w:val="005509A0"/>
    <w:rsid w:val="005509D2"/>
    <w:rsid w:val="005509F4"/>
    <w:rsid w:val="00550BDA"/>
    <w:rsid w:val="00550D81"/>
    <w:rsid w:val="00550F23"/>
    <w:rsid w:val="005510ED"/>
    <w:rsid w:val="005511A1"/>
    <w:rsid w:val="00551310"/>
    <w:rsid w:val="005513B3"/>
    <w:rsid w:val="00551499"/>
    <w:rsid w:val="00551654"/>
    <w:rsid w:val="005516D4"/>
    <w:rsid w:val="005518DE"/>
    <w:rsid w:val="005519DC"/>
    <w:rsid w:val="005519EF"/>
    <w:rsid w:val="00551A60"/>
    <w:rsid w:val="00551B0E"/>
    <w:rsid w:val="00551B68"/>
    <w:rsid w:val="005524D1"/>
    <w:rsid w:val="005525CF"/>
    <w:rsid w:val="0055263C"/>
    <w:rsid w:val="00552804"/>
    <w:rsid w:val="005528F0"/>
    <w:rsid w:val="00552B20"/>
    <w:rsid w:val="00552B49"/>
    <w:rsid w:val="00552BC2"/>
    <w:rsid w:val="00552D44"/>
    <w:rsid w:val="00552E0B"/>
    <w:rsid w:val="00553007"/>
    <w:rsid w:val="00553030"/>
    <w:rsid w:val="0055321F"/>
    <w:rsid w:val="005532DB"/>
    <w:rsid w:val="00553475"/>
    <w:rsid w:val="005536B4"/>
    <w:rsid w:val="0055373F"/>
    <w:rsid w:val="005537B5"/>
    <w:rsid w:val="005538C1"/>
    <w:rsid w:val="005538FF"/>
    <w:rsid w:val="005539FD"/>
    <w:rsid w:val="00553B2B"/>
    <w:rsid w:val="00553BC5"/>
    <w:rsid w:val="00553D2A"/>
    <w:rsid w:val="00553DA4"/>
    <w:rsid w:val="00553DC1"/>
    <w:rsid w:val="00553E2E"/>
    <w:rsid w:val="00553F88"/>
    <w:rsid w:val="00554057"/>
    <w:rsid w:val="0055410A"/>
    <w:rsid w:val="00554207"/>
    <w:rsid w:val="00554488"/>
    <w:rsid w:val="00554559"/>
    <w:rsid w:val="0055458C"/>
    <w:rsid w:val="00554723"/>
    <w:rsid w:val="00554E1E"/>
    <w:rsid w:val="00554FF7"/>
    <w:rsid w:val="00555095"/>
    <w:rsid w:val="005550AF"/>
    <w:rsid w:val="005552F5"/>
    <w:rsid w:val="005552F7"/>
    <w:rsid w:val="005553BF"/>
    <w:rsid w:val="0055546B"/>
    <w:rsid w:val="00555621"/>
    <w:rsid w:val="005557D9"/>
    <w:rsid w:val="00555C25"/>
    <w:rsid w:val="00555E50"/>
    <w:rsid w:val="00555FF2"/>
    <w:rsid w:val="00556015"/>
    <w:rsid w:val="00556039"/>
    <w:rsid w:val="00556350"/>
    <w:rsid w:val="0055639E"/>
    <w:rsid w:val="00556439"/>
    <w:rsid w:val="0055661B"/>
    <w:rsid w:val="0055663D"/>
    <w:rsid w:val="00556AF5"/>
    <w:rsid w:val="00556B63"/>
    <w:rsid w:val="00556BF7"/>
    <w:rsid w:val="00556C1C"/>
    <w:rsid w:val="00556CEF"/>
    <w:rsid w:val="00556D45"/>
    <w:rsid w:val="00556D80"/>
    <w:rsid w:val="00557238"/>
    <w:rsid w:val="00557758"/>
    <w:rsid w:val="00557780"/>
    <w:rsid w:val="005578B0"/>
    <w:rsid w:val="00557CE2"/>
    <w:rsid w:val="00557E1E"/>
    <w:rsid w:val="00557FCB"/>
    <w:rsid w:val="00560086"/>
    <w:rsid w:val="00560369"/>
    <w:rsid w:val="0056047A"/>
    <w:rsid w:val="00560571"/>
    <w:rsid w:val="005605C4"/>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00A"/>
    <w:rsid w:val="0056206F"/>
    <w:rsid w:val="0056216D"/>
    <w:rsid w:val="005622F0"/>
    <w:rsid w:val="00562671"/>
    <w:rsid w:val="00562730"/>
    <w:rsid w:val="005628B4"/>
    <w:rsid w:val="005628D8"/>
    <w:rsid w:val="00562C33"/>
    <w:rsid w:val="00562E62"/>
    <w:rsid w:val="00562F8B"/>
    <w:rsid w:val="00563180"/>
    <w:rsid w:val="0056322F"/>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39"/>
    <w:rsid w:val="0056469A"/>
    <w:rsid w:val="00564DEC"/>
    <w:rsid w:val="00564F68"/>
    <w:rsid w:val="0056507E"/>
    <w:rsid w:val="00565186"/>
    <w:rsid w:val="00565207"/>
    <w:rsid w:val="00565421"/>
    <w:rsid w:val="00565640"/>
    <w:rsid w:val="00565729"/>
    <w:rsid w:val="005659FA"/>
    <w:rsid w:val="00565A18"/>
    <w:rsid w:val="00565F1C"/>
    <w:rsid w:val="0056607A"/>
    <w:rsid w:val="005662D8"/>
    <w:rsid w:val="0056645F"/>
    <w:rsid w:val="005664D5"/>
    <w:rsid w:val="00566728"/>
    <w:rsid w:val="00566829"/>
    <w:rsid w:val="00566878"/>
    <w:rsid w:val="005668DF"/>
    <w:rsid w:val="00566968"/>
    <w:rsid w:val="00566A19"/>
    <w:rsid w:val="00566BC4"/>
    <w:rsid w:val="00566CA6"/>
    <w:rsid w:val="00566D14"/>
    <w:rsid w:val="00566E7E"/>
    <w:rsid w:val="00566EFD"/>
    <w:rsid w:val="00567043"/>
    <w:rsid w:val="005670EA"/>
    <w:rsid w:val="005672CF"/>
    <w:rsid w:val="005672F6"/>
    <w:rsid w:val="00567409"/>
    <w:rsid w:val="005674C1"/>
    <w:rsid w:val="00567722"/>
    <w:rsid w:val="00567819"/>
    <w:rsid w:val="005678BE"/>
    <w:rsid w:val="005678E0"/>
    <w:rsid w:val="0056791D"/>
    <w:rsid w:val="00567A0A"/>
    <w:rsid w:val="00567A57"/>
    <w:rsid w:val="00567B4B"/>
    <w:rsid w:val="00567C69"/>
    <w:rsid w:val="00567DBD"/>
    <w:rsid w:val="00567EC9"/>
    <w:rsid w:val="0057000B"/>
    <w:rsid w:val="005701FA"/>
    <w:rsid w:val="0057051D"/>
    <w:rsid w:val="00570766"/>
    <w:rsid w:val="005707A9"/>
    <w:rsid w:val="005707BC"/>
    <w:rsid w:val="00570816"/>
    <w:rsid w:val="0057087D"/>
    <w:rsid w:val="0057093C"/>
    <w:rsid w:val="005709F7"/>
    <w:rsid w:val="00570ADA"/>
    <w:rsid w:val="00570BAD"/>
    <w:rsid w:val="00570C20"/>
    <w:rsid w:val="00570C3E"/>
    <w:rsid w:val="00570E7E"/>
    <w:rsid w:val="00570FDC"/>
    <w:rsid w:val="00571114"/>
    <w:rsid w:val="00571121"/>
    <w:rsid w:val="005711BB"/>
    <w:rsid w:val="00571296"/>
    <w:rsid w:val="005712F4"/>
    <w:rsid w:val="005714A0"/>
    <w:rsid w:val="00571513"/>
    <w:rsid w:val="0057155E"/>
    <w:rsid w:val="005715AD"/>
    <w:rsid w:val="00571662"/>
    <w:rsid w:val="00571D8C"/>
    <w:rsid w:val="00571F05"/>
    <w:rsid w:val="005720A4"/>
    <w:rsid w:val="0057239B"/>
    <w:rsid w:val="005727EF"/>
    <w:rsid w:val="0057284B"/>
    <w:rsid w:val="005728BA"/>
    <w:rsid w:val="0057296D"/>
    <w:rsid w:val="00572A59"/>
    <w:rsid w:val="00572C86"/>
    <w:rsid w:val="00572D01"/>
    <w:rsid w:val="00572D45"/>
    <w:rsid w:val="00572E34"/>
    <w:rsid w:val="00572ED4"/>
    <w:rsid w:val="00572F13"/>
    <w:rsid w:val="00572F4B"/>
    <w:rsid w:val="00573085"/>
    <w:rsid w:val="00573204"/>
    <w:rsid w:val="00573221"/>
    <w:rsid w:val="0057353F"/>
    <w:rsid w:val="0057363F"/>
    <w:rsid w:val="00573784"/>
    <w:rsid w:val="00573B3E"/>
    <w:rsid w:val="00573BB1"/>
    <w:rsid w:val="00573C12"/>
    <w:rsid w:val="00573D49"/>
    <w:rsid w:val="00573D74"/>
    <w:rsid w:val="00573DF6"/>
    <w:rsid w:val="005744ED"/>
    <w:rsid w:val="0057455F"/>
    <w:rsid w:val="005745AA"/>
    <w:rsid w:val="00574691"/>
    <w:rsid w:val="00574981"/>
    <w:rsid w:val="00574A9F"/>
    <w:rsid w:val="00574AEF"/>
    <w:rsid w:val="00574C0F"/>
    <w:rsid w:val="00574E09"/>
    <w:rsid w:val="00574E6B"/>
    <w:rsid w:val="00574EAF"/>
    <w:rsid w:val="00574F79"/>
    <w:rsid w:val="00574F96"/>
    <w:rsid w:val="0057505D"/>
    <w:rsid w:val="005750A6"/>
    <w:rsid w:val="00575160"/>
    <w:rsid w:val="005753E5"/>
    <w:rsid w:val="005754C2"/>
    <w:rsid w:val="005754F1"/>
    <w:rsid w:val="0057570D"/>
    <w:rsid w:val="005757AE"/>
    <w:rsid w:val="00575876"/>
    <w:rsid w:val="005759CC"/>
    <w:rsid w:val="00575AFC"/>
    <w:rsid w:val="00575B4D"/>
    <w:rsid w:val="00575CED"/>
    <w:rsid w:val="00575E9F"/>
    <w:rsid w:val="005761B8"/>
    <w:rsid w:val="00576526"/>
    <w:rsid w:val="00576564"/>
    <w:rsid w:val="0057668C"/>
    <w:rsid w:val="0057686C"/>
    <w:rsid w:val="005768B7"/>
    <w:rsid w:val="005768DD"/>
    <w:rsid w:val="0057699F"/>
    <w:rsid w:val="00576A74"/>
    <w:rsid w:val="00576E27"/>
    <w:rsid w:val="00576E7F"/>
    <w:rsid w:val="005772F6"/>
    <w:rsid w:val="005773B3"/>
    <w:rsid w:val="005774B7"/>
    <w:rsid w:val="005776CA"/>
    <w:rsid w:val="0057770A"/>
    <w:rsid w:val="00577786"/>
    <w:rsid w:val="005777B4"/>
    <w:rsid w:val="005777BA"/>
    <w:rsid w:val="005779E6"/>
    <w:rsid w:val="00577B42"/>
    <w:rsid w:val="00577C18"/>
    <w:rsid w:val="00577D58"/>
    <w:rsid w:val="00577EDA"/>
    <w:rsid w:val="005802B5"/>
    <w:rsid w:val="005803F8"/>
    <w:rsid w:val="0058044D"/>
    <w:rsid w:val="0058047F"/>
    <w:rsid w:val="005804A9"/>
    <w:rsid w:val="005805FE"/>
    <w:rsid w:val="00580619"/>
    <w:rsid w:val="005806C5"/>
    <w:rsid w:val="00580842"/>
    <w:rsid w:val="005809C5"/>
    <w:rsid w:val="00580B7D"/>
    <w:rsid w:val="00580C0E"/>
    <w:rsid w:val="00580D2C"/>
    <w:rsid w:val="00580ED8"/>
    <w:rsid w:val="005811DB"/>
    <w:rsid w:val="00581590"/>
    <w:rsid w:val="005819B9"/>
    <w:rsid w:val="00581E7C"/>
    <w:rsid w:val="00581FFB"/>
    <w:rsid w:val="005827D2"/>
    <w:rsid w:val="00582AE8"/>
    <w:rsid w:val="00582B19"/>
    <w:rsid w:val="00582C35"/>
    <w:rsid w:val="00582DAD"/>
    <w:rsid w:val="00582DCD"/>
    <w:rsid w:val="00582E37"/>
    <w:rsid w:val="00582EAE"/>
    <w:rsid w:val="00582F51"/>
    <w:rsid w:val="00583039"/>
    <w:rsid w:val="005831E6"/>
    <w:rsid w:val="005831EA"/>
    <w:rsid w:val="005832EE"/>
    <w:rsid w:val="00583610"/>
    <w:rsid w:val="0058375C"/>
    <w:rsid w:val="00583767"/>
    <w:rsid w:val="00583811"/>
    <w:rsid w:val="0058383D"/>
    <w:rsid w:val="005838F1"/>
    <w:rsid w:val="00583A45"/>
    <w:rsid w:val="00583A53"/>
    <w:rsid w:val="00583A75"/>
    <w:rsid w:val="00583B58"/>
    <w:rsid w:val="00583CD5"/>
    <w:rsid w:val="00583DF2"/>
    <w:rsid w:val="00583E65"/>
    <w:rsid w:val="00583F57"/>
    <w:rsid w:val="00583FB0"/>
    <w:rsid w:val="0058404C"/>
    <w:rsid w:val="0058424B"/>
    <w:rsid w:val="005842B1"/>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804"/>
    <w:rsid w:val="00585ABF"/>
    <w:rsid w:val="00585D22"/>
    <w:rsid w:val="00585DD6"/>
    <w:rsid w:val="00585E57"/>
    <w:rsid w:val="00585FA8"/>
    <w:rsid w:val="00585FED"/>
    <w:rsid w:val="00586156"/>
    <w:rsid w:val="00586195"/>
    <w:rsid w:val="005861F3"/>
    <w:rsid w:val="00586239"/>
    <w:rsid w:val="005863B7"/>
    <w:rsid w:val="005864FD"/>
    <w:rsid w:val="00586519"/>
    <w:rsid w:val="00586638"/>
    <w:rsid w:val="00586655"/>
    <w:rsid w:val="00586680"/>
    <w:rsid w:val="00586A3F"/>
    <w:rsid w:val="00586A43"/>
    <w:rsid w:val="00586ABC"/>
    <w:rsid w:val="00586C92"/>
    <w:rsid w:val="00586CC2"/>
    <w:rsid w:val="00586D07"/>
    <w:rsid w:val="00586EAA"/>
    <w:rsid w:val="0058707F"/>
    <w:rsid w:val="00587321"/>
    <w:rsid w:val="00587432"/>
    <w:rsid w:val="00587996"/>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A5E"/>
    <w:rsid w:val="00590B03"/>
    <w:rsid w:val="00590E52"/>
    <w:rsid w:val="005910D5"/>
    <w:rsid w:val="0059120E"/>
    <w:rsid w:val="00591303"/>
    <w:rsid w:val="00591364"/>
    <w:rsid w:val="005913AC"/>
    <w:rsid w:val="00591578"/>
    <w:rsid w:val="0059157D"/>
    <w:rsid w:val="005915E7"/>
    <w:rsid w:val="00591762"/>
    <w:rsid w:val="00591779"/>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2C13"/>
    <w:rsid w:val="00592F4F"/>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87"/>
    <w:rsid w:val="00593BA4"/>
    <w:rsid w:val="00593BF8"/>
    <w:rsid w:val="00593D34"/>
    <w:rsid w:val="00593E05"/>
    <w:rsid w:val="005942B5"/>
    <w:rsid w:val="005943E8"/>
    <w:rsid w:val="00594444"/>
    <w:rsid w:val="00594557"/>
    <w:rsid w:val="00594742"/>
    <w:rsid w:val="005947C5"/>
    <w:rsid w:val="00594808"/>
    <w:rsid w:val="00594837"/>
    <w:rsid w:val="00594867"/>
    <w:rsid w:val="005948D4"/>
    <w:rsid w:val="005948F3"/>
    <w:rsid w:val="00594AD2"/>
    <w:rsid w:val="00594E2C"/>
    <w:rsid w:val="00594E4F"/>
    <w:rsid w:val="00594F61"/>
    <w:rsid w:val="0059500D"/>
    <w:rsid w:val="005952AE"/>
    <w:rsid w:val="005952ED"/>
    <w:rsid w:val="00595311"/>
    <w:rsid w:val="00595498"/>
    <w:rsid w:val="0059556D"/>
    <w:rsid w:val="00595701"/>
    <w:rsid w:val="00595924"/>
    <w:rsid w:val="00595AEF"/>
    <w:rsid w:val="00595B2B"/>
    <w:rsid w:val="00595BA2"/>
    <w:rsid w:val="00595BFF"/>
    <w:rsid w:val="00595E6F"/>
    <w:rsid w:val="00595F59"/>
    <w:rsid w:val="0059602C"/>
    <w:rsid w:val="00596489"/>
    <w:rsid w:val="005964E6"/>
    <w:rsid w:val="005965DA"/>
    <w:rsid w:val="00596666"/>
    <w:rsid w:val="00596959"/>
    <w:rsid w:val="00596A42"/>
    <w:rsid w:val="00596A7A"/>
    <w:rsid w:val="00596D3A"/>
    <w:rsid w:val="00596DD9"/>
    <w:rsid w:val="00596E16"/>
    <w:rsid w:val="00597037"/>
    <w:rsid w:val="00597039"/>
    <w:rsid w:val="00597055"/>
    <w:rsid w:val="00597294"/>
    <w:rsid w:val="0059731E"/>
    <w:rsid w:val="0059770E"/>
    <w:rsid w:val="00597A3B"/>
    <w:rsid w:val="00597A6B"/>
    <w:rsid w:val="00597C0D"/>
    <w:rsid w:val="00597CC6"/>
    <w:rsid w:val="00597D63"/>
    <w:rsid w:val="00597F61"/>
    <w:rsid w:val="00597F72"/>
    <w:rsid w:val="00597F99"/>
    <w:rsid w:val="005A0488"/>
    <w:rsid w:val="005A09F8"/>
    <w:rsid w:val="005A0AD6"/>
    <w:rsid w:val="005A0C85"/>
    <w:rsid w:val="005A0CBA"/>
    <w:rsid w:val="005A0E5C"/>
    <w:rsid w:val="005A12E8"/>
    <w:rsid w:val="005A13EB"/>
    <w:rsid w:val="005A15B3"/>
    <w:rsid w:val="005A15B4"/>
    <w:rsid w:val="005A15EB"/>
    <w:rsid w:val="005A171C"/>
    <w:rsid w:val="005A173F"/>
    <w:rsid w:val="005A18C3"/>
    <w:rsid w:val="005A196B"/>
    <w:rsid w:val="005A1A8B"/>
    <w:rsid w:val="005A1AFC"/>
    <w:rsid w:val="005A1B7C"/>
    <w:rsid w:val="005A1C17"/>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7C"/>
    <w:rsid w:val="005A2AA8"/>
    <w:rsid w:val="005A2B6A"/>
    <w:rsid w:val="005A2BD3"/>
    <w:rsid w:val="005A2C00"/>
    <w:rsid w:val="005A2D31"/>
    <w:rsid w:val="005A2DD8"/>
    <w:rsid w:val="005A31B5"/>
    <w:rsid w:val="005A3263"/>
    <w:rsid w:val="005A32D5"/>
    <w:rsid w:val="005A341C"/>
    <w:rsid w:val="005A3422"/>
    <w:rsid w:val="005A3444"/>
    <w:rsid w:val="005A3562"/>
    <w:rsid w:val="005A35D9"/>
    <w:rsid w:val="005A36AD"/>
    <w:rsid w:val="005A37B6"/>
    <w:rsid w:val="005A3830"/>
    <w:rsid w:val="005A39F0"/>
    <w:rsid w:val="005A3AE5"/>
    <w:rsid w:val="005A3AEE"/>
    <w:rsid w:val="005A3C4C"/>
    <w:rsid w:val="005A3C54"/>
    <w:rsid w:val="005A4395"/>
    <w:rsid w:val="005A43CD"/>
    <w:rsid w:val="005A485C"/>
    <w:rsid w:val="005A4A64"/>
    <w:rsid w:val="005A4A68"/>
    <w:rsid w:val="005A4EE2"/>
    <w:rsid w:val="005A5108"/>
    <w:rsid w:val="005A5110"/>
    <w:rsid w:val="005A5208"/>
    <w:rsid w:val="005A5276"/>
    <w:rsid w:val="005A53B1"/>
    <w:rsid w:val="005A5599"/>
    <w:rsid w:val="005A55F1"/>
    <w:rsid w:val="005A5A2E"/>
    <w:rsid w:val="005A5A33"/>
    <w:rsid w:val="005A5A61"/>
    <w:rsid w:val="005A5AE9"/>
    <w:rsid w:val="005A5C31"/>
    <w:rsid w:val="005A5D46"/>
    <w:rsid w:val="005A5E7F"/>
    <w:rsid w:val="005A62AD"/>
    <w:rsid w:val="005A62CD"/>
    <w:rsid w:val="005A6461"/>
    <w:rsid w:val="005A6581"/>
    <w:rsid w:val="005A66C0"/>
    <w:rsid w:val="005A67DB"/>
    <w:rsid w:val="005A68DE"/>
    <w:rsid w:val="005A6AAD"/>
    <w:rsid w:val="005A6B8F"/>
    <w:rsid w:val="005A6BAE"/>
    <w:rsid w:val="005A6C22"/>
    <w:rsid w:val="005A6C42"/>
    <w:rsid w:val="005A6F04"/>
    <w:rsid w:val="005A7323"/>
    <w:rsid w:val="005A7556"/>
    <w:rsid w:val="005A75B7"/>
    <w:rsid w:val="005A76D1"/>
    <w:rsid w:val="005B0362"/>
    <w:rsid w:val="005B03AF"/>
    <w:rsid w:val="005B03EF"/>
    <w:rsid w:val="005B044C"/>
    <w:rsid w:val="005B0562"/>
    <w:rsid w:val="005B0572"/>
    <w:rsid w:val="005B08B9"/>
    <w:rsid w:val="005B1272"/>
    <w:rsid w:val="005B138D"/>
    <w:rsid w:val="005B164F"/>
    <w:rsid w:val="005B16D2"/>
    <w:rsid w:val="005B1A35"/>
    <w:rsid w:val="005B1DFA"/>
    <w:rsid w:val="005B1FD9"/>
    <w:rsid w:val="005B1FF0"/>
    <w:rsid w:val="005B2100"/>
    <w:rsid w:val="005B2214"/>
    <w:rsid w:val="005B22DE"/>
    <w:rsid w:val="005B25F9"/>
    <w:rsid w:val="005B27C2"/>
    <w:rsid w:val="005B2A14"/>
    <w:rsid w:val="005B2A60"/>
    <w:rsid w:val="005B2B28"/>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88E"/>
    <w:rsid w:val="005B3934"/>
    <w:rsid w:val="005B3C81"/>
    <w:rsid w:val="005B3C8A"/>
    <w:rsid w:val="005B3D88"/>
    <w:rsid w:val="005B410D"/>
    <w:rsid w:val="005B42C4"/>
    <w:rsid w:val="005B42CC"/>
    <w:rsid w:val="005B4436"/>
    <w:rsid w:val="005B4472"/>
    <w:rsid w:val="005B46C6"/>
    <w:rsid w:val="005B47BC"/>
    <w:rsid w:val="005B4A00"/>
    <w:rsid w:val="005B4B41"/>
    <w:rsid w:val="005B5093"/>
    <w:rsid w:val="005B52C7"/>
    <w:rsid w:val="005B52E2"/>
    <w:rsid w:val="005B5303"/>
    <w:rsid w:val="005B538D"/>
    <w:rsid w:val="005B5448"/>
    <w:rsid w:val="005B5463"/>
    <w:rsid w:val="005B54A7"/>
    <w:rsid w:val="005B55C4"/>
    <w:rsid w:val="005B5761"/>
    <w:rsid w:val="005B58A4"/>
    <w:rsid w:val="005B5972"/>
    <w:rsid w:val="005B5A00"/>
    <w:rsid w:val="005B5A44"/>
    <w:rsid w:val="005B5D1F"/>
    <w:rsid w:val="005B5E63"/>
    <w:rsid w:val="005B6046"/>
    <w:rsid w:val="005B61C2"/>
    <w:rsid w:val="005B6277"/>
    <w:rsid w:val="005B649B"/>
    <w:rsid w:val="005B653B"/>
    <w:rsid w:val="005B674A"/>
    <w:rsid w:val="005B6789"/>
    <w:rsid w:val="005B68D3"/>
    <w:rsid w:val="005B69EA"/>
    <w:rsid w:val="005B6BDE"/>
    <w:rsid w:val="005B6CC7"/>
    <w:rsid w:val="005B6E17"/>
    <w:rsid w:val="005B6F80"/>
    <w:rsid w:val="005B71FE"/>
    <w:rsid w:val="005B761B"/>
    <w:rsid w:val="005B7680"/>
    <w:rsid w:val="005B76E8"/>
    <w:rsid w:val="005B794A"/>
    <w:rsid w:val="005B79ED"/>
    <w:rsid w:val="005B7DD7"/>
    <w:rsid w:val="005C007A"/>
    <w:rsid w:val="005C00C4"/>
    <w:rsid w:val="005C0186"/>
    <w:rsid w:val="005C0264"/>
    <w:rsid w:val="005C0319"/>
    <w:rsid w:val="005C048D"/>
    <w:rsid w:val="005C0542"/>
    <w:rsid w:val="005C055F"/>
    <w:rsid w:val="005C0690"/>
    <w:rsid w:val="005C076F"/>
    <w:rsid w:val="005C0A0A"/>
    <w:rsid w:val="005C0C83"/>
    <w:rsid w:val="005C0C95"/>
    <w:rsid w:val="005C0CB4"/>
    <w:rsid w:val="005C0D7F"/>
    <w:rsid w:val="005C0EB8"/>
    <w:rsid w:val="005C0FD9"/>
    <w:rsid w:val="005C109A"/>
    <w:rsid w:val="005C1631"/>
    <w:rsid w:val="005C1949"/>
    <w:rsid w:val="005C19AB"/>
    <w:rsid w:val="005C1A93"/>
    <w:rsid w:val="005C1BD5"/>
    <w:rsid w:val="005C1C75"/>
    <w:rsid w:val="005C1D5F"/>
    <w:rsid w:val="005C1FA1"/>
    <w:rsid w:val="005C2067"/>
    <w:rsid w:val="005C2256"/>
    <w:rsid w:val="005C2350"/>
    <w:rsid w:val="005C243B"/>
    <w:rsid w:val="005C26DE"/>
    <w:rsid w:val="005C2701"/>
    <w:rsid w:val="005C2704"/>
    <w:rsid w:val="005C270C"/>
    <w:rsid w:val="005C2858"/>
    <w:rsid w:val="005C29DE"/>
    <w:rsid w:val="005C2C92"/>
    <w:rsid w:val="005C2CA5"/>
    <w:rsid w:val="005C2DC0"/>
    <w:rsid w:val="005C2DCE"/>
    <w:rsid w:val="005C2DD5"/>
    <w:rsid w:val="005C2E97"/>
    <w:rsid w:val="005C302C"/>
    <w:rsid w:val="005C3174"/>
    <w:rsid w:val="005C3600"/>
    <w:rsid w:val="005C38CC"/>
    <w:rsid w:val="005C3956"/>
    <w:rsid w:val="005C3CA8"/>
    <w:rsid w:val="005C3D5D"/>
    <w:rsid w:val="005C40BB"/>
    <w:rsid w:val="005C41AF"/>
    <w:rsid w:val="005C41E8"/>
    <w:rsid w:val="005C42A0"/>
    <w:rsid w:val="005C454D"/>
    <w:rsid w:val="005C45D7"/>
    <w:rsid w:val="005C45E7"/>
    <w:rsid w:val="005C462A"/>
    <w:rsid w:val="005C46CD"/>
    <w:rsid w:val="005C4818"/>
    <w:rsid w:val="005C48F5"/>
    <w:rsid w:val="005C498A"/>
    <w:rsid w:val="005C4A24"/>
    <w:rsid w:val="005C4FF1"/>
    <w:rsid w:val="005C5051"/>
    <w:rsid w:val="005C50CB"/>
    <w:rsid w:val="005C547C"/>
    <w:rsid w:val="005C5614"/>
    <w:rsid w:val="005C5738"/>
    <w:rsid w:val="005C583F"/>
    <w:rsid w:val="005C5914"/>
    <w:rsid w:val="005C5CB7"/>
    <w:rsid w:val="005C5DC6"/>
    <w:rsid w:val="005C5E99"/>
    <w:rsid w:val="005C6043"/>
    <w:rsid w:val="005C60CB"/>
    <w:rsid w:val="005C6160"/>
    <w:rsid w:val="005C6264"/>
    <w:rsid w:val="005C6353"/>
    <w:rsid w:val="005C6363"/>
    <w:rsid w:val="005C6784"/>
    <w:rsid w:val="005C679C"/>
    <w:rsid w:val="005C68AC"/>
    <w:rsid w:val="005C68FB"/>
    <w:rsid w:val="005C6967"/>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3F0"/>
    <w:rsid w:val="005D1548"/>
    <w:rsid w:val="005D158E"/>
    <w:rsid w:val="005D1816"/>
    <w:rsid w:val="005D1857"/>
    <w:rsid w:val="005D1A54"/>
    <w:rsid w:val="005D1AA4"/>
    <w:rsid w:val="005D1ABD"/>
    <w:rsid w:val="005D1B28"/>
    <w:rsid w:val="005D1C40"/>
    <w:rsid w:val="005D1F9B"/>
    <w:rsid w:val="005D21D9"/>
    <w:rsid w:val="005D22E0"/>
    <w:rsid w:val="005D2412"/>
    <w:rsid w:val="005D248D"/>
    <w:rsid w:val="005D2918"/>
    <w:rsid w:val="005D2957"/>
    <w:rsid w:val="005D29C8"/>
    <w:rsid w:val="005D2A53"/>
    <w:rsid w:val="005D2A5B"/>
    <w:rsid w:val="005D2A85"/>
    <w:rsid w:val="005D2B41"/>
    <w:rsid w:val="005D2B80"/>
    <w:rsid w:val="005D2B9D"/>
    <w:rsid w:val="005D2DF2"/>
    <w:rsid w:val="005D2EBA"/>
    <w:rsid w:val="005D2EC4"/>
    <w:rsid w:val="005D2FEE"/>
    <w:rsid w:val="005D3144"/>
    <w:rsid w:val="005D315E"/>
    <w:rsid w:val="005D32A3"/>
    <w:rsid w:val="005D32F6"/>
    <w:rsid w:val="005D354A"/>
    <w:rsid w:val="005D35AA"/>
    <w:rsid w:val="005D3608"/>
    <w:rsid w:val="005D36DB"/>
    <w:rsid w:val="005D37EE"/>
    <w:rsid w:val="005D3803"/>
    <w:rsid w:val="005D38B3"/>
    <w:rsid w:val="005D3AA0"/>
    <w:rsid w:val="005D3B66"/>
    <w:rsid w:val="005D3CF7"/>
    <w:rsid w:val="005D3D2D"/>
    <w:rsid w:val="005D4230"/>
    <w:rsid w:val="005D432C"/>
    <w:rsid w:val="005D4355"/>
    <w:rsid w:val="005D4496"/>
    <w:rsid w:val="005D44DB"/>
    <w:rsid w:val="005D4798"/>
    <w:rsid w:val="005D47B4"/>
    <w:rsid w:val="005D4970"/>
    <w:rsid w:val="005D4A9D"/>
    <w:rsid w:val="005D4AEF"/>
    <w:rsid w:val="005D4B3D"/>
    <w:rsid w:val="005D4F3F"/>
    <w:rsid w:val="005D52DF"/>
    <w:rsid w:val="005D52F8"/>
    <w:rsid w:val="005D5330"/>
    <w:rsid w:val="005D54D5"/>
    <w:rsid w:val="005D5596"/>
    <w:rsid w:val="005D5643"/>
    <w:rsid w:val="005D573F"/>
    <w:rsid w:val="005D5757"/>
    <w:rsid w:val="005D5785"/>
    <w:rsid w:val="005D57B4"/>
    <w:rsid w:val="005D57DC"/>
    <w:rsid w:val="005D58DC"/>
    <w:rsid w:val="005D5A5D"/>
    <w:rsid w:val="005D5A62"/>
    <w:rsid w:val="005D5AC2"/>
    <w:rsid w:val="005D5D9F"/>
    <w:rsid w:val="005D5E65"/>
    <w:rsid w:val="005D5F1C"/>
    <w:rsid w:val="005D6017"/>
    <w:rsid w:val="005D6488"/>
    <w:rsid w:val="005D6700"/>
    <w:rsid w:val="005D68EE"/>
    <w:rsid w:val="005D68FD"/>
    <w:rsid w:val="005D6BBA"/>
    <w:rsid w:val="005D6BCF"/>
    <w:rsid w:val="005D6C1F"/>
    <w:rsid w:val="005D6C4C"/>
    <w:rsid w:val="005D6DF5"/>
    <w:rsid w:val="005D6F27"/>
    <w:rsid w:val="005D6F45"/>
    <w:rsid w:val="005D6F8E"/>
    <w:rsid w:val="005D7014"/>
    <w:rsid w:val="005D721D"/>
    <w:rsid w:val="005D7314"/>
    <w:rsid w:val="005D7373"/>
    <w:rsid w:val="005D75B6"/>
    <w:rsid w:val="005D7698"/>
    <w:rsid w:val="005D7741"/>
    <w:rsid w:val="005D7A75"/>
    <w:rsid w:val="005D7B34"/>
    <w:rsid w:val="005D7C8E"/>
    <w:rsid w:val="005D7D3B"/>
    <w:rsid w:val="005D7DBF"/>
    <w:rsid w:val="005E0135"/>
    <w:rsid w:val="005E013D"/>
    <w:rsid w:val="005E02D0"/>
    <w:rsid w:val="005E05CB"/>
    <w:rsid w:val="005E0956"/>
    <w:rsid w:val="005E0A09"/>
    <w:rsid w:val="005E0C1F"/>
    <w:rsid w:val="005E0CB9"/>
    <w:rsid w:val="005E0F40"/>
    <w:rsid w:val="005E1094"/>
    <w:rsid w:val="005E1158"/>
    <w:rsid w:val="005E11F3"/>
    <w:rsid w:val="005E1310"/>
    <w:rsid w:val="005E139C"/>
    <w:rsid w:val="005E13A1"/>
    <w:rsid w:val="005E160B"/>
    <w:rsid w:val="005E16A0"/>
    <w:rsid w:val="005E181B"/>
    <w:rsid w:val="005E1ADD"/>
    <w:rsid w:val="005E1B94"/>
    <w:rsid w:val="005E1D98"/>
    <w:rsid w:val="005E1DFE"/>
    <w:rsid w:val="005E1E18"/>
    <w:rsid w:val="005E1FDB"/>
    <w:rsid w:val="005E2104"/>
    <w:rsid w:val="005E2184"/>
    <w:rsid w:val="005E226D"/>
    <w:rsid w:val="005E22B2"/>
    <w:rsid w:val="005E2442"/>
    <w:rsid w:val="005E2665"/>
    <w:rsid w:val="005E26E6"/>
    <w:rsid w:val="005E2917"/>
    <w:rsid w:val="005E298F"/>
    <w:rsid w:val="005E2A79"/>
    <w:rsid w:val="005E2BAD"/>
    <w:rsid w:val="005E2CF0"/>
    <w:rsid w:val="005E2D6B"/>
    <w:rsid w:val="005E2D92"/>
    <w:rsid w:val="005E2E3D"/>
    <w:rsid w:val="005E2EDA"/>
    <w:rsid w:val="005E3000"/>
    <w:rsid w:val="005E39AE"/>
    <w:rsid w:val="005E3C3C"/>
    <w:rsid w:val="005E3C6A"/>
    <w:rsid w:val="005E3FF5"/>
    <w:rsid w:val="005E456A"/>
    <w:rsid w:val="005E4593"/>
    <w:rsid w:val="005E45B1"/>
    <w:rsid w:val="005E460D"/>
    <w:rsid w:val="005E480F"/>
    <w:rsid w:val="005E481D"/>
    <w:rsid w:val="005E4A11"/>
    <w:rsid w:val="005E4AAC"/>
    <w:rsid w:val="005E51C3"/>
    <w:rsid w:val="005E5346"/>
    <w:rsid w:val="005E53AE"/>
    <w:rsid w:val="005E5610"/>
    <w:rsid w:val="005E59A8"/>
    <w:rsid w:val="005E59E6"/>
    <w:rsid w:val="005E5A74"/>
    <w:rsid w:val="005E5AE5"/>
    <w:rsid w:val="005E5AEE"/>
    <w:rsid w:val="005E5B4E"/>
    <w:rsid w:val="005E5F71"/>
    <w:rsid w:val="005E61A5"/>
    <w:rsid w:val="005E6305"/>
    <w:rsid w:val="005E653D"/>
    <w:rsid w:val="005E68FC"/>
    <w:rsid w:val="005E698C"/>
    <w:rsid w:val="005E6BB7"/>
    <w:rsid w:val="005E6C4B"/>
    <w:rsid w:val="005E6CDE"/>
    <w:rsid w:val="005E6CF7"/>
    <w:rsid w:val="005E72F9"/>
    <w:rsid w:val="005E73A7"/>
    <w:rsid w:val="005E741F"/>
    <w:rsid w:val="005E7434"/>
    <w:rsid w:val="005E7534"/>
    <w:rsid w:val="005E7614"/>
    <w:rsid w:val="005E776B"/>
    <w:rsid w:val="005E78A3"/>
    <w:rsid w:val="005E791A"/>
    <w:rsid w:val="005E7B53"/>
    <w:rsid w:val="005E7DFE"/>
    <w:rsid w:val="005E7EB6"/>
    <w:rsid w:val="005E7F15"/>
    <w:rsid w:val="005E7F4F"/>
    <w:rsid w:val="005F0124"/>
    <w:rsid w:val="005F01D2"/>
    <w:rsid w:val="005F029E"/>
    <w:rsid w:val="005F02E3"/>
    <w:rsid w:val="005F035A"/>
    <w:rsid w:val="005F046E"/>
    <w:rsid w:val="005F049A"/>
    <w:rsid w:val="005F0582"/>
    <w:rsid w:val="005F0641"/>
    <w:rsid w:val="005F0768"/>
    <w:rsid w:val="005F085A"/>
    <w:rsid w:val="005F098C"/>
    <w:rsid w:val="005F0B72"/>
    <w:rsid w:val="005F0EE7"/>
    <w:rsid w:val="005F1265"/>
    <w:rsid w:val="005F149C"/>
    <w:rsid w:val="005F14B0"/>
    <w:rsid w:val="005F157C"/>
    <w:rsid w:val="005F16A7"/>
    <w:rsid w:val="005F19BC"/>
    <w:rsid w:val="005F1A73"/>
    <w:rsid w:val="005F1B74"/>
    <w:rsid w:val="005F1E1C"/>
    <w:rsid w:val="005F2011"/>
    <w:rsid w:val="005F20F6"/>
    <w:rsid w:val="005F2646"/>
    <w:rsid w:val="005F26FD"/>
    <w:rsid w:val="005F282D"/>
    <w:rsid w:val="005F2C35"/>
    <w:rsid w:val="005F2CC9"/>
    <w:rsid w:val="005F2E58"/>
    <w:rsid w:val="005F31BD"/>
    <w:rsid w:val="005F31F4"/>
    <w:rsid w:val="005F325A"/>
    <w:rsid w:val="005F3603"/>
    <w:rsid w:val="005F364B"/>
    <w:rsid w:val="005F3D83"/>
    <w:rsid w:val="005F3FD4"/>
    <w:rsid w:val="005F40E3"/>
    <w:rsid w:val="005F4117"/>
    <w:rsid w:val="005F4236"/>
    <w:rsid w:val="005F4409"/>
    <w:rsid w:val="005F46CD"/>
    <w:rsid w:val="005F4839"/>
    <w:rsid w:val="005F4AD6"/>
    <w:rsid w:val="005F4AF0"/>
    <w:rsid w:val="005F4B5C"/>
    <w:rsid w:val="005F4B69"/>
    <w:rsid w:val="005F4BE8"/>
    <w:rsid w:val="005F4BF1"/>
    <w:rsid w:val="005F4C1F"/>
    <w:rsid w:val="005F4C34"/>
    <w:rsid w:val="005F4CC3"/>
    <w:rsid w:val="005F4CCF"/>
    <w:rsid w:val="005F4E4F"/>
    <w:rsid w:val="005F502E"/>
    <w:rsid w:val="005F5054"/>
    <w:rsid w:val="005F5085"/>
    <w:rsid w:val="005F50DE"/>
    <w:rsid w:val="005F519E"/>
    <w:rsid w:val="005F5209"/>
    <w:rsid w:val="005F55EA"/>
    <w:rsid w:val="005F5774"/>
    <w:rsid w:val="005F58FB"/>
    <w:rsid w:val="005F59A2"/>
    <w:rsid w:val="005F59A3"/>
    <w:rsid w:val="005F59C1"/>
    <w:rsid w:val="005F5AAE"/>
    <w:rsid w:val="005F5BFF"/>
    <w:rsid w:val="005F63E5"/>
    <w:rsid w:val="005F65F6"/>
    <w:rsid w:val="005F6748"/>
    <w:rsid w:val="005F6771"/>
    <w:rsid w:val="005F67D2"/>
    <w:rsid w:val="005F68BE"/>
    <w:rsid w:val="005F6996"/>
    <w:rsid w:val="005F69D7"/>
    <w:rsid w:val="005F6A8C"/>
    <w:rsid w:val="005F6BB8"/>
    <w:rsid w:val="005F6F09"/>
    <w:rsid w:val="005F7089"/>
    <w:rsid w:val="005F71AC"/>
    <w:rsid w:val="005F7356"/>
    <w:rsid w:val="005F74BC"/>
    <w:rsid w:val="005F74F0"/>
    <w:rsid w:val="005F7523"/>
    <w:rsid w:val="005F778F"/>
    <w:rsid w:val="005F781E"/>
    <w:rsid w:val="005F7886"/>
    <w:rsid w:val="005F7932"/>
    <w:rsid w:val="005F7938"/>
    <w:rsid w:val="005F798D"/>
    <w:rsid w:val="005F79CC"/>
    <w:rsid w:val="005F79DD"/>
    <w:rsid w:val="005F7AF5"/>
    <w:rsid w:val="005F7CEE"/>
    <w:rsid w:val="005F7D67"/>
    <w:rsid w:val="005F7ECF"/>
    <w:rsid w:val="00600004"/>
    <w:rsid w:val="0060049A"/>
    <w:rsid w:val="006005A5"/>
    <w:rsid w:val="0060067E"/>
    <w:rsid w:val="006008D3"/>
    <w:rsid w:val="006009C1"/>
    <w:rsid w:val="00600D72"/>
    <w:rsid w:val="00600DA3"/>
    <w:rsid w:val="00600E2A"/>
    <w:rsid w:val="00600EF6"/>
    <w:rsid w:val="00600F17"/>
    <w:rsid w:val="006010FE"/>
    <w:rsid w:val="00601246"/>
    <w:rsid w:val="0060147C"/>
    <w:rsid w:val="006015D6"/>
    <w:rsid w:val="006016B0"/>
    <w:rsid w:val="0060177D"/>
    <w:rsid w:val="006019AC"/>
    <w:rsid w:val="00601DF7"/>
    <w:rsid w:val="00601EF8"/>
    <w:rsid w:val="00602145"/>
    <w:rsid w:val="006023DE"/>
    <w:rsid w:val="00602544"/>
    <w:rsid w:val="00602B48"/>
    <w:rsid w:val="00602C1B"/>
    <w:rsid w:val="00602CB5"/>
    <w:rsid w:val="00602CCA"/>
    <w:rsid w:val="00602E6F"/>
    <w:rsid w:val="00603141"/>
    <w:rsid w:val="006031E2"/>
    <w:rsid w:val="006032AD"/>
    <w:rsid w:val="006032EB"/>
    <w:rsid w:val="006033BA"/>
    <w:rsid w:val="00603402"/>
    <w:rsid w:val="006034B7"/>
    <w:rsid w:val="0060351E"/>
    <w:rsid w:val="006035D8"/>
    <w:rsid w:val="0060360D"/>
    <w:rsid w:val="00603707"/>
    <w:rsid w:val="00603ABE"/>
    <w:rsid w:val="00603B51"/>
    <w:rsid w:val="00603C91"/>
    <w:rsid w:val="00603DDE"/>
    <w:rsid w:val="00603DF6"/>
    <w:rsid w:val="00603F83"/>
    <w:rsid w:val="00603FAE"/>
    <w:rsid w:val="00604479"/>
    <w:rsid w:val="006045E2"/>
    <w:rsid w:val="0060477B"/>
    <w:rsid w:val="0060491E"/>
    <w:rsid w:val="00604920"/>
    <w:rsid w:val="0060496F"/>
    <w:rsid w:val="00604982"/>
    <w:rsid w:val="00604AFE"/>
    <w:rsid w:val="00604B82"/>
    <w:rsid w:val="00604BFE"/>
    <w:rsid w:val="00605166"/>
    <w:rsid w:val="006052CF"/>
    <w:rsid w:val="006053D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725"/>
    <w:rsid w:val="00606BA7"/>
    <w:rsid w:val="00606BEB"/>
    <w:rsid w:val="00606DB0"/>
    <w:rsid w:val="00606DBD"/>
    <w:rsid w:val="00606E37"/>
    <w:rsid w:val="00606EBB"/>
    <w:rsid w:val="00606F03"/>
    <w:rsid w:val="00607197"/>
    <w:rsid w:val="0060719C"/>
    <w:rsid w:val="006071CF"/>
    <w:rsid w:val="0060730F"/>
    <w:rsid w:val="00607595"/>
    <w:rsid w:val="006076A5"/>
    <w:rsid w:val="006076DA"/>
    <w:rsid w:val="00607773"/>
    <w:rsid w:val="006077CF"/>
    <w:rsid w:val="00607943"/>
    <w:rsid w:val="00607BFE"/>
    <w:rsid w:val="00607D7C"/>
    <w:rsid w:val="00607E6F"/>
    <w:rsid w:val="00607EBD"/>
    <w:rsid w:val="00607ED4"/>
    <w:rsid w:val="00607FD1"/>
    <w:rsid w:val="00610058"/>
    <w:rsid w:val="00610087"/>
    <w:rsid w:val="006101C1"/>
    <w:rsid w:val="0061021C"/>
    <w:rsid w:val="00610314"/>
    <w:rsid w:val="00610551"/>
    <w:rsid w:val="00610678"/>
    <w:rsid w:val="00610AFB"/>
    <w:rsid w:val="00610B8D"/>
    <w:rsid w:val="00611287"/>
    <w:rsid w:val="0061131B"/>
    <w:rsid w:val="00611366"/>
    <w:rsid w:val="006113CF"/>
    <w:rsid w:val="006115D2"/>
    <w:rsid w:val="00611601"/>
    <w:rsid w:val="0061187F"/>
    <w:rsid w:val="00611AC9"/>
    <w:rsid w:val="00611BFB"/>
    <w:rsid w:val="00611C1C"/>
    <w:rsid w:val="00611CBD"/>
    <w:rsid w:val="00611CED"/>
    <w:rsid w:val="00611DD4"/>
    <w:rsid w:val="00611E85"/>
    <w:rsid w:val="00612061"/>
    <w:rsid w:val="0061251D"/>
    <w:rsid w:val="006125E8"/>
    <w:rsid w:val="00612779"/>
    <w:rsid w:val="006128D5"/>
    <w:rsid w:val="00612929"/>
    <w:rsid w:val="00612C7D"/>
    <w:rsid w:val="00612DB3"/>
    <w:rsid w:val="00612F8C"/>
    <w:rsid w:val="00612FCA"/>
    <w:rsid w:val="00613145"/>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65"/>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0EC"/>
    <w:rsid w:val="0061711D"/>
    <w:rsid w:val="006171D4"/>
    <w:rsid w:val="00617379"/>
    <w:rsid w:val="006173AC"/>
    <w:rsid w:val="00617514"/>
    <w:rsid w:val="0061757E"/>
    <w:rsid w:val="0061796F"/>
    <w:rsid w:val="00617C60"/>
    <w:rsid w:val="00617D27"/>
    <w:rsid w:val="00617E3F"/>
    <w:rsid w:val="0062009F"/>
    <w:rsid w:val="006201AE"/>
    <w:rsid w:val="006205D1"/>
    <w:rsid w:val="00620669"/>
    <w:rsid w:val="00620770"/>
    <w:rsid w:val="00620817"/>
    <w:rsid w:val="0062088A"/>
    <w:rsid w:val="00620901"/>
    <w:rsid w:val="00620A58"/>
    <w:rsid w:val="00620BCF"/>
    <w:rsid w:val="00620CD2"/>
    <w:rsid w:val="00620D1F"/>
    <w:rsid w:val="00620DC6"/>
    <w:rsid w:val="00621096"/>
    <w:rsid w:val="006211A8"/>
    <w:rsid w:val="0062120D"/>
    <w:rsid w:val="0062157F"/>
    <w:rsid w:val="00621859"/>
    <w:rsid w:val="006218B5"/>
    <w:rsid w:val="00621903"/>
    <w:rsid w:val="00621BE0"/>
    <w:rsid w:val="00621CAC"/>
    <w:rsid w:val="00621DA6"/>
    <w:rsid w:val="00621E3F"/>
    <w:rsid w:val="00621FE7"/>
    <w:rsid w:val="0062210D"/>
    <w:rsid w:val="00622113"/>
    <w:rsid w:val="0062230D"/>
    <w:rsid w:val="006223A3"/>
    <w:rsid w:val="00622868"/>
    <w:rsid w:val="00622897"/>
    <w:rsid w:val="00622A17"/>
    <w:rsid w:val="00622A80"/>
    <w:rsid w:val="006231BF"/>
    <w:rsid w:val="00623577"/>
    <w:rsid w:val="006235B6"/>
    <w:rsid w:val="006238D9"/>
    <w:rsid w:val="006239BD"/>
    <w:rsid w:val="00623AF8"/>
    <w:rsid w:val="00623BD1"/>
    <w:rsid w:val="00623C79"/>
    <w:rsid w:val="00623CF3"/>
    <w:rsid w:val="00623D82"/>
    <w:rsid w:val="00624530"/>
    <w:rsid w:val="00624AAC"/>
    <w:rsid w:val="00624AD8"/>
    <w:rsid w:val="00624B25"/>
    <w:rsid w:val="00624C49"/>
    <w:rsid w:val="00624C70"/>
    <w:rsid w:val="00624D48"/>
    <w:rsid w:val="00624DCD"/>
    <w:rsid w:val="00624E77"/>
    <w:rsid w:val="0062520B"/>
    <w:rsid w:val="006253A9"/>
    <w:rsid w:val="006256EB"/>
    <w:rsid w:val="0062572C"/>
    <w:rsid w:val="00625791"/>
    <w:rsid w:val="00625810"/>
    <w:rsid w:val="00625868"/>
    <w:rsid w:val="0062594D"/>
    <w:rsid w:val="00625C4C"/>
    <w:rsid w:val="00625CBF"/>
    <w:rsid w:val="00625F16"/>
    <w:rsid w:val="0062611C"/>
    <w:rsid w:val="006261B1"/>
    <w:rsid w:val="00626284"/>
    <w:rsid w:val="0062646A"/>
    <w:rsid w:val="00626508"/>
    <w:rsid w:val="006267C9"/>
    <w:rsid w:val="00626885"/>
    <w:rsid w:val="00626BA5"/>
    <w:rsid w:val="00626C7D"/>
    <w:rsid w:val="00626E09"/>
    <w:rsid w:val="00626E45"/>
    <w:rsid w:val="00626E81"/>
    <w:rsid w:val="00626F85"/>
    <w:rsid w:val="00626FCB"/>
    <w:rsid w:val="00627077"/>
    <w:rsid w:val="006271CF"/>
    <w:rsid w:val="00627266"/>
    <w:rsid w:val="006274A0"/>
    <w:rsid w:val="00627552"/>
    <w:rsid w:val="00627686"/>
    <w:rsid w:val="006276B3"/>
    <w:rsid w:val="00627D52"/>
    <w:rsid w:val="00627E38"/>
    <w:rsid w:val="00627FB6"/>
    <w:rsid w:val="00627FCE"/>
    <w:rsid w:val="00630048"/>
    <w:rsid w:val="006300A7"/>
    <w:rsid w:val="0063018F"/>
    <w:rsid w:val="006302E8"/>
    <w:rsid w:val="006302F0"/>
    <w:rsid w:val="006303F1"/>
    <w:rsid w:val="00630731"/>
    <w:rsid w:val="006308D2"/>
    <w:rsid w:val="00630C17"/>
    <w:rsid w:val="00630C38"/>
    <w:rsid w:val="00630E89"/>
    <w:rsid w:val="00630F4F"/>
    <w:rsid w:val="006310C1"/>
    <w:rsid w:val="006311CF"/>
    <w:rsid w:val="006313B4"/>
    <w:rsid w:val="00631593"/>
    <w:rsid w:val="0063169C"/>
    <w:rsid w:val="00631A7C"/>
    <w:rsid w:val="00631D57"/>
    <w:rsid w:val="00631F53"/>
    <w:rsid w:val="00631F9F"/>
    <w:rsid w:val="00632092"/>
    <w:rsid w:val="006321BC"/>
    <w:rsid w:val="0063226A"/>
    <w:rsid w:val="00632750"/>
    <w:rsid w:val="00632872"/>
    <w:rsid w:val="00632884"/>
    <w:rsid w:val="00632969"/>
    <w:rsid w:val="00632A2F"/>
    <w:rsid w:val="00632A3B"/>
    <w:rsid w:val="00632ACB"/>
    <w:rsid w:val="00632B3C"/>
    <w:rsid w:val="00632C7B"/>
    <w:rsid w:val="00632D1A"/>
    <w:rsid w:val="00632E5E"/>
    <w:rsid w:val="006331B8"/>
    <w:rsid w:val="00633270"/>
    <w:rsid w:val="0063327B"/>
    <w:rsid w:val="0063330D"/>
    <w:rsid w:val="0063331A"/>
    <w:rsid w:val="006333C4"/>
    <w:rsid w:val="006333F6"/>
    <w:rsid w:val="006333FF"/>
    <w:rsid w:val="006335A2"/>
    <w:rsid w:val="006335A3"/>
    <w:rsid w:val="00633637"/>
    <w:rsid w:val="006337AA"/>
    <w:rsid w:val="006338A8"/>
    <w:rsid w:val="00633973"/>
    <w:rsid w:val="00633CA1"/>
    <w:rsid w:val="00633CA4"/>
    <w:rsid w:val="00633D89"/>
    <w:rsid w:val="00633DDA"/>
    <w:rsid w:val="00633E3F"/>
    <w:rsid w:val="00633ED3"/>
    <w:rsid w:val="00633F15"/>
    <w:rsid w:val="00634012"/>
    <w:rsid w:val="00634141"/>
    <w:rsid w:val="0063423D"/>
    <w:rsid w:val="0063429B"/>
    <w:rsid w:val="0063490A"/>
    <w:rsid w:val="00634999"/>
    <w:rsid w:val="006349BD"/>
    <w:rsid w:val="006349C6"/>
    <w:rsid w:val="00634ABC"/>
    <w:rsid w:val="00634B13"/>
    <w:rsid w:val="00634C89"/>
    <w:rsid w:val="00634F6A"/>
    <w:rsid w:val="00634F9B"/>
    <w:rsid w:val="006350A1"/>
    <w:rsid w:val="00635459"/>
    <w:rsid w:val="00635494"/>
    <w:rsid w:val="0063565A"/>
    <w:rsid w:val="00635690"/>
    <w:rsid w:val="006356AA"/>
    <w:rsid w:val="00635979"/>
    <w:rsid w:val="00635B6E"/>
    <w:rsid w:val="00635D7A"/>
    <w:rsid w:val="00635F53"/>
    <w:rsid w:val="00635F5E"/>
    <w:rsid w:val="00636086"/>
    <w:rsid w:val="00636109"/>
    <w:rsid w:val="0063623D"/>
    <w:rsid w:val="00636597"/>
    <w:rsid w:val="00636767"/>
    <w:rsid w:val="00636774"/>
    <w:rsid w:val="00636870"/>
    <w:rsid w:val="006368D8"/>
    <w:rsid w:val="00636E04"/>
    <w:rsid w:val="00637004"/>
    <w:rsid w:val="00637227"/>
    <w:rsid w:val="00637347"/>
    <w:rsid w:val="00637512"/>
    <w:rsid w:val="00637659"/>
    <w:rsid w:val="00637678"/>
    <w:rsid w:val="00637812"/>
    <w:rsid w:val="00637C11"/>
    <w:rsid w:val="00637E1C"/>
    <w:rsid w:val="00637F8B"/>
    <w:rsid w:val="00640071"/>
    <w:rsid w:val="006400B9"/>
    <w:rsid w:val="006405E8"/>
    <w:rsid w:val="00640726"/>
    <w:rsid w:val="006407E8"/>
    <w:rsid w:val="00640A89"/>
    <w:rsid w:val="00640BC0"/>
    <w:rsid w:val="00640CC3"/>
    <w:rsid w:val="00640E81"/>
    <w:rsid w:val="00640EB7"/>
    <w:rsid w:val="00640F4F"/>
    <w:rsid w:val="0064108C"/>
    <w:rsid w:val="006410B6"/>
    <w:rsid w:val="00641126"/>
    <w:rsid w:val="00641161"/>
    <w:rsid w:val="00641162"/>
    <w:rsid w:val="006411ED"/>
    <w:rsid w:val="00641263"/>
    <w:rsid w:val="00641469"/>
    <w:rsid w:val="0064174B"/>
    <w:rsid w:val="00641760"/>
    <w:rsid w:val="006417C8"/>
    <w:rsid w:val="006417D8"/>
    <w:rsid w:val="0064192E"/>
    <w:rsid w:val="006419B4"/>
    <w:rsid w:val="00641AE3"/>
    <w:rsid w:val="00641C7A"/>
    <w:rsid w:val="00641D0A"/>
    <w:rsid w:val="00641D94"/>
    <w:rsid w:val="00641DAC"/>
    <w:rsid w:val="00641F2D"/>
    <w:rsid w:val="00641F6C"/>
    <w:rsid w:val="0064233D"/>
    <w:rsid w:val="00642801"/>
    <w:rsid w:val="00642886"/>
    <w:rsid w:val="00642AC1"/>
    <w:rsid w:val="00642BA6"/>
    <w:rsid w:val="00642BAB"/>
    <w:rsid w:val="00642C15"/>
    <w:rsid w:val="00642CA4"/>
    <w:rsid w:val="00642D2F"/>
    <w:rsid w:val="00642D7D"/>
    <w:rsid w:val="00642E96"/>
    <w:rsid w:val="00642ED4"/>
    <w:rsid w:val="00642F1E"/>
    <w:rsid w:val="00643288"/>
    <w:rsid w:val="006437B4"/>
    <w:rsid w:val="00643827"/>
    <w:rsid w:val="0064384F"/>
    <w:rsid w:val="0064388C"/>
    <w:rsid w:val="0064389B"/>
    <w:rsid w:val="006438BC"/>
    <w:rsid w:val="00643AF2"/>
    <w:rsid w:val="00643D21"/>
    <w:rsid w:val="00643E23"/>
    <w:rsid w:val="0064407A"/>
    <w:rsid w:val="0064433C"/>
    <w:rsid w:val="00644355"/>
    <w:rsid w:val="00644457"/>
    <w:rsid w:val="006445D4"/>
    <w:rsid w:val="006447F4"/>
    <w:rsid w:val="0064483B"/>
    <w:rsid w:val="00644AB9"/>
    <w:rsid w:val="00644CE1"/>
    <w:rsid w:val="00644D77"/>
    <w:rsid w:val="00644E08"/>
    <w:rsid w:val="00644E18"/>
    <w:rsid w:val="00644ECC"/>
    <w:rsid w:val="0064524C"/>
    <w:rsid w:val="006452C7"/>
    <w:rsid w:val="006453E5"/>
    <w:rsid w:val="00645655"/>
    <w:rsid w:val="00645698"/>
    <w:rsid w:val="006456F2"/>
    <w:rsid w:val="0064582A"/>
    <w:rsid w:val="00645AD6"/>
    <w:rsid w:val="00645B61"/>
    <w:rsid w:val="00645E70"/>
    <w:rsid w:val="00645F39"/>
    <w:rsid w:val="00645F72"/>
    <w:rsid w:val="006460A9"/>
    <w:rsid w:val="006460DD"/>
    <w:rsid w:val="00646183"/>
    <w:rsid w:val="006461BD"/>
    <w:rsid w:val="00646243"/>
    <w:rsid w:val="00646BC9"/>
    <w:rsid w:val="00646C16"/>
    <w:rsid w:val="00646F3D"/>
    <w:rsid w:val="00646F94"/>
    <w:rsid w:val="00646FB0"/>
    <w:rsid w:val="00647120"/>
    <w:rsid w:val="006472FC"/>
    <w:rsid w:val="00647368"/>
    <w:rsid w:val="006473F6"/>
    <w:rsid w:val="0064744F"/>
    <w:rsid w:val="006474D7"/>
    <w:rsid w:val="00647B78"/>
    <w:rsid w:val="00647C0A"/>
    <w:rsid w:val="00647D18"/>
    <w:rsid w:val="00647EFD"/>
    <w:rsid w:val="00650075"/>
    <w:rsid w:val="006502B5"/>
    <w:rsid w:val="0065037A"/>
    <w:rsid w:val="006504A4"/>
    <w:rsid w:val="0065058A"/>
    <w:rsid w:val="006505B6"/>
    <w:rsid w:val="0065065F"/>
    <w:rsid w:val="00650807"/>
    <w:rsid w:val="00650820"/>
    <w:rsid w:val="0065088B"/>
    <w:rsid w:val="00650A2B"/>
    <w:rsid w:val="00650A64"/>
    <w:rsid w:val="00650AA1"/>
    <w:rsid w:val="00650CCA"/>
    <w:rsid w:val="00650D13"/>
    <w:rsid w:val="00650E79"/>
    <w:rsid w:val="0065102B"/>
    <w:rsid w:val="0065114D"/>
    <w:rsid w:val="0065124F"/>
    <w:rsid w:val="0065138D"/>
    <w:rsid w:val="00651413"/>
    <w:rsid w:val="00651450"/>
    <w:rsid w:val="0065146E"/>
    <w:rsid w:val="006516A3"/>
    <w:rsid w:val="006517DD"/>
    <w:rsid w:val="0065180A"/>
    <w:rsid w:val="006518AD"/>
    <w:rsid w:val="00651C11"/>
    <w:rsid w:val="00651C7A"/>
    <w:rsid w:val="00651FB2"/>
    <w:rsid w:val="006521AD"/>
    <w:rsid w:val="0065241F"/>
    <w:rsid w:val="006524C3"/>
    <w:rsid w:val="00652577"/>
    <w:rsid w:val="006527A9"/>
    <w:rsid w:val="00652900"/>
    <w:rsid w:val="00652A33"/>
    <w:rsid w:val="00652C89"/>
    <w:rsid w:val="00652D4B"/>
    <w:rsid w:val="00652E18"/>
    <w:rsid w:val="0065348D"/>
    <w:rsid w:val="00653684"/>
    <w:rsid w:val="0065370D"/>
    <w:rsid w:val="00653722"/>
    <w:rsid w:val="006537E0"/>
    <w:rsid w:val="0065389F"/>
    <w:rsid w:val="00653A89"/>
    <w:rsid w:val="00653D59"/>
    <w:rsid w:val="00653ECC"/>
    <w:rsid w:val="006540F7"/>
    <w:rsid w:val="00654353"/>
    <w:rsid w:val="0065442F"/>
    <w:rsid w:val="00654830"/>
    <w:rsid w:val="00654B2E"/>
    <w:rsid w:val="00654D35"/>
    <w:rsid w:val="00654DBD"/>
    <w:rsid w:val="00654DFB"/>
    <w:rsid w:val="00655030"/>
    <w:rsid w:val="0065507C"/>
    <w:rsid w:val="006550BD"/>
    <w:rsid w:val="0065518B"/>
    <w:rsid w:val="006553E4"/>
    <w:rsid w:val="006555E7"/>
    <w:rsid w:val="00655614"/>
    <w:rsid w:val="00655646"/>
    <w:rsid w:val="006557C6"/>
    <w:rsid w:val="00655841"/>
    <w:rsid w:val="0065596E"/>
    <w:rsid w:val="006559D8"/>
    <w:rsid w:val="00655A41"/>
    <w:rsid w:val="00655A7A"/>
    <w:rsid w:val="00655D09"/>
    <w:rsid w:val="00655EA0"/>
    <w:rsid w:val="0065613E"/>
    <w:rsid w:val="0065616B"/>
    <w:rsid w:val="00656516"/>
    <w:rsid w:val="0065659E"/>
    <w:rsid w:val="0065678C"/>
    <w:rsid w:val="00656828"/>
    <w:rsid w:val="00656931"/>
    <w:rsid w:val="00656B39"/>
    <w:rsid w:val="00656CCB"/>
    <w:rsid w:val="00656D11"/>
    <w:rsid w:val="00656FE0"/>
    <w:rsid w:val="00657361"/>
    <w:rsid w:val="006573D7"/>
    <w:rsid w:val="00657403"/>
    <w:rsid w:val="00657575"/>
    <w:rsid w:val="006577E9"/>
    <w:rsid w:val="00657C85"/>
    <w:rsid w:val="00657D2F"/>
    <w:rsid w:val="00657FE8"/>
    <w:rsid w:val="006600EA"/>
    <w:rsid w:val="00660127"/>
    <w:rsid w:val="006601FA"/>
    <w:rsid w:val="00660362"/>
    <w:rsid w:val="00660387"/>
    <w:rsid w:val="0066074C"/>
    <w:rsid w:val="00660872"/>
    <w:rsid w:val="006608A8"/>
    <w:rsid w:val="006608B6"/>
    <w:rsid w:val="006609B6"/>
    <w:rsid w:val="00660A0D"/>
    <w:rsid w:val="00660B49"/>
    <w:rsid w:val="00660B5B"/>
    <w:rsid w:val="00660CFD"/>
    <w:rsid w:val="00660DAA"/>
    <w:rsid w:val="00660DF2"/>
    <w:rsid w:val="00660E55"/>
    <w:rsid w:val="00660F92"/>
    <w:rsid w:val="006611DB"/>
    <w:rsid w:val="006611EC"/>
    <w:rsid w:val="006614D8"/>
    <w:rsid w:val="00661619"/>
    <w:rsid w:val="006618B2"/>
    <w:rsid w:val="00661A3F"/>
    <w:rsid w:val="00661A72"/>
    <w:rsid w:val="00661D5B"/>
    <w:rsid w:val="00661E1C"/>
    <w:rsid w:val="00661F8A"/>
    <w:rsid w:val="0066224B"/>
    <w:rsid w:val="006626ED"/>
    <w:rsid w:val="00662765"/>
    <w:rsid w:val="006629CD"/>
    <w:rsid w:val="00662A6E"/>
    <w:rsid w:val="00662ABE"/>
    <w:rsid w:val="00662BA1"/>
    <w:rsid w:val="00662BA7"/>
    <w:rsid w:val="00662CB9"/>
    <w:rsid w:val="00662D31"/>
    <w:rsid w:val="00662DB3"/>
    <w:rsid w:val="00662E59"/>
    <w:rsid w:val="00662F0A"/>
    <w:rsid w:val="00663069"/>
    <w:rsid w:val="00663542"/>
    <w:rsid w:val="00663562"/>
    <w:rsid w:val="00663843"/>
    <w:rsid w:val="00663910"/>
    <w:rsid w:val="006639C7"/>
    <w:rsid w:val="006639D7"/>
    <w:rsid w:val="00663A1A"/>
    <w:rsid w:val="00663AFF"/>
    <w:rsid w:val="00663C41"/>
    <w:rsid w:val="00664260"/>
    <w:rsid w:val="00664634"/>
    <w:rsid w:val="00664CC0"/>
    <w:rsid w:val="00664CC6"/>
    <w:rsid w:val="00664E14"/>
    <w:rsid w:val="006650DD"/>
    <w:rsid w:val="006651D8"/>
    <w:rsid w:val="0066567D"/>
    <w:rsid w:val="006656BC"/>
    <w:rsid w:val="00665732"/>
    <w:rsid w:val="006658A8"/>
    <w:rsid w:val="006659A0"/>
    <w:rsid w:val="00665AB5"/>
    <w:rsid w:val="00665C1C"/>
    <w:rsid w:val="00665DAE"/>
    <w:rsid w:val="00665EC9"/>
    <w:rsid w:val="00665EE9"/>
    <w:rsid w:val="00665F61"/>
    <w:rsid w:val="00665FF5"/>
    <w:rsid w:val="0066603E"/>
    <w:rsid w:val="006663D0"/>
    <w:rsid w:val="006667BE"/>
    <w:rsid w:val="0066680D"/>
    <w:rsid w:val="00666C7C"/>
    <w:rsid w:val="00666DE3"/>
    <w:rsid w:val="00666E7E"/>
    <w:rsid w:val="0066708D"/>
    <w:rsid w:val="0066714A"/>
    <w:rsid w:val="00667225"/>
    <w:rsid w:val="00667348"/>
    <w:rsid w:val="006673BF"/>
    <w:rsid w:val="0066748E"/>
    <w:rsid w:val="006675C2"/>
    <w:rsid w:val="0066774F"/>
    <w:rsid w:val="00667912"/>
    <w:rsid w:val="00667A5D"/>
    <w:rsid w:val="00667CC3"/>
    <w:rsid w:val="00667F87"/>
    <w:rsid w:val="006700A2"/>
    <w:rsid w:val="006700CD"/>
    <w:rsid w:val="0067027C"/>
    <w:rsid w:val="0067031B"/>
    <w:rsid w:val="006708D3"/>
    <w:rsid w:val="00670BCD"/>
    <w:rsid w:val="00670E09"/>
    <w:rsid w:val="00670EA2"/>
    <w:rsid w:val="00670FC9"/>
    <w:rsid w:val="00671035"/>
    <w:rsid w:val="006710C8"/>
    <w:rsid w:val="006712BC"/>
    <w:rsid w:val="006712E0"/>
    <w:rsid w:val="006713E4"/>
    <w:rsid w:val="0067156E"/>
    <w:rsid w:val="006716D1"/>
    <w:rsid w:val="006716DD"/>
    <w:rsid w:val="006716FC"/>
    <w:rsid w:val="0067193A"/>
    <w:rsid w:val="00671ABE"/>
    <w:rsid w:val="00671AC3"/>
    <w:rsid w:val="00671B4E"/>
    <w:rsid w:val="00671C4D"/>
    <w:rsid w:val="00671ECB"/>
    <w:rsid w:val="00671F13"/>
    <w:rsid w:val="00671F7E"/>
    <w:rsid w:val="006721C0"/>
    <w:rsid w:val="00672226"/>
    <w:rsid w:val="006723CC"/>
    <w:rsid w:val="006725FD"/>
    <w:rsid w:val="00672976"/>
    <w:rsid w:val="0067297C"/>
    <w:rsid w:val="00672A17"/>
    <w:rsid w:val="00672A5D"/>
    <w:rsid w:val="00672F26"/>
    <w:rsid w:val="00673176"/>
    <w:rsid w:val="0067346A"/>
    <w:rsid w:val="00673656"/>
    <w:rsid w:val="0067371B"/>
    <w:rsid w:val="0067383E"/>
    <w:rsid w:val="00673A74"/>
    <w:rsid w:val="00673C6A"/>
    <w:rsid w:val="00673C92"/>
    <w:rsid w:val="00673D32"/>
    <w:rsid w:val="00673DF8"/>
    <w:rsid w:val="00673E5E"/>
    <w:rsid w:val="006740BC"/>
    <w:rsid w:val="00674190"/>
    <w:rsid w:val="00674235"/>
    <w:rsid w:val="0067457A"/>
    <w:rsid w:val="006746BC"/>
    <w:rsid w:val="00674A3F"/>
    <w:rsid w:val="00674B39"/>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A4"/>
    <w:rsid w:val="006761CC"/>
    <w:rsid w:val="006761E1"/>
    <w:rsid w:val="0067639B"/>
    <w:rsid w:val="00676596"/>
    <w:rsid w:val="00676686"/>
    <w:rsid w:val="0067678F"/>
    <w:rsid w:val="00676AA2"/>
    <w:rsid w:val="00676AF6"/>
    <w:rsid w:val="00676BEF"/>
    <w:rsid w:val="00676C8B"/>
    <w:rsid w:val="006770D0"/>
    <w:rsid w:val="0067726D"/>
    <w:rsid w:val="006773EC"/>
    <w:rsid w:val="00677449"/>
    <w:rsid w:val="0067747E"/>
    <w:rsid w:val="0067794F"/>
    <w:rsid w:val="00677B6E"/>
    <w:rsid w:val="00677CA7"/>
    <w:rsid w:val="00677D2D"/>
    <w:rsid w:val="00677F96"/>
    <w:rsid w:val="00680020"/>
    <w:rsid w:val="006801AB"/>
    <w:rsid w:val="0068032C"/>
    <w:rsid w:val="00680363"/>
    <w:rsid w:val="00680433"/>
    <w:rsid w:val="006804AD"/>
    <w:rsid w:val="0068067B"/>
    <w:rsid w:val="006806B6"/>
    <w:rsid w:val="006807B4"/>
    <w:rsid w:val="00680861"/>
    <w:rsid w:val="006808BB"/>
    <w:rsid w:val="006808F1"/>
    <w:rsid w:val="00680964"/>
    <w:rsid w:val="00680AA9"/>
    <w:rsid w:val="00680E2B"/>
    <w:rsid w:val="00681265"/>
    <w:rsid w:val="00681309"/>
    <w:rsid w:val="006813B9"/>
    <w:rsid w:val="0068140C"/>
    <w:rsid w:val="00681414"/>
    <w:rsid w:val="0068167C"/>
    <w:rsid w:val="00681919"/>
    <w:rsid w:val="00681A5B"/>
    <w:rsid w:val="00681B05"/>
    <w:rsid w:val="00681B9C"/>
    <w:rsid w:val="00681C00"/>
    <w:rsid w:val="00681C73"/>
    <w:rsid w:val="00681CB7"/>
    <w:rsid w:val="00682301"/>
    <w:rsid w:val="006823F6"/>
    <w:rsid w:val="006824C5"/>
    <w:rsid w:val="00682560"/>
    <w:rsid w:val="00682807"/>
    <w:rsid w:val="0068289D"/>
    <w:rsid w:val="00682960"/>
    <w:rsid w:val="00682A5B"/>
    <w:rsid w:val="00682AC8"/>
    <w:rsid w:val="00682B5C"/>
    <w:rsid w:val="00682FB6"/>
    <w:rsid w:val="00683188"/>
    <w:rsid w:val="0068320B"/>
    <w:rsid w:val="0068344F"/>
    <w:rsid w:val="00683D21"/>
    <w:rsid w:val="00683D4C"/>
    <w:rsid w:val="00683DA5"/>
    <w:rsid w:val="00683E17"/>
    <w:rsid w:val="00683FB5"/>
    <w:rsid w:val="00683FFF"/>
    <w:rsid w:val="00684464"/>
    <w:rsid w:val="00684718"/>
    <w:rsid w:val="00684835"/>
    <w:rsid w:val="00684B16"/>
    <w:rsid w:val="00684BC6"/>
    <w:rsid w:val="00684C00"/>
    <w:rsid w:val="00684CB7"/>
    <w:rsid w:val="00684EC8"/>
    <w:rsid w:val="00684F57"/>
    <w:rsid w:val="00684F9C"/>
    <w:rsid w:val="00684FC1"/>
    <w:rsid w:val="00684FC7"/>
    <w:rsid w:val="0068505D"/>
    <w:rsid w:val="006852CA"/>
    <w:rsid w:val="006853FC"/>
    <w:rsid w:val="0068546A"/>
    <w:rsid w:val="00685609"/>
    <w:rsid w:val="006856BC"/>
    <w:rsid w:val="00685C79"/>
    <w:rsid w:val="00685E28"/>
    <w:rsid w:val="00685F1C"/>
    <w:rsid w:val="00685F87"/>
    <w:rsid w:val="00685FC9"/>
    <w:rsid w:val="00685FD0"/>
    <w:rsid w:val="00685FE9"/>
    <w:rsid w:val="00686041"/>
    <w:rsid w:val="00686204"/>
    <w:rsid w:val="00686356"/>
    <w:rsid w:val="00686388"/>
    <w:rsid w:val="0068683C"/>
    <w:rsid w:val="0068686D"/>
    <w:rsid w:val="00686972"/>
    <w:rsid w:val="00686B84"/>
    <w:rsid w:val="00686D45"/>
    <w:rsid w:val="00686D9D"/>
    <w:rsid w:val="00686E25"/>
    <w:rsid w:val="00687176"/>
    <w:rsid w:val="006872CC"/>
    <w:rsid w:val="0068731F"/>
    <w:rsid w:val="006873B9"/>
    <w:rsid w:val="006873CE"/>
    <w:rsid w:val="0068748F"/>
    <w:rsid w:val="006875B9"/>
    <w:rsid w:val="0068763F"/>
    <w:rsid w:val="0068772D"/>
    <w:rsid w:val="00687A08"/>
    <w:rsid w:val="00687DFA"/>
    <w:rsid w:val="00687E9D"/>
    <w:rsid w:val="00687FEF"/>
    <w:rsid w:val="006901E0"/>
    <w:rsid w:val="006901EC"/>
    <w:rsid w:val="00690257"/>
    <w:rsid w:val="0069050C"/>
    <w:rsid w:val="006905A9"/>
    <w:rsid w:val="006906AB"/>
    <w:rsid w:val="006906D9"/>
    <w:rsid w:val="00690772"/>
    <w:rsid w:val="00690869"/>
    <w:rsid w:val="006908C8"/>
    <w:rsid w:val="006909A5"/>
    <w:rsid w:val="00690A8E"/>
    <w:rsid w:val="00690B58"/>
    <w:rsid w:val="00690D23"/>
    <w:rsid w:val="00690FD5"/>
    <w:rsid w:val="006910E1"/>
    <w:rsid w:val="00691330"/>
    <w:rsid w:val="00691531"/>
    <w:rsid w:val="00691555"/>
    <w:rsid w:val="0069155D"/>
    <w:rsid w:val="006916A5"/>
    <w:rsid w:val="00691704"/>
    <w:rsid w:val="006918B9"/>
    <w:rsid w:val="00691A92"/>
    <w:rsid w:val="00691B99"/>
    <w:rsid w:val="00691CF3"/>
    <w:rsid w:val="00691E29"/>
    <w:rsid w:val="00691F34"/>
    <w:rsid w:val="00692098"/>
    <w:rsid w:val="0069209C"/>
    <w:rsid w:val="0069220A"/>
    <w:rsid w:val="0069225A"/>
    <w:rsid w:val="00692352"/>
    <w:rsid w:val="0069265E"/>
    <w:rsid w:val="006927AF"/>
    <w:rsid w:val="00692822"/>
    <w:rsid w:val="0069285B"/>
    <w:rsid w:val="00692A0A"/>
    <w:rsid w:val="00692B95"/>
    <w:rsid w:val="00692FF6"/>
    <w:rsid w:val="0069314B"/>
    <w:rsid w:val="006931A8"/>
    <w:rsid w:val="0069326D"/>
    <w:rsid w:val="00693613"/>
    <w:rsid w:val="0069368D"/>
    <w:rsid w:val="00693715"/>
    <w:rsid w:val="0069382B"/>
    <w:rsid w:val="00693A96"/>
    <w:rsid w:val="00693ACD"/>
    <w:rsid w:val="00693B68"/>
    <w:rsid w:val="00693C17"/>
    <w:rsid w:val="00693E59"/>
    <w:rsid w:val="00693F6B"/>
    <w:rsid w:val="006941A3"/>
    <w:rsid w:val="006941EB"/>
    <w:rsid w:val="0069424A"/>
    <w:rsid w:val="00694276"/>
    <w:rsid w:val="006943B7"/>
    <w:rsid w:val="006943EF"/>
    <w:rsid w:val="00694558"/>
    <w:rsid w:val="0069455E"/>
    <w:rsid w:val="0069461E"/>
    <w:rsid w:val="00694660"/>
    <w:rsid w:val="006946E4"/>
    <w:rsid w:val="00694930"/>
    <w:rsid w:val="00694CB4"/>
    <w:rsid w:val="00694EE5"/>
    <w:rsid w:val="00694EF4"/>
    <w:rsid w:val="0069528D"/>
    <w:rsid w:val="00695331"/>
    <w:rsid w:val="0069533E"/>
    <w:rsid w:val="006954F2"/>
    <w:rsid w:val="006956F0"/>
    <w:rsid w:val="00695932"/>
    <w:rsid w:val="00695DF2"/>
    <w:rsid w:val="00695F26"/>
    <w:rsid w:val="00696059"/>
    <w:rsid w:val="00696065"/>
    <w:rsid w:val="00696072"/>
    <w:rsid w:val="006960E9"/>
    <w:rsid w:val="00696138"/>
    <w:rsid w:val="006961CF"/>
    <w:rsid w:val="006964B3"/>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55A"/>
    <w:rsid w:val="006A0606"/>
    <w:rsid w:val="006A0957"/>
    <w:rsid w:val="006A0AF6"/>
    <w:rsid w:val="006A0D10"/>
    <w:rsid w:val="006A0F56"/>
    <w:rsid w:val="006A10D7"/>
    <w:rsid w:val="006A1300"/>
    <w:rsid w:val="006A156C"/>
    <w:rsid w:val="006A1638"/>
    <w:rsid w:val="006A165A"/>
    <w:rsid w:val="006A16D0"/>
    <w:rsid w:val="006A17AE"/>
    <w:rsid w:val="006A1888"/>
    <w:rsid w:val="006A1AE1"/>
    <w:rsid w:val="006A1BA3"/>
    <w:rsid w:val="006A1E2B"/>
    <w:rsid w:val="006A1EC1"/>
    <w:rsid w:val="006A26BD"/>
    <w:rsid w:val="006A27EC"/>
    <w:rsid w:val="006A286B"/>
    <w:rsid w:val="006A2887"/>
    <w:rsid w:val="006A299C"/>
    <w:rsid w:val="006A29E3"/>
    <w:rsid w:val="006A2AD0"/>
    <w:rsid w:val="006A2C9F"/>
    <w:rsid w:val="006A2D85"/>
    <w:rsid w:val="006A2E7E"/>
    <w:rsid w:val="006A2EFC"/>
    <w:rsid w:val="006A303A"/>
    <w:rsid w:val="006A3277"/>
    <w:rsid w:val="006A38DE"/>
    <w:rsid w:val="006A3A52"/>
    <w:rsid w:val="006A3D4C"/>
    <w:rsid w:val="006A3DF0"/>
    <w:rsid w:val="006A4044"/>
    <w:rsid w:val="006A40AB"/>
    <w:rsid w:val="006A41D1"/>
    <w:rsid w:val="006A43A4"/>
    <w:rsid w:val="006A458F"/>
    <w:rsid w:val="006A45B0"/>
    <w:rsid w:val="006A477A"/>
    <w:rsid w:val="006A481D"/>
    <w:rsid w:val="006A492F"/>
    <w:rsid w:val="006A49EC"/>
    <w:rsid w:val="006A4AA0"/>
    <w:rsid w:val="006A4CD1"/>
    <w:rsid w:val="006A4D7B"/>
    <w:rsid w:val="006A4D8E"/>
    <w:rsid w:val="006A4F03"/>
    <w:rsid w:val="006A517A"/>
    <w:rsid w:val="006A55DB"/>
    <w:rsid w:val="006A566B"/>
    <w:rsid w:val="006A57F1"/>
    <w:rsid w:val="006A588C"/>
    <w:rsid w:val="006A59B0"/>
    <w:rsid w:val="006A59BD"/>
    <w:rsid w:val="006A5B4A"/>
    <w:rsid w:val="006A5C4A"/>
    <w:rsid w:val="006A5C86"/>
    <w:rsid w:val="006A5E2E"/>
    <w:rsid w:val="006A5E4C"/>
    <w:rsid w:val="006A5EFF"/>
    <w:rsid w:val="006A5F9F"/>
    <w:rsid w:val="006A6561"/>
    <w:rsid w:val="006A660B"/>
    <w:rsid w:val="006A667F"/>
    <w:rsid w:val="006A6765"/>
    <w:rsid w:val="006A6843"/>
    <w:rsid w:val="006A6B8C"/>
    <w:rsid w:val="006A6C7C"/>
    <w:rsid w:val="006A6D05"/>
    <w:rsid w:val="006A6E77"/>
    <w:rsid w:val="006A6EE7"/>
    <w:rsid w:val="006A7029"/>
    <w:rsid w:val="006A717F"/>
    <w:rsid w:val="006A71D8"/>
    <w:rsid w:val="006A722A"/>
    <w:rsid w:val="006A72DE"/>
    <w:rsid w:val="006A7792"/>
    <w:rsid w:val="006A7948"/>
    <w:rsid w:val="006A7A53"/>
    <w:rsid w:val="006A7A85"/>
    <w:rsid w:val="006A7C03"/>
    <w:rsid w:val="006A7C21"/>
    <w:rsid w:val="006A7D2E"/>
    <w:rsid w:val="006B0029"/>
    <w:rsid w:val="006B026D"/>
    <w:rsid w:val="006B03E4"/>
    <w:rsid w:val="006B0402"/>
    <w:rsid w:val="006B0419"/>
    <w:rsid w:val="006B05B1"/>
    <w:rsid w:val="006B069E"/>
    <w:rsid w:val="006B082A"/>
    <w:rsid w:val="006B0985"/>
    <w:rsid w:val="006B09FE"/>
    <w:rsid w:val="006B0B96"/>
    <w:rsid w:val="006B0BAD"/>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7BD"/>
    <w:rsid w:val="006B2854"/>
    <w:rsid w:val="006B29E5"/>
    <w:rsid w:val="006B2B48"/>
    <w:rsid w:val="006B2BC3"/>
    <w:rsid w:val="006B2C06"/>
    <w:rsid w:val="006B2CDE"/>
    <w:rsid w:val="006B2F0C"/>
    <w:rsid w:val="006B2FD0"/>
    <w:rsid w:val="006B306F"/>
    <w:rsid w:val="006B3179"/>
    <w:rsid w:val="006B3333"/>
    <w:rsid w:val="006B362C"/>
    <w:rsid w:val="006B3720"/>
    <w:rsid w:val="006B397F"/>
    <w:rsid w:val="006B3A20"/>
    <w:rsid w:val="006B3E3C"/>
    <w:rsid w:val="006B3F4F"/>
    <w:rsid w:val="006B4119"/>
    <w:rsid w:val="006B4136"/>
    <w:rsid w:val="006B4335"/>
    <w:rsid w:val="006B43D2"/>
    <w:rsid w:val="006B4441"/>
    <w:rsid w:val="006B44F8"/>
    <w:rsid w:val="006B4696"/>
    <w:rsid w:val="006B4B3F"/>
    <w:rsid w:val="006B4B9F"/>
    <w:rsid w:val="006B4C52"/>
    <w:rsid w:val="006B4E0D"/>
    <w:rsid w:val="006B4E1E"/>
    <w:rsid w:val="006B503B"/>
    <w:rsid w:val="006B5113"/>
    <w:rsid w:val="006B52A7"/>
    <w:rsid w:val="006B5378"/>
    <w:rsid w:val="006B53C4"/>
    <w:rsid w:val="006B55D3"/>
    <w:rsid w:val="006B56DF"/>
    <w:rsid w:val="006B56E4"/>
    <w:rsid w:val="006B56E7"/>
    <w:rsid w:val="006B5727"/>
    <w:rsid w:val="006B5860"/>
    <w:rsid w:val="006B59CE"/>
    <w:rsid w:val="006B5B94"/>
    <w:rsid w:val="006B5E12"/>
    <w:rsid w:val="006B5E17"/>
    <w:rsid w:val="006B5F09"/>
    <w:rsid w:val="006B60D6"/>
    <w:rsid w:val="006B6200"/>
    <w:rsid w:val="006B6392"/>
    <w:rsid w:val="006B63ED"/>
    <w:rsid w:val="006B642F"/>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B7CC9"/>
    <w:rsid w:val="006B7DCB"/>
    <w:rsid w:val="006C0246"/>
    <w:rsid w:val="006C0518"/>
    <w:rsid w:val="006C0620"/>
    <w:rsid w:val="006C0813"/>
    <w:rsid w:val="006C081B"/>
    <w:rsid w:val="006C08EC"/>
    <w:rsid w:val="006C0A02"/>
    <w:rsid w:val="006C0A82"/>
    <w:rsid w:val="006C0B0E"/>
    <w:rsid w:val="006C12A8"/>
    <w:rsid w:val="006C12EC"/>
    <w:rsid w:val="006C1320"/>
    <w:rsid w:val="006C1416"/>
    <w:rsid w:val="006C14C9"/>
    <w:rsid w:val="006C15A2"/>
    <w:rsid w:val="006C1654"/>
    <w:rsid w:val="006C165F"/>
    <w:rsid w:val="006C16EB"/>
    <w:rsid w:val="006C17A7"/>
    <w:rsid w:val="006C1916"/>
    <w:rsid w:val="006C198A"/>
    <w:rsid w:val="006C1A12"/>
    <w:rsid w:val="006C1A70"/>
    <w:rsid w:val="006C1BAB"/>
    <w:rsid w:val="006C1CCF"/>
    <w:rsid w:val="006C1EFB"/>
    <w:rsid w:val="006C2283"/>
    <w:rsid w:val="006C2381"/>
    <w:rsid w:val="006C246A"/>
    <w:rsid w:val="006C2528"/>
    <w:rsid w:val="006C2739"/>
    <w:rsid w:val="006C27C7"/>
    <w:rsid w:val="006C28CA"/>
    <w:rsid w:val="006C29CA"/>
    <w:rsid w:val="006C2CB3"/>
    <w:rsid w:val="006C2D60"/>
    <w:rsid w:val="006C2E06"/>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8E7"/>
    <w:rsid w:val="006C4952"/>
    <w:rsid w:val="006C4A51"/>
    <w:rsid w:val="006C50D0"/>
    <w:rsid w:val="006C519B"/>
    <w:rsid w:val="006C528F"/>
    <w:rsid w:val="006C54D2"/>
    <w:rsid w:val="006C563D"/>
    <w:rsid w:val="006C564B"/>
    <w:rsid w:val="006C56BC"/>
    <w:rsid w:val="006C5881"/>
    <w:rsid w:val="006C59B1"/>
    <w:rsid w:val="006C5B65"/>
    <w:rsid w:val="006C5C5A"/>
    <w:rsid w:val="006C5E36"/>
    <w:rsid w:val="006C6097"/>
    <w:rsid w:val="006C644D"/>
    <w:rsid w:val="006C65FB"/>
    <w:rsid w:val="006C66AA"/>
    <w:rsid w:val="006C673D"/>
    <w:rsid w:val="006C696A"/>
    <w:rsid w:val="006C6B85"/>
    <w:rsid w:val="006C6DF6"/>
    <w:rsid w:val="006C6F4D"/>
    <w:rsid w:val="006C6FEC"/>
    <w:rsid w:val="006C7047"/>
    <w:rsid w:val="006C7051"/>
    <w:rsid w:val="006C7156"/>
    <w:rsid w:val="006C71A3"/>
    <w:rsid w:val="006C727B"/>
    <w:rsid w:val="006C72F5"/>
    <w:rsid w:val="006C73AE"/>
    <w:rsid w:val="006C75D3"/>
    <w:rsid w:val="006C75F0"/>
    <w:rsid w:val="006C773E"/>
    <w:rsid w:val="006C7754"/>
    <w:rsid w:val="006C779C"/>
    <w:rsid w:val="006C797D"/>
    <w:rsid w:val="006C7A58"/>
    <w:rsid w:val="006C7B35"/>
    <w:rsid w:val="006C7E4F"/>
    <w:rsid w:val="006D0195"/>
    <w:rsid w:val="006D055A"/>
    <w:rsid w:val="006D059D"/>
    <w:rsid w:val="006D06B8"/>
    <w:rsid w:val="006D0891"/>
    <w:rsid w:val="006D0A3D"/>
    <w:rsid w:val="006D0AF2"/>
    <w:rsid w:val="006D0BFA"/>
    <w:rsid w:val="006D0F1C"/>
    <w:rsid w:val="006D110D"/>
    <w:rsid w:val="006D13BA"/>
    <w:rsid w:val="006D13CF"/>
    <w:rsid w:val="006D145D"/>
    <w:rsid w:val="006D156D"/>
    <w:rsid w:val="006D175D"/>
    <w:rsid w:val="006D17B8"/>
    <w:rsid w:val="006D1835"/>
    <w:rsid w:val="006D18BC"/>
    <w:rsid w:val="006D1972"/>
    <w:rsid w:val="006D1CB7"/>
    <w:rsid w:val="006D1E30"/>
    <w:rsid w:val="006D1ECF"/>
    <w:rsid w:val="006D2195"/>
    <w:rsid w:val="006D22CD"/>
    <w:rsid w:val="006D2341"/>
    <w:rsid w:val="006D243C"/>
    <w:rsid w:val="006D2472"/>
    <w:rsid w:val="006D2486"/>
    <w:rsid w:val="006D2542"/>
    <w:rsid w:val="006D259C"/>
    <w:rsid w:val="006D26F3"/>
    <w:rsid w:val="006D2A00"/>
    <w:rsid w:val="006D2CFE"/>
    <w:rsid w:val="006D2D11"/>
    <w:rsid w:val="006D2E30"/>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3EF7"/>
    <w:rsid w:val="006D4263"/>
    <w:rsid w:val="006D4357"/>
    <w:rsid w:val="006D4454"/>
    <w:rsid w:val="006D44C5"/>
    <w:rsid w:val="006D450E"/>
    <w:rsid w:val="006D47DF"/>
    <w:rsid w:val="006D4826"/>
    <w:rsid w:val="006D4D48"/>
    <w:rsid w:val="006D4F8C"/>
    <w:rsid w:val="006D502D"/>
    <w:rsid w:val="006D5207"/>
    <w:rsid w:val="006D5351"/>
    <w:rsid w:val="006D5391"/>
    <w:rsid w:val="006D53C5"/>
    <w:rsid w:val="006D5529"/>
    <w:rsid w:val="006D5726"/>
    <w:rsid w:val="006D57CA"/>
    <w:rsid w:val="006D5A6F"/>
    <w:rsid w:val="006D5AC8"/>
    <w:rsid w:val="006D5BC5"/>
    <w:rsid w:val="006D5C55"/>
    <w:rsid w:val="006D5DA3"/>
    <w:rsid w:val="006D600D"/>
    <w:rsid w:val="006D6446"/>
    <w:rsid w:val="006D64AB"/>
    <w:rsid w:val="006D6583"/>
    <w:rsid w:val="006D65A8"/>
    <w:rsid w:val="006D6694"/>
    <w:rsid w:val="006D67D9"/>
    <w:rsid w:val="006D680F"/>
    <w:rsid w:val="006D69D8"/>
    <w:rsid w:val="006D6A2C"/>
    <w:rsid w:val="006D6A49"/>
    <w:rsid w:val="006D6AEA"/>
    <w:rsid w:val="006D6B20"/>
    <w:rsid w:val="006D6BD2"/>
    <w:rsid w:val="006D6C8A"/>
    <w:rsid w:val="006D6C94"/>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C4F"/>
    <w:rsid w:val="006D7D62"/>
    <w:rsid w:val="006D7E0A"/>
    <w:rsid w:val="006E00C0"/>
    <w:rsid w:val="006E03AD"/>
    <w:rsid w:val="006E03D9"/>
    <w:rsid w:val="006E0422"/>
    <w:rsid w:val="006E0802"/>
    <w:rsid w:val="006E08A2"/>
    <w:rsid w:val="006E0A8B"/>
    <w:rsid w:val="006E0B20"/>
    <w:rsid w:val="006E0C95"/>
    <w:rsid w:val="006E0CB9"/>
    <w:rsid w:val="006E0D11"/>
    <w:rsid w:val="006E0D15"/>
    <w:rsid w:val="006E0D55"/>
    <w:rsid w:val="006E0D8D"/>
    <w:rsid w:val="006E100B"/>
    <w:rsid w:val="006E1071"/>
    <w:rsid w:val="006E1295"/>
    <w:rsid w:val="006E140E"/>
    <w:rsid w:val="006E141C"/>
    <w:rsid w:val="006E163A"/>
    <w:rsid w:val="006E16BC"/>
    <w:rsid w:val="006E1737"/>
    <w:rsid w:val="006E1B0F"/>
    <w:rsid w:val="006E1B5A"/>
    <w:rsid w:val="006E1D80"/>
    <w:rsid w:val="006E1E22"/>
    <w:rsid w:val="006E1E80"/>
    <w:rsid w:val="006E1F7B"/>
    <w:rsid w:val="006E2002"/>
    <w:rsid w:val="006E2244"/>
    <w:rsid w:val="006E234A"/>
    <w:rsid w:val="006E2459"/>
    <w:rsid w:val="006E24CE"/>
    <w:rsid w:val="006E2523"/>
    <w:rsid w:val="006E2A01"/>
    <w:rsid w:val="006E2A43"/>
    <w:rsid w:val="006E2B76"/>
    <w:rsid w:val="006E2D8A"/>
    <w:rsid w:val="006E2E06"/>
    <w:rsid w:val="006E2E07"/>
    <w:rsid w:val="006E2F58"/>
    <w:rsid w:val="006E3045"/>
    <w:rsid w:val="006E31D4"/>
    <w:rsid w:val="006E3295"/>
    <w:rsid w:val="006E32E7"/>
    <w:rsid w:val="006E34A9"/>
    <w:rsid w:val="006E382A"/>
    <w:rsid w:val="006E3C56"/>
    <w:rsid w:val="006E3CE7"/>
    <w:rsid w:val="006E3D9A"/>
    <w:rsid w:val="006E3EE9"/>
    <w:rsid w:val="006E3F08"/>
    <w:rsid w:val="006E408C"/>
    <w:rsid w:val="006E42F1"/>
    <w:rsid w:val="006E44A4"/>
    <w:rsid w:val="006E4548"/>
    <w:rsid w:val="006E458D"/>
    <w:rsid w:val="006E46AB"/>
    <w:rsid w:val="006E4706"/>
    <w:rsid w:val="006E47B6"/>
    <w:rsid w:val="006E48CB"/>
    <w:rsid w:val="006E4977"/>
    <w:rsid w:val="006E49C8"/>
    <w:rsid w:val="006E4A2D"/>
    <w:rsid w:val="006E4A9D"/>
    <w:rsid w:val="006E4AF4"/>
    <w:rsid w:val="006E4C4A"/>
    <w:rsid w:val="006E4CC6"/>
    <w:rsid w:val="006E502C"/>
    <w:rsid w:val="006E50FB"/>
    <w:rsid w:val="006E515F"/>
    <w:rsid w:val="006E524B"/>
    <w:rsid w:val="006E5484"/>
    <w:rsid w:val="006E55A4"/>
    <w:rsid w:val="006E56AC"/>
    <w:rsid w:val="006E584F"/>
    <w:rsid w:val="006E597D"/>
    <w:rsid w:val="006E59D9"/>
    <w:rsid w:val="006E5A10"/>
    <w:rsid w:val="006E5A16"/>
    <w:rsid w:val="006E5BF6"/>
    <w:rsid w:val="006E5D7F"/>
    <w:rsid w:val="006E5E42"/>
    <w:rsid w:val="006E5F22"/>
    <w:rsid w:val="006E5F58"/>
    <w:rsid w:val="006E60D5"/>
    <w:rsid w:val="006E631F"/>
    <w:rsid w:val="006E6418"/>
    <w:rsid w:val="006E6670"/>
    <w:rsid w:val="006E67B2"/>
    <w:rsid w:val="006E684A"/>
    <w:rsid w:val="006E6988"/>
    <w:rsid w:val="006E6A08"/>
    <w:rsid w:val="006E6BAA"/>
    <w:rsid w:val="006E6D51"/>
    <w:rsid w:val="006E6FED"/>
    <w:rsid w:val="006E709A"/>
    <w:rsid w:val="006E73C6"/>
    <w:rsid w:val="006E752C"/>
    <w:rsid w:val="006E7556"/>
    <w:rsid w:val="006E76D1"/>
    <w:rsid w:val="006E7746"/>
    <w:rsid w:val="006E777D"/>
    <w:rsid w:val="006E77AD"/>
    <w:rsid w:val="006E77EE"/>
    <w:rsid w:val="006E787D"/>
    <w:rsid w:val="006E790C"/>
    <w:rsid w:val="006E7DAE"/>
    <w:rsid w:val="006E7FC0"/>
    <w:rsid w:val="006F022A"/>
    <w:rsid w:val="006F0311"/>
    <w:rsid w:val="006F0373"/>
    <w:rsid w:val="006F0443"/>
    <w:rsid w:val="006F045C"/>
    <w:rsid w:val="006F0650"/>
    <w:rsid w:val="006F06CE"/>
    <w:rsid w:val="006F0841"/>
    <w:rsid w:val="006F0A63"/>
    <w:rsid w:val="006F0C4C"/>
    <w:rsid w:val="006F0C70"/>
    <w:rsid w:val="006F0D28"/>
    <w:rsid w:val="006F0D5E"/>
    <w:rsid w:val="006F0DE2"/>
    <w:rsid w:val="006F0DE3"/>
    <w:rsid w:val="006F0E9F"/>
    <w:rsid w:val="006F10DF"/>
    <w:rsid w:val="006F12A8"/>
    <w:rsid w:val="006F131B"/>
    <w:rsid w:val="006F14C0"/>
    <w:rsid w:val="006F1589"/>
    <w:rsid w:val="006F1723"/>
    <w:rsid w:val="006F1977"/>
    <w:rsid w:val="006F1A4E"/>
    <w:rsid w:val="006F1BF8"/>
    <w:rsid w:val="006F1FAB"/>
    <w:rsid w:val="006F21D3"/>
    <w:rsid w:val="006F2330"/>
    <w:rsid w:val="006F27D6"/>
    <w:rsid w:val="006F2AEB"/>
    <w:rsid w:val="006F2B7F"/>
    <w:rsid w:val="006F2D26"/>
    <w:rsid w:val="006F2D5B"/>
    <w:rsid w:val="006F2E34"/>
    <w:rsid w:val="006F2F40"/>
    <w:rsid w:val="006F3108"/>
    <w:rsid w:val="006F32BD"/>
    <w:rsid w:val="006F3350"/>
    <w:rsid w:val="006F3387"/>
    <w:rsid w:val="006F33F1"/>
    <w:rsid w:val="006F3523"/>
    <w:rsid w:val="006F3546"/>
    <w:rsid w:val="006F3559"/>
    <w:rsid w:val="006F364B"/>
    <w:rsid w:val="006F3A20"/>
    <w:rsid w:val="006F3A84"/>
    <w:rsid w:val="006F3B28"/>
    <w:rsid w:val="006F3F4A"/>
    <w:rsid w:val="006F413E"/>
    <w:rsid w:val="006F431B"/>
    <w:rsid w:val="006F46E7"/>
    <w:rsid w:val="006F4A5C"/>
    <w:rsid w:val="006F4B6A"/>
    <w:rsid w:val="006F4BDA"/>
    <w:rsid w:val="006F4CC9"/>
    <w:rsid w:val="006F4E42"/>
    <w:rsid w:val="006F5305"/>
    <w:rsid w:val="006F543B"/>
    <w:rsid w:val="006F551F"/>
    <w:rsid w:val="006F5521"/>
    <w:rsid w:val="006F59F9"/>
    <w:rsid w:val="006F5BB5"/>
    <w:rsid w:val="006F5CEF"/>
    <w:rsid w:val="006F5D54"/>
    <w:rsid w:val="006F5E20"/>
    <w:rsid w:val="006F5F07"/>
    <w:rsid w:val="006F601C"/>
    <w:rsid w:val="006F60A9"/>
    <w:rsid w:val="006F60DE"/>
    <w:rsid w:val="006F6326"/>
    <w:rsid w:val="006F63B2"/>
    <w:rsid w:val="006F6632"/>
    <w:rsid w:val="006F671A"/>
    <w:rsid w:val="006F6790"/>
    <w:rsid w:val="006F6D20"/>
    <w:rsid w:val="006F6E14"/>
    <w:rsid w:val="006F6EF7"/>
    <w:rsid w:val="006F6F16"/>
    <w:rsid w:val="006F6F22"/>
    <w:rsid w:val="006F70C6"/>
    <w:rsid w:val="006F7115"/>
    <w:rsid w:val="006F7167"/>
    <w:rsid w:val="006F7244"/>
    <w:rsid w:val="006F72A3"/>
    <w:rsid w:val="006F72E1"/>
    <w:rsid w:val="006F7342"/>
    <w:rsid w:val="006F743F"/>
    <w:rsid w:val="006F7587"/>
    <w:rsid w:val="006F75D6"/>
    <w:rsid w:val="006F7915"/>
    <w:rsid w:val="006F7981"/>
    <w:rsid w:val="006F7A55"/>
    <w:rsid w:val="006F7C04"/>
    <w:rsid w:val="006F7CF3"/>
    <w:rsid w:val="006F7E53"/>
    <w:rsid w:val="006F7F8A"/>
    <w:rsid w:val="0070000B"/>
    <w:rsid w:val="007001DC"/>
    <w:rsid w:val="00700298"/>
    <w:rsid w:val="00700321"/>
    <w:rsid w:val="0070037A"/>
    <w:rsid w:val="007003C2"/>
    <w:rsid w:val="00700451"/>
    <w:rsid w:val="007009A7"/>
    <w:rsid w:val="00700AAC"/>
    <w:rsid w:val="00700B67"/>
    <w:rsid w:val="00700E71"/>
    <w:rsid w:val="00700FF8"/>
    <w:rsid w:val="0070110E"/>
    <w:rsid w:val="00701189"/>
    <w:rsid w:val="007011E2"/>
    <w:rsid w:val="00701290"/>
    <w:rsid w:val="0070158B"/>
    <w:rsid w:val="00701674"/>
    <w:rsid w:val="007016E0"/>
    <w:rsid w:val="00701702"/>
    <w:rsid w:val="00701886"/>
    <w:rsid w:val="00701912"/>
    <w:rsid w:val="00701C18"/>
    <w:rsid w:val="00701DA1"/>
    <w:rsid w:val="00701DD3"/>
    <w:rsid w:val="00701E1E"/>
    <w:rsid w:val="00701E60"/>
    <w:rsid w:val="00701EC3"/>
    <w:rsid w:val="00702081"/>
    <w:rsid w:val="007022BB"/>
    <w:rsid w:val="007022D0"/>
    <w:rsid w:val="00702439"/>
    <w:rsid w:val="0070246C"/>
    <w:rsid w:val="00702767"/>
    <w:rsid w:val="00702996"/>
    <w:rsid w:val="00702B11"/>
    <w:rsid w:val="00702E84"/>
    <w:rsid w:val="00703049"/>
    <w:rsid w:val="0070313B"/>
    <w:rsid w:val="0070337D"/>
    <w:rsid w:val="007034C4"/>
    <w:rsid w:val="007035EC"/>
    <w:rsid w:val="007036C2"/>
    <w:rsid w:val="007037DB"/>
    <w:rsid w:val="00703A8D"/>
    <w:rsid w:val="00703B2F"/>
    <w:rsid w:val="00703D54"/>
    <w:rsid w:val="00703E47"/>
    <w:rsid w:val="00703F6E"/>
    <w:rsid w:val="00703FEE"/>
    <w:rsid w:val="00704036"/>
    <w:rsid w:val="0070410A"/>
    <w:rsid w:val="0070431D"/>
    <w:rsid w:val="0070439D"/>
    <w:rsid w:val="007043E7"/>
    <w:rsid w:val="007044BC"/>
    <w:rsid w:val="0070484D"/>
    <w:rsid w:val="00704953"/>
    <w:rsid w:val="007049CC"/>
    <w:rsid w:val="00704ABF"/>
    <w:rsid w:val="00704ADE"/>
    <w:rsid w:val="00704B76"/>
    <w:rsid w:val="00704E3E"/>
    <w:rsid w:val="0070527B"/>
    <w:rsid w:val="007056D3"/>
    <w:rsid w:val="0070582A"/>
    <w:rsid w:val="0070585E"/>
    <w:rsid w:val="007058A7"/>
    <w:rsid w:val="007058C9"/>
    <w:rsid w:val="007058F7"/>
    <w:rsid w:val="00705C8E"/>
    <w:rsid w:val="00705DE8"/>
    <w:rsid w:val="00706074"/>
    <w:rsid w:val="00706078"/>
    <w:rsid w:val="007061EE"/>
    <w:rsid w:val="007062EF"/>
    <w:rsid w:val="007062F3"/>
    <w:rsid w:val="00706347"/>
    <w:rsid w:val="00706363"/>
    <w:rsid w:val="0070636A"/>
    <w:rsid w:val="00706373"/>
    <w:rsid w:val="00706597"/>
    <w:rsid w:val="00706611"/>
    <w:rsid w:val="0070675A"/>
    <w:rsid w:val="007067F0"/>
    <w:rsid w:val="00706A70"/>
    <w:rsid w:val="00706AAF"/>
    <w:rsid w:val="00706E7A"/>
    <w:rsid w:val="00706F03"/>
    <w:rsid w:val="0070700E"/>
    <w:rsid w:val="0070737F"/>
    <w:rsid w:val="00707492"/>
    <w:rsid w:val="0070756A"/>
    <w:rsid w:val="007075A3"/>
    <w:rsid w:val="007075B3"/>
    <w:rsid w:val="007075CF"/>
    <w:rsid w:val="00707635"/>
    <w:rsid w:val="007076FC"/>
    <w:rsid w:val="0070783E"/>
    <w:rsid w:val="00707B1A"/>
    <w:rsid w:val="00707B28"/>
    <w:rsid w:val="00707BD9"/>
    <w:rsid w:val="00707C6B"/>
    <w:rsid w:val="00707DAA"/>
    <w:rsid w:val="00707E27"/>
    <w:rsid w:val="00707E60"/>
    <w:rsid w:val="00707E6B"/>
    <w:rsid w:val="00707F08"/>
    <w:rsid w:val="00707FA7"/>
    <w:rsid w:val="00710006"/>
    <w:rsid w:val="00710064"/>
    <w:rsid w:val="007100C6"/>
    <w:rsid w:val="0071011C"/>
    <w:rsid w:val="00710145"/>
    <w:rsid w:val="00710384"/>
    <w:rsid w:val="00710386"/>
    <w:rsid w:val="00710479"/>
    <w:rsid w:val="007105EE"/>
    <w:rsid w:val="0071062B"/>
    <w:rsid w:val="007107BE"/>
    <w:rsid w:val="0071085C"/>
    <w:rsid w:val="00710A4A"/>
    <w:rsid w:val="00710B20"/>
    <w:rsid w:val="00710BDC"/>
    <w:rsid w:val="00710CD4"/>
    <w:rsid w:val="00710CFC"/>
    <w:rsid w:val="00710DF0"/>
    <w:rsid w:val="00711035"/>
    <w:rsid w:val="007110E0"/>
    <w:rsid w:val="00711232"/>
    <w:rsid w:val="0071124F"/>
    <w:rsid w:val="0071131B"/>
    <w:rsid w:val="007113A4"/>
    <w:rsid w:val="007113E5"/>
    <w:rsid w:val="0071158C"/>
    <w:rsid w:val="007117EA"/>
    <w:rsid w:val="00711886"/>
    <w:rsid w:val="007118BB"/>
    <w:rsid w:val="00711A8E"/>
    <w:rsid w:val="00711B1A"/>
    <w:rsid w:val="00711F1B"/>
    <w:rsid w:val="00711F9D"/>
    <w:rsid w:val="00711FA4"/>
    <w:rsid w:val="0071220C"/>
    <w:rsid w:val="0071234C"/>
    <w:rsid w:val="0071237B"/>
    <w:rsid w:val="0071255D"/>
    <w:rsid w:val="0071266C"/>
    <w:rsid w:val="00712897"/>
    <w:rsid w:val="007128D6"/>
    <w:rsid w:val="007128E9"/>
    <w:rsid w:val="007128EA"/>
    <w:rsid w:val="007129CC"/>
    <w:rsid w:val="007129EA"/>
    <w:rsid w:val="00712B61"/>
    <w:rsid w:val="00712C17"/>
    <w:rsid w:val="00712C75"/>
    <w:rsid w:val="00712C97"/>
    <w:rsid w:val="00712CC0"/>
    <w:rsid w:val="00712CC3"/>
    <w:rsid w:val="00712E8A"/>
    <w:rsid w:val="00712F9D"/>
    <w:rsid w:val="00712FB9"/>
    <w:rsid w:val="00713040"/>
    <w:rsid w:val="00713116"/>
    <w:rsid w:val="007132B2"/>
    <w:rsid w:val="007132BF"/>
    <w:rsid w:val="00713389"/>
    <w:rsid w:val="007133BB"/>
    <w:rsid w:val="00713533"/>
    <w:rsid w:val="00713721"/>
    <w:rsid w:val="00713755"/>
    <w:rsid w:val="00713786"/>
    <w:rsid w:val="007138F7"/>
    <w:rsid w:val="0071396E"/>
    <w:rsid w:val="00713A02"/>
    <w:rsid w:val="00713A25"/>
    <w:rsid w:val="00713A45"/>
    <w:rsid w:val="00713BDE"/>
    <w:rsid w:val="00713D55"/>
    <w:rsid w:val="00713F78"/>
    <w:rsid w:val="00714150"/>
    <w:rsid w:val="00714780"/>
    <w:rsid w:val="00714804"/>
    <w:rsid w:val="0071483E"/>
    <w:rsid w:val="007149BC"/>
    <w:rsid w:val="007149C0"/>
    <w:rsid w:val="007149E1"/>
    <w:rsid w:val="00714A2D"/>
    <w:rsid w:val="00714B04"/>
    <w:rsid w:val="00714E70"/>
    <w:rsid w:val="00715007"/>
    <w:rsid w:val="0071512E"/>
    <w:rsid w:val="007151CB"/>
    <w:rsid w:val="0071537E"/>
    <w:rsid w:val="00715410"/>
    <w:rsid w:val="0071554B"/>
    <w:rsid w:val="00715782"/>
    <w:rsid w:val="007157D4"/>
    <w:rsid w:val="007158D1"/>
    <w:rsid w:val="0071596A"/>
    <w:rsid w:val="00715A30"/>
    <w:rsid w:val="00715A85"/>
    <w:rsid w:val="00715C94"/>
    <w:rsid w:val="00715DBD"/>
    <w:rsid w:val="00715EC4"/>
    <w:rsid w:val="00715F07"/>
    <w:rsid w:val="00715F45"/>
    <w:rsid w:val="00716036"/>
    <w:rsid w:val="0071605D"/>
    <w:rsid w:val="0071606A"/>
    <w:rsid w:val="00716308"/>
    <w:rsid w:val="007163FE"/>
    <w:rsid w:val="00716777"/>
    <w:rsid w:val="007167DD"/>
    <w:rsid w:val="00716BC7"/>
    <w:rsid w:val="00716DB0"/>
    <w:rsid w:val="00716E08"/>
    <w:rsid w:val="00716F95"/>
    <w:rsid w:val="00717011"/>
    <w:rsid w:val="007170E5"/>
    <w:rsid w:val="00717167"/>
    <w:rsid w:val="00717356"/>
    <w:rsid w:val="00717544"/>
    <w:rsid w:val="00717665"/>
    <w:rsid w:val="007176C2"/>
    <w:rsid w:val="0071798B"/>
    <w:rsid w:val="007179EB"/>
    <w:rsid w:val="00717BB1"/>
    <w:rsid w:val="00717E4B"/>
    <w:rsid w:val="00717E7E"/>
    <w:rsid w:val="00717EE5"/>
    <w:rsid w:val="00717FA0"/>
    <w:rsid w:val="00717FB2"/>
    <w:rsid w:val="00720005"/>
    <w:rsid w:val="007201A0"/>
    <w:rsid w:val="0072028E"/>
    <w:rsid w:val="007203A2"/>
    <w:rsid w:val="007203A5"/>
    <w:rsid w:val="00720447"/>
    <w:rsid w:val="007204A7"/>
    <w:rsid w:val="00720659"/>
    <w:rsid w:val="00720736"/>
    <w:rsid w:val="00720773"/>
    <w:rsid w:val="00720775"/>
    <w:rsid w:val="00720839"/>
    <w:rsid w:val="0072083E"/>
    <w:rsid w:val="00720E0E"/>
    <w:rsid w:val="007210DC"/>
    <w:rsid w:val="00721235"/>
    <w:rsid w:val="007212B2"/>
    <w:rsid w:val="007217C9"/>
    <w:rsid w:val="00721BCF"/>
    <w:rsid w:val="00721C96"/>
    <w:rsid w:val="00722005"/>
    <w:rsid w:val="00722015"/>
    <w:rsid w:val="0072218B"/>
    <w:rsid w:val="00722364"/>
    <w:rsid w:val="00722663"/>
    <w:rsid w:val="0072275F"/>
    <w:rsid w:val="00722802"/>
    <w:rsid w:val="007228D7"/>
    <w:rsid w:val="0072298C"/>
    <w:rsid w:val="00722D11"/>
    <w:rsid w:val="00722E46"/>
    <w:rsid w:val="00722EFD"/>
    <w:rsid w:val="00722F0D"/>
    <w:rsid w:val="0072312B"/>
    <w:rsid w:val="00723567"/>
    <w:rsid w:val="007235EC"/>
    <w:rsid w:val="007237A1"/>
    <w:rsid w:val="007237B5"/>
    <w:rsid w:val="00723B0B"/>
    <w:rsid w:val="00723B2C"/>
    <w:rsid w:val="00723C24"/>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D2"/>
    <w:rsid w:val="007250ED"/>
    <w:rsid w:val="0072525B"/>
    <w:rsid w:val="007252FF"/>
    <w:rsid w:val="0072546D"/>
    <w:rsid w:val="007255B5"/>
    <w:rsid w:val="007255C0"/>
    <w:rsid w:val="00725664"/>
    <w:rsid w:val="007256B7"/>
    <w:rsid w:val="00725959"/>
    <w:rsid w:val="007259D6"/>
    <w:rsid w:val="00725A9B"/>
    <w:rsid w:val="00725AEF"/>
    <w:rsid w:val="00725CEB"/>
    <w:rsid w:val="00725E73"/>
    <w:rsid w:val="00725F60"/>
    <w:rsid w:val="00726458"/>
    <w:rsid w:val="00726483"/>
    <w:rsid w:val="00726488"/>
    <w:rsid w:val="0072654E"/>
    <w:rsid w:val="0072657D"/>
    <w:rsid w:val="007269AD"/>
    <w:rsid w:val="00726BCE"/>
    <w:rsid w:val="00726D70"/>
    <w:rsid w:val="00726E5C"/>
    <w:rsid w:val="00726ED6"/>
    <w:rsid w:val="00726EFA"/>
    <w:rsid w:val="00726EFB"/>
    <w:rsid w:val="00726FDD"/>
    <w:rsid w:val="00727065"/>
    <w:rsid w:val="00727307"/>
    <w:rsid w:val="007274D2"/>
    <w:rsid w:val="007275B7"/>
    <w:rsid w:val="00727712"/>
    <w:rsid w:val="00727911"/>
    <w:rsid w:val="00727B19"/>
    <w:rsid w:val="00727B76"/>
    <w:rsid w:val="00727C83"/>
    <w:rsid w:val="00727E24"/>
    <w:rsid w:val="00727E8D"/>
    <w:rsid w:val="00727F62"/>
    <w:rsid w:val="0073046C"/>
    <w:rsid w:val="007305B7"/>
    <w:rsid w:val="007307AE"/>
    <w:rsid w:val="007308EE"/>
    <w:rsid w:val="00730933"/>
    <w:rsid w:val="00730C5C"/>
    <w:rsid w:val="00730CBB"/>
    <w:rsid w:val="00730DE1"/>
    <w:rsid w:val="00730EE8"/>
    <w:rsid w:val="00731003"/>
    <w:rsid w:val="0073104E"/>
    <w:rsid w:val="00731067"/>
    <w:rsid w:val="007312FE"/>
    <w:rsid w:val="00731307"/>
    <w:rsid w:val="00731369"/>
    <w:rsid w:val="007317DA"/>
    <w:rsid w:val="00731911"/>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162"/>
    <w:rsid w:val="00733380"/>
    <w:rsid w:val="007333A7"/>
    <w:rsid w:val="007333AD"/>
    <w:rsid w:val="007333C0"/>
    <w:rsid w:val="007335CB"/>
    <w:rsid w:val="00733618"/>
    <w:rsid w:val="007336CC"/>
    <w:rsid w:val="007338C1"/>
    <w:rsid w:val="007339D8"/>
    <w:rsid w:val="00733AC9"/>
    <w:rsid w:val="00733CF2"/>
    <w:rsid w:val="00733D1B"/>
    <w:rsid w:val="00733DE3"/>
    <w:rsid w:val="00733E76"/>
    <w:rsid w:val="00733F20"/>
    <w:rsid w:val="00733F37"/>
    <w:rsid w:val="00733F84"/>
    <w:rsid w:val="00734038"/>
    <w:rsid w:val="007341DD"/>
    <w:rsid w:val="00734292"/>
    <w:rsid w:val="00734465"/>
    <w:rsid w:val="00734518"/>
    <w:rsid w:val="0073476C"/>
    <w:rsid w:val="0073479C"/>
    <w:rsid w:val="007348BA"/>
    <w:rsid w:val="007349AE"/>
    <w:rsid w:val="00734BBD"/>
    <w:rsid w:val="00734D28"/>
    <w:rsid w:val="00734E14"/>
    <w:rsid w:val="007350FB"/>
    <w:rsid w:val="0073518E"/>
    <w:rsid w:val="007352C6"/>
    <w:rsid w:val="007354C9"/>
    <w:rsid w:val="007354E4"/>
    <w:rsid w:val="007359A9"/>
    <w:rsid w:val="00735E18"/>
    <w:rsid w:val="00735F71"/>
    <w:rsid w:val="00735FFE"/>
    <w:rsid w:val="00736012"/>
    <w:rsid w:val="0073619B"/>
    <w:rsid w:val="007362F4"/>
    <w:rsid w:val="007363C1"/>
    <w:rsid w:val="00736469"/>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AEC"/>
    <w:rsid w:val="00737B23"/>
    <w:rsid w:val="00737C95"/>
    <w:rsid w:val="00737E39"/>
    <w:rsid w:val="00737EC1"/>
    <w:rsid w:val="00737F58"/>
    <w:rsid w:val="007402D5"/>
    <w:rsid w:val="007405E8"/>
    <w:rsid w:val="0074079C"/>
    <w:rsid w:val="00740893"/>
    <w:rsid w:val="0074099E"/>
    <w:rsid w:val="00740A41"/>
    <w:rsid w:val="00740B5A"/>
    <w:rsid w:val="00740B82"/>
    <w:rsid w:val="00740BD3"/>
    <w:rsid w:val="00740C40"/>
    <w:rsid w:val="00740E0C"/>
    <w:rsid w:val="00740F25"/>
    <w:rsid w:val="0074108D"/>
    <w:rsid w:val="00741235"/>
    <w:rsid w:val="0074127A"/>
    <w:rsid w:val="0074132F"/>
    <w:rsid w:val="007414C8"/>
    <w:rsid w:val="007416BF"/>
    <w:rsid w:val="0074183C"/>
    <w:rsid w:val="0074187C"/>
    <w:rsid w:val="007418D5"/>
    <w:rsid w:val="007418E7"/>
    <w:rsid w:val="007420F0"/>
    <w:rsid w:val="00742201"/>
    <w:rsid w:val="00742502"/>
    <w:rsid w:val="007426F3"/>
    <w:rsid w:val="007427E4"/>
    <w:rsid w:val="00742A42"/>
    <w:rsid w:val="00742B51"/>
    <w:rsid w:val="00742D6B"/>
    <w:rsid w:val="00742DC2"/>
    <w:rsid w:val="00742E32"/>
    <w:rsid w:val="00742E80"/>
    <w:rsid w:val="00743202"/>
    <w:rsid w:val="0074328B"/>
    <w:rsid w:val="007434CF"/>
    <w:rsid w:val="0074365E"/>
    <w:rsid w:val="00743717"/>
    <w:rsid w:val="0074399C"/>
    <w:rsid w:val="007439D9"/>
    <w:rsid w:val="00743C53"/>
    <w:rsid w:val="00743CB4"/>
    <w:rsid w:val="00743CD6"/>
    <w:rsid w:val="00743E6A"/>
    <w:rsid w:val="00744004"/>
    <w:rsid w:val="00744007"/>
    <w:rsid w:val="0074408C"/>
    <w:rsid w:val="0074434E"/>
    <w:rsid w:val="0074496F"/>
    <w:rsid w:val="00744AE6"/>
    <w:rsid w:val="00744E7A"/>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AC0"/>
    <w:rsid w:val="00746C96"/>
    <w:rsid w:val="00746D6B"/>
    <w:rsid w:val="007470C9"/>
    <w:rsid w:val="007470CF"/>
    <w:rsid w:val="00747290"/>
    <w:rsid w:val="0074738D"/>
    <w:rsid w:val="0074747B"/>
    <w:rsid w:val="007474AB"/>
    <w:rsid w:val="00747663"/>
    <w:rsid w:val="00747888"/>
    <w:rsid w:val="007478BB"/>
    <w:rsid w:val="00747B1A"/>
    <w:rsid w:val="00747CB0"/>
    <w:rsid w:val="00747CD3"/>
    <w:rsid w:val="00747D27"/>
    <w:rsid w:val="00747F0D"/>
    <w:rsid w:val="00747F2B"/>
    <w:rsid w:val="00747F97"/>
    <w:rsid w:val="0075019D"/>
    <w:rsid w:val="0075023C"/>
    <w:rsid w:val="007505BC"/>
    <w:rsid w:val="0075061A"/>
    <w:rsid w:val="00750779"/>
    <w:rsid w:val="007508EA"/>
    <w:rsid w:val="00750926"/>
    <w:rsid w:val="00750B75"/>
    <w:rsid w:val="00750BE5"/>
    <w:rsid w:val="00750C1F"/>
    <w:rsid w:val="00750C7D"/>
    <w:rsid w:val="00750F0B"/>
    <w:rsid w:val="00750F8B"/>
    <w:rsid w:val="007510E8"/>
    <w:rsid w:val="007513D0"/>
    <w:rsid w:val="00751543"/>
    <w:rsid w:val="007515AD"/>
    <w:rsid w:val="00751634"/>
    <w:rsid w:val="0075181F"/>
    <w:rsid w:val="00751F92"/>
    <w:rsid w:val="007521CC"/>
    <w:rsid w:val="007522D9"/>
    <w:rsid w:val="00752720"/>
    <w:rsid w:val="007527BC"/>
    <w:rsid w:val="007527E9"/>
    <w:rsid w:val="00752855"/>
    <w:rsid w:val="007529CC"/>
    <w:rsid w:val="00752B6A"/>
    <w:rsid w:val="00752BF7"/>
    <w:rsid w:val="00752CCC"/>
    <w:rsid w:val="00752D60"/>
    <w:rsid w:val="00752D86"/>
    <w:rsid w:val="00752E0D"/>
    <w:rsid w:val="0075303B"/>
    <w:rsid w:val="00753066"/>
    <w:rsid w:val="007531C7"/>
    <w:rsid w:val="007532E8"/>
    <w:rsid w:val="007535B0"/>
    <w:rsid w:val="007535B8"/>
    <w:rsid w:val="00753A35"/>
    <w:rsid w:val="00753D9D"/>
    <w:rsid w:val="00753E68"/>
    <w:rsid w:val="00753EBA"/>
    <w:rsid w:val="00753EEF"/>
    <w:rsid w:val="00753F16"/>
    <w:rsid w:val="0075413F"/>
    <w:rsid w:val="0075437B"/>
    <w:rsid w:val="007543CE"/>
    <w:rsid w:val="0075450F"/>
    <w:rsid w:val="007545BF"/>
    <w:rsid w:val="0075465C"/>
    <w:rsid w:val="007547FB"/>
    <w:rsid w:val="00754ACB"/>
    <w:rsid w:val="00754AD3"/>
    <w:rsid w:val="00754D99"/>
    <w:rsid w:val="00754ED0"/>
    <w:rsid w:val="0075505F"/>
    <w:rsid w:val="007550ED"/>
    <w:rsid w:val="00755114"/>
    <w:rsid w:val="0075514B"/>
    <w:rsid w:val="0075514C"/>
    <w:rsid w:val="007551CD"/>
    <w:rsid w:val="0075529C"/>
    <w:rsid w:val="007552A9"/>
    <w:rsid w:val="0075556C"/>
    <w:rsid w:val="007556CB"/>
    <w:rsid w:val="00755A43"/>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6B"/>
    <w:rsid w:val="00756C8C"/>
    <w:rsid w:val="00756CA0"/>
    <w:rsid w:val="00756D61"/>
    <w:rsid w:val="00756FE4"/>
    <w:rsid w:val="0075705D"/>
    <w:rsid w:val="007571EB"/>
    <w:rsid w:val="0075724E"/>
    <w:rsid w:val="007572C7"/>
    <w:rsid w:val="0075737B"/>
    <w:rsid w:val="007573C9"/>
    <w:rsid w:val="007574E8"/>
    <w:rsid w:val="007579D1"/>
    <w:rsid w:val="00757A2D"/>
    <w:rsid w:val="00757C23"/>
    <w:rsid w:val="00757C90"/>
    <w:rsid w:val="00757D27"/>
    <w:rsid w:val="00757D7F"/>
    <w:rsid w:val="00757DFD"/>
    <w:rsid w:val="007600AB"/>
    <w:rsid w:val="00760228"/>
    <w:rsid w:val="0076032D"/>
    <w:rsid w:val="00760442"/>
    <w:rsid w:val="00760452"/>
    <w:rsid w:val="007604E5"/>
    <w:rsid w:val="00760533"/>
    <w:rsid w:val="00760627"/>
    <w:rsid w:val="00760637"/>
    <w:rsid w:val="007606CA"/>
    <w:rsid w:val="0076082A"/>
    <w:rsid w:val="007608D2"/>
    <w:rsid w:val="007612D7"/>
    <w:rsid w:val="007615F3"/>
    <w:rsid w:val="007616CB"/>
    <w:rsid w:val="00761765"/>
    <w:rsid w:val="00761807"/>
    <w:rsid w:val="00761844"/>
    <w:rsid w:val="00761BA7"/>
    <w:rsid w:val="00761BEB"/>
    <w:rsid w:val="00761CC1"/>
    <w:rsid w:val="00761D66"/>
    <w:rsid w:val="00761D87"/>
    <w:rsid w:val="00761E7F"/>
    <w:rsid w:val="00761EDC"/>
    <w:rsid w:val="00762034"/>
    <w:rsid w:val="007621B8"/>
    <w:rsid w:val="007622EB"/>
    <w:rsid w:val="0076232D"/>
    <w:rsid w:val="007623CC"/>
    <w:rsid w:val="00762490"/>
    <w:rsid w:val="0076264D"/>
    <w:rsid w:val="00762890"/>
    <w:rsid w:val="00762A1B"/>
    <w:rsid w:val="00762A4F"/>
    <w:rsid w:val="00762B96"/>
    <w:rsid w:val="00762DA3"/>
    <w:rsid w:val="00762F08"/>
    <w:rsid w:val="00762F4E"/>
    <w:rsid w:val="00762FE4"/>
    <w:rsid w:val="00763291"/>
    <w:rsid w:val="007639BF"/>
    <w:rsid w:val="00763B81"/>
    <w:rsid w:val="00763D39"/>
    <w:rsid w:val="0076435B"/>
    <w:rsid w:val="007644FA"/>
    <w:rsid w:val="007645A1"/>
    <w:rsid w:val="00764A26"/>
    <w:rsid w:val="00764C09"/>
    <w:rsid w:val="00764C89"/>
    <w:rsid w:val="00764C8F"/>
    <w:rsid w:val="00764D9F"/>
    <w:rsid w:val="00764F2E"/>
    <w:rsid w:val="00765047"/>
    <w:rsid w:val="00765087"/>
    <w:rsid w:val="007655D0"/>
    <w:rsid w:val="00765882"/>
    <w:rsid w:val="00765D2A"/>
    <w:rsid w:val="00765F35"/>
    <w:rsid w:val="00766156"/>
    <w:rsid w:val="00766300"/>
    <w:rsid w:val="00766304"/>
    <w:rsid w:val="0076653F"/>
    <w:rsid w:val="0076656C"/>
    <w:rsid w:val="007666AC"/>
    <w:rsid w:val="00766765"/>
    <w:rsid w:val="00766945"/>
    <w:rsid w:val="00766A0E"/>
    <w:rsid w:val="00766AA7"/>
    <w:rsid w:val="00766B38"/>
    <w:rsid w:val="00766B5E"/>
    <w:rsid w:val="00766C4F"/>
    <w:rsid w:val="00766D22"/>
    <w:rsid w:val="00766D3A"/>
    <w:rsid w:val="00766D9D"/>
    <w:rsid w:val="00767018"/>
    <w:rsid w:val="00767154"/>
    <w:rsid w:val="00767244"/>
    <w:rsid w:val="00767566"/>
    <w:rsid w:val="0076781F"/>
    <w:rsid w:val="0076787A"/>
    <w:rsid w:val="0076794C"/>
    <w:rsid w:val="00767B62"/>
    <w:rsid w:val="00767CCE"/>
    <w:rsid w:val="00767ED4"/>
    <w:rsid w:val="00767F68"/>
    <w:rsid w:val="0077015E"/>
    <w:rsid w:val="007701FF"/>
    <w:rsid w:val="00770329"/>
    <w:rsid w:val="0077049B"/>
    <w:rsid w:val="00770742"/>
    <w:rsid w:val="0077089B"/>
    <w:rsid w:val="00770CE5"/>
    <w:rsid w:val="00770E85"/>
    <w:rsid w:val="00770EEC"/>
    <w:rsid w:val="007711B5"/>
    <w:rsid w:val="007713AE"/>
    <w:rsid w:val="007713B8"/>
    <w:rsid w:val="0077140B"/>
    <w:rsid w:val="007714BE"/>
    <w:rsid w:val="007714D4"/>
    <w:rsid w:val="007714D7"/>
    <w:rsid w:val="00771537"/>
    <w:rsid w:val="0077175E"/>
    <w:rsid w:val="007718EE"/>
    <w:rsid w:val="00771A69"/>
    <w:rsid w:val="00771BE7"/>
    <w:rsid w:val="00771C2F"/>
    <w:rsid w:val="00771D67"/>
    <w:rsid w:val="007720DB"/>
    <w:rsid w:val="007721AC"/>
    <w:rsid w:val="00772250"/>
    <w:rsid w:val="0077226E"/>
    <w:rsid w:val="007723C0"/>
    <w:rsid w:val="007726E6"/>
    <w:rsid w:val="00772850"/>
    <w:rsid w:val="00772891"/>
    <w:rsid w:val="007728F4"/>
    <w:rsid w:val="00772A70"/>
    <w:rsid w:val="00772CF5"/>
    <w:rsid w:val="00772EC5"/>
    <w:rsid w:val="007738B2"/>
    <w:rsid w:val="0077415E"/>
    <w:rsid w:val="0077428B"/>
    <w:rsid w:val="0077429B"/>
    <w:rsid w:val="0077447A"/>
    <w:rsid w:val="0077450B"/>
    <w:rsid w:val="00774601"/>
    <w:rsid w:val="00774841"/>
    <w:rsid w:val="00774AC3"/>
    <w:rsid w:val="00774C1A"/>
    <w:rsid w:val="00774D93"/>
    <w:rsid w:val="00775029"/>
    <w:rsid w:val="00775137"/>
    <w:rsid w:val="0077518F"/>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006"/>
    <w:rsid w:val="007761C8"/>
    <w:rsid w:val="00776291"/>
    <w:rsid w:val="0077644E"/>
    <w:rsid w:val="007765E4"/>
    <w:rsid w:val="007766FA"/>
    <w:rsid w:val="00776937"/>
    <w:rsid w:val="007769F3"/>
    <w:rsid w:val="00776C20"/>
    <w:rsid w:val="00776F68"/>
    <w:rsid w:val="00776FC1"/>
    <w:rsid w:val="00777052"/>
    <w:rsid w:val="00777055"/>
    <w:rsid w:val="0077732D"/>
    <w:rsid w:val="007774DE"/>
    <w:rsid w:val="0077772A"/>
    <w:rsid w:val="00777853"/>
    <w:rsid w:val="00777874"/>
    <w:rsid w:val="0077791B"/>
    <w:rsid w:val="00777ABF"/>
    <w:rsid w:val="00777CC6"/>
    <w:rsid w:val="00777CE2"/>
    <w:rsid w:val="00777EE1"/>
    <w:rsid w:val="00777F9F"/>
    <w:rsid w:val="007804C6"/>
    <w:rsid w:val="00780612"/>
    <w:rsid w:val="00780654"/>
    <w:rsid w:val="00780660"/>
    <w:rsid w:val="00780708"/>
    <w:rsid w:val="00780D1E"/>
    <w:rsid w:val="00780E86"/>
    <w:rsid w:val="00780E9C"/>
    <w:rsid w:val="00780F02"/>
    <w:rsid w:val="00781047"/>
    <w:rsid w:val="0078107F"/>
    <w:rsid w:val="00781234"/>
    <w:rsid w:val="00781264"/>
    <w:rsid w:val="00781351"/>
    <w:rsid w:val="007814E1"/>
    <w:rsid w:val="00781505"/>
    <w:rsid w:val="00781552"/>
    <w:rsid w:val="00781701"/>
    <w:rsid w:val="007817EB"/>
    <w:rsid w:val="00781821"/>
    <w:rsid w:val="00781A24"/>
    <w:rsid w:val="00781C1C"/>
    <w:rsid w:val="00781F33"/>
    <w:rsid w:val="00781F68"/>
    <w:rsid w:val="00782015"/>
    <w:rsid w:val="007821B6"/>
    <w:rsid w:val="00782451"/>
    <w:rsid w:val="0078292B"/>
    <w:rsid w:val="00782EA6"/>
    <w:rsid w:val="00782EFC"/>
    <w:rsid w:val="00783107"/>
    <w:rsid w:val="007831E5"/>
    <w:rsid w:val="007834A4"/>
    <w:rsid w:val="0078350E"/>
    <w:rsid w:val="0078360F"/>
    <w:rsid w:val="007837E1"/>
    <w:rsid w:val="007838A7"/>
    <w:rsid w:val="007839C9"/>
    <w:rsid w:val="00783A04"/>
    <w:rsid w:val="00783A47"/>
    <w:rsid w:val="00783AFC"/>
    <w:rsid w:val="00783CC3"/>
    <w:rsid w:val="00784457"/>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973"/>
    <w:rsid w:val="00785977"/>
    <w:rsid w:val="00785998"/>
    <w:rsid w:val="00785BE7"/>
    <w:rsid w:val="00785C55"/>
    <w:rsid w:val="00785CD2"/>
    <w:rsid w:val="00785E07"/>
    <w:rsid w:val="00785E0E"/>
    <w:rsid w:val="00786029"/>
    <w:rsid w:val="00786281"/>
    <w:rsid w:val="007862F4"/>
    <w:rsid w:val="007863A6"/>
    <w:rsid w:val="007863C5"/>
    <w:rsid w:val="007864D5"/>
    <w:rsid w:val="0078654B"/>
    <w:rsid w:val="007869BD"/>
    <w:rsid w:val="007869CB"/>
    <w:rsid w:val="00786AA6"/>
    <w:rsid w:val="00786AB5"/>
    <w:rsid w:val="00786C0A"/>
    <w:rsid w:val="00786C20"/>
    <w:rsid w:val="00786C83"/>
    <w:rsid w:val="00786D10"/>
    <w:rsid w:val="00786E0E"/>
    <w:rsid w:val="00786E10"/>
    <w:rsid w:val="00786F60"/>
    <w:rsid w:val="0078707E"/>
    <w:rsid w:val="0078747E"/>
    <w:rsid w:val="00787487"/>
    <w:rsid w:val="007874E9"/>
    <w:rsid w:val="007874EC"/>
    <w:rsid w:val="00787663"/>
    <w:rsid w:val="00787667"/>
    <w:rsid w:val="007876C8"/>
    <w:rsid w:val="00787C2E"/>
    <w:rsid w:val="00787CFC"/>
    <w:rsid w:val="00787D5F"/>
    <w:rsid w:val="00787DD3"/>
    <w:rsid w:val="00787F17"/>
    <w:rsid w:val="00790190"/>
    <w:rsid w:val="0079019B"/>
    <w:rsid w:val="007905C6"/>
    <w:rsid w:val="00790782"/>
    <w:rsid w:val="00790FD9"/>
    <w:rsid w:val="007911D1"/>
    <w:rsid w:val="00791259"/>
    <w:rsid w:val="0079127C"/>
    <w:rsid w:val="00791305"/>
    <w:rsid w:val="00791325"/>
    <w:rsid w:val="00791466"/>
    <w:rsid w:val="0079171D"/>
    <w:rsid w:val="0079177E"/>
    <w:rsid w:val="00791B36"/>
    <w:rsid w:val="00791DF2"/>
    <w:rsid w:val="00791E4D"/>
    <w:rsid w:val="00791E60"/>
    <w:rsid w:val="007920FF"/>
    <w:rsid w:val="007924E0"/>
    <w:rsid w:val="0079292F"/>
    <w:rsid w:val="00792990"/>
    <w:rsid w:val="00792B93"/>
    <w:rsid w:val="00792C76"/>
    <w:rsid w:val="00792D31"/>
    <w:rsid w:val="00792F77"/>
    <w:rsid w:val="00793553"/>
    <w:rsid w:val="007935A8"/>
    <w:rsid w:val="00793818"/>
    <w:rsid w:val="007938B1"/>
    <w:rsid w:val="007938F3"/>
    <w:rsid w:val="0079392E"/>
    <w:rsid w:val="00793996"/>
    <w:rsid w:val="00793B04"/>
    <w:rsid w:val="00793C57"/>
    <w:rsid w:val="00793CA0"/>
    <w:rsid w:val="0079406C"/>
    <w:rsid w:val="007940F4"/>
    <w:rsid w:val="0079414C"/>
    <w:rsid w:val="0079415E"/>
    <w:rsid w:val="0079418E"/>
    <w:rsid w:val="007941B0"/>
    <w:rsid w:val="0079439D"/>
    <w:rsid w:val="007943B1"/>
    <w:rsid w:val="007945DD"/>
    <w:rsid w:val="007946B0"/>
    <w:rsid w:val="00794700"/>
    <w:rsid w:val="00794840"/>
    <w:rsid w:val="007948D9"/>
    <w:rsid w:val="00794901"/>
    <w:rsid w:val="00794B0D"/>
    <w:rsid w:val="00794B91"/>
    <w:rsid w:val="00794C42"/>
    <w:rsid w:val="00794ED8"/>
    <w:rsid w:val="007950AB"/>
    <w:rsid w:val="007955C1"/>
    <w:rsid w:val="00795718"/>
    <w:rsid w:val="00795AB5"/>
    <w:rsid w:val="00795E06"/>
    <w:rsid w:val="007960E8"/>
    <w:rsid w:val="00796494"/>
    <w:rsid w:val="00796883"/>
    <w:rsid w:val="00796991"/>
    <w:rsid w:val="00796A40"/>
    <w:rsid w:val="00796BA0"/>
    <w:rsid w:val="00796C28"/>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35"/>
    <w:rsid w:val="00797A57"/>
    <w:rsid w:val="00797B10"/>
    <w:rsid w:val="00797DE6"/>
    <w:rsid w:val="00797EA6"/>
    <w:rsid w:val="00797EEE"/>
    <w:rsid w:val="007A0110"/>
    <w:rsid w:val="007A016C"/>
    <w:rsid w:val="007A02CA"/>
    <w:rsid w:val="007A0468"/>
    <w:rsid w:val="007A053D"/>
    <w:rsid w:val="007A054F"/>
    <w:rsid w:val="007A0611"/>
    <w:rsid w:val="007A083A"/>
    <w:rsid w:val="007A08E5"/>
    <w:rsid w:val="007A0C6B"/>
    <w:rsid w:val="007A0F8C"/>
    <w:rsid w:val="007A100D"/>
    <w:rsid w:val="007A108A"/>
    <w:rsid w:val="007A116D"/>
    <w:rsid w:val="007A11B3"/>
    <w:rsid w:val="007A1200"/>
    <w:rsid w:val="007A128B"/>
    <w:rsid w:val="007A13FB"/>
    <w:rsid w:val="007A13FE"/>
    <w:rsid w:val="007A147B"/>
    <w:rsid w:val="007A149D"/>
    <w:rsid w:val="007A15FB"/>
    <w:rsid w:val="007A1703"/>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D07"/>
    <w:rsid w:val="007A2D8C"/>
    <w:rsid w:val="007A2F36"/>
    <w:rsid w:val="007A2F70"/>
    <w:rsid w:val="007A3082"/>
    <w:rsid w:val="007A30A0"/>
    <w:rsid w:val="007A32CF"/>
    <w:rsid w:val="007A3341"/>
    <w:rsid w:val="007A34E6"/>
    <w:rsid w:val="007A358A"/>
    <w:rsid w:val="007A35C3"/>
    <w:rsid w:val="007A391B"/>
    <w:rsid w:val="007A3EB0"/>
    <w:rsid w:val="007A3ECB"/>
    <w:rsid w:val="007A3EE0"/>
    <w:rsid w:val="007A4426"/>
    <w:rsid w:val="007A45EC"/>
    <w:rsid w:val="007A4784"/>
    <w:rsid w:val="007A4AAC"/>
    <w:rsid w:val="007A4B6E"/>
    <w:rsid w:val="007A4D24"/>
    <w:rsid w:val="007A4DB9"/>
    <w:rsid w:val="007A4F81"/>
    <w:rsid w:val="007A506F"/>
    <w:rsid w:val="007A50D3"/>
    <w:rsid w:val="007A5176"/>
    <w:rsid w:val="007A51C7"/>
    <w:rsid w:val="007A56D2"/>
    <w:rsid w:val="007A578F"/>
    <w:rsid w:val="007A5967"/>
    <w:rsid w:val="007A5B3D"/>
    <w:rsid w:val="007A5B60"/>
    <w:rsid w:val="007A5BE7"/>
    <w:rsid w:val="007A5CB1"/>
    <w:rsid w:val="007A5DE2"/>
    <w:rsid w:val="007A5E7B"/>
    <w:rsid w:val="007A5EA5"/>
    <w:rsid w:val="007A5EB1"/>
    <w:rsid w:val="007A5F26"/>
    <w:rsid w:val="007A607B"/>
    <w:rsid w:val="007A61FC"/>
    <w:rsid w:val="007A62A0"/>
    <w:rsid w:val="007A6384"/>
    <w:rsid w:val="007A650C"/>
    <w:rsid w:val="007A6635"/>
    <w:rsid w:val="007A6809"/>
    <w:rsid w:val="007A69AA"/>
    <w:rsid w:val="007A6B97"/>
    <w:rsid w:val="007A6C9D"/>
    <w:rsid w:val="007A6D89"/>
    <w:rsid w:val="007A6E1F"/>
    <w:rsid w:val="007A6E2C"/>
    <w:rsid w:val="007A6E64"/>
    <w:rsid w:val="007A6EFE"/>
    <w:rsid w:val="007A71FF"/>
    <w:rsid w:val="007A724F"/>
    <w:rsid w:val="007A7355"/>
    <w:rsid w:val="007A7455"/>
    <w:rsid w:val="007A7577"/>
    <w:rsid w:val="007A75DA"/>
    <w:rsid w:val="007A7763"/>
    <w:rsid w:val="007A7793"/>
    <w:rsid w:val="007A7796"/>
    <w:rsid w:val="007A77B5"/>
    <w:rsid w:val="007A7893"/>
    <w:rsid w:val="007A7ACA"/>
    <w:rsid w:val="007A7CFB"/>
    <w:rsid w:val="007A7F89"/>
    <w:rsid w:val="007B0053"/>
    <w:rsid w:val="007B024B"/>
    <w:rsid w:val="007B0290"/>
    <w:rsid w:val="007B051F"/>
    <w:rsid w:val="007B0BCF"/>
    <w:rsid w:val="007B0C64"/>
    <w:rsid w:val="007B0E68"/>
    <w:rsid w:val="007B0EB3"/>
    <w:rsid w:val="007B0FB3"/>
    <w:rsid w:val="007B106A"/>
    <w:rsid w:val="007B1074"/>
    <w:rsid w:val="007B1281"/>
    <w:rsid w:val="007B138B"/>
    <w:rsid w:val="007B138C"/>
    <w:rsid w:val="007B13F3"/>
    <w:rsid w:val="007B1420"/>
    <w:rsid w:val="007B1489"/>
    <w:rsid w:val="007B15C2"/>
    <w:rsid w:val="007B17D2"/>
    <w:rsid w:val="007B1941"/>
    <w:rsid w:val="007B1A61"/>
    <w:rsid w:val="007B1B8B"/>
    <w:rsid w:val="007B1BCF"/>
    <w:rsid w:val="007B1BDD"/>
    <w:rsid w:val="007B1C09"/>
    <w:rsid w:val="007B204C"/>
    <w:rsid w:val="007B22B2"/>
    <w:rsid w:val="007B2319"/>
    <w:rsid w:val="007B2358"/>
    <w:rsid w:val="007B237E"/>
    <w:rsid w:val="007B2418"/>
    <w:rsid w:val="007B2496"/>
    <w:rsid w:val="007B2598"/>
    <w:rsid w:val="007B26BA"/>
    <w:rsid w:val="007B2892"/>
    <w:rsid w:val="007B2904"/>
    <w:rsid w:val="007B292C"/>
    <w:rsid w:val="007B2AA8"/>
    <w:rsid w:val="007B3061"/>
    <w:rsid w:val="007B332F"/>
    <w:rsid w:val="007B33C0"/>
    <w:rsid w:val="007B3B28"/>
    <w:rsid w:val="007B3BC9"/>
    <w:rsid w:val="007B3D86"/>
    <w:rsid w:val="007B3E4B"/>
    <w:rsid w:val="007B3F88"/>
    <w:rsid w:val="007B3FC7"/>
    <w:rsid w:val="007B4107"/>
    <w:rsid w:val="007B428D"/>
    <w:rsid w:val="007B4329"/>
    <w:rsid w:val="007B4390"/>
    <w:rsid w:val="007B43CF"/>
    <w:rsid w:val="007B43E0"/>
    <w:rsid w:val="007B4750"/>
    <w:rsid w:val="007B47E5"/>
    <w:rsid w:val="007B48A9"/>
    <w:rsid w:val="007B4A54"/>
    <w:rsid w:val="007B4A81"/>
    <w:rsid w:val="007B4A85"/>
    <w:rsid w:val="007B4B30"/>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96A"/>
    <w:rsid w:val="007B5AFD"/>
    <w:rsid w:val="007B5B3A"/>
    <w:rsid w:val="007B5B92"/>
    <w:rsid w:val="007B5C65"/>
    <w:rsid w:val="007B5D40"/>
    <w:rsid w:val="007B6008"/>
    <w:rsid w:val="007B608B"/>
    <w:rsid w:val="007B62F6"/>
    <w:rsid w:val="007B6397"/>
    <w:rsid w:val="007B6521"/>
    <w:rsid w:val="007B6684"/>
    <w:rsid w:val="007B67FF"/>
    <w:rsid w:val="007B6872"/>
    <w:rsid w:val="007B68B0"/>
    <w:rsid w:val="007B69A0"/>
    <w:rsid w:val="007B6A9E"/>
    <w:rsid w:val="007B6B33"/>
    <w:rsid w:val="007B6C05"/>
    <w:rsid w:val="007B6DBA"/>
    <w:rsid w:val="007B6F6E"/>
    <w:rsid w:val="007B7041"/>
    <w:rsid w:val="007B70EB"/>
    <w:rsid w:val="007B70FD"/>
    <w:rsid w:val="007B7210"/>
    <w:rsid w:val="007B721D"/>
    <w:rsid w:val="007B7221"/>
    <w:rsid w:val="007B7345"/>
    <w:rsid w:val="007B7558"/>
    <w:rsid w:val="007B772B"/>
    <w:rsid w:val="007B7984"/>
    <w:rsid w:val="007B7A85"/>
    <w:rsid w:val="007B7C1A"/>
    <w:rsid w:val="007B7C8D"/>
    <w:rsid w:val="007B7CC6"/>
    <w:rsid w:val="007B7DD6"/>
    <w:rsid w:val="007C04AD"/>
    <w:rsid w:val="007C0561"/>
    <w:rsid w:val="007C05DA"/>
    <w:rsid w:val="007C07FE"/>
    <w:rsid w:val="007C09A4"/>
    <w:rsid w:val="007C09C8"/>
    <w:rsid w:val="007C0E06"/>
    <w:rsid w:val="007C0E4E"/>
    <w:rsid w:val="007C0F61"/>
    <w:rsid w:val="007C1108"/>
    <w:rsid w:val="007C11BE"/>
    <w:rsid w:val="007C12BB"/>
    <w:rsid w:val="007C1C04"/>
    <w:rsid w:val="007C1D43"/>
    <w:rsid w:val="007C1F65"/>
    <w:rsid w:val="007C2065"/>
    <w:rsid w:val="007C21C4"/>
    <w:rsid w:val="007C2214"/>
    <w:rsid w:val="007C259E"/>
    <w:rsid w:val="007C26C9"/>
    <w:rsid w:val="007C283A"/>
    <w:rsid w:val="007C297D"/>
    <w:rsid w:val="007C2AEF"/>
    <w:rsid w:val="007C2BB4"/>
    <w:rsid w:val="007C3458"/>
    <w:rsid w:val="007C34E6"/>
    <w:rsid w:val="007C3564"/>
    <w:rsid w:val="007C37FF"/>
    <w:rsid w:val="007C3A7A"/>
    <w:rsid w:val="007C3B83"/>
    <w:rsid w:val="007C3E23"/>
    <w:rsid w:val="007C3F5E"/>
    <w:rsid w:val="007C4017"/>
    <w:rsid w:val="007C44F5"/>
    <w:rsid w:val="007C4676"/>
    <w:rsid w:val="007C46E5"/>
    <w:rsid w:val="007C47A7"/>
    <w:rsid w:val="007C4819"/>
    <w:rsid w:val="007C49C3"/>
    <w:rsid w:val="007C4A2A"/>
    <w:rsid w:val="007C4B91"/>
    <w:rsid w:val="007C4C96"/>
    <w:rsid w:val="007C4D65"/>
    <w:rsid w:val="007C5243"/>
    <w:rsid w:val="007C52D5"/>
    <w:rsid w:val="007C551E"/>
    <w:rsid w:val="007C5AF4"/>
    <w:rsid w:val="007C5B5B"/>
    <w:rsid w:val="007C5D77"/>
    <w:rsid w:val="007C5ECC"/>
    <w:rsid w:val="007C61BC"/>
    <w:rsid w:val="007C62F2"/>
    <w:rsid w:val="007C644F"/>
    <w:rsid w:val="007C6465"/>
    <w:rsid w:val="007C69EA"/>
    <w:rsid w:val="007C6CEC"/>
    <w:rsid w:val="007C6D02"/>
    <w:rsid w:val="007C6D52"/>
    <w:rsid w:val="007C6DA5"/>
    <w:rsid w:val="007C6DAC"/>
    <w:rsid w:val="007C6F0E"/>
    <w:rsid w:val="007C7008"/>
    <w:rsid w:val="007C73D4"/>
    <w:rsid w:val="007C7455"/>
    <w:rsid w:val="007C7500"/>
    <w:rsid w:val="007C75F7"/>
    <w:rsid w:val="007C76BD"/>
    <w:rsid w:val="007C781D"/>
    <w:rsid w:val="007C7B83"/>
    <w:rsid w:val="007C7BDA"/>
    <w:rsid w:val="007C7BF5"/>
    <w:rsid w:val="007C7CC1"/>
    <w:rsid w:val="007C7DA0"/>
    <w:rsid w:val="007C7F40"/>
    <w:rsid w:val="007D012B"/>
    <w:rsid w:val="007D06C1"/>
    <w:rsid w:val="007D07D7"/>
    <w:rsid w:val="007D0BC1"/>
    <w:rsid w:val="007D0C3D"/>
    <w:rsid w:val="007D0D58"/>
    <w:rsid w:val="007D0D74"/>
    <w:rsid w:val="007D0D85"/>
    <w:rsid w:val="007D1000"/>
    <w:rsid w:val="007D106D"/>
    <w:rsid w:val="007D1091"/>
    <w:rsid w:val="007D118F"/>
    <w:rsid w:val="007D121E"/>
    <w:rsid w:val="007D133D"/>
    <w:rsid w:val="007D1553"/>
    <w:rsid w:val="007D15B8"/>
    <w:rsid w:val="007D17EE"/>
    <w:rsid w:val="007D189A"/>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865"/>
    <w:rsid w:val="007D3A1A"/>
    <w:rsid w:val="007D3A5E"/>
    <w:rsid w:val="007D3ABB"/>
    <w:rsid w:val="007D3C43"/>
    <w:rsid w:val="007D3E9C"/>
    <w:rsid w:val="007D3F3B"/>
    <w:rsid w:val="007D3FBB"/>
    <w:rsid w:val="007D40BB"/>
    <w:rsid w:val="007D421B"/>
    <w:rsid w:val="007D4673"/>
    <w:rsid w:val="007D46E4"/>
    <w:rsid w:val="007D4724"/>
    <w:rsid w:val="007D47C3"/>
    <w:rsid w:val="007D4842"/>
    <w:rsid w:val="007D488E"/>
    <w:rsid w:val="007D4A15"/>
    <w:rsid w:val="007D4AAD"/>
    <w:rsid w:val="007D4BC1"/>
    <w:rsid w:val="007D4C39"/>
    <w:rsid w:val="007D516E"/>
    <w:rsid w:val="007D54BA"/>
    <w:rsid w:val="007D5612"/>
    <w:rsid w:val="007D56D1"/>
    <w:rsid w:val="007D571E"/>
    <w:rsid w:val="007D58AE"/>
    <w:rsid w:val="007D5A9E"/>
    <w:rsid w:val="007D5ADB"/>
    <w:rsid w:val="007D5C3E"/>
    <w:rsid w:val="007D5CE0"/>
    <w:rsid w:val="007D5E1C"/>
    <w:rsid w:val="007D5EE8"/>
    <w:rsid w:val="007D603D"/>
    <w:rsid w:val="007D612F"/>
    <w:rsid w:val="007D6260"/>
    <w:rsid w:val="007D628C"/>
    <w:rsid w:val="007D63A8"/>
    <w:rsid w:val="007D64F4"/>
    <w:rsid w:val="007D6555"/>
    <w:rsid w:val="007D6675"/>
    <w:rsid w:val="007D6BAE"/>
    <w:rsid w:val="007D6BEE"/>
    <w:rsid w:val="007D6D4F"/>
    <w:rsid w:val="007D6ECC"/>
    <w:rsid w:val="007D6EE2"/>
    <w:rsid w:val="007D7127"/>
    <w:rsid w:val="007D726C"/>
    <w:rsid w:val="007D72B8"/>
    <w:rsid w:val="007D73C6"/>
    <w:rsid w:val="007D756B"/>
    <w:rsid w:val="007D7669"/>
    <w:rsid w:val="007D76C2"/>
    <w:rsid w:val="007D7966"/>
    <w:rsid w:val="007D7CD4"/>
    <w:rsid w:val="007D7D3F"/>
    <w:rsid w:val="007D7EE8"/>
    <w:rsid w:val="007E0085"/>
    <w:rsid w:val="007E00AF"/>
    <w:rsid w:val="007E0290"/>
    <w:rsid w:val="007E0795"/>
    <w:rsid w:val="007E0832"/>
    <w:rsid w:val="007E0859"/>
    <w:rsid w:val="007E096A"/>
    <w:rsid w:val="007E0A4B"/>
    <w:rsid w:val="007E0AB1"/>
    <w:rsid w:val="007E0B19"/>
    <w:rsid w:val="007E0BF6"/>
    <w:rsid w:val="007E0C06"/>
    <w:rsid w:val="007E0C74"/>
    <w:rsid w:val="007E0D7F"/>
    <w:rsid w:val="007E0F0C"/>
    <w:rsid w:val="007E1005"/>
    <w:rsid w:val="007E1139"/>
    <w:rsid w:val="007E134D"/>
    <w:rsid w:val="007E16E8"/>
    <w:rsid w:val="007E1747"/>
    <w:rsid w:val="007E1840"/>
    <w:rsid w:val="007E1BD1"/>
    <w:rsid w:val="007E1C17"/>
    <w:rsid w:val="007E1CAA"/>
    <w:rsid w:val="007E1CD7"/>
    <w:rsid w:val="007E1D1B"/>
    <w:rsid w:val="007E1DE1"/>
    <w:rsid w:val="007E1F11"/>
    <w:rsid w:val="007E21D8"/>
    <w:rsid w:val="007E21F8"/>
    <w:rsid w:val="007E222B"/>
    <w:rsid w:val="007E24FF"/>
    <w:rsid w:val="007E2567"/>
    <w:rsid w:val="007E298B"/>
    <w:rsid w:val="007E29E5"/>
    <w:rsid w:val="007E2AA9"/>
    <w:rsid w:val="007E2AC7"/>
    <w:rsid w:val="007E2E13"/>
    <w:rsid w:val="007E2EA1"/>
    <w:rsid w:val="007E2F70"/>
    <w:rsid w:val="007E302A"/>
    <w:rsid w:val="007E3054"/>
    <w:rsid w:val="007E316C"/>
    <w:rsid w:val="007E3227"/>
    <w:rsid w:val="007E3476"/>
    <w:rsid w:val="007E3492"/>
    <w:rsid w:val="007E390A"/>
    <w:rsid w:val="007E3A0C"/>
    <w:rsid w:val="007E3D06"/>
    <w:rsid w:val="007E3D49"/>
    <w:rsid w:val="007E3E7B"/>
    <w:rsid w:val="007E3F9C"/>
    <w:rsid w:val="007E4069"/>
    <w:rsid w:val="007E40BB"/>
    <w:rsid w:val="007E410F"/>
    <w:rsid w:val="007E41F8"/>
    <w:rsid w:val="007E4449"/>
    <w:rsid w:val="007E44A9"/>
    <w:rsid w:val="007E465D"/>
    <w:rsid w:val="007E46AE"/>
    <w:rsid w:val="007E4701"/>
    <w:rsid w:val="007E4864"/>
    <w:rsid w:val="007E487E"/>
    <w:rsid w:val="007E4A62"/>
    <w:rsid w:val="007E4AFB"/>
    <w:rsid w:val="007E4B7E"/>
    <w:rsid w:val="007E4D91"/>
    <w:rsid w:val="007E4E4B"/>
    <w:rsid w:val="007E4F03"/>
    <w:rsid w:val="007E50F2"/>
    <w:rsid w:val="007E5279"/>
    <w:rsid w:val="007E55EF"/>
    <w:rsid w:val="007E5729"/>
    <w:rsid w:val="007E5A5B"/>
    <w:rsid w:val="007E5AD3"/>
    <w:rsid w:val="007E5BC6"/>
    <w:rsid w:val="007E5BF9"/>
    <w:rsid w:val="007E5CA6"/>
    <w:rsid w:val="007E5E55"/>
    <w:rsid w:val="007E5EB6"/>
    <w:rsid w:val="007E6039"/>
    <w:rsid w:val="007E6222"/>
    <w:rsid w:val="007E6311"/>
    <w:rsid w:val="007E64B9"/>
    <w:rsid w:val="007E6664"/>
    <w:rsid w:val="007E667E"/>
    <w:rsid w:val="007E682B"/>
    <w:rsid w:val="007E6BB0"/>
    <w:rsid w:val="007E6C0D"/>
    <w:rsid w:val="007E6E48"/>
    <w:rsid w:val="007E6E4D"/>
    <w:rsid w:val="007E6E79"/>
    <w:rsid w:val="007E70B4"/>
    <w:rsid w:val="007E70F4"/>
    <w:rsid w:val="007E72B4"/>
    <w:rsid w:val="007E7316"/>
    <w:rsid w:val="007E738D"/>
    <w:rsid w:val="007E743F"/>
    <w:rsid w:val="007E7470"/>
    <w:rsid w:val="007E7591"/>
    <w:rsid w:val="007E7616"/>
    <w:rsid w:val="007E77E6"/>
    <w:rsid w:val="007E7B25"/>
    <w:rsid w:val="007E7BEB"/>
    <w:rsid w:val="007E7BEE"/>
    <w:rsid w:val="007E7DA0"/>
    <w:rsid w:val="007E7DC2"/>
    <w:rsid w:val="007E7E54"/>
    <w:rsid w:val="007E7E59"/>
    <w:rsid w:val="007F0337"/>
    <w:rsid w:val="007F0379"/>
    <w:rsid w:val="007F03D1"/>
    <w:rsid w:val="007F0462"/>
    <w:rsid w:val="007F070B"/>
    <w:rsid w:val="007F0853"/>
    <w:rsid w:val="007F08DE"/>
    <w:rsid w:val="007F09E3"/>
    <w:rsid w:val="007F09F2"/>
    <w:rsid w:val="007F0B0D"/>
    <w:rsid w:val="007F0CEE"/>
    <w:rsid w:val="007F0D95"/>
    <w:rsid w:val="007F0DBE"/>
    <w:rsid w:val="007F0F53"/>
    <w:rsid w:val="007F0F87"/>
    <w:rsid w:val="007F1113"/>
    <w:rsid w:val="007F1189"/>
    <w:rsid w:val="007F1329"/>
    <w:rsid w:val="007F1367"/>
    <w:rsid w:val="007F14A8"/>
    <w:rsid w:val="007F14F1"/>
    <w:rsid w:val="007F1548"/>
    <w:rsid w:val="007F1686"/>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48E"/>
    <w:rsid w:val="007F25DC"/>
    <w:rsid w:val="007F2600"/>
    <w:rsid w:val="007F26E8"/>
    <w:rsid w:val="007F271C"/>
    <w:rsid w:val="007F2750"/>
    <w:rsid w:val="007F2B80"/>
    <w:rsid w:val="007F2C5C"/>
    <w:rsid w:val="007F2DDF"/>
    <w:rsid w:val="007F3044"/>
    <w:rsid w:val="007F365E"/>
    <w:rsid w:val="007F3822"/>
    <w:rsid w:val="007F3A5F"/>
    <w:rsid w:val="007F3BCD"/>
    <w:rsid w:val="007F40E8"/>
    <w:rsid w:val="007F40EA"/>
    <w:rsid w:val="007F453B"/>
    <w:rsid w:val="007F458D"/>
    <w:rsid w:val="007F4594"/>
    <w:rsid w:val="007F45F9"/>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89E"/>
    <w:rsid w:val="007F69F9"/>
    <w:rsid w:val="007F6CF3"/>
    <w:rsid w:val="007F6D87"/>
    <w:rsid w:val="007F6D98"/>
    <w:rsid w:val="007F6EE9"/>
    <w:rsid w:val="007F700E"/>
    <w:rsid w:val="007F738D"/>
    <w:rsid w:val="007F73E8"/>
    <w:rsid w:val="007F7419"/>
    <w:rsid w:val="007F773D"/>
    <w:rsid w:val="007F7BFA"/>
    <w:rsid w:val="007F7D36"/>
    <w:rsid w:val="007F7E5C"/>
    <w:rsid w:val="007F7E69"/>
    <w:rsid w:val="007F7EFE"/>
    <w:rsid w:val="007F7F88"/>
    <w:rsid w:val="007F7F9F"/>
    <w:rsid w:val="008001A8"/>
    <w:rsid w:val="008004E9"/>
    <w:rsid w:val="0080061F"/>
    <w:rsid w:val="00800961"/>
    <w:rsid w:val="00800A51"/>
    <w:rsid w:val="00800AF7"/>
    <w:rsid w:val="00800B57"/>
    <w:rsid w:val="00800C77"/>
    <w:rsid w:val="00800CEB"/>
    <w:rsid w:val="00800CF2"/>
    <w:rsid w:val="00800D91"/>
    <w:rsid w:val="0080109C"/>
    <w:rsid w:val="00801289"/>
    <w:rsid w:val="008014AB"/>
    <w:rsid w:val="008014CD"/>
    <w:rsid w:val="008017E8"/>
    <w:rsid w:val="008018F8"/>
    <w:rsid w:val="00801E65"/>
    <w:rsid w:val="00801ED1"/>
    <w:rsid w:val="00802316"/>
    <w:rsid w:val="0080236E"/>
    <w:rsid w:val="00802675"/>
    <w:rsid w:val="008026C7"/>
    <w:rsid w:val="008026FD"/>
    <w:rsid w:val="00802825"/>
    <w:rsid w:val="008029BD"/>
    <w:rsid w:val="00802A92"/>
    <w:rsid w:val="00802C4A"/>
    <w:rsid w:val="00802D86"/>
    <w:rsid w:val="00802EAC"/>
    <w:rsid w:val="00802FD8"/>
    <w:rsid w:val="008031BA"/>
    <w:rsid w:val="00803418"/>
    <w:rsid w:val="0080359E"/>
    <w:rsid w:val="00803930"/>
    <w:rsid w:val="00803ADE"/>
    <w:rsid w:val="00803D6F"/>
    <w:rsid w:val="00803D77"/>
    <w:rsid w:val="008040AA"/>
    <w:rsid w:val="00804228"/>
    <w:rsid w:val="0080424A"/>
    <w:rsid w:val="00804376"/>
    <w:rsid w:val="0080462E"/>
    <w:rsid w:val="0080467A"/>
    <w:rsid w:val="0080473F"/>
    <w:rsid w:val="00804997"/>
    <w:rsid w:val="00804BA1"/>
    <w:rsid w:val="00804E35"/>
    <w:rsid w:val="00805275"/>
    <w:rsid w:val="00805357"/>
    <w:rsid w:val="008056D3"/>
    <w:rsid w:val="008057A6"/>
    <w:rsid w:val="00805952"/>
    <w:rsid w:val="00805A13"/>
    <w:rsid w:val="00805A5D"/>
    <w:rsid w:val="00805B38"/>
    <w:rsid w:val="00805B6E"/>
    <w:rsid w:val="00805C06"/>
    <w:rsid w:val="00805C4B"/>
    <w:rsid w:val="00805C7A"/>
    <w:rsid w:val="00805CB0"/>
    <w:rsid w:val="00806048"/>
    <w:rsid w:val="0080608C"/>
    <w:rsid w:val="00806115"/>
    <w:rsid w:val="00806313"/>
    <w:rsid w:val="00806484"/>
    <w:rsid w:val="00806596"/>
    <w:rsid w:val="00806599"/>
    <w:rsid w:val="0080671D"/>
    <w:rsid w:val="0080696E"/>
    <w:rsid w:val="00806B0F"/>
    <w:rsid w:val="00806BD2"/>
    <w:rsid w:val="00806D6D"/>
    <w:rsid w:val="00806F01"/>
    <w:rsid w:val="008070EF"/>
    <w:rsid w:val="00807255"/>
    <w:rsid w:val="00807633"/>
    <w:rsid w:val="008076DA"/>
    <w:rsid w:val="008077DE"/>
    <w:rsid w:val="00807903"/>
    <w:rsid w:val="00807B21"/>
    <w:rsid w:val="00807B53"/>
    <w:rsid w:val="00807B5F"/>
    <w:rsid w:val="00807E25"/>
    <w:rsid w:val="00810402"/>
    <w:rsid w:val="00810500"/>
    <w:rsid w:val="0081066C"/>
    <w:rsid w:val="00810745"/>
    <w:rsid w:val="0081078F"/>
    <w:rsid w:val="00810C45"/>
    <w:rsid w:val="00810C8C"/>
    <w:rsid w:val="00810DC8"/>
    <w:rsid w:val="00810E3C"/>
    <w:rsid w:val="00810FDA"/>
    <w:rsid w:val="0081100F"/>
    <w:rsid w:val="008110AC"/>
    <w:rsid w:val="0081112C"/>
    <w:rsid w:val="008111CB"/>
    <w:rsid w:val="0081127D"/>
    <w:rsid w:val="008112E1"/>
    <w:rsid w:val="008114CC"/>
    <w:rsid w:val="008115C5"/>
    <w:rsid w:val="0081193C"/>
    <w:rsid w:val="00811B90"/>
    <w:rsid w:val="00811DE0"/>
    <w:rsid w:val="00811E2F"/>
    <w:rsid w:val="00811F4B"/>
    <w:rsid w:val="00811F6B"/>
    <w:rsid w:val="00812070"/>
    <w:rsid w:val="00812125"/>
    <w:rsid w:val="008124DF"/>
    <w:rsid w:val="0081254D"/>
    <w:rsid w:val="00812681"/>
    <w:rsid w:val="0081274D"/>
    <w:rsid w:val="00812823"/>
    <w:rsid w:val="0081286C"/>
    <w:rsid w:val="00812904"/>
    <w:rsid w:val="0081296B"/>
    <w:rsid w:val="00812A73"/>
    <w:rsid w:val="00812AF5"/>
    <w:rsid w:val="00812BE8"/>
    <w:rsid w:val="00812D0D"/>
    <w:rsid w:val="00812DE3"/>
    <w:rsid w:val="00812EB9"/>
    <w:rsid w:val="00812FDE"/>
    <w:rsid w:val="0081302D"/>
    <w:rsid w:val="00813089"/>
    <w:rsid w:val="00813204"/>
    <w:rsid w:val="0081330E"/>
    <w:rsid w:val="00813420"/>
    <w:rsid w:val="008134C1"/>
    <w:rsid w:val="008135F9"/>
    <w:rsid w:val="00813D64"/>
    <w:rsid w:val="00813EC9"/>
    <w:rsid w:val="00813F6B"/>
    <w:rsid w:val="00814093"/>
    <w:rsid w:val="008142C8"/>
    <w:rsid w:val="008144BA"/>
    <w:rsid w:val="00814605"/>
    <w:rsid w:val="0081488D"/>
    <w:rsid w:val="0081492F"/>
    <w:rsid w:val="00814AAB"/>
    <w:rsid w:val="00814C80"/>
    <w:rsid w:val="00814D15"/>
    <w:rsid w:val="00814EF9"/>
    <w:rsid w:val="00814F9E"/>
    <w:rsid w:val="00815022"/>
    <w:rsid w:val="00815209"/>
    <w:rsid w:val="008152F3"/>
    <w:rsid w:val="0081545A"/>
    <w:rsid w:val="0081584A"/>
    <w:rsid w:val="00815E07"/>
    <w:rsid w:val="00815E1D"/>
    <w:rsid w:val="00815FC7"/>
    <w:rsid w:val="008161A5"/>
    <w:rsid w:val="00816200"/>
    <w:rsid w:val="00816589"/>
    <w:rsid w:val="008167B3"/>
    <w:rsid w:val="00816862"/>
    <w:rsid w:val="008168A4"/>
    <w:rsid w:val="00816C93"/>
    <w:rsid w:val="00816F65"/>
    <w:rsid w:val="0081717B"/>
    <w:rsid w:val="0081731E"/>
    <w:rsid w:val="00817631"/>
    <w:rsid w:val="00817635"/>
    <w:rsid w:val="0081765E"/>
    <w:rsid w:val="008178BA"/>
    <w:rsid w:val="00817B4A"/>
    <w:rsid w:val="00817C2A"/>
    <w:rsid w:val="00817C9C"/>
    <w:rsid w:val="00817D87"/>
    <w:rsid w:val="00820072"/>
    <w:rsid w:val="008203DD"/>
    <w:rsid w:val="00820481"/>
    <w:rsid w:val="0082049F"/>
    <w:rsid w:val="008204B7"/>
    <w:rsid w:val="0082057D"/>
    <w:rsid w:val="0082082F"/>
    <w:rsid w:val="00820836"/>
    <w:rsid w:val="008209D4"/>
    <w:rsid w:val="00820A30"/>
    <w:rsid w:val="00820BA8"/>
    <w:rsid w:val="00820E08"/>
    <w:rsid w:val="00820FC7"/>
    <w:rsid w:val="0082102B"/>
    <w:rsid w:val="00821044"/>
    <w:rsid w:val="00821515"/>
    <w:rsid w:val="008218E8"/>
    <w:rsid w:val="00821A77"/>
    <w:rsid w:val="00821F6C"/>
    <w:rsid w:val="0082214D"/>
    <w:rsid w:val="008221E8"/>
    <w:rsid w:val="0082223F"/>
    <w:rsid w:val="00822245"/>
    <w:rsid w:val="00822504"/>
    <w:rsid w:val="00822544"/>
    <w:rsid w:val="00822581"/>
    <w:rsid w:val="008225C1"/>
    <w:rsid w:val="00822650"/>
    <w:rsid w:val="0082267F"/>
    <w:rsid w:val="0082278D"/>
    <w:rsid w:val="008227BE"/>
    <w:rsid w:val="00822906"/>
    <w:rsid w:val="00822A4F"/>
    <w:rsid w:val="00822C83"/>
    <w:rsid w:val="00822D72"/>
    <w:rsid w:val="00822FD7"/>
    <w:rsid w:val="00823228"/>
    <w:rsid w:val="00823250"/>
    <w:rsid w:val="00823422"/>
    <w:rsid w:val="0082364E"/>
    <w:rsid w:val="00823654"/>
    <w:rsid w:val="0082370A"/>
    <w:rsid w:val="00823736"/>
    <w:rsid w:val="00823777"/>
    <w:rsid w:val="00823D3B"/>
    <w:rsid w:val="00824050"/>
    <w:rsid w:val="00824350"/>
    <w:rsid w:val="00824582"/>
    <w:rsid w:val="0082459C"/>
    <w:rsid w:val="008245E7"/>
    <w:rsid w:val="008247E2"/>
    <w:rsid w:val="00824A7B"/>
    <w:rsid w:val="00824BA8"/>
    <w:rsid w:val="00824CA8"/>
    <w:rsid w:val="00824DD4"/>
    <w:rsid w:val="00824EC9"/>
    <w:rsid w:val="0082520A"/>
    <w:rsid w:val="0082543F"/>
    <w:rsid w:val="008254CA"/>
    <w:rsid w:val="008256A3"/>
    <w:rsid w:val="008256E5"/>
    <w:rsid w:val="00825789"/>
    <w:rsid w:val="00825877"/>
    <w:rsid w:val="00825A1D"/>
    <w:rsid w:val="00825B2A"/>
    <w:rsid w:val="00825CA7"/>
    <w:rsid w:val="00825E31"/>
    <w:rsid w:val="00826017"/>
    <w:rsid w:val="0082612E"/>
    <w:rsid w:val="00826209"/>
    <w:rsid w:val="00826321"/>
    <w:rsid w:val="008263FA"/>
    <w:rsid w:val="00826497"/>
    <w:rsid w:val="008265BE"/>
    <w:rsid w:val="008267BB"/>
    <w:rsid w:val="008267DC"/>
    <w:rsid w:val="00826841"/>
    <w:rsid w:val="008268D4"/>
    <w:rsid w:val="00826F3D"/>
    <w:rsid w:val="008270E9"/>
    <w:rsid w:val="008270F2"/>
    <w:rsid w:val="0082719B"/>
    <w:rsid w:val="008272C3"/>
    <w:rsid w:val="008274DE"/>
    <w:rsid w:val="008276C0"/>
    <w:rsid w:val="0082780C"/>
    <w:rsid w:val="00827871"/>
    <w:rsid w:val="0082793F"/>
    <w:rsid w:val="00827948"/>
    <w:rsid w:val="00827A64"/>
    <w:rsid w:val="00827A9E"/>
    <w:rsid w:val="00827BE6"/>
    <w:rsid w:val="00827D12"/>
    <w:rsid w:val="00827DC5"/>
    <w:rsid w:val="00827DDF"/>
    <w:rsid w:val="00827EDC"/>
    <w:rsid w:val="008300A7"/>
    <w:rsid w:val="00830111"/>
    <w:rsid w:val="0083015E"/>
    <w:rsid w:val="00830353"/>
    <w:rsid w:val="008304E4"/>
    <w:rsid w:val="00830524"/>
    <w:rsid w:val="00830535"/>
    <w:rsid w:val="008305FF"/>
    <w:rsid w:val="0083061F"/>
    <w:rsid w:val="008306C3"/>
    <w:rsid w:val="008309F6"/>
    <w:rsid w:val="00830A80"/>
    <w:rsid w:val="0083116F"/>
    <w:rsid w:val="008313AF"/>
    <w:rsid w:val="008313BE"/>
    <w:rsid w:val="008314F3"/>
    <w:rsid w:val="0083165E"/>
    <w:rsid w:val="008316AE"/>
    <w:rsid w:val="008316E4"/>
    <w:rsid w:val="008317EA"/>
    <w:rsid w:val="00831895"/>
    <w:rsid w:val="00831C07"/>
    <w:rsid w:val="00831EE1"/>
    <w:rsid w:val="00831F87"/>
    <w:rsid w:val="00831FE6"/>
    <w:rsid w:val="00832093"/>
    <w:rsid w:val="0083212A"/>
    <w:rsid w:val="008321A2"/>
    <w:rsid w:val="008322E9"/>
    <w:rsid w:val="0083264A"/>
    <w:rsid w:val="00832782"/>
    <w:rsid w:val="00832826"/>
    <w:rsid w:val="00832833"/>
    <w:rsid w:val="00832CE2"/>
    <w:rsid w:val="00832D82"/>
    <w:rsid w:val="0083311E"/>
    <w:rsid w:val="008332D3"/>
    <w:rsid w:val="008333FB"/>
    <w:rsid w:val="00833581"/>
    <w:rsid w:val="00834205"/>
    <w:rsid w:val="0083426C"/>
    <w:rsid w:val="00834371"/>
    <w:rsid w:val="008344BA"/>
    <w:rsid w:val="00834561"/>
    <w:rsid w:val="00834997"/>
    <w:rsid w:val="00834AB2"/>
    <w:rsid w:val="00834BEC"/>
    <w:rsid w:val="00834CC0"/>
    <w:rsid w:val="00834FAC"/>
    <w:rsid w:val="008350DE"/>
    <w:rsid w:val="008351B3"/>
    <w:rsid w:val="00835406"/>
    <w:rsid w:val="00835655"/>
    <w:rsid w:val="0083573D"/>
    <w:rsid w:val="00835814"/>
    <w:rsid w:val="00835848"/>
    <w:rsid w:val="00835871"/>
    <w:rsid w:val="00835ADC"/>
    <w:rsid w:val="00835BB9"/>
    <w:rsid w:val="00835DF4"/>
    <w:rsid w:val="00835FEC"/>
    <w:rsid w:val="0083628D"/>
    <w:rsid w:val="008363EC"/>
    <w:rsid w:val="00836560"/>
    <w:rsid w:val="008365D8"/>
    <w:rsid w:val="0083669F"/>
    <w:rsid w:val="00836726"/>
    <w:rsid w:val="0083679F"/>
    <w:rsid w:val="008367E6"/>
    <w:rsid w:val="00836804"/>
    <w:rsid w:val="00836AE3"/>
    <w:rsid w:val="00836AE7"/>
    <w:rsid w:val="00836B72"/>
    <w:rsid w:val="00836C13"/>
    <w:rsid w:val="00836CAE"/>
    <w:rsid w:val="00836DA3"/>
    <w:rsid w:val="00836FC5"/>
    <w:rsid w:val="008370C2"/>
    <w:rsid w:val="008370D5"/>
    <w:rsid w:val="00837252"/>
    <w:rsid w:val="008373D7"/>
    <w:rsid w:val="00837423"/>
    <w:rsid w:val="00837663"/>
    <w:rsid w:val="008378FE"/>
    <w:rsid w:val="00837910"/>
    <w:rsid w:val="00837A1E"/>
    <w:rsid w:val="00837BC2"/>
    <w:rsid w:val="00837D03"/>
    <w:rsid w:val="00837DC1"/>
    <w:rsid w:val="00837E91"/>
    <w:rsid w:val="00837EEA"/>
    <w:rsid w:val="00837F8D"/>
    <w:rsid w:val="00840245"/>
    <w:rsid w:val="00840257"/>
    <w:rsid w:val="008407E3"/>
    <w:rsid w:val="0084084E"/>
    <w:rsid w:val="008408E9"/>
    <w:rsid w:val="008408FD"/>
    <w:rsid w:val="00840C36"/>
    <w:rsid w:val="00840C60"/>
    <w:rsid w:val="00840DB1"/>
    <w:rsid w:val="00840FC5"/>
    <w:rsid w:val="00840FCC"/>
    <w:rsid w:val="008410B6"/>
    <w:rsid w:val="008410E7"/>
    <w:rsid w:val="0084127B"/>
    <w:rsid w:val="008413A2"/>
    <w:rsid w:val="0084141E"/>
    <w:rsid w:val="0084141F"/>
    <w:rsid w:val="008415D5"/>
    <w:rsid w:val="00841787"/>
    <w:rsid w:val="00841816"/>
    <w:rsid w:val="008418FD"/>
    <w:rsid w:val="0084198D"/>
    <w:rsid w:val="00841BB2"/>
    <w:rsid w:val="00841C78"/>
    <w:rsid w:val="00842049"/>
    <w:rsid w:val="0084225E"/>
    <w:rsid w:val="008423C1"/>
    <w:rsid w:val="008423F3"/>
    <w:rsid w:val="0084243F"/>
    <w:rsid w:val="00842452"/>
    <w:rsid w:val="00842500"/>
    <w:rsid w:val="00842537"/>
    <w:rsid w:val="008425FE"/>
    <w:rsid w:val="0084269A"/>
    <w:rsid w:val="008428A5"/>
    <w:rsid w:val="008428A9"/>
    <w:rsid w:val="008429D4"/>
    <w:rsid w:val="00842BF1"/>
    <w:rsid w:val="00842D4E"/>
    <w:rsid w:val="00842DAC"/>
    <w:rsid w:val="00842DCD"/>
    <w:rsid w:val="00842E99"/>
    <w:rsid w:val="0084300D"/>
    <w:rsid w:val="00843081"/>
    <w:rsid w:val="0084311F"/>
    <w:rsid w:val="008431BA"/>
    <w:rsid w:val="008431CC"/>
    <w:rsid w:val="008432F0"/>
    <w:rsid w:val="008437B8"/>
    <w:rsid w:val="008437DA"/>
    <w:rsid w:val="00843A43"/>
    <w:rsid w:val="00843B94"/>
    <w:rsid w:val="00843BBB"/>
    <w:rsid w:val="00843C3C"/>
    <w:rsid w:val="00843F65"/>
    <w:rsid w:val="00843FE9"/>
    <w:rsid w:val="008443D0"/>
    <w:rsid w:val="008444CC"/>
    <w:rsid w:val="00844724"/>
    <w:rsid w:val="00844828"/>
    <w:rsid w:val="00844857"/>
    <w:rsid w:val="0084495B"/>
    <w:rsid w:val="008449B7"/>
    <w:rsid w:val="00844A03"/>
    <w:rsid w:val="00844B15"/>
    <w:rsid w:val="00844D6B"/>
    <w:rsid w:val="00844F23"/>
    <w:rsid w:val="00844F74"/>
    <w:rsid w:val="00844FB9"/>
    <w:rsid w:val="00845101"/>
    <w:rsid w:val="00845157"/>
    <w:rsid w:val="008454AF"/>
    <w:rsid w:val="008454EA"/>
    <w:rsid w:val="008455EB"/>
    <w:rsid w:val="008456A3"/>
    <w:rsid w:val="008457AF"/>
    <w:rsid w:val="00845C6C"/>
    <w:rsid w:val="00845D79"/>
    <w:rsid w:val="00845DA4"/>
    <w:rsid w:val="00845EB2"/>
    <w:rsid w:val="00845F43"/>
    <w:rsid w:val="00846383"/>
    <w:rsid w:val="0084646D"/>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46"/>
    <w:rsid w:val="00847AF5"/>
    <w:rsid w:val="00847DF6"/>
    <w:rsid w:val="00847E27"/>
    <w:rsid w:val="0085037E"/>
    <w:rsid w:val="00850441"/>
    <w:rsid w:val="00850642"/>
    <w:rsid w:val="008506BD"/>
    <w:rsid w:val="008506F8"/>
    <w:rsid w:val="008507CE"/>
    <w:rsid w:val="00850A2A"/>
    <w:rsid w:val="00850A2E"/>
    <w:rsid w:val="00850B0C"/>
    <w:rsid w:val="00850B74"/>
    <w:rsid w:val="00850DEF"/>
    <w:rsid w:val="0085101C"/>
    <w:rsid w:val="0085115E"/>
    <w:rsid w:val="0085123F"/>
    <w:rsid w:val="00851341"/>
    <w:rsid w:val="008519AE"/>
    <w:rsid w:val="00851D23"/>
    <w:rsid w:val="00852090"/>
    <w:rsid w:val="008520F8"/>
    <w:rsid w:val="00852293"/>
    <w:rsid w:val="008522E7"/>
    <w:rsid w:val="00852322"/>
    <w:rsid w:val="00852568"/>
    <w:rsid w:val="00852583"/>
    <w:rsid w:val="008525CA"/>
    <w:rsid w:val="00852642"/>
    <w:rsid w:val="008527BD"/>
    <w:rsid w:val="00852AA8"/>
    <w:rsid w:val="00852D5F"/>
    <w:rsid w:val="00852DA9"/>
    <w:rsid w:val="00852DF8"/>
    <w:rsid w:val="00852E0F"/>
    <w:rsid w:val="00852E25"/>
    <w:rsid w:val="00852F23"/>
    <w:rsid w:val="00852FB2"/>
    <w:rsid w:val="0085301D"/>
    <w:rsid w:val="00853191"/>
    <w:rsid w:val="0085352E"/>
    <w:rsid w:val="00853603"/>
    <w:rsid w:val="00853756"/>
    <w:rsid w:val="00853959"/>
    <w:rsid w:val="00853ABA"/>
    <w:rsid w:val="00853C48"/>
    <w:rsid w:val="00853D50"/>
    <w:rsid w:val="00853D54"/>
    <w:rsid w:val="00853DA2"/>
    <w:rsid w:val="00853DDC"/>
    <w:rsid w:val="00853FCB"/>
    <w:rsid w:val="008543E8"/>
    <w:rsid w:val="0085487C"/>
    <w:rsid w:val="00854986"/>
    <w:rsid w:val="008549A5"/>
    <w:rsid w:val="00854D3D"/>
    <w:rsid w:val="00854DE0"/>
    <w:rsid w:val="008550AD"/>
    <w:rsid w:val="0085517F"/>
    <w:rsid w:val="008552E9"/>
    <w:rsid w:val="008555CB"/>
    <w:rsid w:val="00855608"/>
    <w:rsid w:val="008559C9"/>
    <w:rsid w:val="00855B00"/>
    <w:rsid w:val="00855C68"/>
    <w:rsid w:val="00855C8A"/>
    <w:rsid w:val="00855E0A"/>
    <w:rsid w:val="00855E4D"/>
    <w:rsid w:val="00856002"/>
    <w:rsid w:val="008560D0"/>
    <w:rsid w:val="008560F5"/>
    <w:rsid w:val="0085642A"/>
    <w:rsid w:val="008564B2"/>
    <w:rsid w:val="008564F7"/>
    <w:rsid w:val="00856625"/>
    <w:rsid w:val="0085664C"/>
    <w:rsid w:val="00856912"/>
    <w:rsid w:val="0085699D"/>
    <w:rsid w:val="00856B7D"/>
    <w:rsid w:val="00856FB0"/>
    <w:rsid w:val="008570AE"/>
    <w:rsid w:val="008570B2"/>
    <w:rsid w:val="008570C4"/>
    <w:rsid w:val="00857520"/>
    <w:rsid w:val="00857649"/>
    <w:rsid w:val="008576B2"/>
    <w:rsid w:val="0085784D"/>
    <w:rsid w:val="00857865"/>
    <w:rsid w:val="00857913"/>
    <w:rsid w:val="00857914"/>
    <w:rsid w:val="0085792C"/>
    <w:rsid w:val="00857984"/>
    <w:rsid w:val="00857A5F"/>
    <w:rsid w:val="00857B73"/>
    <w:rsid w:val="00857CE9"/>
    <w:rsid w:val="00857D22"/>
    <w:rsid w:val="00857D2E"/>
    <w:rsid w:val="00857D4F"/>
    <w:rsid w:val="00857F50"/>
    <w:rsid w:val="008600CA"/>
    <w:rsid w:val="0086010E"/>
    <w:rsid w:val="00860312"/>
    <w:rsid w:val="0086039E"/>
    <w:rsid w:val="0086045A"/>
    <w:rsid w:val="008604E1"/>
    <w:rsid w:val="00860515"/>
    <w:rsid w:val="00860553"/>
    <w:rsid w:val="00860641"/>
    <w:rsid w:val="0086092C"/>
    <w:rsid w:val="00860962"/>
    <w:rsid w:val="008609E8"/>
    <w:rsid w:val="00860A1E"/>
    <w:rsid w:val="00860AC3"/>
    <w:rsid w:val="00860BA2"/>
    <w:rsid w:val="00860BAD"/>
    <w:rsid w:val="00860D05"/>
    <w:rsid w:val="00860DB2"/>
    <w:rsid w:val="00860E43"/>
    <w:rsid w:val="0086104E"/>
    <w:rsid w:val="00861177"/>
    <w:rsid w:val="0086117B"/>
    <w:rsid w:val="00861193"/>
    <w:rsid w:val="00861197"/>
    <w:rsid w:val="0086122E"/>
    <w:rsid w:val="00861BFE"/>
    <w:rsid w:val="00861D78"/>
    <w:rsid w:val="0086202A"/>
    <w:rsid w:val="00862311"/>
    <w:rsid w:val="008628EB"/>
    <w:rsid w:val="00862A41"/>
    <w:rsid w:val="00862AF9"/>
    <w:rsid w:val="00862B06"/>
    <w:rsid w:val="00862FEB"/>
    <w:rsid w:val="00862FF6"/>
    <w:rsid w:val="0086338E"/>
    <w:rsid w:val="008633BB"/>
    <w:rsid w:val="0086345C"/>
    <w:rsid w:val="008634C0"/>
    <w:rsid w:val="00863518"/>
    <w:rsid w:val="00863542"/>
    <w:rsid w:val="00863565"/>
    <w:rsid w:val="0086372D"/>
    <w:rsid w:val="008637C8"/>
    <w:rsid w:val="0086386A"/>
    <w:rsid w:val="00863950"/>
    <w:rsid w:val="008639CC"/>
    <w:rsid w:val="00863C7C"/>
    <w:rsid w:val="00863CFD"/>
    <w:rsid w:val="0086444F"/>
    <w:rsid w:val="00864565"/>
    <w:rsid w:val="00864B3D"/>
    <w:rsid w:val="00864C2E"/>
    <w:rsid w:val="00864CAA"/>
    <w:rsid w:val="00864E97"/>
    <w:rsid w:val="00864EBF"/>
    <w:rsid w:val="00865097"/>
    <w:rsid w:val="00865153"/>
    <w:rsid w:val="0086516C"/>
    <w:rsid w:val="00865286"/>
    <w:rsid w:val="0086532F"/>
    <w:rsid w:val="00865491"/>
    <w:rsid w:val="00865581"/>
    <w:rsid w:val="00865851"/>
    <w:rsid w:val="00865B51"/>
    <w:rsid w:val="00865DE9"/>
    <w:rsid w:val="00865E10"/>
    <w:rsid w:val="00865EAC"/>
    <w:rsid w:val="00865F07"/>
    <w:rsid w:val="008660A6"/>
    <w:rsid w:val="0086627A"/>
    <w:rsid w:val="00866493"/>
    <w:rsid w:val="008665F1"/>
    <w:rsid w:val="0086690E"/>
    <w:rsid w:val="00866A60"/>
    <w:rsid w:val="00866BAC"/>
    <w:rsid w:val="00866CDC"/>
    <w:rsid w:val="00866D90"/>
    <w:rsid w:val="00866E17"/>
    <w:rsid w:val="00866F32"/>
    <w:rsid w:val="00867158"/>
    <w:rsid w:val="008674C6"/>
    <w:rsid w:val="0086762C"/>
    <w:rsid w:val="008676AD"/>
    <w:rsid w:val="008676DB"/>
    <w:rsid w:val="00867A32"/>
    <w:rsid w:val="00867AA0"/>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C02"/>
    <w:rsid w:val="00870E9F"/>
    <w:rsid w:val="00870F14"/>
    <w:rsid w:val="0087113E"/>
    <w:rsid w:val="00871212"/>
    <w:rsid w:val="00871434"/>
    <w:rsid w:val="00871520"/>
    <w:rsid w:val="0087158D"/>
    <w:rsid w:val="0087160B"/>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192"/>
    <w:rsid w:val="0087421C"/>
    <w:rsid w:val="008745AB"/>
    <w:rsid w:val="00874872"/>
    <w:rsid w:val="008748E3"/>
    <w:rsid w:val="00874B3E"/>
    <w:rsid w:val="00874D0F"/>
    <w:rsid w:val="00874D1D"/>
    <w:rsid w:val="00874FF1"/>
    <w:rsid w:val="008751DA"/>
    <w:rsid w:val="008751EC"/>
    <w:rsid w:val="00875413"/>
    <w:rsid w:val="00875419"/>
    <w:rsid w:val="00875657"/>
    <w:rsid w:val="00875705"/>
    <w:rsid w:val="0087575F"/>
    <w:rsid w:val="00875817"/>
    <w:rsid w:val="00875899"/>
    <w:rsid w:val="0087591B"/>
    <w:rsid w:val="00875AE5"/>
    <w:rsid w:val="00875BF1"/>
    <w:rsid w:val="00875E56"/>
    <w:rsid w:val="0087606C"/>
    <w:rsid w:val="0087627B"/>
    <w:rsid w:val="00876495"/>
    <w:rsid w:val="008766CD"/>
    <w:rsid w:val="00876759"/>
    <w:rsid w:val="0087686F"/>
    <w:rsid w:val="0087690C"/>
    <w:rsid w:val="00876972"/>
    <w:rsid w:val="00876A2B"/>
    <w:rsid w:val="00876A71"/>
    <w:rsid w:val="00876AB9"/>
    <w:rsid w:val="00876B9C"/>
    <w:rsid w:val="00876CDD"/>
    <w:rsid w:val="00876DE8"/>
    <w:rsid w:val="00876EBB"/>
    <w:rsid w:val="00876F7E"/>
    <w:rsid w:val="008772BA"/>
    <w:rsid w:val="008774BD"/>
    <w:rsid w:val="00877690"/>
    <w:rsid w:val="00877704"/>
    <w:rsid w:val="0087775A"/>
    <w:rsid w:val="0088013D"/>
    <w:rsid w:val="008803C2"/>
    <w:rsid w:val="008803C7"/>
    <w:rsid w:val="00880757"/>
    <w:rsid w:val="00880862"/>
    <w:rsid w:val="00880871"/>
    <w:rsid w:val="00880A52"/>
    <w:rsid w:val="00880B58"/>
    <w:rsid w:val="00880BE9"/>
    <w:rsid w:val="00880E5E"/>
    <w:rsid w:val="00880E6E"/>
    <w:rsid w:val="00881085"/>
    <w:rsid w:val="008812CC"/>
    <w:rsid w:val="0088155A"/>
    <w:rsid w:val="0088157C"/>
    <w:rsid w:val="0088162E"/>
    <w:rsid w:val="00881848"/>
    <w:rsid w:val="00881875"/>
    <w:rsid w:val="008819D1"/>
    <w:rsid w:val="00881E60"/>
    <w:rsid w:val="00881F81"/>
    <w:rsid w:val="008821C7"/>
    <w:rsid w:val="00882262"/>
    <w:rsid w:val="008823E6"/>
    <w:rsid w:val="00882426"/>
    <w:rsid w:val="00882477"/>
    <w:rsid w:val="008824CD"/>
    <w:rsid w:val="00882672"/>
    <w:rsid w:val="00882819"/>
    <w:rsid w:val="00883253"/>
    <w:rsid w:val="008835E4"/>
    <w:rsid w:val="0088375E"/>
    <w:rsid w:val="00883816"/>
    <w:rsid w:val="00883BAA"/>
    <w:rsid w:val="00883C76"/>
    <w:rsid w:val="00883CC2"/>
    <w:rsid w:val="00883E42"/>
    <w:rsid w:val="00883FC1"/>
    <w:rsid w:val="00884260"/>
    <w:rsid w:val="008842C2"/>
    <w:rsid w:val="00884362"/>
    <w:rsid w:val="0088442C"/>
    <w:rsid w:val="0088444E"/>
    <w:rsid w:val="008845A9"/>
    <w:rsid w:val="008849AB"/>
    <w:rsid w:val="00884C17"/>
    <w:rsid w:val="00884C1D"/>
    <w:rsid w:val="00884CCA"/>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25"/>
    <w:rsid w:val="0088738E"/>
    <w:rsid w:val="008877A2"/>
    <w:rsid w:val="008877C6"/>
    <w:rsid w:val="008879D8"/>
    <w:rsid w:val="008879F6"/>
    <w:rsid w:val="008879FB"/>
    <w:rsid w:val="00887C25"/>
    <w:rsid w:val="00887CB4"/>
    <w:rsid w:val="00887E02"/>
    <w:rsid w:val="00887E75"/>
    <w:rsid w:val="008900B7"/>
    <w:rsid w:val="00890292"/>
    <w:rsid w:val="008902C6"/>
    <w:rsid w:val="00890339"/>
    <w:rsid w:val="0089072E"/>
    <w:rsid w:val="00890761"/>
    <w:rsid w:val="00890AF6"/>
    <w:rsid w:val="00890F54"/>
    <w:rsid w:val="0089103A"/>
    <w:rsid w:val="0089106D"/>
    <w:rsid w:val="0089134B"/>
    <w:rsid w:val="008914CB"/>
    <w:rsid w:val="008915F1"/>
    <w:rsid w:val="00891A5F"/>
    <w:rsid w:val="00891B84"/>
    <w:rsid w:val="00891C54"/>
    <w:rsid w:val="00891DB8"/>
    <w:rsid w:val="00891FFF"/>
    <w:rsid w:val="008920A6"/>
    <w:rsid w:val="0089264F"/>
    <w:rsid w:val="008926E2"/>
    <w:rsid w:val="00892770"/>
    <w:rsid w:val="00892886"/>
    <w:rsid w:val="0089293E"/>
    <w:rsid w:val="00892980"/>
    <w:rsid w:val="008929F4"/>
    <w:rsid w:val="00892DB4"/>
    <w:rsid w:val="00892EAB"/>
    <w:rsid w:val="00893389"/>
    <w:rsid w:val="008934F0"/>
    <w:rsid w:val="00893735"/>
    <w:rsid w:val="008937E3"/>
    <w:rsid w:val="008938AF"/>
    <w:rsid w:val="00893961"/>
    <w:rsid w:val="008939BC"/>
    <w:rsid w:val="00893B88"/>
    <w:rsid w:val="00893DAE"/>
    <w:rsid w:val="00893DDF"/>
    <w:rsid w:val="0089417E"/>
    <w:rsid w:val="0089423D"/>
    <w:rsid w:val="0089430A"/>
    <w:rsid w:val="008944DF"/>
    <w:rsid w:val="008945F0"/>
    <w:rsid w:val="008947DD"/>
    <w:rsid w:val="008948BF"/>
    <w:rsid w:val="0089495B"/>
    <w:rsid w:val="00894A54"/>
    <w:rsid w:val="00894BA4"/>
    <w:rsid w:val="00894BC6"/>
    <w:rsid w:val="00894E35"/>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5F78"/>
    <w:rsid w:val="00895FD6"/>
    <w:rsid w:val="0089613C"/>
    <w:rsid w:val="008961E6"/>
    <w:rsid w:val="0089624E"/>
    <w:rsid w:val="00896285"/>
    <w:rsid w:val="00896383"/>
    <w:rsid w:val="008965F9"/>
    <w:rsid w:val="008965FA"/>
    <w:rsid w:val="00896831"/>
    <w:rsid w:val="008968D7"/>
    <w:rsid w:val="00896A88"/>
    <w:rsid w:val="00896A94"/>
    <w:rsid w:val="00896B3B"/>
    <w:rsid w:val="00896C3E"/>
    <w:rsid w:val="00896E9B"/>
    <w:rsid w:val="00897074"/>
    <w:rsid w:val="0089717B"/>
    <w:rsid w:val="0089750A"/>
    <w:rsid w:val="008975A8"/>
    <w:rsid w:val="00897833"/>
    <w:rsid w:val="008978C4"/>
    <w:rsid w:val="00897926"/>
    <w:rsid w:val="0089793D"/>
    <w:rsid w:val="00897968"/>
    <w:rsid w:val="00897D52"/>
    <w:rsid w:val="00897DB8"/>
    <w:rsid w:val="00897E29"/>
    <w:rsid w:val="00897FAF"/>
    <w:rsid w:val="008A0066"/>
    <w:rsid w:val="008A0089"/>
    <w:rsid w:val="008A043D"/>
    <w:rsid w:val="008A0534"/>
    <w:rsid w:val="008A05C4"/>
    <w:rsid w:val="008A06F8"/>
    <w:rsid w:val="008A0B4F"/>
    <w:rsid w:val="008A0BB4"/>
    <w:rsid w:val="008A0E6B"/>
    <w:rsid w:val="008A1002"/>
    <w:rsid w:val="008A105A"/>
    <w:rsid w:val="008A1218"/>
    <w:rsid w:val="008A13C6"/>
    <w:rsid w:val="008A1571"/>
    <w:rsid w:val="008A1865"/>
    <w:rsid w:val="008A18DF"/>
    <w:rsid w:val="008A1D19"/>
    <w:rsid w:val="008A1E47"/>
    <w:rsid w:val="008A1EAB"/>
    <w:rsid w:val="008A1F6C"/>
    <w:rsid w:val="008A1FB3"/>
    <w:rsid w:val="008A20A2"/>
    <w:rsid w:val="008A20D7"/>
    <w:rsid w:val="008A21C0"/>
    <w:rsid w:val="008A220F"/>
    <w:rsid w:val="008A2245"/>
    <w:rsid w:val="008A2308"/>
    <w:rsid w:val="008A24EC"/>
    <w:rsid w:val="008A25C7"/>
    <w:rsid w:val="008A2708"/>
    <w:rsid w:val="008A2791"/>
    <w:rsid w:val="008A28F3"/>
    <w:rsid w:val="008A2AF8"/>
    <w:rsid w:val="008A2C5B"/>
    <w:rsid w:val="008A2CED"/>
    <w:rsid w:val="008A2D76"/>
    <w:rsid w:val="008A2F41"/>
    <w:rsid w:val="008A2FE8"/>
    <w:rsid w:val="008A31AE"/>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4F2A"/>
    <w:rsid w:val="008A51E6"/>
    <w:rsid w:val="008A52FE"/>
    <w:rsid w:val="008A543F"/>
    <w:rsid w:val="008A563E"/>
    <w:rsid w:val="008A56FC"/>
    <w:rsid w:val="008A5D46"/>
    <w:rsid w:val="008A5D63"/>
    <w:rsid w:val="008A5E8A"/>
    <w:rsid w:val="008A5F03"/>
    <w:rsid w:val="008A6272"/>
    <w:rsid w:val="008A6365"/>
    <w:rsid w:val="008A6404"/>
    <w:rsid w:val="008A643E"/>
    <w:rsid w:val="008A6479"/>
    <w:rsid w:val="008A6788"/>
    <w:rsid w:val="008A69AA"/>
    <w:rsid w:val="008A69D0"/>
    <w:rsid w:val="008A6A33"/>
    <w:rsid w:val="008A6B3D"/>
    <w:rsid w:val="008A6B4F"/>
    <w:rsid w:val="008A6B5C"/>
    <w:rsid w:val="008A6DD2"/>
    <w:rsid w:val="008A6E5B"/>
    <w:rsid w:val="008A6F5A"/>
    <w:rsid w:val="008A705D"/>
    <w:rsid w:val="008A725A"/>
    <w:rsid w:val="008A72C4"/>
    <w:rsid w:val="008A752A"/>
    <w:rsid w:val="008A76C1"/>
    <w:rsid w:val="008A77C0"/>
    <w:rsid w:val="008A77EC"/>
    <w:rsid w:val="008A77ED"/>
    <w:rsid w:val="008A78DD"/>
    <w:rsid w:val="008A7FFE"/>
    <w:rsid w:val="008B04AC"/>
    <w:rsid w:val="008B04F1"/>
    <w:rsid w:val="008B0596"/>
    <w:rsid w:val="008B07A8"/>
    <w:rsid w:val="008B0827"/>
    <w:rsid w:val="008B0A4A"/>
    <w:rsid w:val="008B0B5E"/>
    <w:rsid w:val="008B0F04"/>
    <w:rsid w:val="008B0F0B"/>
    <w:rsid w:val="008B0F55"/>
    <w:rsid w:val="008B1251"/>
    <w:rsid w:val="008B12AF"/>
    <w:rsid w:val="008B13F9"/>
    <w:rsid w:val="008B1538"/>
    <w:rsid w:val="008B15EE"/>
    <w:rsid w:val="008B15FC"/>
    <w:rsid w:val="008B16FB"/>
    <w:rsid w:val="008B1901"/>
    <w:rsid w:val="008B1A24"/>
    <w:rsid w:val="008B1AFF"/>
    <w:rsid w:val="008B1B35"/>
    <w:rsid w:val="008B1B72"/>
    <w:rsid w:val="008B1F5C"/>
    <w:rsid w:val="008B204F"/>
    <w:rsid w:val="008B20F1"/>
    <w:rsid w:val="008B2326"/>
    <w:rsid w:val="008B2504"/>
    <w:rsid w:val="008B25B5"/>
    <w:rsid w:val="008B27CC"/>
    <w:rsid w:val="008B2848"/>
    <w:rsid w:val="008B28E3"/>
    <w:rsid w:val="008B2BE1"/>
    <w:rsid w:val="008B2BE6"/>
    <w:rsid w:val="008B2DAC"/>
    <w:rsid w:val="008B2E13"/>
    <w:rsid w:val="008B2F0F"/>
    <w:rsid w:val="008B302C"/>
    <w:rsid w:val="008B31FF"/>
    <w:rsid w:val="008B34B8"/>
    <w:rsid w:val="008B34C9"/>
    <w:rsid w:val="008B34ED"/>
    <w:rsid w:val="008B3654"/>
    <w:rsid w:val="008B36A5"/>
    <w:rsid w:val="008B3801"/>
    <w:rsid w:val="008B39BB"/>
    <w:rsid w:val="008B3BEB"/>
    <w:rsid w:val="008B3BED"/>
    <w:rsid w:val="008B3C85"/>
    <w:rsid w:val="008B3CD8"/>
    <w:rsid w:val="008B3DB5"/>
    <w:rsid w:val="008B3EBD"/>
    <w:rsid w:val="008B407E"/>
    <w:rsid w:val="008B4318"/>
    <w:rsid w:val="008B452E"/>
    <w:rsid w:val="008B45D6"/>
    <w:rsid w:val="008B46A1"/>
    <w:rsid w:val="008B47C1"/>
    <w:rsid w:val="008B47E6"/>
    <w:rsid w:val="008B47F3"/>
    <w:rsid w:val="008B4A0C"/>
    <w:rsid w:val="008B4A16"/>
    <w:rsid w:val="008B4B2B"/>
    <w:rsid w:val="008B4B71"/>
    <w:rsid w:val="008B4B79"/>
    <w:rsid w:val="008B4DD1"/>
    <w:rsid w:val="008B5158"/>
    <w:rsid w:val="008B51D5"/>
    <w:rsid w:val="008B51FA"/>
    <w:rsid w:val="008B521F"/>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A9"/>
    <w:rsid w:val="008B74F7"/>
    <w:rsid w:val="008B7A29"/>
    <w:rsid w:val="008B7D30"/>
    <w:rsid w:val="008B7F45"/>
    <w:rsid w:val="008B7F80"/>
    <w:rsid w:val="008C001F"/>
    <w:rsid w:val="008C008E"/>
    <w:rsid w:val="008C0384"/>
    <w:rsid w:val="008C0543"/>
    <w:rsid w:val="008C0601"/>
    <w:rsid w:val="008C06F2"/>
    <w:rsid w:val="008C08C2"/>
    <w:rsid w:val="008C0902"/>
    <w:rsid w:val="008C0A5C"/>
    <w:rsid w:val="008C0BD5"/>
    <w:rsid w:val="008C0C1C"/>
    <w:rsid w:val="008C0C65"/>
    <w:rsid w:val="008C0D34"/>
    <w:rsid w:val="008C0D76"/>
    <w:rsid w:val="008C0D9D"/>
    <w:rsid w:val="008C0EDE"/>
    <w:rsid w:val="008C0FEB"/>
    <w:rsid w:val="008C12D5"/>
    <w:rsid w:val="008C13FB"/>
    <w:rsid w:val="008C149B"/>
    <w:rsid w:val="008C14C6"/>
    <w:rsid w:val="008C1632"/>
    <w:rsid w:val="008C16A1"/>
    <w:rsid w:val="008C186B"/>
    <w:rsid w:val="008C1ADE"/>
    <w:rsid w:val="008C1DF7"/>
    <w:rsid w:val="008C2155"/>
    <w:rsid w:val="008C229D"/>
    <w:rsid w:val="008C2494"/>
    <w:rsid w:val="008C2835"/>
    <w:rsid w:val="008C29FF"/>
    <w:rsid w:val="008C2A64"/>
    <w:rsid w:val="008C2B6B"/>
    <w:rsid w:val="008C2C21"/>
    <w:rsid w:val="008C308D"/>
    <w:rsid w:val="008C313F"/>
    <w:rsid w:val="008C328C"/>
    <w:rsid w:val="008C3346"/>
    <w:rsid w:val="008C33CE"/>
    <w:rsid w:val="008C3602"/>
    <w:rsid w:val="008C3BEC"/>
    <w:rsid w:val="008C3C12"/>
    <w:rsid w:val="008C3CA7"/>
    <w:rsid w:val="008C3ED0"/>
    <w:rsid w:val="008C3F52"/>
    <w:rsid w:val="008C435B"/>
    <w:rsid w:val="008C4547"/>
    <w:rsid w:val="008C4567"/>
    <w:rsid w:val="008C47C6"/>
    <w:rsid w:val="008C4EA0"/>
    <w:rsid w:val="008C4EBF"/>
    <w:rsid w:val="008C5093"/>
    <w:rsid w:val="008C51D1"/>
    <w:rsid w:val="008C5310"/>
    <w:rsid w:val="008C5349"/>
    <w:rsid w:val="008C53A1"/>
    <w:rsid w:val="008C53A6"/>
    <w:rsid w:val="008C56FC"/>
    <w:rsid w:val="008C5861"/>
    <w:rsid w:val="008C5895"/>
    <w:rsid w:val="008C5B24"/>
    <w:rsid w:val="008C5B66"/>
    <w:rsid w:val="008C5BBE"/>
    <w:rsid w:val="008C5C78"/>
    <w:rsid w:val="008C5E0E"/>
    <w:rsid w:val="008C5E43"/>
    <w:rsid w:val="008C5EF2"/>
    <w:rsid w:val="008C607F"/>
    <w:rsid w:val="008C61C6"/>
    <w:rsid w:val="008C6233"/>
    <w:rsid w:val="008C6241"/>
    <w:rsid w:val="008C6484"/>
    <w:rsid w:val="008C6559"/>
    <w:rsid w:val="008C657E"/>
    <w:rsid w:val="008C658E"/>
    <w:rsid w:val="008C65FC"/>
    <w:rsid w:val="008C6AEC"/>
    <w:rsid w:val="008C6B19"/>
    <w:rsid w:val="008C6DE8"/>
    <w:rsid w:val="008C6EBA"/>
    <w:rsid w:val="008C7346"/>
    <w:rsid w:val="008C736B"/>
    <w:rsid w:val="008C762B"/>
    <w:rsid w:val="008C77DB"/>
    <w:rsid w:val="008C77F6"/>
    <w:rsid w:val="008C79B0"/>
    <w:rsid w:val="008C7B80"/>
    <w:rsid w:val="008C7CCE"/>
    <w:rsid w:val="008C7DB4"/>
    <w:rsid w:val="008C7DBA"/>
    <w:rsid w:val="008C7E40"/>
    <w:rsid w:val="008C7F85"/>
    <w:rsid w:val="008C7FC7"/>
    <w:rsid w:val="008C7FF3"/>
    <w:rsid w:val="008D01A4"/>
    <w:rsid w:val="008D026A"/>
    <w:rsid w:val="008D030F"/>
    <w:rsid w:val="008D03E1"/>
    <w:rsid w:val="008D0844"/>
    <w:rsid w:val="008D08E5"/>
    <w:rsid w:val="008D09D0"/>
    <w:rsid w:val="008D0AFC"/>
    <w:rsid w:val="008D0CAE"/>
    <w:rsid w:val="008D0DD6"/>
    <w:rsid w:val="008D0EC6"/>
    <w:rsid w:val="008D1333"/>
    <w:rsid w:val="008D133F"/>
    <w:rsid w:val="008D183C"/>
    <w:rsid w:val="008D19B0"/>
    <w:rsid w:val="008D1AC3"/>
    <w:rsid w:val="008D1B62"/>
    <w:rsid w:val="008D1BA5"/>
    <w:rsid w:val="008D1BF1"/>
    <w:rsid w:val="008D1D65"/>
    <w:rsid w:val="008D1D7F"/>
    <w:rsid w:val="008D1DDE"/>
    <w:rsid w:val="008D1EE3"/>
    <w:rsid w:val="008D1FA9"/>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9D"/>
    <w:rsid w:val="008D33E3"/>
    <w:rsid w:val="008D343D"/>
    <w:rsid w:val="008D3531"/>
    <w:rsid w:val="008D35F7"/>
    <w:rsid w:val="008D3B0A"/>
    <w:rsid w:val="008D3B86"/>
    <w:rsid w:val="008D3BC9"/>
    <w:rsid w:val="008D3CF5"/>
    <w:rsid w:val="008D3DAD"/>
    <w:rsid w:val="008D3DBE"/>
    <w:rsid w:val="008D3DEE"/>
    <w:rsid w:val="008D4153"/>
    <w:rsid w:val="008D41FF"/>
    <w:rsid w:val="008D4343"/>
    <w:rsid w:val="008D4373"/>
    <w:rsid w:val="008D466A"/>
    <w:rsid w:val="008D46E4"/>
    <w:rsid w:val="008D4887"/>
    <w:rsid w:val="008D4A52"/>
    <w:rsid w:val="008D4BC8"/>
    <w:rsid w:val="008D4DD5"/>
    <w:rsid w:val="008D4E95"/>
    <w:rsid w:val="008D4FDE"/>
    <w:rsid w:val="008D5062"/>
    <w:rsid w:val="008D5436"/>
    <w:rsid w:val="008D55A7"/>
    <w:rsid w:val="008D57A6"/>
    <w:rsid w:val="008D5819"/>
    <w:rsid w:val="008D5974"/>
    <w:rsid w:val="008D5B37"/>
    <w:rsid w:val="008D5B96"/>
    <w:rsid w:val="008D5C03"/>
    <w:rsid w:val="008D5DF9"/>
    <w:rsid w:val="008D5FF5"/>
    <w:rsid w:val="008D6045"/>
    <w:rsid w:val="008D625C"/>
    <w:rsid w:val="008D638A"/>
    <w:rsid w:val="008D6406"/>
    <w:rsid w:val="008D679E"/>
    <w:rsid w:val="008D683B"/>
    <w:rsid w:val="008D6BE1"/>
    <w:rsid w:val="008D6BFF"/>
    <w:rsid w:val="008D6E08"/>
    <w:rsid w:val="008D7002"/>
    <w:rsid w:val="008D7010"/>
    <w:rsid w:val="008D7282"/>
    <w:rsid w:val="008D730E"/>
    <w:rsid w:val="008D7548"/>
    <w:rsid w:val="008D7566"/>
    <w:rsid w:val="008D75F7"/>
    <w:rsid w:val="008D7776"/>
    <w:rsid w:val="008D77E2"/>
    <w:rsid w:val="008D7A3F"/>
    <w:rsid w:val="008D7A54"/>
    <w:rsid w:val="008D7D04"/>
    <w:rsid w:val="008D7E01"/>
    <w:rsid w:val="008D7EB5"/>
    <w:rsid w:val="008E036B"/>
    <w:rsid w:val="008E0553"/>
    <w:rsid w:val="008E0620"/>
    <w:rsid w:val="008E0799"/>
    <w:rsid w:val="008E0BD1"/>
    <w:rsid w:val="008E0DE7"/>
    <w:rsid w:val="008E102C"/>
    <w:rsid w:val="008E1163"/>
    <w:rsid w:val="008E1236"/>
    <w:rsid w:val="008E13A8"/>
    <w:rsid w:val="008E1582"/>
    <w:rsid w:val="008E15D6"/>
    <w:rsid w:val="008E1634"/>
    <w:rsid w:val="008E16CB"/>
    <w:rsid w:val="008E1795"/>
    <w:rsid w:val="008E18A3"/>
    <w:rsid w:val="008E19C8"/>
    <w:rsid w:val="008E1D08"/>
    <w:rsid w:val="008E219C"/>
    <w:rsid w:val="008E21CF"/>
    <w:rsid w:val="008E2442"/>
    <w:rsid w:val="008E2488"/>
    <w:rsid w:val="008E2501"/>
    <w:rsid w:val="008E2538"/>
    <w:rsid w:val="008E258A"/>
    <w:rsid w:val="008E2777"/>
    <w:rsid w:val="008E27C4"/>
    <w:rsid w:val="008E2A59"/>
    <w:rsid w:val="008E2C44"/>
    <w:rsid w:val="008E2C66"/>
    <w:rsid w:val="008E2E27"/>
    <w:rsid w:val="008E2F33"/>
    <w:rsid w:val="008E3309"/>
    <w:rsid w:val="008E3530"/>
    <w:rsid w:val="008E355D"/>
    <w:rsid w:val="008E3641"/>
    <w:rsid w:val="008E367A"/>
    <w:rsid w:val="008E37CD"/>
    <w:rsid w:val="008E3B95"/>
    <w:rsid w:val="008E3B9A"/>
    <w:rsid w:val="008E3BC4"/>
    <w:rsid w:val="008E3C7D"/>
    <w:rsid w:val="008E3DF4"/>
    <w:rsid w:val="008E3F3C"/>
    <w:rsid w:val="008E3F83"/>
    <w:rsid w:val="008E3F96"/>
    <w:rsid w:val="008E42A4"/>
    <w:rsid w:val="008E438A"/>
    <w:rsid w:val="008E44F3"/>
    <w:rsid w:val="008E453B"/>
    <w:rsid w:val="008E45C2"/>
    <w:rsid w:val="008E45F8"/>
    <w:rsid w:val="008E4644"/>
    <w:rsid w:val="008E49C5"/>
    <w:rsid w:val="008E4C48"/>
    <w:rsid w:val="008E4CE5"/>
    <w:rsid w:val="008E4D42"/>
    <w:rsid w:val="008E4FBB"/>
    <w:rsid w:val="008E5045"/>
    <w:rsid w:val="008E50E8"/>
    <w:rsid w:val="008E5127"/>
    <w:rsid w:val="008E5486"/>
    <w:rsid w:val="008E54C8"/>
    <w:rsid w:val="008E5525"/>
    <w:rsid w:val="008E55DE"/>
    <w:rsid w:val="008E560B"/>
    <w:rsid w:val="008E5957"/>
    <w:rsid w:val="008E5973"/>
    <w:rsid w:val="008E5A43"/>
    <w:rsid w:val="008E5A77"/>
    <w:rsid w:val="008E5B45"/>
    <w:rsid w:val="008E5BB1"/>
    <w:rsid w:val="008E5CBA"/>
    <w:rsid w:val="008E5DB2"/>
    <w:rsid w:val="008E5E8D"/>
    <w:rsid w:val="008E6458"/>
    <w:rsid w:val="008E65E9"/>
    <w:rsid w:val="008E66BF"/>
    <w:rsid w:val="008E698D"/>
    <w:rsid w:val="008E69AF"/>
    <w:rsid w:val="008E6B00"/>
    <w:rsid w:val="008E6E44"/>
    <w:rsid w:val="008E734E"/>
    <w:rsid w:val="008E736F"/>
    <w:rsid w:val="008E73F1"/>
    <w:rsid w:val="008E7761"/>
    <w:rsid w:val="008E78DC"/>
    <w:rsid w:val="008E79E4"/>
    <w:rsid w:val="008E7E33"/>
    <w:rsid w:val="008F005C"/>
    <w:rsid w:val="008F021D"/>
    <w:rsid w:val="008F03D7"/>
    <w:rsid w:val="008F03DF"/>
    <w:rsid w:val="008F03E4"/>
    <w:rsid w:val="008F042C"/>
    <w:rsid w:val="008F04DC"/>
    <w:rsid w:val="008F0520"/>
    <w:rsid w:val="008F0B84"/>
    <w:rsid w:val="008F0BAA"/>
    <w:rsid w:val="008F0C2A"/>
    <w:rsid w:val="008F0C5A"/>
    <w:rsid w:val="008F0CAF"/>
    <w:rsid w:val="008F0DFE"/>
    <w:rsid w:val="008F0E8E"/>
    <w:rsid w:val="008F0F3A"/>
    <w:rsid w:val="008F0F3D"/>
    <w:rsid w:val="008F1349"/>
    <w:rsid w:val="008F1399"/>
    <w:rsid w:val="008F13B4"/>
    <w:rsid w:val="008F14AD"/>
    <w:rsid w:val="008F1543"/>
    <w:rsid w:val="008F15D7"/>
    <w:rsid w:val="008F166E"/>
    <w:rsid w:val="008F187C"/>
    <w:rsid w:val="008F18AD"/>
    <w:rsid w:val="008F1A93"/>
    <w:rsid w:val="008F1ABB"/>
    <w:rsid w:val="008F1CEC"/>
    <w:rsid w:val="008F1D6B"/>
    <w:rsid w:val="008F1DEB"/>
    <w:rsid w:val="008F1EE5"/>
    <w:rsid w:val="008F1EEC"/>
    <w:rsid w:val="008F2006"/>
    <w:rsid w:val="008F2468"/>
    <w:rsid w:val="008F26E3"/>
    <w:rsid w:val="008F2829"/>
    <w:rsid w:val="008F2B1D"/>
    <w:rsid w:val="008F2D2B"/>
    <w:rsid w:val="008F2D4D"/>
    <w:rsid w:val="008F2DD4"/>
    <w:rsid w:val="008F2E7D"/>
    <w:rsid w:val="008F2E96"/>
    <w:rsid w:val="008F3012"/>
    <w:rsid w:val="008F30C7"/>
    <w:rsid w:val="008F33BA"/>
    <w:rsid w:val="008F34C2"/>
    <w:rsid w:val="008F357B"/>
    <w:rsid w:val="008F36B2"/>
    <w:rsid w:val="008F3727"/>
    <w:rsid w:val="008F37E4"/>
    <w:rsid w:val="008F3A4F"/>
    <w:rsid w:val="008F3DA5"/>
    <w:rsid w:val="008F40E8"/>
    <w:rsid w:val="008F4229"/>
    <w:rsid w:val="008F44F1"/>
    <w:rsid w:val="008F459D"/>
    <w:rsid w:val="008F483B"/>
    <w:rsid w:val="008F4955"/>
    <w:rsid w:val="008F4C02"/>
    <w:rsid w:val="008F4D12"/>
    <w:rsid w:val="008F5289"/>
    <w:rsid w:val="008F52F1"/>
    <w:rsid w:val="008F53DE"/>
    <w:rsid w:val="008F53FB"/>
    <w:rsid w:val="008F5438"/>
    <w:rsid w:val="008F5465"/>
    <w:rsid w:val="008F56B6"/>
    <w:rsid w:val="008F5C2D"/>
    <w:rsid w:val="008F5CCB"/>
    <w:rsid w:val="008F5DB9"/>
    <w:rsid w:val="008F5DFD"/>
    <w:rsid w:val="008F5F11"/>
    <w:rsid w:val="008F615A"/>
    <w:rsid w:val="008F61C9"/>
    <w:rsid w:val="008F6222"/>
    <w:rsid w:val="008F62C4"/>
    <w:rsid w:val="008F63D0"/>
    <w:rsid w:val="008F67E3"/>
    <w:rsid w:val="008F682A"/>
    <w:rsid w:val="008F6842"/>
    <w:rsid w:val="008F68BD"/>
    <w:rsid w:val="008F68C0"/>
    <w:rsid w:val="008F6BF4"/>
    <w:rsid w:val="008F6CA2"/>
    <w:rsid w:val="008F6D75"/>
    <w:rsid w:val="008F70B4"/>
    <w:rsid w:val="008F75CC"/>
    <w:rsid w:val="008F78DB"/>
    <w:rsid w:val="008F7927"/>
    <w:rsid w:val="008F7C90"/>
    <w:rsid w:val="008F7E63"/>
    <w:rsid w:val="008F7FA3"/>
    <w:rsid w:val="008F7FD1"/>
    <w:rsid w:val="0090028D"/>
    <w:rsid w:val="0090033F"/>
    <w:rsid w:val="00900421"/>
    <w:rsid w:val="00900692"/>
    <w:rsid w:val="0090087E"/>
    <w:rsid w:val="00900898"/>
    <w:rsid w:val="009008BC"/>
    <w:rsid w:val="00900B0E"/>
    <w:rsid w:val="00900C80"/>
    <w:rsid w:val="00901027"/>
    <w:rsid w:val="009011C6"/>
    <w:rsid w:val="00901263"/>
    <w:rsid w:val="009012E8"/>
    <w:rsid w:val="00901366"/>
    <w:rsid w:val="00901462"/>
    <w:rsid w:val="0090156C"/>
    <w:rsid w:val="00901587"/>
    <w:rsid w:val="0090161F"/>
    <w:rsid w:val="0090175C"/>
    <w:rsid w:val="009018FD"/>
    <w:rsid w:val="009019F4"/>
    <w:rsid w:val="00901D09"/>
    <w:rsid w:val="00901ECD"/>
    <w:rsid w:val="00901F77"/>
    <w:rsid w:val="0090221C"/>
    <w:rsid w:val="00902250"/>
    <w:rsid w:val="0090237B"/>
    <w:rsid w:val="0090292F"/>
    <w:rsid w:val="009029CF"/>
    <w:rsid w:val="009029FE"/>
    <w:rsid w:val="00902A7B"/>
    <w:rsid w:val="00902AC6"/>
    <w:rsid w:val="00902B72"/>
    <w:rsid w:val="00902BCF"/>
    <w:rsid w:val="00902BE5"/>
    <w:rsid w:val="00902BF3"/>
    <w:rsid w:val="00902C19"/>
    <w:rsid w:val="00902C43"/>
    <w:rsid w:val="00902D0F"/>
    <w:rsid w:val="00902D18"/>
    <w:rsid w:val="00902DB2"/>
    <w:rsid w:val="00902EA4"/>
    <w:rsid w:val="00903210"/>
    <w:rsid w:val="0090321C"/>
    <w:rsid w:val="009032F0"/>
    <w:rsid w:val="009034C2"/>
    <w:rsid w:val="0090359A"/>
    <w:rsid w:val="00903658"/>
    <w:rsid w:val="00903A82"/>
    <w:rsid w:val="00903A9A"/>
    <w:rsid w:val="00903AA7"/>
    <w:rsid w:val="00903F88"/>
    <w:rsid w:val="0090414D"/>
    <w:rsid w:val="009041A8"/>
    <w:rsid w:val="009042AE"/>
    <w:rsid w:val="0090442D"/>
    <w:rsid w:val="0090466B"/>
    <w:rsid w:val="009046C2"/>
    <w:rsid w:val="0090475C"/>
    <w:rsid w:val="00904878"/>
    <w:rsid w:val="009048DF"/>
    <w:rsid w:val="0090492D"/>
    <w:rsid w:val="00904B15"/>
    <w:rsid w:val="00904B82"/>
    <w:rsid w:val="00904DEF"/>
    <w:rsid w:val="0090508C"/>
    <w:rsid w:val="00905300"/>
    <w:rsid w:val="00905435"/>
    <w:rsid w:val="009056FE"/>
    <w:rsid w:val="0090573B"/>
    <w:rsid w:val="009059B2"/>
    <w:rsid w:val="00905B1B"/>
    <w:rsid w:val="00905CCB"/>
    <w:rsid w:val="00905CE9"/>
    <w:rsid w:val="00905DF8"/>
    <w:rsid w:val="009061DD"/>
    <w:rsid w:val="009063A5"/>
    <w:rsid w:val="009063A8"/>
    <w:rsid w:val="00906412"/>
    <w:rsid w:val="009065A2"/>
    <w:rsid w:val="00906614"/>
    <w:rsid w:val="00906676"/>
    <w:rsid w:val="00906692"/>
    <w:rsid w:val="00906838"/>
    <w:rsid w:val="00906B63"/>
    <w:rsid w:val="00906B95"/>
    <w:rsid w:val="00906DE3"/>
    <w:rsid w:val="00906EE1"/>
    <w:rsid w:val="00906F2B"/>
    <w:rsid w:val="0090709A"/>
    <w:rsid w:val="00907145"/>
    <w:rsid w:val="0090762C"/>
    <w:rsid w:val="00907831"/>
    <w:rsid w:val="009078A9"/>
    <w:rsid w:val="00907960"/>
    <w:rsid w:val="00907A2D"/>
    <w:rsid w:val="00907A52"/>
    <w:rsid w:val="00907B0F"/>
    <w:rsid w:val="00907EE6"/>
    <w:rsid w:val="0091000E"/>
    <w:rsid w:val="009100DA"/>
    <w:rsid w:val="00910195"/>
    <w:rsid w:val="00910336"/>
    <w:rsid w:val="0091038F"/>
    <w:rsid w:val="009103B3"/>
    <w:rsid w:val="00910411"/>
    <w:rsid w:val="00910419"/>
    <w:rsid w:val="00910439"/>
    <w:rsid w:val="009106AD"/>
    <w:rsid w:val="0091082E"/>
    <w:rsid w:val="00910924"/>
    <w:rsid w:val="00910974"/>
    <w:rsid w:val="0091098D"/>
    <w:rsid w:val="00910B74"/>
    <w:rsid w:val="00910D4B"/>
    <w:rsid w:val="00910E8C"/>
    <w:rsid w:val="00910EE8"/>
    <w:rsid w:val="00910EEC"/>
    <w:rsid w:val="00910F10"/>
    <w:rsid w:val="00911268"/>
    <w:rsid w:val="009112BE"/>
    <w:rsid w:val="0091145C"/>
    <w:rsid w:val="00911461"/>
    <w:rsid w:val="00911551"/>
    <w:rsid w:val="0091158C"/>
    <w:rsid w:val="009115A3"/>
    <w:rsid w:val="00911676"/>
    <w:rsid w:val="009118B7"/>
    <w:rsid w:val="00911C8A"/>
    <w:rsid w:val="00911E56"/>
    <w:rsid w:val="0091221F"/>
    <w:rsid w:val="00912409"/>
    <w:rsid w:val="00912646"/>
    <w:rsid w:val="00912650"/>
    <w:rsid w:val="00912830"/>
    <w:rsid w:val="0091290B"/>
    <w:rsid w:val="00912AAA"/>
    <w:rsid w:val="00912B0B"/>
    <w:rsid w:val="00912CC9"/>
    <w:rsid w:val="00912E86"/>
    <w:rsid w:val="009134B5"/>
    <w:rsid w:val="0091368A"/>
    <w:rsid w:val="00913788"/>
    <w:rsid w:val="00913831"/>
    <w:rsid w:val="009138C4"/>
    <w:rsid w:val="009138CA"/>
    <w:rsid w:val="00913929"/>
    <w:rsid w:val="00913B2D"/>
    <w:rsid w:val="00913B53"/>
    <w:rsid w:val="00913CA7"/>
    <w:rsid w:val="00913D18"/>
    <w:rsid w:val="00913DC7"/>
    <w:rsid w:val="00913DF0"/>
    <w:rsid w:val="00913E30"/>
    <w:rsid w:val="00913E4F"/>
    <w:rsid w:val="00913E55"/>
    <w:rsid w:val="009140E4"/>
    <w:rsid w:val="0091427D"/>
    <w:rsid w:val="00914480"/>
    <w:rsid w:val="00914550"/>
    <w:rsid w:val="00914645"/>
    <w:rsid w:val="00914844"/>
    <w:rsid w:val="0091484D"/>
    <w:rsid w:val="00914A78"/>
    <w:rsid w:val="00914CD1"/>
    <w:rsid w:val="00914EDC"/>
    <w:rsid w:val="00914F14"/>
    <w:rsid w:val="00915140"/>
    <w:rsid w:val="0091530F"/>
    <w:rsid w:val="0091535E"/>
    <w:rsid w:val="009157A6"/>
    <w:rsid w:val="00915AAD"/>
    <w:rsid w:val="00915B19"/>
    <w:rsid w:val="00915D5C"/>
    <w:rsid w:val="00916222"/>
    <w:rsid w:val="00916304"/>
    <w:rsid w:val="009163E4"/>
    <w:rsid w:val="0091651A"/>
    <w:rsid w:val="009165F9"/>
    <w:rsid w:val="0091687C"/>
    <w:rsid w:val="009169C4"/>
    <w:rsid w:val="00916A5D"/>
    <w:rsid w:val="00916B24"/>
    <w:rsid w:val="00916C2D"/>
    <w:rsid w:val="00916FA6"/>
    <w:rsid w:val="00917623"/>
    <w:rsid w:val="00917751"/>
    <w:rsid w:val="00917974"/>
    <w:rsid w:val="00917A0A"/>
    <w:rsid w:val="00917CBD"/>
    <w:rsid w:val="00917F7D"/>
    <w:rsid w:val="00920008"/>
    <w:rsid w:val="0092013B"/>
    <w:rsid w:val="009204D7"/>
    <w:rsid w:val="009205EF"/>
    <w:rsid w:val="00920610"/>
    <w:rsid w:val="009206FF"/>
    <w:rsid w:val="0092095D"/>
    <w:rsid w:val="009209C3"/>
    <w:rsid w:val="009209DF"/>
    <w:rsid w:val="00920BC3"/>
    <w:rsid w:val="00920C95"/>
    <w:rsid w:val="00921207"/>
    <w:rsid w:val="00921282"/>
    <w:rsid w:val="009212D3"/>
    <w:rsid w:val="0092136E"/>
    <w:rsid w:val="00921736"/>
    <w:rsid w:val="00921A03"/>
    <w:rsid w:val="00921F5E"/>
    <w:rsid w:val="00922984"/>
    <w:rsid w:val="00922A20"/>
    <w:rsid w:val="00922AA5"/>
    <w:rsid w:val="00922D6A"/>
    <w:rsid w:val="00922F4A"/>
    <w:rsid w:val="00922F61"/>
    <w:rsid w:val="00922FA2"/>
    <w:rsid w:val="009230C7"/>
    <w:rsid w:val="009234BE"/>
    <w:rsid w:val="00923575"/>
    <w:rsid w:val="009236C8"/>
    <w:rsid w:val="009238F4"/>
    <w:rsid w:val="00923A8B"/>
    <w:rsid w:val="00923B39"/>
    <w:rsid w:val="00923B5A"/>
    <w:rsid w:val="00923C56"/>
    <w:rsid w:val="00923CB0"/>
    <w:rsid w:val="00923D99"/>
    <w:rsid w:val="0092410D"/>
    <w:rsid w:val="009242D9"/>
    <w:rsid w:val="00924312"/>
    <w:rsid w:val="00924421"/>
    <w:rsid w:val="00924429"/>
    <w:rsid w:val="00924475"/>
    <w:rsid w:val="009246EC"/>
    <w:rsid w:val="00924755"/>
    <w:rsid w:val="00924792"/>
    <w:rsid w:val="00924801"/>
    <w:rsid w:val="00924829"/>
    <w:rsid w:val="009248A7"/>
    <w:rsid w:val="009248FC"/>
    <w:rsid w:val="00924916"/>
    <w:rsid w:val="0092499E"/>
    <w:rsid w:val="009249D2"/>
    <w:rsid w:val="00924C63"/>
    <w:rsid w:val="00924C7A"/>
    <w:rsid w:val="00924F85"/>
    <w:rsid w:val="009252E4"/>
    <w:rsid w:val="00925330"/>
    <w:rsid w:val="00925498"/>
    <w:rsid w:val="009254BD"/>
    <w:rsid w:val="009256C2"/>
    <w:rsid w:val="00925804"/>
    <w:rsid w:val="00925825"/>
    <w:rsid w:val="00925B06"/>
    <w:rsid w:val="00925B26"/>
    <w:rsid w:val="00925DC7"/>
    <w:rsid w:val="00925DD2"/>
    <w:rsid w:val="00925EF4"/>
    <w:rsid w:val="00925F1B"/>
    <w:rsid w:val="009263F1"/>
    <w:rsid w:val="00926A0E"/>
    <w:rsid w:val="00926AA2"/>
    <w:rsid w:val="00926BC1"/>
    <w:rsid w:val="00926C7B"/>
    <w:rsid w:val="009270A0"/>
    <w:rsid w:val="00927161"/>
    <w:rsid w:val="00927236"/>
    <w:rsid w:val="0092752F"/>
    <w:rsid w:val="00927795"/>
    <w:rsid w:val="009278CD"/>
    <w:rsid w:val="0092790B"/>
    <w:rsid w:val="009279FE"/>
    <w:rsid w:val="00927B3A"/>
    <w:rsid w:val="00927C70"/>
    <w:rsid w:val="00930170"/>
    <w:rsid w:val="00930359"/>
    <w:rsid w:val="009303BC"/>
    <w:rsid w:val="009305B5"/>
    <w:rsid w:val="00930676"/>
    <w:rsid w:val="009306E5"/>
    <w:rsid w:val="0093072A"/>
    <w:rsid w:val="00930AA2"/>
    <w:rsid w:val="00930AE4"/>
    <w:rsid w:val="00930DE6"/>
    <w:rsid w:val="00930F7C"/>
    <w:rsid w:val="00931036"/>
    <w:rsid w:val="009310F1"/>
    <w:rsid w:val="0093122A"/>
    <w:rsid w:val="009313B3"/>
    <w:rsid w:val="0093148A"/>
    <w:rsid w:val="00931747"/>
    <w:rsid w:val="0093175C"/>
    <w:rsid w:val="00931832"/>
    <w:rsid w:val="0093196C"/>
    <w:rsid w:val="00931A6A"/>
    <w:rsid w:val="00931EE0"/>
    <w:rsid w:val="009320E6"/>
    <w:rsid w:val="0093214F"/>
    <w:rsid w:val="00932175"/>
    <w:rsid w:val="00932181"/>
    <w:rsid w:val="00932768"/>
    <w:rsid w:val="00932A33"/>
    <w:rsid w:val="00932AFF"/>
    <w:rsid w:val="009330DD"/>
    <w:rsid w:val="009331B4"/>
    <w:rsid w:val="0093339B"/>
    <w:rsid w:val="009333DC"/>
    <w:rsid w:val="009336D0"/>
    <w:rsid w:val="00933762"/>
    <w:rsid w:val="00933821"/>
    <w:rsid w:val="009339AA"/>
    <w:rsid w:val="00933C05"/>
    <w:rsid w:val="00933C1A"/>
    <w:rsid w:val="00933C9D"/>
    <w:rsid w:val="00933D68"/>
    <w:rsid w:val="00933E7C"/>
    <w:rsid w:val="00933F90"/>
    <w:rsid w:val="00933FE2"/>
    <w:rsid w:val="00933FE9"/>
    <w:rsid w:val="00934123"/>
    <w:rsid w:val="0093425D"/>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39D"/>
    <w:rsid w:val="00935535"/>
    <w:rsid w:val="00935611"/>
    <w:rsid w:val="00935E4F"/>
    <w:rsid w:val="00935FD9"/>
    <w:rsid w:val="00936211"/>
    <w:rsid w:val="009367A6"/>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37FEE"/>
    <w:rsid w:val="009400CE"/>
    <w:rsid w:val="00940179"/>
    <w:rsid w:val="0094030A"/>
    <w:rsid w:val="00940396"/>
    <w:rsid w:val="0094048F"/>
    <w:rsid w:val="009404D4"/>
    <w:rsid w:val="00940500"/>
    <w:rsid w:val="00940550"/>
    <w:rsid w:val="0094075A"/>
    <w:rsid w:val="0094080E"/>
    <w:rsid w:val="00940B21"/>
    <w:rsid w:val="00940CE1"/>
    <w:rsid w:val="00940D49"/>
    <w:rsid w:val="00941087"/>
    <w:rsid w:val="009410DB"/>
    <w:rsid w:val="00941136"/>
    <w:rsid w:val="0094119F"/>
    <w:rsid w:val="00941224"/>
    <w:rsid w:val="0094146A"/>
    <w:rsid w:val="009415B6"/>
    <w:rsid w:val="009415F1"/>
    <w:rsid w:val="009416C0"/>
    <w:rsid w:val="009418FF"/>
    <w:rsid w:val="00941C5C"/>
    <w:rsid w:val="00941FAD"/>
    <w:rsid w:val="009421DC"/>
    <w:rsid w:val="0094222C"/>
    <w:rsid w:val="00942241"/>
    <w:rsid w:val="0094224E"/>
    <w:rsid w:val="009423AD"/>
    <w:rsid w:val="00942509"/>
    <w:rsid w:val="00942579"/>
    <w:rsid w:val="009425EA"/>
    <w:rsid w:val="009426E2"/>
    <w:rsid w:val="00942A87"/>
    <w:rsid w:val="00942AD2"/>
    <w:rsid w:val="00942C9C"/>
    <w:rsid w:val="00942CBC"/>
    <w:rsid w:val="00942E91"/>
    <w:rsid w:val="00942FC9"/>
    <w:rsid w:val="0094312A"/>
    <w:rsid w:val="009432DE"/>
    <w:rsid w:val="00943532"/>
    <w:rsid w:val="00943591"/>
    <w:rsid w:val="00943702"/>
    <w:rsid w:val="00943761"/>
    <w:rsid w:val="0094390C"/>
    <w:rsid w:val="00943924"/>
    <w:rsid w:val="00943C49"/>
    <w:rsid w:val="00943DE8"/>
    <w:rsid w:val="00943E7F"/>
    <w:rsid w:val="00943EFA"/>
    <w:rsid w:val="00944009"/>
    <w:rsid w:val="0094409D"/>
    <w:rsid w:val="009440FC"/>
    <w:rsid w:val="0094418B"/>
    <w:rsid w:val="00944279"/>
    <w:rsid w:val="0094441C"/>
    <w:rsid w:val="00944456"/>
    <w:rsid w:val="00944698"/>
    <w:rsid w:val="0094471B"/>
    <w:rsid w:val="0094487B"/>
    <w:rsid w:val="0094489F"/>
    <w:rsid w:val="00944D34"/>
    <w:rsid w:val="00944E10"/>
    <w:rsid w:val="00944F28"/>
    <w:rsid w:val="00944F49"/>
    <w:rsid w:val="00944FB0"/>
    <w:rsid w:val="009451C2"/>
    <w:rsid w:val="009453FF"/>
    <w:rsid w:val="00945401"/>
    <w:rsid w:val="00945433"/>
    <w:rsid w:val="00945834"/>
    <w:rsid w:val="009459B5"/>
    <w:rsid w:val="00945ADB"/>
    <w:rsid w:val="00945CD1"/>
    <w:rsid w:val="00945CF2"/>
    <w:rsid w:val="009462D4"/>
    <w:rsid w:val="009462F4"/>
    <w:rsid w:val="00946598"/>
    <w:rsid w:val="0094662A"/>
    <w:rsid w:val="0094675F"/>
    <w:rsid w:val="00946822"/>
    <w:rsid w:val="009468D3"/>
    <w:rsid w:val="00946B22"/>
    <w:rsid w:val="00946D17"/>
    <w:rsid w:val="00946D6A"/>
    <w:rsid w:val="00946E57"/>
    <w:rsid w:val="00947114"/>
    <w:rsid w:val="0094715C"/>
    <w:rsid w:val="009473CE"/>
    <w:rsid w:val="00947585"/>
    <w:rsid w:val="009475E8"/>
    <w:rsid w:val="009476DB"/>
    <w:rsid w:val="00947805"/>
    <w:rsid w:val="009479C1"/>
    <w:rsid w:val="009479CC"/>
    <w:rsid w:val="00947A44"/>
    <w:rsid w:val="00947AB2"/>
    <w:rsid w:val="00947B97"/>
    <w:rsid w:val="00947D83"/>
    <w:rsid w:val="00947DE1"/>
    <w:rsid w:val="00947F55"/>
    <w:rsid w:val="0095012F"/>
    <w:rsid w:val="009502F5"/>
    <w:rsid w:val="00950317"/>
    <w:rsid w:val="009503F2"/>
    <w:rsid w:val="00950449"/>
    <w:rsid w:val="009504E7"/>
    <w:rsid w:val="009505A3"/>
    <w:rsid w:val="00950900"/>
    <w:rsid w:val="00950D9A"/>
    <w:rsid w:val="00950EE1"/>
    <w:rsid w:val="00951070"/>
    <w:rsid w:val="0095111A"/>
    <w:rsid w:val="009511F4"/>
    <w:rsid w:val="0095148F"/>
    <w:rsid w:val="009516F1"/>
    <w:rsid w:val="0095170A"/>
    <w:rsid w:val="00951777"/>
    <w:rsid w:val="0095184E"/>
    <w:rsid w:val="0095194A"/>
    <w:rsid w:val="00951A6C"/>
    <w:rsid w:val="00951C83"/>
    <w:rsid w:val="00951F22"/>
    <w:rsid w:val="009523E9"/>
    <w:rsid w:val="00952440"/>
    <w:rsid w:val="009524E5"/>
    <w:rsid w:val="009526C9"/>
    <w:rsid w:val="00952941"/>
    <w:rsid w:val="0095299D"/>
    <w:rsid w:val="00952CFE"/>
    <w:rsid w:val="00952DF7"/>
    <w:rsid w:val="00952E30"/>
    <w:rsid w:val="00952EF3"/>
    <w:rsid w:val="00952FDD"/>
    <w:rsid w:val="0095309F"/>
    <w:rsid w:val="00953B26"/>
    <w:rsid w:val="00953D92"/>
    <w:rsid w:val="00953FC8"/>
    <w:rsid w:val="009540D1"/>
    <w:rsid w:val="009541E0"/>
    <w:rsid w:val="00954373"/>
    <w:rsid w:val="009544F5"/>
    <w:rsid w:val="00954537"/>
    <w:rsid w:val="00954783"/>
    <w:rsid w:val="009548A2"/>
    <w:rsid w:val="009549E3"/>
    <w:rsid w:val="0095515C"/>
    <w:rsid w:val="009551C4"/>
    <w:rsid w:val="00955588"/>
    <w:rsid w:val="00955768"/>
    <w:rsid w:val="00955A5E"/>
    <w:rsid w:val="00955B06"/>
    <w:rsid w:val="00955DA0"/>
    <w:rsid w:val="00955DA7"/>
    <w:rsid w:val="00955E3F"/>
    <w:rsid w:val="00955E7D"/>
    <w:rsid w:val="00956179"/>
    <w:rsid w:val="009561A2"/>
    <w:rsid w:val="009561A5"/>
    <w:rsid w:val="009562D7"/>
    <w:rsid w:val="00956351"/>
    <w:rsid w:val="00956369"/>
    <w:rsid w:val="00956560"/>
    <w:rsid w:val="009565CE"/>
    <w:rsid w:val="00956702"/>
    <w:rsid w:val="00956929"/>
    <w:rsid w:val="00956992"/>
    <w:rsid w:val="009569E4"/>
    <w:rsid w:val="00956BA3"/>
    <w:rsid w:val="00956CD7"/>
    <w:rsid w:val="00956D7A"/>
    <w:rsid w:val="00956E5A"/>
    <w:rsid w:val="00956FEC"/>
    <w:rsid w:val="00957263"/>
    <w:rsid w:val="0095748E"/>
    <w:rsid w:val="0095749D"/>
    <w:rsid w:val="009574D1"/>
    <w:rsid w:val="009575A7"/>
    <w:rsid w:val="00957B67"/>
    <w:rsid w:val="00957BA5"/>
    <w:rsid w:val="00957C8D"/>
    <w:rsid w:val="00957D68"/>
    <w:rsid w:val="00957DE1"/>
    <w:rsid w:val="00957F5B"/>
    <w:rsid w:val="00957F76"/>
    <w:rsid w:val="00957FE5"/>
    <w:rsid w:val="009601E7"/>
    <w:rsid w:val="0096027F"/>
    <w:rsid w:val="009602D8"/>
    <w:rsid w:val="00960606"/>
    <w:rsid w:val="0096073E"/>
    <w:rsid w:val="00960975"/>
    <w:rsid w:val="00960ABE"/>
    <w:rsid w:val="00960C90"/>
    <w:rsid w:val="0096102D"/>
    <w:rsid w:val="00961099"/>
    <w:rsid w:val="00961298"/>
    <w:rsid w:val="009612B7"/>
    <w:rsid w:val="00961371"/>
    <w:rsid w:val="0096143D"/>
    <w:rsid w:val="0096169E"/>
    <w:rsid w:val="009619F0"/>
    <w:rsid w:val="00961AAB"/>
    <w:rsid w:val="00961B4B"/>
    <w:rsid w:val="00961CBE"/>
    <w:rsid w:val="00961D61"/>
    <w:rsid w:val="00961DDD"/>
    <w:rsid w:val="00961ED7"/>
    <w:rsid w:val="00961F22"/>
    <w:rsid w:val="00961F85"/>
    <w:rsid w:val="00962006"/>
    <w:rsid w:val="009620EC"/>
    <w:rsid w:val="00962283"/>
    <w:rsid w:val="009622DA"/>
    <w:rsid w:val="009623BD"/>
    <w:rsid w:val="00962423"/>
    <w:rsid w:val="00962531"/>
    <w:rsid w:val="009626CA"/>
    <w:rsid w:val="00962790"/>
    <w:rsid w:val="00962989"/>
    <w:rsid w:val="009629F2"/>
    <w:rsid w:val="00962A32"/>
    <w:rsid w:val="00962B6A"/>
    <w:rsid w:val="00962C06"/>
    <w:rsid w:val="00962C4A"/>
    <w:rsid w:val="00962C61"/>
    <w:rsid w:val="00962D81"/>
    <w:rsid w:val="009630D2"/>
    <w:rsid w:val="0096323D"/>
    <w:rsid w:val="00963435"/>
    <w:rsid w:val="0096358B"/>
    <w:rsid w:val="00963809"/>
    <w:rsid w:val="00963946"/>
    <w:rsid w:val="00963B6A"/>
    <w:rsid w:val="00963D45"/>
    <w:rsid w:val="00963FAF"/>
    <w:rsid w:val="009643A9"/>
    <w:rsid w:val="00964440"/>
    <w:rsid w:val="00964466"/>
    <w:rsid w:val="00964A90"/>
    <w:rsid w:val="00964BB2"/>
    <w:rsid w:val="00964F49"/>
    <w:rsid w:val="00964FA4"/>
    <w:rsid w:val="00965017"/>
    <w:rsid w:val="009650A5"/>
    <w:rsid w:val="009650E7"/>
    <w:rsid w:val="0096549F"/>
    <w:rsid w:val="009655EF"/>
    <w:rsid w:val="009657DE"/>
    <w:rsid w:val="009657DF"/>
    <w:rsid w:val="0096588B"/>
    <w:rsid w:val="009658DE"/>
    <w:rsid w:val="00965AF9"/>
    <w:rsid w:val="00965C37"/>
    <w:rsid w:val="00965C58"/>
    <w:rsid w:val="00965CD5"/>
    <w:rsid w:val="00965CE0"/>
    <w:rsid w:val="00965CFC"/>
    <w:rsid w:val="00966132"/>
    <w:rsid w:val="009664BC"/>
    <w:rsid w:val="0096663B"/>
    <w:rsid w:val="009667B7"/>
    <w:rsid w:val="0096694E"/>
    <w:rsid w:val="00966956"/>
    <w:rsid w:val="00966969"/>
    <w:rsid w:val="009669B3"/>
    <w:rsid w:val="00966A1F"/>
    <w:rsid w:val="00966ACA"/>
    <w:rsid w:val="00966D76"/>
    <w:rsid w:val="00966F11"/>
    <w:rsid w:val="0096721B"/>
    <w:rsid w:val="00967310"/>
    <w:rsid w:val="00967349"/>
    <w:rsid w:val="009674E8"/>
    <w:rsid w:val="00967597"/>
    <w:rsid w:val="009675B3"/>
    <w:rsid w:val="00967783"/>
    <w:rsid w:val="00967D82"/>
    <w:rsid w:val="00967ECD"/>
    <w:rsid w:val="009700AD"/>
    <w:rsid w:val="009701B0"/>
    <w:rsid w:val="009704F6"/>
    <w:rsid w:val="00970684"/>
    <w:rsid w:val="00970767"/>
    <w:rsid w:val="009707F4"/>
    <w:rsid w:val="00970927"/>
    <w:rsid w:val="00970C0E"/>
    <w:rsid w:val="00970C8A"/>
    <w:rsid w:val="00970F3A"/>
    <w:rsid w:val="00970F6E"/>
    <w:rsid w:val="0097123B"/>
    <w:rsid w:val="009712C0"/>
    <w:rsid w:val="0097173A"/>
    <w:rsid w:val="00971851"/>
    <w:rsid w:val="009718D3"/>
    <w:rsid w:val="009719D3"/>
    <w:rsid w:val="009719D6"/>
    <w:rsid w:val="00971D62"/>
    <w:rsid w:val="00971D9C"/>
    <w:rsid w:val="00971EBA"/>
    <w:rsid w:val="009720BA"/>
    <w:rsid w:val="0097223D"/>
    <w:rsid w:val="00972281"/>
    <w:rsid w:val="009726C4"/>
    <w:rsid w:val="00972786"/>
    <w:rsid w:val="009727B7"/>
    <w:rsid w:val="00972867"/>
    <w:rsid w:val="00972A39"/>
    <w:rsid w:val="00972D38"/>
    <w:rsid w:val="00972E11"/>
    <w:rsid w:val="00972F15"/>
    <w:rsid w:val="00973037"/>
    <w:rsid w:val="00973203"/>
    <w:rsid w:val="00973344"/>
    <w:rsid w:val="00973692"/>
    <w:rsid w:val="009736F5"/>
    <w:rsid w:val="009737E3"/>
    <w:rsid w:val="009739BF"/>
    <w:rsid w:val="00973C36"/>
    <w:rsid w:val="00973C70"/>
    <w:rsid w:val="00973EB6"/>
    <w:rsid w:val="009741A6"/>
    <w:rsid w:val="00974292"/>
    <w:rsid w:val="009742C9"/>
    <w:rsid w:val="00974388"/>
    <w:rsid w:val="00974573"/>
    <w:rsid w:val="009745F8"/>
    <w:rsid w:val="00974688"/>
    <w:rsid w:val="009749B2"/>
    <w:rsid w:val="00974A08"/>
    <w:rsid w:val="00974A78"/>
    <w:rsid w:val="00974D38"/>
    <w:rsid w:val="0097502B"/>
    <w:rsid w:val="0097516D"/>
    <w:rsid w:val="009754FE"/>
    <w:rsid w:val="0097575B"/>
    <w:rsid w:val="00975A11"/>
    <w:rsid w:val="00975A39"/>
    <w:rsid w:val="00975AE7"/>
    <w:rsid w:val="00975B28"/>
    <w:rsid w:val="00975D38"/>
    <w:rsid w:val="00975D40"/>
    <w:rsid w:val="00975E1D"/>
    <w:rsid w:val="00975E1F"/>
    <w:rsid w:val="00975E50"/>
    <w:rsid w:val="00975ED5"/>
    <w:rsid w:val="0097691B"/>
    <w:rsid w:val="00976980"/>
    <w:rsid w:val="00976E33"/>
    <w:rsid w:val="0097707F"/>
    <w:rsid w:val="009771B5"/>
    <w:rsid w:val="00977325"/>
    <w:rsid w:val="00977373"/>
    <w:rsid w:val="00977463"/>
    <w:rsid w:val="009777F8"/>
    <w:rsid w:val="009778E9"/>
    <w:rsid w:val="00977F8E"/>
    <w:rsid w:val="00977FB2"/>
    <w:rsid w:val="00980217"/>
    <w:rsid w:val="00980329"/>
    <w:rsid w:val="0098040D"/>
    <w:rsid w:val="0098077A"/>
    <w:rsid w:val="0098087D"/>
    <w:rsid w:val="0098099E"/>
    <w:rsid w:val="00980BBD"/>
    <w:rsid w:val="00980C12"/>
    <w:rsid w:val="00980CA3"/>
    <w:rsid w:val="00980DA5"/>
    <w:rsid w:val="00980DC2"/>
    <w:rsid w:val="00980FEF"/>
    <w:rsid w:val="009810C9"/>
    <w:rsid w:val="0098124C"/>
    <w:rsid w:val="009814E4"/>
    <w:rsid w:val="009815B7"/>
    <w:rsid w:val="00981CB2"/>
    <w:rsid w:val="00981E64"/>
    <w:rsid w:val="00981FF6"/>
    <w:rsid w:val="0098205B"/>
    <w:rsid w:val="0098205E"/>
    <w:rsid w:val="00982099"/>
    <w:rsid w:val="009821DC"/>
    <w:rsid w:val="009821F5"/>
    <w:rsid w:val="009823F6"/>
    <w:rsid w:val="00982531"/>
    <w:rsid w:val="0098255D"/>
    <w:rsid w:val="0098273F"/>
    <w:rsid w:val="009829E8"/>
    <w:rsid w:val="00982A61"/>
    <w:rsid w:val="00982B98"/>
    <w:rsid w:val="00982C6C"/>
    <w:rsid w:val="00982C99"/>
    <w:rsid w:val="00982CFA"/>
    <w:rsid w:val="00982EB5"/>
    <w:rsid w:val="00983016"/>
    <w:rsid w:val="00983090"/>
    <w:rsid w:val="00983136"/>
    <w:rsid w:val="00983302"/>
    <w:rsid w:val="0098356C"/>
    <w:rsid w:val="00983869"/>
    <w:rsid w:val="009838FA"/>
    <w:rsid w:val="00983C65"/>
    <w:rsid w:val="00983D17"/>
    <w:rsid w:val="00983DDA"/>
    <w:rsid w:val="009840F9"/>
    <w:rsid w:val="009840FA"/>
    <w:rsid w:val="00984104"/>
    <w:rsid w:val="009843F5"/>
    <w:rsid w:val="009844E2"/>
    <w:rsid w:val="00984712"/>
    <w:rsid w:val="0098472C"/>
    <w:rsid w:val="00984973"/>
    <w:rsid w:val="00984983"/>
    <w:rsid w:val="00984CE3"/>
    <w:rsid w:val="00984D0D"/>
    <w:rsid w:val="00984FCC"/>
    <w:rsid w:val="0098505B"/>
    <w:rsid w:val="009850C1"/>
    <w:rsid w:val="0098511F"/>
    <w:rsid w:val="00985442"/>
    <w:rsid w:val="00985492"/>
    <w:rsid w:val="00985499"/>
    <w:rsid w:val="009854A7"/>
    <w:rsid w:val="00985587"/>
    <w:rsid w:val="00985655"/>
    <w:rsid w:val="00985682"/>
    <w:rsid w:val="009858D9"/>
    <w:rsid w:val="00985AA4"/>
    <w:rsid w:val="00985B43"/>
    <w:rsid w:val="00985C97"/>
    <w:rsid w:val="00985D2D"/>
    <w:rsid w:val="00985D8C"/>
    <w:rsid w:val="00986049"/>
    <w:rsid w:val="009860A9"/>
    <w:rsid w:val="009861B1"/>
    <w:rsid w:val="00986805"/>
    <w:rsid w:val="00986954"/>
    <w:rsid w:val="00986A91"/>
    <w:rsid w:val="00986A9E"/>
    <w:rsid w:val="00986B48"/>
    <w:rsid w:val="00986B74"/>
    <w:rsid w:val="00986C2E"/>
    <w:rsid w:val="00986F1B"/>
    <w:rsid w:val="00987278"/>
    <w:rsid w:val="009876DF"/>
    <w:rsid w:val="0098785F"/>
    <w:rsid w:val="009879D9"/>
    <w:rsid w:val="00987A6B"/>
    <w:rsid w:val="00987AA5"/>
    <w:rsid w:val="00987B60"/>
    <w:rsid w:val="00987D34"/>
    <w:rsid w:val="00987DEF"/>
    <w:rsid w:val="009900F2"/>
    <w:rsid w:val="009900FC"/>
    <w:rsid w:val="009902AB"/>
    <w:rsid w:val="009904AE"/>
    <w:rsid w:val="00990686"/>
    <w:rsid w:val="0099083D"/>
    <w:rsid w:val="00990A59"/>
    <w:rsid w:val="00990BA7"/>
    <w:rsid w:val="00990C1E"/>
    <w:rsid w:val="00990D34"/>
    <w:rsid w:val="00990DB5"/>
    <w:rsid w:val="00990E1E"/>
    <w:rsid w:val="00990EB5"/>
    <w:rsid w:val="00990EF8"/>
    <w:rsid w:val="00990EFB"/>
    <w:rsid w:val="009911BB"/>
    <w:rsid w:val="00991432"/>
    <w:rsid w:val="009914A1"/>
    <w:rsid w:val="0099150E"/>
    <w:rsid w:val="00991539"/>
    <w:rsid w:val="009916A1"/>
    <w:rsid w:val="0099189E"/>
    <w:rsid w:val="00991981"/>
    <w:rsid w:val="00991DBC"/>
    <w:rsid w:val="00991EC5"/>
    <w:rsid w:val="00991EEE"/>
    <w:rsid w:val="0099260C"/>
    <w:rsid w:val="0099270F"/>
    <w:rsid w:val="0099288C"/>
    <w:rsid w:val="00992989"/>
    <w:rsid w:val="009929F4"/>
    <w:rsid w:val="00992A34"/>
    <w:rsid w:val="00992AEE"/>
    <w:rsid w:val="00992D65"/>
    <w:rsid w:val="00992F56"/>
    <w:rsid w:val="009930D4"/>
    <w:rsid w:val="0099335A"/>
    <w:rsid w:val="00993393"/>
    <w:rsid w:val="00993947"/>
    <w:rsid w:val="00993A10"/>
    <w:rsid w:val="00993CC1"/>
    <w:rsid w:val="00993F6D"/>
    <w:rsid w:val="00994000"/>
    <w:rsid w:val="0099419C"/>
    <w:rsid w:val="009941BA"/>
    <w:rsid w:val="00994243"/>
    <w:rsid w:val="0099427B"/>
    <w:rsid w:val="009946B5"/>
    <w:rsid w:val="009946E7"/>
    <w:rsid w:val="009948D7"/>
    <w:rsid w:val="00994CF2"/>
    <w:rsid w:val="00994D5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091"/>
    <w:rsid w:val="00996392"/>
    <w:rsid w:val="009966EB"/>
    <w:rsid w:val="00996728"/>
    <w:rsid w:val="009967B0"/>
    <w:rsid w:val="00996999"/>
    <w:rsid w:val="00996B4A"/>
    <w:rsid w:val="00996BB6"/>
    <w:rsid w:val="00996CEB"/>
    <w:rsid w:val="00996D09"/>
    <w:rsid w:val="00996DAA"/>
    <w:rsid w:val="00996E61"/>
    <w:rsid w:val="00996FF4"/>
    <w:rsid w:val="009970C7"/>
    <w:rsid w:val="00997289"/>
    <w:rsid w:val="00997331"/>
    <w:rsid w:val="0099761A"/>
    <w:rsid w:val="00997724"/>
    <w:rsid w:val="009977EB"/>
    <w:rsid w:val="00997848"/>
    <w:rsid w:val="00997909"/>
    <w:rsid w:val="00997998"/>
    <w:rsid w:val="009979CD"/>
    <w:rsid w:val="009979DE"/>
    <w:rsid w:val="00997A58"/>
    <w:rsid w:val="00997B16"/>
    <w:rsid w:val="00997B43"/>
    <w:rsid w:val="00997B6D"/>
    <w:rsid w:val="00997BEE"/>
    <w:rsid w:val="00997E2C"/>
    <w:rsid w:val="00997EDC"/>
    <w:rsid w:val="00997FF6"/>
    <w:rsid w:val="009A01AE"/>
    <w:rsid w:val="009A01B3"/>
    <w:rsid w:val="009A02E6"/>
    <w:rsid w:val="009A04E3"/>
    <w:rsid w:val="009A05F8"/>
    <w:rsid w:val="009A0977"/>
    <w:rsid w:val="009A09E7"/>
    <w:rsid w:val="009A0B66"/>
    <w:rsid w:val="009A0B91"/>
    <w:rsid w:val="009A0BCC"/>
    <w:rsid w:val="009A0CCB"/>
    <w:rsid w:val="009A0CD8"/>
    <w:rsid w:val="009A0D7F"/>
    <w:rsid w:val="009A0E17"/>
    <w:rsid w:val="009A0F7A"/>
    <w:rsid w:val="009A1154"/>
    <w:rsid w:val="009A116A"/>
    <w:rsid w:val="009A11B4"/>
    <w:rsid w:val="009A12E5"/>
    <w:rsid w:val="009A1386"/>
    <w:rsid w:val="009A1732"/>
    <w:rsid w:val="009A1B10"/>
    <w:rsid w:val="009A1B2D"/>
    <w:rsid w:val="009A1DB4"/>
    <w:rsid w:val="009A1E78"/>
    <w:rsid w:val="009A1EA4"/>
    <w:rsid w:val="009A1F92"/>
    <w:rsid w:val="009A201A"/>
    <w:rsid w:val="009A20CE"/>
    <w:rsid w:val="009A2392"/>
    <w:rsid w:val="009A23D3"/>
    <w:rsid w:val="009A24A8"/>
    <w:rsid w:val="009A25B4"/>
    <w:rsid w:val="009A2604"/>
    <w:rsid w:val="009A27DE"/>
    <w:rsid w:val="009A27E8"/>
    <w:rsid w:val="009A2838"/>
    <w:rsid w:val="009A28EA"/>
    <w:rsid w:val="009A2A08"/>
    <w:rsid w:val="009A2A26"/>
    <w:rsid w:val="009A2A33"/>
    <w:rsid w:val="009A2AC4"/>
    <w:rsid w:val="009A2B41"/>
    <w:rsid w:val="009A2BEC"/>
    <w:rsid w:val="009A2D19"/>
    <w:rsid w:val="009A2D38"/>
    <w:rsid w:val="009A2E0C"/>
    <w:rsid w:val="009A2EF0"/>
    <w:rsid w:val="009A2F76"/>
    <w:rsid w:val="009A3288"/>
    <w:rsid w:val="009A32BA"/>
    <w:rsid w:val="009A34FB"/>
    <w:rsid w:val="009A358E"/>
    <w:rsid w:val="009A35D5"/>
    <w:rsid w:val="009A381B"/>
    <w:rsid w:val="009A3884"/>
    <w:rsid w:val="009A3963"/>
    <w:rsid w:val="009A3A9A"/>
    <w:rsid w:val="009A3AFB"/>
    <w:rsid w:val="009A3C44"/>
    <w:rsid w:val="009A3C97"/>
    <w:rsid w:val="009A3D2F"/>
    <w:rsid w:val="009A3DB2"/>
    <w:rsid w:val="009A3EF5"/>
    <w:rsid w:val="009A3F93"/>
    <w:rsid w:val="009A40E3"/>
    <w:rsid w:val="009A4192"/>
    <w:rsid w:val="009A45E3"/>
    <w:rsid w:val="009A46B7"/>
    <w:rsid w:val="009A4765"/>
    <w:rsid w:val="009A47D8"/>
    <w:rsid w:val="009A4881"/>
    <w:rsid w:val="009A4ADE"/>
    <w:rsid w:val="009A52F1"/>
    <w:rsid w:val="009A540C"/>
    <w:rsid w:val="009A55DA"/>
    <w:rsid w:val="009A5611"/>
    <w:rsid w:val="009A5685"/>
    <w:rsid w:val="009A56AD"/>
    <w:rsid w:val="009A576D"/>
    <w:rsid w:val="009A576E"/>
    <w:rsid w:val="009A58EA"/>
    <w:rsid w:val="009A5901"/>
    <w:rsid w:val="009A595D"/>
    <w:rsid w:val="009A5A0A"/>
    <w:rsid w:val="009A5A93"/>
    <w:rsid w:val="009A5A9A"/>
    <w:rsid w:val="009A5BFF"/>
    <w:rsid w:val="009A5D8B"/>
    <w:rsid w:val="009A6023"/>
    <w:rsid w:val="009A618D"/>
    <w:rsid w:val="009A62F0"/>
    <w:rsid w:val="009A65AA"/>
    <w:rsid w:val="009A65B1"/>
    <w:rsid w:val="009A66F2"/>
    <w:rsid w:val="009A684A"/>
    <w:rsid w:val="009A6852"/>
    <w:rsid w:val="009A68D3"/>
    <w:rsid w:val="009A695A"/>
    <w:rsid w:val="009A6A4B"/>
    <w:rsid w:val="009A6A7B"/>
    <w:rsid w:val="009A6C76"/>
    <w:rsid w:val="009A6CD5"/>
    <w:rsid w:val="009A6E04"/>
    <w:rsid w:val="009A7170"/>
    <w:rsid w:val="009A71D4"/>
    <w:rsid w:val="009A7284"/>
    <w:rsid w:val="009A7522"/>
    <w:rsid w:val="009A7628"/>
    <w:rsid w:val="009A780B"/>
    <w:rsid w:val="009A781E"/>
    <w:rsid w:val="009A785E"/>
    <w:rsid w:val="009A7E10"/>
    <w:rsid w:val="009A7EB2"/>
    <w:rsid w:val="009A7F08"/>
    <w:rsid w:val="009B00AB"/>
    <w:rsid w:val="009B02FC"/>
    <w:rsid w:val="009B054C"/>
    <w:rsid w:val="009B055C"/>
    <w:rsid w:val="009B05A8"/>
    <w:rsid w:val="009B06FF"/>
    <w:rsid w:val="009B0743"/>
    <w:rsid w:val="009B09A9"/>
    <w:rsid w:val="009B0AE6"/>
    <w:rsid w:val="009B0CA0"/>
    <w:rsid w:val="009B0D0A"/>
    <w:rsid w:val="009B0FC6"/>
    <w:rsid w:val="009B103C"/>
    <w:rsid w:val="009B10DB"/>
    <w:rsid w:val="009B128B"/>
    <w:rsid w:val="009B13C3"/>
    <w:rsid w:val="009B1776"/>
    <w:rsid w:val="009B1851"/>
    <w:rsid w:val="009B19D5"/>
    <w:rsid w:val="009B1AE8"/>
    <w:rsid w:val="009B1C2E"/>
    <w:rsid w:val="009B1E8E"/>
    <w:rsid w:val="009B1F7D"/>
    <w:rsid w:val="009B1F87"/>
    <w:rsid w:val="009B20F2"/>
    <w:rsid w:val="009B2158"/>
    <w:rsid w:val="009B23F1"/>
    <w:rsid w:val="009B242E"/>
    <w:rsid w:val="009B24A7"/>
    <w:rsid w:val="009B25CE"/>
    <w:rsid w:val="009B2714"/>
    <w:rsid w:val="009B2808"/>
    <w:rsid w:val="009B2830"/>
    <w:rsid w:val="009B294B"/>
    <w:rsid w:val="009B29DC"/>
    <w:rsid w:val="009B2A4D"/>
    <w:rsid w:val="009B2AEE"/>
    <w:rsid w:val="009B2B61"/>
    <w:rsid w:val="009B3366"/>
    <w:rsid w:val="009B358A"/>
    <w:rsid w:val="009B36BC"/>
    <w:rsid w:val="009B3710"/>
    <w:rsid w:val="009B3857"/>
    <w:rsid w:val="009B3C27"/>
    <w:rsid w:val="009B3D26"/>
    <w:rsid w:val="009B3D9C"/>
    <w:rsid w:val="009B3F53"/>
    <w:rsid w:val="009B401F"/>
    <w:rsid w:val="009B409B"/>
    <w:rsid w:val="009B4273"/>
    <w:rsid w:val="009B432D"/>
    <w:rsid w:val="009B43AF"/>
    <w:rsid w:val="009B43EE"/>
    <w:rsid w:val="009B445F"/>
    <w:rsid w:val="009B447B"/>
    <w:rsid w:val="009B4488"/>
    <w:rsid w:val="009B4539"/>
    <w:rsid w:val="009B45D8"/>
    <w:rsid w:val="009B469C"/>
    <w:rsid w:val="009B474A"/>
    <w:rsid w:val="009B474F"/>
    <w:rsid w:val="009B4881"/>
    <w:rsid w:val="009B48AB"/>
    <w:rsid w:val="009B494E"/>
    <w:rsid w:val="009B499E"/>
    <w:rsid w:val="009B4A51"/>
    <w:rsid w:val="009B4B11"/>
    <w:rsid w:val="009B4C13"/>
    <w:rsid w:val="009B4C71"/>
    <w:rsid w:val="009B4D47"/>
    <w:rsid w:val="009B4E7A"/>
    <w:rsid w:val="009B559B"/>
    <w:rsid w:val="009B5652"/>
    <w:rsid w:val="009B5E2F"/>
    <w:rsid w:val="009B5E8A"/>
    <w:rsid w:val="009B6100"/>
    <w:rsid w:val="009B641D"/>
    <w:rsid w:val="009B64B7"/>
    <w:rsid w:val="009B6501"/>
    <w:rsid w:val="009B66D7"/>
    <w:rsid w:val="009B66ED"/>
    <w:rsid w:val="009B6AA2"/>
    <w:rsid w:val="009B6AE3"/>
    <w:rsid w:val="009B6B43"/>
    <w:rsid w:val="009B6BCC"/>
    <w:rsid w:val="009B6C53"/>
    <w:rsid w:val="009B6D4D"/>
    <w:rsid w:val="009B6DBF"/>
    <w:rsid w:val="009B7061"/>
    <w:rsid w:val="009B70DF"/>
    <w:rsid w:val="009B7201"/>
    <w:rsid w:val="009B73B4"/>
    <w:rsid w:val="009B74BE"/>
    <w:rsid w:val="009B7523"/>
    <w:rsid w:val="009B75DB"/>
    <w:rsid w:val="009B7614"/>
    <w:rsid w:val="009B76A8"/>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7EE"/>
    <w:rsid w:val="009C1B71"/>
    <w:rsid w:val="009C1C04"/>
    <w:rsid w:val="009C1D2B"/>
    <w:rsid w:val="009C1FB9"/>
    <w:rsid w:val="009C20A1"/>
    <w:rsid w:val="009C20C7"/>
    <w:rsid w:val="009C2314"/>
    <w:rsid w:val="009C2319"/>
    <w:rsid w:val="009C26F6"/>
    <w:rsid w:val="009C2832"/>
    <w:rsid w:val="009C2A03"/>
    <w:rsid w:val="009C2B49"/>
    <w:rsid w:val="009C2BF1"/>
    <w:rsid w:val="009C2BF3"/>
    <w:rsid w:val="009C2D3D"/>
    <w:rsid w:val="009C2D59"/>
    <w:rsid w:val="009C3114"/>
    <w:rsid w:val="009C3279"/>
    <w:rsid w:val="009C32B2"/>
    <w:rsid w:val="009C3341"/>
    <w:rsid w:val="009C33BE"/>
    <w:rsid w:val="009C33DF"/>
    <w:rsid w:val="009C34A2"/>
    <w:rsid w:val="009C3612"/>
    <w:rsid w:val="009C3771"/>
    <w:rsid w:val="009C37D4"/>
    <w:rsid w:val="009C3A16"/>
    <w:rsid w:val="009C3AC6"/>
    <w:rsid w:val="009C3BEE"/>
    <w:rsid w:val="009C3D1F"/>
    <w:rsid w:val="009C3F4D"/>
    <w:rsid w:val="009C4081"/>
    <w:rsid w:val="009C4139"/>
    <w:rsid w:val="009C4156"/>
    <w:rsid w:val="009C47C8"/>
    <w:rsid w:val="009C49A7"/>
    <w:rsid w:val="009C49AD"/>
    <w:rsid w:val="009C4A08"/>
    <w:rsid w:val="009C4A40"/>
    <w:rsid w:val="009C4A4F"/>
    <w:rsid w:val="009C4C8B"/>
    <w:rsid w:val="009C4C98"/>
    <w:rsid w:val="009C4E3F"/>
    <w:rsid w:val="009C4E71"/>
    <w:rsid w:val="009C4ED2"/>
    <w:rsid w:val="009C5155"/>
    <w:rsid w:val="009C5227"/>
    <w:rsid w:val="009C53DC"/>
    <w:rsid w:val="009C56D2"/>
    <w:rsid w:val="009C5753"/>
    <w:rsid w:val="009C578D"/>
    <w:rsid w:val="009C58D8"/>
    <w:rsid w:val="009C5943"/>
    <w:rsid w:val="009C5AB8"/>
    <w:rsid w:val="009C5AC0"/>
    <w:rsid w:val="009C5C09"/>
    <w:rsid w:val="009C5C29"/>
    <w:rsid w:val="009C5FA4"/>
    <w:rsid w:val="009C632D"/>
    <w:rsid w:val="009C6422"/>
    <w:rsid w:val="009C6449"/>
    <w:rsid w:val="009C6997"/>
    <w:rsid w:val="009C6A65"/>
    <w:rsid w:val="009C6F65"/>
    <w:rsid w:val="009C7338"/>
    <w:rsid w:val="009C737B"/>
    <w:rsid w:val="009C741A"/>
    <w:rsid w:val="009C74A2"/>
    <w:rsid w:val="009C761C"/>
    <w:rsid w:val="009C763E"/>
    <w:rsid w:val="009C76A8"/>
    <w:rsid w:val="009C79D2"/>
    <w:rsid w:val="009C7A47"/>
    <w:rsid w:val="009C7AFD"/>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198"/>
    <w:rsid w:val="009D11FB"/>
    <w:rsid w:val="009D12C1"/>
    <w:rsid w:val="009D1596"/>
    <w:rsid w:val="009D1669"/>
    <w:rsid w:val="009D17FF"/>
    <w:rsid w:val="009D18C3"/>
    <w:rsid w:val="009D1989"/>
    <w:rsid w:val="009D1BAE"/>
    <w:rsid w:val="009D1BCA"/>
    <w:rsid w:val="009D20AD"/>
    <w:rsid w:val="009D20D3"/>
    <w:rsid w:val="009D2227"/>
    <w:rsid w:val="009D23AA"/>
    <w:rsid w:val="009D247B"/>
    <w:rsid w:val="009D2998"/>
    <w:rsid w:val="009D2A83"/>
    <w:rsid w:val="009D2ADA"/>
    <w:rsid w:val="009D2E37"/>
    <w:rsid w:val="009D2F99"/>
    <w:rsid w:val="009D2FDC"/>
    <w:rsid w:val="009D302B"/>
    <w:rsid w:val="009D3077"/>
    <w:rsid w:val="009D309D"/>
    <w:rsid w:val="009D319E"/>
    <w:rsid w:val="009D3262"/>
    <w:rsid w:val="009D3780"/>
    <w:rsid w:val="009D3801"/>
    <w:rsid w:val="009D396A"/>
    <w:rsid w:val="009D3BAA"/>
    <w:rsid w:val="009D3C45"/>
    <w:rsid w:val="009D3C9A"/>
    <w:rsid w:val="009D3CA7"/>
    <w:rsid w:val="009D3D8C"/>
    <w:rsid w:val="009D3DDD"/>
    <w:rsid w:val="009D3F64"/>
    <w:rsid w:val="009D3F70"/>
    <w:rsid w:val="009D43D7"/>
    <w:rsid w:val="009D44B7"/>
    <w:rsid w:val="009D46E5"/>
    <w:rsid w:val="009D46EC"/>
    <w:rsid w:val="009D46EF"/>
    <w:rsid w:val="009D4798"/>
    <w:rsid w:val="009D47C3"/>
    <w:rsid w:val="009D488D"/>
    <w:rsid w:val="009D48E6"/>
    <w:rsid w:val="009D4B6D"/>
    <w:rsid w:val="009D4C42"/>
    <w:rsid w:val="009D519A"/>
    <w:rsid w:val="009D53B9"/>
    <w:rsid w:val="009D543D"/>
    <w:rsid w:val="009D54AF"/>
    <w:rsid w:val="009D5799"/>
    <w:rsid w:val="009D57B6"/>
    <w:rsid w:val="009D57D1"/>
    <w:rsid w:val="009D59A6"/>
    <w:rsid w:val="009D59DE"/>
    <w:rsid w:val="009D5A42"/>
    <w:rsid w:val="009D5AB0"/>
    <w:rsid w:val="009D5C15"/>
    <w:rsid w:val="009D5FEA"/>
    <w:rsid w:val="009D60F5"/>
    <w:rsid w:val="009D6145"/>
    <w:rsid w:val="009D6225"/>
    <w:rsid w:val="009D6620"/>
    <w:rsid w:val="009D669D"/>
    <w:rsid w:val="009D673C"/>
    <w:rsid w:val="009D6B89"/>
    <w:rsid w:val="009D6C5A"/>
    <w:rsid w:val="009D702A"/>
    <w:rsid w:val="009D7143"/>
    <w:rsid w:val="009D732A"/>
    <w:rsid w:val="009D75C9"/>
    <w:rsid w:val="009D7761"/>
    <w:rsid w:val="009D7936"/>
    <w:rsid w:val="009D7B38"/>
    <w:rsid w:val="009D7BE5"/>
    <w:rsid w:val="009E0016"/>
    <w:rsid w:val="009E01B3"/>
    <w:rsid w:val="009E05C6"/>
    <w:rsid w:val="009E0638"/>
    <w:rsid w:val="009E065A"/>
    <w:rsid w:val="009E0662"/>
    <w:rsid w:val="009E093F"/>
    <w:rsid w:val="009E0A12"/>
    <w:rsid w:val="009E1016"/>
    <w:rsid w:val="009E1079"/>
    <w:rsid w:val="009E1365"/>
    <w:rsid w:val="009E13F8"/>
    <w:rsid w:val="009E1420"/>
    <w:rsid w:val="009E1679"/>
    <w:rsid w:val="009E1757"/>
    <w:rsid w:val="009E1B03"/>
    <w:rsid w:val="009E1B50"/>
    <w:rsid w:val="009E1B82"/>
    <w:rsid w:val="009E1BCC"/>
    <w:rsid w:val="009E1E6C"/>
    <w:rsid w:val="009E1EAB"/>
    <w:rsid w:val="009E2050"/>
    <w:rsid w:val="009E2329"/>
    <w:rsid w:val="009E2397"/>
    <w:rsid w:val="009E2407"/>
    <w:rsid w:val="009E2B85"/>
    <w:rsid w:val="009E2FF0"/>
    <w:rsid w:val="009E321C"/>
    <w:rsid w:val="009E349C"/>
    <w:rsid w:val="009E34A7"/>
    <w:rsid w:val="009E35C0"/>
    <w:rsid w:val="009E3793"/>
    <w:rsid w:val="009E3886"/>
    <w:rsid w:val="009E39E7"/>
    <w:rsid w:val="009E3AEA"/>
    <w:rsid w:val="009E3DF8"/>
    <w:rsid w:val="009E3F59"/>
    <w:rsid w:val="009E3F87"/>
    <w:rsid w:val="009E3FEB"/>
    <w:rsid w:val="009E4225"/>
    <w:rsid w:val="009E42E9"/>
    <w:rsid w:val="009E43F0"/>
    <w:rsid w:val="009E49CE"/>
    <w:rsid w:val="009E4C90"/>
    <w:rsid w:val="009E4CA3"/>
    <w:rsid w:val="009E4DCE"/>
    <w:rsid w:val="009E4EDF"/>
    <w:rsid w:val="009E4FFE"/>
    <w:rsid w:val="009E5049"/>
    <w:rsid w:val="009E51B4"/>
    <w:rsid w:val="009E51BA"/>
    <w:rsid w:val="009E536D"/>
    <w:rsid w:val="009E545C"/>
    <w:rsid w:val="009E54AF"/>
    <w:rsid w:val="009E572E"/>
    <w:rsid w:val="009E58C9"/>
    <w:rsid w:val="009E5915"/>
    <w:rsid w:val="009E5C51"/>
    <w:rsid w:val="009E5DBD"/>
    <w:rsid w:val="009E5EC9"/>
    <w:rsid w:val="009E62B2"/>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689"/>
    <w:rsid w:val="009E7692"/>
    <w:rsid w:val="009E7A48"/>
    <w:rsid w:val="009E7ADD"/>
    <w:rsid w:val="009E7D59"/>
    <w:rsid w:val="009F043B"/>
    <w:rsid w:val="009F0AEC"/>
    <w:rsid w:val="009F0D2F"/>
    <w:rsid w:val="009F0E7A"/>
    <w:rsid w:val="009F0F68"/>
    <w:rsid w:val="009F12E4"/>
    <w:rsid w:val="009F1346"/>
    <w:rsid w:val="009F1479"/>
    <w:rsid w:val="009F14D8"/>
    <w:rsid w:val="009F153B"/>
    <w:rsid w:val="009F1933"/>
    <w:rsid w:val="009F1984"/>
    <w:rsid w:val="009F1A83"/>
    <w:rsid w:val="009F1ABF"/>
    <w:rsid w:val="009F1DD1"/>
    <w:rsid w:val="009F2088"/>
    <w:rsid w:val="009F22DA"/>
    <w:rsid w:val="009F250C"/>
    <w:rsid w:val="009F2646"/>
    <w:rsid w:val="009F2716"/>
    <w:rsid w:val="009F277E"/>
    <w:rsid w:val="009F2B32"/>
    <w:rsid w:val="009F2BF7"/>
    <w:rsid w:val="009F2DA1"/>
    <w:rsid w:val="009F2DFE"/>
    <w:rsid w:val="009F2EFD"/>
    <w:rsid w:val="009F3029"/>
    <w:rsid w:val="009F34BB"/>
    <w:rsid w:val="009F3686"/>
    <w:rsid w:val="009F37B5"/>
    <w:rsid w:val="009F38A7"/>
    <w:rsid w:val="009F3B71"/>
    <w:rsid w:val="009F3BD8"/>
    <w:rsid w:val="009F3C28"/>
    <w:rsid w:val="009F3E2E"/>
    <w:rsid w:val="009F3F5D"/>
    <w:rsid w:val="009F4172"/>
    <w:rsid w:val="009F41E5"/>
    <w:rsid w:val="009F45B7"/>
    <w:rsid w:val="009F463E"/>
    <w:rsid w:val="009F4660"/>
    <w:rsid w:val="009F4662"/>
    <w:rsid w:val="009F4668"/>
    <w:rsid w:val="009F475F"/>
    <w:rsid w:val="009F4AA4"/>
    <w:rsid w:val="009F4D29"/>
    <w:rsid w:val="009F4E0C"/>
    <w:rsid w:val="009F4EF7"/>
    <w:rsid w:val="009F4FD5"/>
    <w:rsid w:val="009F5067"/>
    <w:rsid w:val="009F515B"/>
    <w:rsid w:val="009F5338"/>
    <w:rsid w:val="009F547C"/>
    <w:rsid w:val="009F551A"/>
    <w:rsid w:val="009F565A"/>
    <w:rsid w:val="009F56A4"/>
    <w:rsid w:val="009F594A"/>
    <w:rsid w:val="009F5CB5"/>
    <w:rsid w:val="009F5D5D"/>
    <w:rsid w:val="009F5EC1"/>
    <w:rsid w:val="009F6066"/>
    <w:rsid w:val="009F637C"/>
    <w:rsid w:val="009F6415"/>
    <w:rsid w:val="009F6512"/>
    <w:rsid w:val="009F6557"/>
    <w:rsid w:val="009F66AD"/>
    <w:rsid w:val="009F6AA6"/>
    <w:rsid w:val="009F6AB6"/>
    <w:rsid w:val="009F6B2A"/>
    <w:rsid w:val="009F6C9E"/>
    <w:rsid w:val="009F6DD9"/>
    <w:rsid w:val="009F6F46"/>
    <w:rsid w:val="009F7080"/>
    <w:rsid w:val="009F70A4"/>
    <w:rsid w:val="009F70AF"/>
    <w:rsid w:val="009F7434"/>
    <w:rsid w:val="009F756E"/>
    <w:rsid w:val="009F7590"/>
    <w:rsid w:val="009F794A"/>
    <w:rsid w:val="009F7A3D"/>
    <w:rsid w:val="009F7A65"/>
    <w:rsid w:val="009F7BBC"/>
    <w:rsid w:val="009F7BF7"/>
    <w:rsid w:val="00A00030"/>
    <w:rsid w:val="00A00039"/>
    <w:rsid w:val="00A00509"/>
    <w:rsid w:val="00A0068E"/>
    <w:rsid w:val="00A0074C"/>
    <w:rsid w:val="00A00902"/>
    <w:rsid w:val="00A00BCB"/>
    <w:rsid w:val="00A00BE1"/>
    <w:rsid w:val="00A00D5D"/>
    <w:rsid w:val="00A00DC2"/>
    <w:rsid w:val="00A0103D"/>
    <w:rsid w:val="00A01045"/>
    <w:rsid w:val="00A01491"/>
    <w:rsid w:val="00A01550"/>
    <w:rsid w:val="00A01647"/>
    <w:rsid w:val="00A01769"/>
    <w:rsid w:val="00A01774"/>
    <w:rsid w:val="00A0179B"/>
    <w:rsid w:val="00A01857"/>
    <w:rsid w:val="00A01942"/>
    <w:rsid w:val="00A01ADC"/>
    <w:rsid w:val="00A01C2F"/>
    <w:rsid w:val="00A01E18"/>
    <w:rsid w:val="00A020AA"/>
    <w:rsid w:val="00A020FC"/>
    <w:rsid w:val="00A026D7"/>
    <w:rsid w:val="00A027CD"/>
    <w:rsid w:val="00A029FC"/>
    <w:rsid w:val="00A02C87"/>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739"/>
    <w:rsid w:val="00A04817"/>
    <w:rsid w:val="00A0493B"/>
    <w:rsid w:val="00A049E8"/>
    <w:rsid w:val="00A04A69"/>
    <w:rsid w:val="00A04A73"/>
    <w:rsid w:val="00A04C13"/>
    <w:rsid w:val="00A04C2C"/>
    <w:rsid w:val="00A04C9F"/>
    <w:rsid w:val="00A04F6A"/>
    <w:rsid w:val="00A0507C"/>
    <w:rsid w:val="00A05174"/>
    <w:rsid w:val="00A053BE"/>
    <w:rsid w:val="00A054AD"/>
    <w:rsid w:val="00A054C5"/>
    <w:rsid w:val="00A05648"/>
    <w:rsid w:val="00A0568E"/>
    <w:rsid w:val="00A056DC"/>
    <w:rsid w:val="00A05819"/>
    <w:rsid w:val="00A0586B"/>
    <w:rsid w:val="00A05906"/>
    <w:rsid w:val="00A05A66"/>
    <w:rsid w:val="00A05B1E"/>
    <w:rsid w:val="00A05B61"/>
    <w:rsid w:val="00A062A2"/>
    <w:rsid w:val="00A062C4"/>
    <w:rsid w:val="00A0634B"/>
    <w:rsid w:val="00A06944"/>
    <w:rsid w:val="00A06B8A"/>
    <w:rsid w:val="00A06D36"/>
    <w:rsid w:val="00A070D7"/>
    <w:rsid w:val="00A073F5"/>
    <w:rsid w:val="00A0758F"/>
    <w:rsid w:val="00A0787B"/>
    <w:rsid w:val="00A0797A"/>
    <w:rsid w:val="00A07A4A"/>
    <w:rsid w:val="00A07A6E"/>
    <w:rsid w:val="00A07A73"/>
    <w:rsid w:val="00A07C5C"/>
    <w:rsid w:val="00A07C62"/>
    <w:rsid w:val="00A07C72"/>
    <w:rsid w:val="00A07D4C"/>
    <w:rsid w:val="00A07DCC"/>
    <w:rsid w:val="00A07F68"/>
    <w:rsid w:val="00A1000C"/>
    <w:rsid w:val="00A10198"/>
    <w:rsid w:val="00A10307"/>
    <w:rsid w:val="00A10353"/>
    <w:rsid w:val="00A103B9"/>
    <w:rsid w:val="00A1069E"/>
    <w:rsid w:val="00A1086E"/>
    <w:rsid w:val="00A1099C"/>
    <w:rsid w:val="00A10C3F"/>
    <w:rsid w:val="00A10D7A"/>
    <w:rsid w:val="00A10DD4"/>
    <w:rsid w:val="00A10EFE"/>
    <w:rsid w:val="00A10F43"/>
    <w:rsid w:val="00A113E8"/>
    <w:rsid w:val="00A11493"/>
    <w:rsid w:val="00A1149D"/>
    <w:rsid w:val="00A11731"/>
    <w:rsid w:val="00A1192D"/>
    <w:rsid w:val="00A11B40"/>
    <w:rsid w:val="00A11B59"/>
    <w:rsid w:val="00A11B8D"/>
    <w:rsid w:val="00A11C19"/>
    <w:rsid w:val="00A12358"/>
    <w:rsid w:val="00A12563"/>
    <w:rsid w:val="00A126B4"/>
    <w:rsid w:val="00A12BC5"/>
    <w:rsid w:val="00A12C15"/>
    <w:rsid w:val="00A12DB6"/>
    <w:rsid w:val="00A1302C"/>
    <w:rsid w:val="00A1325A"/>
    <w:rsid w:val="00A13486"/>
    <w:rsid w:val="00A137EE"/>
    <w:rsid w:val="00A13920"/>
    <w:rsid w:val="00A13E68"/>
    <w:rsid w:val="00A13FBB"/>
    <w:rsid w:val="00A1410C"/>
    <w:rsid w:val="00A14396"/>
    <w:rsid w:val="00A14522"/>
    <w:rsid w:val="00A147D6"/>
    <w:rsid w:val="00A147EA"/>
    <w:rsid w:val="00A148C6"/>
    <w:rsid w:val="00A149FF"/>
    <w:rsid w:val="00A14C0A"/>
    <w:rsid w:val="00A14DF4"/>
    <w:rsid w:val="00A14E36"/>
    <w:rsid w:val="00A152AF"/>
    <w:rsid w:val="00A15396"/>
    <w:rsid w:val="00A15505"/>
    <w:rsid w:val="00A15660"/>
    <w:rsid w:val="00A1578B"/>
    <w:rsid w:val="00A159D4"/>
    <w:rsid w:val="00A15A32"/>
    <w:rsid w:val="00A15BF8"/>
    <w:rsid w:val="00A15CCC"/>
    <w:rsid w:val="00A15D89"/>
    <w:rsid w:val="00A15DCE"/>
    <w:rsid w:val="00A15F3F"/>
    <w:rsid w:val="00A16109"/>
    <w:rsid w:val="00A16190"/>
    <w:rsid w:val="00A161D2"/>
    <w:rsid w:val="00A16288"/>
    <w:rsid w:val="00A16414"/>
    <w:rsid w:val="00A166A6"/>
    <w:rsid w:val="00A1697B"/>
    <w:rsid w:val="00A16AE8"/>
    <w:rsid w:val="00A16D43"/>
    <w:rsid w:val="00A17040"/>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04"/>
    <w:rsid w:val="00A17E05"/>
    <w:rsid w:val="00A17E43"/>
    <w:rsid w:val="00A17EEB"/>
    <w:rsid w:val="00A20030"/>
    <w:rsid w:val="00A20104"/>
    <w:rsid w:val="00A20694"/>
    <w:rsid w:val="00A208A9"/>
    <w:rsid w:val="00A20A4A"/>
    <w:rsid w:val="00A20E10"/>
    <w:rsid w:val="00A20E2E"/>
    <w:rsid w:val="00A20F8B"/>
    <w:rsid w:val="00A211AF"/>
    <w:rsid w:val="00A2127A"/>
    <w:rsid w:val="00A21429"/>
    <w:rsid w:val="00A2172A"/>
    <w:rsid w:val="00A217B5"/>
    <w:rsid w:val="00A21B01"/>
    <w:rsid w:val="00A21D9A"/>
    <w:rsid w:val="00A21DAC"/>
    <w:rsid w:val="00A22146"/>
    <w:rsid w:val="00A2244B"/>
    <w:rsid w:val="00A2268A"/>
    <w:rsid w:val="00A226F3"/>
    <w:rsid w:val="00A22730"/>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660"/>
    <w:rsid w:val="00A24695"/>
    <w:rsid w:val="00A24839"/>
    <w:rsid w:val="00A24BBE"/>
    <w:rsid w:val="00A24BDC"/>
    <w:rsid w:val="00A24DF6"/>
    <w:rsid w:val="00A24E69"/>
    <w:rsid w:val="00A24F85"/>
    <w:rsid w:val="00A24FB9"/>
    <w:rsid w:val="00A25056"/>
    <w:rsid w:val="00A250F6"/>
    <w:rsid w:val="00A2539C"/>
    <w:rsid w:val="00A2544D"/>
    <w:rsid w:val="00A25854"/>
    <w:rsid w:val="00A2592E"/>
    <w:rsid w:val="00A25B74"/>
    <w:rsid w:val="00A25BAA"/>
    <w:rsid w:val="00A25BFE"/>
    <w:rsid w:val="00A25CFA"/>
    <w:rsid w:val="00A25DF2"/>
    <w:rsid w:val="00A25ED9"/>
    <w:rsid w:val="00A25EED"/>
    <w:rsid w:val="00A260FE"/>
    <w:rsid w:val="00A26187"/>
    <w:rsid w:val="00A261BD"/>
    <w:rsid w:val="00A26472"/>
    <w:rsid w:val="00A266AA"/>
    <w:rsid w:val="00A269A7"/>
    <w:rsid w:val="00A269AD"/>
    <w:rsid w:val="00A26ADA"/>
    <w:rsid w:val="00A26BB4"/>
    <w:rsid w:val="00A26C8B"/>
    <w:rsid w:val="00A26DE0"/>
    <w:rsid w:val="00A26F46"/>
    <w:rsid w:val="00A26FE8"/>
    <w:rsid w:val="00A2719E"/>
    <w:rsid w:val="00A27344"/>
    <w:rsid w:val="00A2736D"/>
    <w:rsid w:val="00A273A8"/>
    <w:rsid w:val="00A27CC1"/>
    <w:rsid w:val="00A27EE6"/>
    <w:rsid w:val="00A27F5D"/>
    <w:rsid w:val="00A30082"/>
    <w:rsid w:val="00A3034D"/>
    <w:rsid w:val="00A304B0"/>
    <w:rsid w:val="00A3058E"/>
    <w:rsid w:val="00A3066D"/>
    <w:rsid w:val="00A307DC"/>
    <w:rsid w:val="00A30847"/>
    <w:rsid w:val="00A3089C"/>
    <w:rsid w:val="00A30952"/>
    <w:rsid w:val="00A30A7B"/>
    <w:rsid w:val="00A30B75"/>
    <w:rsid w:val="00A30E39"/>
    <w:rsid w:val="00A30E40"/>
    <w:rsid w:val="00A30E5F"/>
    <w:rsid w:val="00A30F26"/>
    <w:rsid w:val="00A3107C"/>
    <w:rsid w:val="00A31477"/>
    <w:rsid w:val="00A31693"/>
    <w:rsid w:val="00A316A5"/>
    <w:rsid w:val="00A317BE"/>
    <w:rsid w:val="00A318D1"/>
    <w:rsid w:val="00A31AEE"/>
    <w:rsid w:val="00A31C34"/>
    <w:rsid w:val="00A31C67"/>
    <w:rsid w:val="00A31EF9"/>
    <w:rsid w:val="00A31F63"/>
    <w:rsid w:val="00A32050"/>
    <w:rsid w:val="00A320AE"/>
    <w:rsid w:val="00A322E7"/>
    <w:rsid w:val="00A3233B"/>
    <w:rsid w:val="00A32387"/>
    <w:rsid w:val="00A323B4"/>
    <w:rsid w:val="00A323F2"/>
    <w:rsid w:val="00A32568"/>
    <w:rsid w:val="00A3270F"/>
    <w:rsid w:val="00A32754"/>
    <w:rsid w:val="00A3276C"/>
    <w:rsid w:val="00A327DF"/>
    <w:rsid w:val="00A328FE"/>
    <w:rsid w:val="00A32F7D"/>
    <w:rsid w:val="00A33075"/>
    <w:rsid w:val="00A330B6"/>
    <w:rsid w:val="00A330F7"/>
    <w:rsid w:val="00A331B5"/>
    <w:rsid w:val="00A33295"/>
    <w:rsid w:val="00A33334"/>
    <w:rsid w:val="00A33341"/>
    <w:rsid w:val="00A3340A"/>
    <w:rsid w:val="00A33436"/>
    <w:rsid w:val="00A3359B"/>
    <w:rsid w:val="00A335CD"/>
    <w:rsid w:val="00A3363B"/>
    <w:rsid w:val="00A336A8"/>
    <w:rsid w:val="00A339C8"/>
    <w:rsid w:val="00A339F2"/>
    <w:rsid w:val="00A33BA9"/>
    <w:rsid w:val="00A33C7E"/>
    <w:rsid w:val="00A33F27"/>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22"/>
    <w:rsid w:val="00A356C1"/>
    <w:rsid w:val="00A356FF"/>
    <w:rsid w:val="00A3573A"/>
    <w:rsid w:val="00A357A0"/>
    <w:rsid w:val="00A358BF"/>
    <w:rsid w:val="00A35AB1"/>
    <w:rsid w:val="00A35B87"/>
    <w:rsid w:val="00A35CA1"/>
    <w:rsid w:val="00A35F4A"/>
    <w:rsid w:val="00A35F66"/>
    <w:rsid w:val="00A363DA"/>
    <w:rsid w:val="00A36702"/>
    <w:rsid w:val="00A3672D"/>
    <w:rsid w:val="00A36748"/>
    <w:rsid w:val="00A36781"/>
    <w:rsid w:val="00A36951"/>
    <w:rsid w:val="00A36957"/>
    <w:rsid w:val="00A3698F"/>
    <w:rsid w:val="00A36C91"/>
    <w:rsid w:val="00A36DE3"/>
    <w:rsid w:val="00A36EC6"/>
    <w:rsid w:val="00A3713F"/>
    <w:rsid w:val="00A37334"/>
    <w:rsid w:val="00A3742A"/>
    <w:rsid w:val="00A37436"/>
    <w:rsid w:val="00A374E6"/>
    <w:rsid w:val="00A37830"/>
    <w:rsid w:val="00A37836"/>
    <w:rsid w:val="00A37CBC"/>
    <w:rsid w:val="00A37E1D"/>
    <w:rsid w:val="00A37FC7"/>
    <w:rsid w:val="00A40014"/>
    <w:rsid w:val="00A403A5"/>
    <w:rsid w:val="00A40735"/>
    <w:rsid w:val="00A4091A"/>
    <w:rsid w:val="00A40C3B"/>
    <w:rsid w:val="00A40FA8"/>
    <w:rsid w:val="00A40FBA"/>
    <w:rsid w:val="00A40FC4"/>
    <w:rsid w:val="00A410ED"/>
    <w:rsid w:val="00A41363"/>
    <w:rsid w:val="00A4149B"/>
    <w:rsid w:val="00A41573"/>
    <w:rsid w:val="00A41636"/>
    <w:rsid w:val="00A416C8"/>
    <w:rsid w:val="00A41711"/>
    <w:rsid w:val="00A41A0A"/>
    <w:rsid w:val="00A41AD1"/>
    <w:rsid w:val="00A41B1A"/>
    <w:rsid w:val="00A41C0B"/>
    <w:rsid w:val="00A42020"/>
    <w:rsid w:val="00A420BA"/>
    <w:rsid w:val="00A4227F"/>
    <w:rsid w:val="00A42314"/>
    <w:rsid w:val="00A4256E"/>
    <w:rsid w:val="00A42636"/>
    <w:rsid w:val="00A42864"/>
    <w:rsid w:val="00A4299A"/>
    <w:rsid w:val="00A429A0"/>
    <w:rsid w:val="00A42A9A"/>
    <w:rsid w:val="00A42CD4"/>
    <w:rsid w:val="00A42F16"/>
    <w:rsid w:val="00A42F44"/>
    <w:rsid w:val="00A43063"/>
    <w:rsid w:val="00A43295"/>
    <w:rsid w:val="00A433E7"/>
    <w:rsid w:val="00A436F7"/>
    <w:rsid w:val="00A4399D"/>
    <w:rsid w:val="00A43B5D"/>
    <w:rsid w:val="00A43C63"/>
    <w:rsid w:val="00A43D65"/>
    <w:rsid w:val="00A44048"/>
    <w:rsid w:val="00A4407A"/>
    <w:rsid w:val="00A4416F"/>
    <w:rsid w:val="00A441D9"/>
    <w:rsid w:val="00A44201"/>
    <w:rsid w:val="00A44415"/>
    <w:rsid w:val="00A444EC"/>
    <w:rsid w:val="00A4456C"/>
    <w:rsid w:val="00A449BA"/>
    <w:rsid w:val="00A449F8"/>
    <w:rsid w:val="00A44BEF"/>
    <w:rsid w:val="00A44C8C"/>
    <w:rsid w:val="00A44CA5"/>
    <w:rsid w:val="00A44DA7"/>
    <w:rsid w:val="00A45083"/>
    <w:rsid w:val="00A45234"/>
    <w:rsid w:val="00A454FD"/>
    <w:rsid w:val="00A45538"/>
    <w:rsid w:val="00A45636"/>
    <w:rsid w:val="00A4573F"/>
    <w:rsid w:val="00A4575B"/>
    <w:rsid w:val="00A45B7C"/>
    <w:rsid w:val="00A45CB4"/>
    <w:rsid w:val="00A45D87"/>
    <w:rsid w:val="00A45F47"/>
    <w:rsid w:val="00A45FCD"/>
    <w:rsid w:val="00A4609D"/>
    <w:rsid w:val="00A460BD"/>
    <w:rsid w:val="00A460BE"/>
    <w:rsid w:val="00A46208"/>
    <w:rsid w:val="00A46250"/>
    <w:rsid w:val="00A46484"/>
    <w:rsid w:val="00A4648A"/>
    <w:rsid w:val="00A4672F"/>
    <w:rsid w:val="00A46A3C"/>
    <w:rsid w:val="00A46A9D"/>
    <w:rsid w:val="00A46BC1"/>
    <w:rsid w:val="00A46C5D"/>
    <w:rsid w:val="00A46CBC"/>
    <w:rsid w:val="00A46EDD"/>
    <w:rsid w:val="00A46F35"/>
    <w:rsid w:val="00A471FD"/>
    <w:rsid w:val="00A473AA"/>
    <w:rsid w:val="00A47537"/>
    <w:rsid w:val="00A476FB"/>
    <w:rsid w:val="00A4778D"/>
    <w:rsid w:val="00A47D3F"/>
    <w:rsid w:val="00A47F1E"/>
    <w:rsid w:val="00A5028B"/>
    <w:rsid w:val="00A502AC"/>
    <w:rsid w:val="00A503AD"/>
    <w:rsid w:val="00A504FF"/>
    <w:rsid w:val="00A5058E"/>
    <w:rsid w:val="00A50751"/>
    <w:rsid w:val="00A50867"/>
    <w:rsid w:val="00A50B44"/>
    <w:rsid w:val="00A50BC9"/>
    <w:rsid w:val="00A50C41"/>
    <w:rsid w:val="00A51034"/>
    <w:rsid w:val="00A512F9"/>
    <w:rsid w:val="00A515DE"/>
    <w:rsid w:val="00A51609"/>
    <w:rsid w:val="00A5168B"/>
    <w:rsid w:val="00A517DE"/>
    <w:rsid w:val="00A51AD8"/>
    <w:rsid w:val="00A51FBD"/>
    <w:rsid w:val="00A52039"/>
    <w:rsid w:val="00A52126"/>
    <w:rsid w:val="00A52245"/>
    <w:rsid w:val="00A524D2"/>
    <w:rsid w:val="00A528A5"/>
    <w:rsid w:val="00A52919"/>
    <w:rsid w:val="00A52F37"/>
    <w:rsid w:val="00A5318B"/>
    <w:rsid w:val="00A53251"/>
    <w:rsid w:val="00A53260"/>
    <w:rsid w:val="00A53293"/>
    <w:rsid w:val="00A5343C"/>
    <w:rsid w:val="00A534DA"/>
    <w:rsid w:val="00A5374D"/>
    <w:rsid w:val="00A5378C"/>
    <w:rsid w:val="00A53875"/>
    <w:rsid w:val="00A5398E"/>
    <w:rsid w:val="00A53B0A"/>
    <w:rsid w:val="00A53B0D"/>
    <w:rsid w:val="00A53B3F"/>
    <w:rsid w:val="00A53EB4"/>
    <w:rsid w:val="00A53EEE"/>
    <w:rsid w:val="00A541B3"/>
    <w:rsid w:val="00A541FC"/>
    <w:rsid w:val="00A54348"/>
    <w:rsid w:val="00A543D8"/>
    <w:rsid w:val="00A54574"/>
    <w:rsid w:val="00A546D1"/>
    <w:rsid w:val="00A54A2F"/>
    <w:rsid w:val="00A54F1B"/>
    <w:rsid w:val="00A55857"/>
    <w:rsid w:val="00A55A0C"/>
    <w:rsid w:val="00A55D21"/>
    <w:rsid w:val="00A55D5A"/>
    <w:rsid w:val="00A55DDB"/>
    <w:rsid w:val="00A55EAD"/>
    <w:rsid w:val="00A560BE"/>
    <w:rsid w:val="00A561B5"/>
    <w:rsid w:val="00A56415"/>
    <w:rsid w:val="00A56458"/>
    <w:rsid w:val="00A56537"/>
    <w:rsid w:val="00A5654F"/>
    <w:rsid w:val="00A5668C"/>
    <w:rsid w:val="00A566C7"/>
    <w:rsid w:val="00A56728"/>
    <w:rsid w:val="00A56B85"/>
    <w:rsid w:val="00A56CE4"/>
    <w:rsid w:val="00A56D1B"/>
    <w:rsid w:val="00A56D5B"/>
    <w:rsid w:val="00A56EC5"/>
    <w:rsid w:val="00A56F2C"/>
    <w:rsid w:val="00A56FD9"/>
    <w:rsid w:val="00A572AC"/>
    <w:rsid w:val="00A5735B"/>
    <w:rsid w:val="00A573B7"/>
    <w:rsid w:val="00A57486"/>
    <w:rsid w:val="00A578D4"/>
    <w:rsid w:val="00A57970"/>
    <w:rsid w:val="00A57BEC"/>
    <w:rsid w:val="00A57E39"/>
    <w:rsid w:val="00A600DC"/>
    <w:rsid w:val="00A601AA"/>
    <w:rsid w:val="00A605DF"/>
    <w:rsid w:val="00A608F2"/>
    <w:rsid w:val="00A60BE5"/>
    <w:rsid w:val="00A60C9C"/>
    <w:rsid w:val="00A60CA8"/>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06F"/>
    <w:rsid w:val="00A6219C"/>
    <w:rsid w:val="00A622E8"/>
    <w:rsid w:val="00A62320"/>
    <w:rsid w:val="00A62604"/>
    <w:rsid w:val="00A6275E"/>
    <w:rsid w:val="00A62973"/>
    <w:rsid w:val="00A62A60"/>
    <w:rsid w:val="00A62B95"/>
    <w:rsid w:val="00A6316F"/>
    <w:rsid w:val="00A633A5"/>
    <w:rsid w:val="00A634AC"/>
    <w:rsid w:val="00A63649"/>
    <w:rsid w:val="00A63A6F"/>
    <w:rsid w:val="00A63B1F"/>
    <w:rsid w:val="00A63F1D"/>
    <w:rsid w:val="00A640C0"/>
    <w:rsid w:val="00A642C4"/>
    <w:rsid w:val="00A6442A"/>
    <w:rsid w:val="00A6456D"/>
    <w:rsid w:val="00A64850"/>
    <w:rsid w:val="00A64AF1"/>
    <w:rsid w:val="00A64BFB"/>
    <w:rsid w:val="00A64E0B"/>
    <w:rsid w:val="00A650A5"/>
    <w:rsid w:val="00A650D5"/>
    <w:rsid w:val="00A65121"/>
    <w:rsid w:val="00A652D7"/>
    <w:rsid w:val="00A6535B"/>
    <w:rsid w:val="00A654C7"/>
    <w:rsid w:val="00A654CA"/>
    <w:rsid w:val="00A65602"/>
    <w:rsid w:val="00A65776"/>
    <w:rsid w:val="00A6580F"/>
    <w:rsid w:val="00A6582C"/>
    <w:rsid w:val="00A6585D"/>
    <w:rsid w:val="00A65AF8"/>
    <w:rsid w:val="00A65BBC"/>
    <w:rsid w:val="00A65C1B"/>
    <w:rsid w:val="00A65E07"/>
    <w:rsid w:val="00A65EE5"/>
    <w:rsid w:val="00A660BF"/>
    <w:rsid w:val="00A66244"/>
    <w:rsid w:val="00A662E0"/>
    <w:rsid w:val="00A663BB"/>
    <w:rsid w:val="00A663FD"/>
    <w:rsid w:val="00A66865"/>
    <w:rsid w:val="00A66918"/>
    <w:rsid w:val="00A66A4C"/>
    <w:rsid w:val="00A66D99"/>
    <w:rsid w:val="00A66E7C"/>
    <w:rsid w:val="00A66EB6"/>
    <w:rsid w:val="00A672A5"/>
    <w:rsid w:val="00A6734C"/>
    <w:rsid w:val="00A6774E"/>
    <w:rsid w:val="00A67851"/>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BA6"/>
    <w:rsid w:val="00A70FB0"/>
    <w:rsid w:val="00A71064"/>
    <w:rsid w:val="00A710A9"/>
    <w:rsid w:val="00A710AF"/>
    <w:rsid w:val="00A710B7"/>
    <w:rsid w:val="00A710EE"/>
    <w:rsid w:val="00A71310"/>
    <w:rsid w:val="00A7139B"/>
    <w:rsid w:val="00A713F9"/>
    <w:rsid w:val="00A716D7"/>
    <w:rsid w:val="00A7177F"/>
    <w:rsid w:val="00A71961"/>
    <w:rsid w:val="00A71AB9"/>
    <w:rsid w:val="00A71B1C"/>
    <w:rsid w:val="00A71E7E"/>
    <w:rsid w:val="00A71FC3"/>
    <w:rsid w:val="00A724E5"/>
    <w:rsid w:val="00A725D4"/>
    <w:rsid w:val="00A7267E"/>
    <w:rsid w:val="00A72864"/>
    <w:rsid w:val="00A729AE"/>
    <w:rsid w:val="00A72A61"/>
    <w:rsid w:val="00A72A7A"/>
    <w:rsid w:val="00A72AB8"/>
    <w:rsid w:val="00A72DC4"/>
    <w:rsid w:val="00A72F19"/>
    <w:rsid w:val="00A73151"/>
    <w:rsid w:val="00A731CA"/>
    <w:rsid w:val="00A732FD"/>
    <w:rsid w:val="00A734EE"/>
    <w:rsid w:val="00A7353D"/>
    <w:rsid w:val="00A736AC"/>
    <w:rsid w:val="00A73735"/>
    <w:rsid w:val="00A7390F"/>
    <w:rsid w:val="00A739A9"/>
    <w:rsid w:val="00A73A12"/>
    <w:rsid w:val="00A73C05"/>
    <w:rsid w:val="00A73C14"/>
    <w:rsid w:val="00A73ECD"/>
    <w:rsid w:val="00A741B8"/>
    <w:rsid w:val="00A7442C"/>
    <w:rsid w:val="00A74444"/>
    <w:rsid w:val="00A7458D"/>
    <w:rsid w:val="00A7467C"/>
    <w:rsid w:val="00A74747"/>
    <w:rsid w:val="00A74950"/>
    <w:rsid w:val="00A74A56"/>
    <w:rsid w:val="00A74CDB"/>
    <w:rsid w:val="00A75492"/>
    <w:rsid w:val="00A7549A"/>
    <w:rsid w:val="00A75542"/>
    <w:rsid w:val="00A75588"/>
    <w:rsid w:val="00A75618"/>
    <w:rsid w:val="00A7575C"/>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CE0"/>
    <w:rsid w:val="00A76E6D"/>
    <w:rsid w:val="00A770E0"/>
    <w:rsid w:val="00A77124"/>
    <w:rsid w:val="00A773F4"/>
    <w:rsid w:val="00A7743D"/>
    <w:rsid w:val="00A77A5A"/>
    <w:rsid w:val="00A77A81"/>
    <w:rsid w:val="00A77B6C"/>
    <w:rsid w:val="00A77C85"/>
    <w:rsid w:val="00A77D8B"/>
    <w:rsid w:val="00A77D92"/>
    <w:rsid w:val="00A77DB6"/>
    <w:rsid w:val="00A77E83"/>
    <w:rsid w:val="00A80088"/>
    <w:rsid w:val="00A8012F"/>
    <w:rsid w:val="00A8025D"/>
    <w:rsid w:val="00A80434"/>
    <w:rsid w:val="00A804C3"/>
    <w:rsid w:val="00A8068F"/>
    <w:rsid w:val="00A807DE"/>
    <w:rsid w:val="00A80815"/>
    <w:rsid w:val="00A80819"/>
    <w:rsid w:val="00A80952"/>
    <w:rsid w:val="00A80B62"/>
    <w:rsid w:val="00A80B79"/>
    <w:rsid w:val="00A80B86"/>
    <w:rsid w:val="00A80C3F"/>
    <w:rsid w:val="00A81054"/>
    <w:rsid w:val="00A81369"/>
    <w:rsid w:val="00A81439"/>
    <w:rsid w:val="00A815C4"/>
    <w:rsid w:val="00A81612"/>
    <w:rsid w:val="00A81699"/>
    <w:rsid w:val="00A817E9"/>
    <w:rsid w:val="00A81889"/>
    <w:rsid w:val="00A818BB"/>
    <w:rsid w:val="00A8197F"/>
    <w:rsid w:val="00A81B1B"/>
    <w:rsid w:val="00A81B44"/>
    <w:rsid w:val="00A81B45"/>
    <w:rsid w:val="00A81BF5"/>
    <w:rsid w:val="00A81E81"/>
    <w:rsid w:val="00A81ECF"/>
    <w:rsid w:val="00A81EEE"/>
    <w:rsid w:val="00A8204B"/>
    <w:rsid w:val="00A82111"/>
    <w:rsid w:val="00A8218B"/>
    <w:rsid w:val="00A825AE"/>
    <w:rsid w:val="00A825C9"/>
    <w:rsid w:val="00A82741"/>
    <w:rsid w:val="00A827C9"/>
    <w:rsid w:val="00A82AB6"/>
    <w:rsid w:val="00A82F7A"/>
    <w:rsid w:val="00A830C9"/>
    <w:rsid w:val="00A832D2"/>
    <w:rsid w:val="00A832FA"/>
    <w:rsid w:val="00A836D5"/>
    <w:rsid w:val="00A836E2"/>
    <w:rsid w:val="00A83919"/>
    <w:rsid w:val="00A839A5"/>
    <w:rsid w:val="00A83C0E"/>
    <w:rsid w:val="00A8400D"/>
    <w:rsid w:val="00A8422F"/>
    <w:rsid w:val="00A84409"/>
    <w:rsid w:val="00A84465"/>
    <w:rsid w:val="00A84610"/>
    <w:rsid w:val="00A84680"/>
    <w:rsid w:val="00A84CA6"/>
    <w:rsid w:val="00A84D16"/>
    <w:rsid w:val="00A84E6A"/>
    <w:rsid w:val="00A8519A"/>
    <w:rsid w:val="00A85248"/>
    <w:rsid w:val="00A85346"/>
    <w:rsid w:val="00A853E4"/>
    <w:rsid w:val="00A8545C"/>
    <w:rsid w:val="00A85A60"/>
    <w:rsid w:val="00A85B2F"/>
    <w:rsid w:val="00A85D24"/>
    <w:rsid w:val="00A85E53"/>
    <w:rsid w:val="00A85EA2"/>
    <w:rsid w:val="00A85F31"/>
    <w:rsid w:val="00A85FD6"/>
    <w:rsid w:val="00A85FE4"/>
    <w:rsid w:val="00A86293"/>
    <w:rsid w:val="00A86316"/>
    <w:rsid w:val="00A8636C"/>
    <w:rsid w:val="00A8642D"/>
    <w:rsid w:val="00A864F3"/>
    <w:rsid w:val="00A86807"/>
    <w:rsid w:val="00A86A44"/>
    <w:rsid w:val="00A86B87"/>
    <w:rsid w:val="00A86B92"/>
    <w:rsid w:val="00A86BAE"/>
    <w:rsid w:val="00A86D47"/>
    <w:rsid w:val="00A86EB0"/>
    <w:rsid w:val="00A8701F"/>
    <w:rsid w:val="00A87568"/>
    <w:rsid w:val="00A87742"/>
    <w:rsid w:val="00A878AC"/>
    <w:rsid w:val="00A87938"/>
    <w:rsid w:val="00A879EB"/>
    <w:rsid w:val="00A87A4C"/>
    <w:rsid w:val="00A87B66"/>
    <w:rsid w:val="00A87D33"/>
    <w:rsid w:val="00A87EB5"/>
    <w:rsid w:val="00A90616"/>
    <w:rsid w:val="00A906FF"/>
    <w:rsid w:val="00A908FF"/>
    <w:rsid w:val="00A90995"/>
    <w:rsid w:val="00A90A08"/>
    <w:rsid w:val="00A90B43"/>
    <w:rsid w:val="00A90B7B"/>
    <w:rsid w:val="00A90E51"/>
    <w:rsid w:val="00A91005"/>
    <w:rsid w:val="00A910B4"/>
    <w:rsid w:val="00A91184"/>
    <w:rsid w:val="00A9150F"/>
    <w:rsid w:val="00A916E0"/>
    <w:rsid w:val="00A91796"/>
    <w:rsid w:val="00A9181D"/>
    <w:rsid w:val="00A918FB"/>
    <w:rsid w:val="00A919A1"/>
    <w:rsid w:val="00A919D8"/>
    <w:rsid w:val="00A91AEE"/>
    <w:rsid w:val="00A91B8A"/>
    <w:rsid w:val="00A91E8C"/>
    <w:rsid w:val="00A92295"/>
    <w:rsid w:val="00A9249A"/>
    <w:rsid w:val="00A925F3"/>
    <w:rsid w:val="00A92602"/>
    <w:rsid w:val="00A92891"/>
    <w:rsid w:val="00A92C3D"/>
    <w:rsid w:val="00A92CAD"/>
    <w:rsid w:val="00A92D83"/>
    <w:rsid w:val="00A92E66"/>
    <w:rsid w:val="00A92EA8"/>
    <w:rsid w:val="00A92F91"/>
    <w:rsid w:val="00A92FCF"/>
    <w:rsid w:val="00A9349E"/>
    <w:rsid w:val="00A935B1"/>
    <w:rsid w:val="00A93609"/>
    <w:rsid w:val="00A9362A"/>
    <w:rsid w:val="00A93642"/>
    <w:rsid w:val="00A9378B"/>
    <w:rsid w:val="00A93822"/>
    <w:rsid w:val="00A93850"/>
    <w:rsid w:val="00A93878"/>
    <w:rsid w:val="00A9388A"/>
    <w:rsid w:val="00A9393C"/>
    <w:rsid w:val="00A93AC9"/>
    <w:rsid w:val="00A93DAA"/>
    <w:rsid w:val="00A93E96"/>
    <w:rsid w:val="00A9408B"/>
    <w:rsid w:val="00A940EC"/>
    <w:rsid w:val="00A9410C"/>
    <w:rsid w:val="00A941A9"/>
    <w:rsid w:val="00A941BE"/>
    <w:rsid w:val="00A946C7"/>
    <w:rsid w:val="00A9482D"/>
    <w:rsid w:val="00A9484B"/>
    <w:rsid w:val="00A948C6"/>
    <w:rsid w:val="00A948E8"/>
    <w:rsid w:val="00A94AFF"/>
    <w:rsid w:val="00A94FFD"/>
    <w:rsid w:val="00A95084"/>
    <w:rsid w:val="00A95099"/>
    <w:rsid w:val="00A950E9"/>
    <w:rsid w:val="00A95104"/>
    <w:rsid w:val="00A9531B"/>
    <w:rsid w:val="00A95375"/>
    <w:rsid w:val="00A95386"/>
    <w:rsid w:val="00A95649"/>
    <w:rsid w:val="00A95BDA"/>
    <w:rsid w:val="00A95C09"/>
    <w:rsid w:val="00A95CAD"/>
    <w:rsid w:val="00A95E2C"/>
    <w:rsid w:val="00A95FF3"/>
    <w:rsid w:val="00A96047"/>
    <w:rsid w:val="00A96067"/>
    <w:rsid w:val="00A960BF"/>
    <w:rsid w:val="00A96103"/>
    <w:rsid w:val="00A964D9"/>
    <w:rsid w:val="00A965E8"/>
    <w:rsid w:val="00A968B6"/>
    <w:rsid w:val="00A968C2"/>
    <w:rsid w:val="00A969DE"/>
    <w:rsid w:val="00A96C51"/>
    <w:rsid w:val="00A96DD9"/>
    <w:rsid w:val="00A96EB9"/>
    <w:rsid w:val="00A9700A"/>
    <w:rsid w:val="00A9701E"/>
    <w:rsid w:val="00A97118"/>
    <w:rsid w:val="00A9753D"/>
    <w:rsid w:val="00A979A8"/>
    <w:rsid w:val="00A97B31"/>
    <w:rsid w:val="00A97B61"/>
    <w:rsid w:val="00A97D43"/>
    <w:rsid w:val="00A97F61"/>
    <w:rsid w:val="00AA00C7"/>
    <w:rsid w:val="00AA0475"/>
    <w:rsid w:val="00AA060F"/>
    <w:rsid w:val="00AA06EB"/>
    <w:rsid w:val="00AA07C9"/>
    <w:rsid w:val="00AA07DE"/>
    <w:rsid w:val="00AA0E4E"/>
    <w:rsid w:val="00AA0FAE"/>
    <w:rsid w:val="00AA0FB4"/>
    <w:rsid w:val="00AA0FDC"/>
    <w:rsid w:val="00AA111A"/>
    <w:rsid w:val="00AA119B"/>
    <w:rsid w:val="00AA1387"/>
    <w:rsid w:val="00AA1481"/>
    <w:rsid w:val="00AA159B"/>
    <w:rsid w:val="00AA17BF"/>
    <w:rsid w:val="00AA17E3"/>
    <w:rsid w:val="00AA1861"/>
    <w:rsid w:val="00AA186B"/>
    <w:rsid w:val="00AA18B4"/>
    <w:rsid w:val="00AA1A9F"/>
    <w:rsid w:val="00AA1AE2"/>
    <w:rsid w:val="00AA1B7F"/>
    <w:rsid w:val="00AA1E75"/>
    <w:rsid w:val="00AA1FC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6C5"/>
    <w:rsid w:val="00AA37F1"/>
    <w:rsid w:val="00AA3807"/>
    <w:rsid w:val="00AA3847"/>
    <w:rsid w:val="00AA3AC5"/>
    <w:rsid w:val="00AA3B8A"/>
    <w:rsid w:val="00AA3BE8"/>
    <w:rsid w:val="00AA41EC"/>
    <w:rsid w:val="00AA44A4"/>
    <w:rsid w:val="00AA4684"/>
    <w:rsid w:val="00AA47FE"/>
    <w:rsid w:val="00AA4A44"/>
    <w:rsid w:val="00AA4B95"/>
    <w:rsid w:val="00AA4F64"/>
    <w:rsid w:val="00AA4FC6"/>
    <w:rsid w:val="00AA5060"/>
    <w:rsid w:val="00AA5259"/>
    <w:rsid w:val="00AA53A0"/>
    <w:rsid w:val="00AA53D2"/>
    <w:rsid w:val="00AA53EF"/>
    <w:rsid w:val="00AA557A"/>
    <w:rsid w:val="00AA564B"/>
    <w:rsid w:val="00AA5B1A"/>
    <w:rsid w:val="00AA5B7D"/>
    <w:rsid w:val="00AA5F3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EF8"/>
    <w:rsid w:val="00AA7F3B"/>
    <w:rsid w:val="00AB06AF"/>
    <w:rsid w:val="00AB0745"/>
    <w:rsid w:val="00AB0BE8"/>
    <w:rsid w:val="00AB0F11"/>
    <w:rsid w:val="00AB0FB6"/>
    <w:rsid w:val="00AB1249"/>
    <w:rsid w:val="00AB13CE"/>
    <w:rsid w:val="00AB15AA"/>
    <w:rsid w:val="00AB15FA"/>
    <w:rsid w:val="00AB17B0"/>
    <w:rsid w:val="00AB1933"/>
    <w:rsid w:val="00AB1AAF"/>
    <w:rsid w:val="00AB1AF2"/>
    <w:rsid w:val="00AB1C77"/>
    <w:rsid w:val="00AB1DCB"/>
    <w:rsid w:val="00AB1ED4"/>
    <w:rsid w:val="00AB1F15"/>
    <w:rsid w:val="00AB1F4B"/>
    <w:rsid w:val="00AB1F5C"/>
    <w:rsid w:val="00AB1F66"/>
    <w:rsid w:val="00AB1FDD"/>
    <w:rsid w:val="00AB1FE6"/>
    <w:rsid w:val="00AB2348"/>
    <w:rsid w:val="00AB244F"/>
    <w:rsid w:val="00AB2540"/>
    <w:rsid w:val="00AB28B9"/>
    <w:rsid w:val="00AB29C1"/>
    <w:rsid w:val="00AB2A8F"/>
    <w:rsid w:val="00AB2AD0"/>
    <w:rsid w:val="00AB2E1C"/>
    <w:rsid w:val="00AB2F6D"/>
    <w:rsid w:val="00AB3046"/>
    <w:rsid w:val="00AB35F9"/>
    <w:rsid w:val="00AB35FD"/>
    <w:rsid w:val="00AB367C"/>
    <w:rsid w:val="00AB38E0"/>
    <w:rsid w:val="00AB3993"/>
    <w:rsid w:val="00AB3B38"/>
    <w:rsid w:val="00AB4022"/>
    <w:rsid w:val="00AB4024"/>
    <w:rsid w:val="00AB4052"/>
    <w:rsid w:val="00AB40B6"/>
    <w:rsid w:val="00AB4237"/>
    <w:rsid w:val="00AB428D"/>
    <w:rsid w:val="00AB43A1"/>
    <w:rsid w:val="00AB45DC"/>
    <w:rsid w:val="00AB46E6"/>
    <w:rsid w:val="00AB47A2"/>
    <w:rsid w:val="00AB4918"/>
    <w:rsid w:val="00AB49DB"/>
    <w:rsid w:val="00AB4AEF"/>
    <w:rsid w:val="00AB4C03"/>
    <w:rsid w:val="00AB4CC2"/>
    <w:rsid w:val="00AB4E5A"/>
    <w:rsid w:val="00AB4E67"/>
    <w:rsid w:val="00AB4EE0"/>
    <w:rsid w:val="00AB5318"/>
    <w:rsid w:val="00AB55B3"/>
    <w:rsid w:val="00AB567A"/>
    <w:rsid w:val="00AB5698"/>
    <w:rsid w:val="00AB59F0"/>
    <w:rsid w:val="00AB5AA1"/>
    <w:rsid w:val="00AB5B91"/>
    <w:rsid w:val="00AB5CB9"/>
    <w:rsid w:val="00AB5D98"/>
    <w:rsid w:val="00AB5FAA"/>
    <w:rsid w:val="00AB6312"/>
    <w:rsid w:val="00AB64D2"/>
    <w:rsid w:val="00AB665F"/>
    <w:rsid w:val="00AB66AD"/>
    <w:rsid w:val="00AB67ED"/>
    <w:rsid w:val="00AB680E"/>
    <w:rsid w:val="00AB6D62"/>
    <w:rsid w:val="00AB7141"/>
    <w:rsid w:val="00AB71D0"/>
    <w:rsid w:val="00AB72AB"/>
    <w:rsid w:val="00AB76EF"/>
    <w:rsid w:val="00AB785E"/>
    <w:rsid w:val="00AB7908"/>
    <w:rsid w:val="00AB7A38"/>
    <w:rsid w:val="00AB7F05"/>
    <w:rsid w:val="00AC0015"/>
    <w:rsid w:val="00AC0078"/>
    <w:rsid w:val="00AC0111"/>
    <w:rsid w:val="00AC0160"/>
    <w:rsid w:val="00AC01A4"/>
    <w:rsid w:val="00AC01DF"/>
    <w:rsid w:val="00AC02B2"/>
    <w:rsid w:val="00AC02DB"/>
    <w:rsid w:val="00AC0572"/>
    <w:rsid w:val="00AC0682"/>
    <w:rsid w:val="00AC0B28"/>
    <w:rsid w:val="00AC0C8C"/>
    <w:rsid w:val="00AC0CC6"/>
    <w:rsid w:val="00AC11B0"/>
    <w:rsid w:val="00AC1495"/>
    <w:rsid w:val="00AC1804"/>
    <w:rsid w:val="00AC193A"/>
    <w:rsid w:val="00AC199C"/>
    <w:rsid w:val="00AC1A72"/>
    <w:rsid w:val="00AC1D74"/>
    <w:rsid w:val="00AC1E0C"/>
    <w:rsid w:val="00AC1EDA"/>
    <w:rsid w:val="00AC2061"/>
    <w:rsid w:val="00AC2181"/>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42F"/>
    <w:rsid w:val="00AC34A9"/>
    <w:rsid w:val="00AC3714"/>
    <w:rsid w:val="00AC3C8C"/>
    <w:rsid w:val="00AC3D86"/>
    <w:rsid w:val="00AC3EF6"/>
    <w:rsid w:val="00AC3F36"/>
    <w:rsid w:val="00AC4064"/>
    <w:rsid w:val="00AC40AA"/>
    <w:rsid w:val="00AC40D3"/>
    <w:rsid w:val="00AC41FF"/>
    <w:rsid w:val="00AC421B"/>
    <w:rsid w:val="00AC4290"/>
    <w:rsid w:val="00AC4295"/>
    <w:rsid w:val="00AC462A"/>
    <w:rsid w:val="00AC4798"/>
    <w:rsid w:val="00AC4813"/>
    <w:rsid w:val="00AC4888"/>
    <w:rsid w:val="00AC48D4"/>
    <w:rsid w:val="00AC4993"/>
    <w:rsid w:val="00AC4B17"/>
    <w:rsid w:val="00AC5202"/>
    <w:rsid w:val="00AC529F"/>
    <w:rsid w:val="00AC554F"/>
    <w:rsid w:val="00AC55F6"/>
    <w:rsid w:val="00AC5632"/>
    <w:rsid w:val="00AC56E5"/>
    <w:rsid w:val="00AC5713"/>
    <w:rsid w:val="00AC5938"/>
    <w:rsid w:val="00AC597B"/>
    <w:rsid w:val="00AC5A0D"/>
    <w:rsid w:val="00AC5BDB"/>
    <w:rsid w:val="00AC5BFD"/>
    <w:rsid w:val="00AC5CCF"/>
    <w:rsid w:val="00AC5D69"/>
    <w:rsid w:val="00AC5F11"/>
    <w:rsid w:val="00AC60AE"/>
    <w:rsid w:val="00AC60B3"/>
    <w:rsid w:val="00AC61B8"/>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E44"/>
    <w:rsid w:val="00AC7F54"/>
    <w:rsid w:val="00AD00EE"/>
    <w:rsid w:val="00AD0126"/>
    <w:rsid w:val="00AD0155"/>
    <w:rsid w:val="00AD024A"/>
    <w:rsid w:val="00AD0306"/>
    <w:rsid w:val="00AD0319"/>
    <w:rsid w:val="00AD032E"/>
    <w:rsid w:val="00AD03FA"/>
    <w:rsid w:val="00AD0577"/>
    <w:rsid w:val="00AD0733"/>
    <w:rsid w:val="00AD07F2"/>
    <w:rsid w:val="00AD0B09"/>
    <w:rsid w:val="00AD0B23"/>
    <w:rsid w:val="00AD0CED"/>
    <w:rsid w:val="00AD0E4F"/>
    <w:rsid w:val="00AD0E8B"/>
    <w:rsid w:val="00AD0ED2"/>
    <w:rsid w:val="00AD104F"/>
    <w:rsid w:val="00AD1112"/>
    <w:rsid w:val="00AD113E"/>
    <w:rsid w:val="00AD11D1"/>
    <w:rsid w:val="00AD139E"/>
    <w:rsid w:val="00AD1552"/>
    <w:rsid w:val="00AD1712"/>
    <w:rsid w:val="00AD17CB"/>
    <w:rsid w:val="00AD185A"/>
    <w:rsid w:val="00AD1868"/>
    <w:rsid w:val="00AD1A6A"/>
    <w:rsid w:val="00AD1AA9"/>
    <w:rsid w:val="00AD1CF2"/>
    <w:rsid w:val="00AD1F7D"/>
    <w:rsid w:val="00AD1FF2"/>
    <w:rsid w:val="00AD222D"/>
    <w:rsid w:val="00AD2244"/>
    <w:rsid w:val="00AD238A"/>
    <w:rsid w:val="00AD2447"/>
    <w:rsid w:val="00AD249E"/>
    <w:rsid w:val="00AD2598"/>
    <w:rsid w:val="00AD27F6"/>
    <w:rsid w:val="00AD296D"/>
    <w:rsid w:val="00AD2D68"/>
    <w:rsid w:val="00AD2D93"/>
    <w:rsid w:val="00AD304B"/>
    <w:rsid w:val="00AD308F"/>
    <w:rsid w:val="00AD31A0"/>
    <w:rsid w:val="00AD320C"/>
    <w:rsid w:val="00AD32C4"/>
    <w:rsid w:val="00AD3421"/>
    <w:rsid w:val="00AD3489"/>
    <w:rsid w:val="00AD349B"/>
    <w:rsid w:val="00AD356E"/>
    <w:rsid w:val="00AD37BE"/>
    <w:rsid w:val="00AD3804"/>
    <w:rsid w:val="00AD3946"/>
    <w:rsid w:val="00AD3A5E"/>
    <w:rsid w:val="00AD3AF2"/>
    <w:rsid w:val="00AD3B23"/>
    <w:rsid w:val="00AD3BCE"/>
    <w:rsid w:val="00AD3CA8"/>
    <w:rsid w:val="00AD3E1D"/>
    <w:rsid w:val="00AD3EF8"/>
    <w:rsid w:val="00AD4194"/>
    <w:rsid w:val="00AD41F4"/>
    <w:rsid w:val="00AD42A7"/>
    <w:rsid w:val="00AD431F"/>
    <w:rsid w:val="00AD447E"/>
    <w:rsid w:val="00AD46A7"/>
    <w:rsid w:val="00AD47FB"/>
    <w:rsid w:val="00AD4937"/>
    <w:rsid w:val="00AD496A"/>
    <w:rsid w:val="00AD4A02"/>
    <w:rsid w:val="00AD4E10"/>
    <w:rsid w:val="00AD52D2"/>
    <w:rsid w:val="00AD5336"/>
    <w:rsid w:val="00AD552F"/>
    <w:rsid w:val="00AD5546"/>
    <w:rsid w:val="00AD5573"/>
    <w:rsid w:val="00AD5774"/>
    <w:rsid w:val="00AD57B6"/>
    <w:rsid w:val="00AD594E"/>
    <w:rsid w:val="00AD5A2D"/>
    <w:rsid w:val="00AD5AA6"/>
    <w:rsid w:val="00AD5C76"/>
    <w:rsid w:val="00AD5CBE"/>
    <w:rsid w:val="00AD5E54"/>
    <w:rsid w:val="00AD5F9E"/>
    <w:rsid w:val="00AD6710"/>
    <w:rsid w:val="00AD6BB2"/>
    <w:rsid w:val="00AD6C7C"/>
    <w:rsid w:val="00AD6D37"/>
    <w:rsid w:val="00AD6EA0"/>
    <w:rsid w:val="00AD7254"/>
    <w:rsid w:val="00AD729B"/>
    <w:rsid w:val="00AD729E"/>
    <w:rsid w:val="00AD72CD"/>
    <w:rsid w:val="00AD7336"/>
    <w:rsid w:val="00AD7405"/>
    <w:rsid w:val="00AD74E2"/>
    <w:rsid w:val="00AD762C"/>
    <w:rsid w:val="00AD764A"/>
    <w:rsid w:val="00AD7A3B"/>
    <w:rsid w:val="00AD7D3B"/>
    <w:rsid w:val="00AD7D8F"/>
    <w:rsid w:val="00AE0039"/>
    <w:rsid w:val="00AE0051"/>
    <w:rsid w:val="00AE00AF"/>
    <w:rsid w:val="00AE00F0"/>
    <w:rsid w:val="00AE0148"/>
    <w:rsid w:val="00AE066C"/>
    <w:rsid w:val="00AE08A6"/>
    <w:rsid w:val="00AE09B2"/>
    <w:rsid w:val="00AE0AEB"/>
    <w:rsid w:val="00AE0E74"/>
    <w:rsid w:val="00AE0F1F"/>
    <w:rsid w:val="00AE0F35"/>
    <w:rsid w:val="00AE0FD2"/>
    <w:rsid w:val="00AE113F"/>
    <w:rsid w:val="00AE152D"/>
    <w:rsid w:val="00AE1629"/>
    <w:rsid w:val="00AE16C6"/>
    <w:rsid w:val="00AE1865"/>
    <w:rsid w:val="00AE1953"/>
    <w:rsid w:val="00AE19D7"/>
    <w:rsid w:val="00AE1A49"/>
    <w:rsid w:val="00AE1A67"/>
    <w:rsid w:val="00AE1C66"/>
    <w:rsid w:val="00AE1D9E"/>
    <w:rsid w:val="00AE1DAA"/>
    <w:rsid w:val="00AE1F01"/>
    <w:rsid w:val="00AE1F65"/>
    <w:rsid w:val="00AE1F92"/>
    <w:rsid w:val="00AE215B"/>
    <w:rsid w:val="00AE221F"/>
    <w:rsid w:val="00AE24A4"/>
    <w:rsid w:val="00AE24D8"/>
    <w:rsid w:val="00AE252D"/>
    <w:rsid w:val="00AE2685"/>
    <w:rsid w:val="00AE26A3"/>
    <w:rsid w:val="00AE2771"/>
    <w:rsid w:val="00AE2FA9"/>
    <w:rsid w:val="00AE3059"/>
    <w:rsid w:val="00AE3096"/>
    <w:rsid w:val="00AE3206"/>
    <w:rsid w:val="00AE32A2"/>
    <w:rsid w:val="00AE3377"/>
    <w:rsid w:val="00AE33F1"/>
    <w:rsid w:val="00AE340F"/>
    <w:rsid w:val="00AE344C"/>
    <w:rsid w:val="00AE3485"/>
    <w:rsid w:val="00AE35F3"/>
    <w:rsid w:val="00AE360B"/>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6FE"/>
    <w:rsid w:val="00AE4942"/>
    <w:rsid w:val="00AE49A5"/>
    <w:rsid w:val="00AE4A77"/>
    <w:rsid w:val="00AE4B45"/>
    <w:rsid w:val="00AE4B86"/>
    <w:rsid w:val="00AE4C59"/>
    <w:rsid w:val="00AE5176"/>
    <w:rsid w:val="00AE54EC"/>
    <w:rsid w:val="00AE55EF"/>
    <w:rsid w:val="00AE561C"/>
    <w:rsid w:val="00AE56B7"/>
    <w:rsid w:val="00AE5793"/>
    <w:rsid w:val="00AE5826"/>
    <w:rsid w:val="00AE5C80"/>
    <w:rsid w:val="00AE5F34"/>
    <w:rsid w:val="00AE5FA7"/>
    <w:rsid w:val="00AE6018"/>
    <w:rsid w:val="00AE60AF"/>
    <w:rsid w:val="00AE61B5"/>
    <w:rsid w:val="00AE6265"/>
    <w:rsid w:val="00AE6524"/>
    <w:rsid w:val="00AE673F"/>
    <w:rsid w:val="00AE67BF"/>
    <w:rsid w:val="00AE6A03"/>
    <w:rsid w:val="00AE6C62"/>
    <w:rsid w:val="00AE6C7B"/>
    <w:rsid w:val="00AE6D14"/>
    <w:rsid w:val="00AE6F32"/>
    <w:rsid w:val="00AE743B"/>
    <w:rsid w:val="00AE7802"/>
    <w:rsid w:val="00AE7A5F"/>
    <w:rsid w:val="00AE7B13"/>
    <w:rsid w:val="00AE7B20"/>
    <w:rsid w:val="00AE7B7E"/>
    <w:rsid w:val="00AE7D69"/>
    <w:rsid w:val="00AE7DA6"/>
    <w:rsid w:val="00AE7DBE"/>
    <w:rsid w:val="00AE7E44"/>
    <w:rsid w:val="00AE7E51"/>
    <w:rsid w:val="00AE7ECE"/>
    <w:rsid w:val="00AE7FD7"/>
    <w:rsid w:val="00AE7FFC"/>
    <w:rsid w:val="00AF000C"/>
    <w:rsid w:val="00AF00E2"/>
    <w:rsid w:val="00AF0236"/>
    <w:rsid w:val="00AF0268"/>
    <w:rsid w:val="00AF050B"/>
    <w:rsid w:val="00AF05C3"/>
    <w:rsid w:val="00AF05D1"/>
    <w:rsid w:val="00AF07CE"/>
    <w:rsid w:val="00AF0D73"/>
    <w:rsid w:val="00AF0DD7"/>
    <w:rsid w:val="00AF0E3D"/>
    <w:rsid w:val="00AF0EB9"/>
    <w:rsid w:val="00AF0F15"/>
    <w:rsid w:val="00AF0F16"/>
    <w:rsid w:val="00AF128C"/>
    <w:rsid w:val="00AF13A1"/>
    <w:rsid w:val="00AF17DF"/>
    <w:rsid w:val="00AF181D"/>
    <w:rsid w:val="00AF1885"/>
    <w:rsid w:val="00AF1968"/>
    <w:rsid w:val="00AF19DF"/>
    <w:rsid w:val="00AF1A3B"/>
    <w:rsid w:val="00AF1B25"/>
    <w:rsid w:val="00AF1B73"/>
    <w:rsid w:val="00AF1EEC"/>
    <w:rsid w:val="00AF2000"/>
    <w:rsid w:val="00AF2198"/>
    <w:rsid w:val="00AF27A5"/>
    <w:rsid w:val="00AF27DE"/>
    <w:rsid w:val="00AF288B"/>
    <w:rsid w:val="00AF2A84"/>
    <w:rsid w:val="00AF2A97"/>
    <w:rsid w:val="00AF2C9D"/>
    <w:rsid w:val="00AF2DAE"/>
    <w:rsid w:val="00AF30E2"/>
    <w:rsid w:val="00AF3167"/>
    <w:rsid w:val="00AF3367"/>
    <w:rsid w:val="00AF3543"/>
    <w:rsid w:val="00AF363D"/>
    <w:rsid w:val="00AF3715"/>
    <w:rsid w:val="00AF3768"/>
    <w:rsid w:val="00AF37DE"/>
    <w:rsid w:val="00AF3867"/>
    <w:rsid w:val="00AF3A7C"/>
    <w:rsid w:val="00AF3BC5"/>
    <w:rsid w:val="00AF3BCC"/>
    <w:rsid w:val="00AF3EF6"/>
    <w:rsid w:val="00AF436B"/>
    <w:rsid w:val="00AF4438"/>
    <w:rsid w:val="00AF4501"/>
    <w:rsid w:val="00AF4709"/>
    <w:rsid w:val="00AF47B2"/>
    <w:rsid w:val="00AF4866"/>
    <w:rsid w:val="00AF488A"/>
    <w:rsid w:val="00AF4B9B"/>
    <w:rsid w:val="00AF4BD8"/>
    <w:rsid w:val="00AF4BF7"/>
    <w:rsid w:val="00AF4DB9"/>
    <w:rsid w:val="00AF4E03"/>
    <w:rsid w:val="00AF4E22"/>
    <w:rsid w:val="00AF514B"/>
    <w:rsid w:val="00AF51D5"/>
    <w:rsid w:val="00AF52FB"/>
    <w:rsid w:val="00AF560A"/>
    <w:rsid w:val="00AF5703"/>
    <w:rsid w:val="00AF57DD"/>
    <w:rsid w:val="00AF59C4"/>
    <w:rsid w:val="00AF5E36"/>
    <w:rsid w:val="00AF6184"/>
    <w:rsid w:val="00AF6349"/>
    <w:rsid w:val="00AF6356"/>
    <w:rsid w:val="00AF63A2"/>
    <w:rsid w:val="00AF63BB"/>
    <w:rsid w:val="00AF6463"/>
    <w:rsid w:val="00AF670A"/>
    <w:rsid w:val="00AF6722"/>
    <w:rsid w:val="00AF6796"/>
    <w:rsid w:val="00AF6967"/>
    <w:rsid w:val="00AF71B8"/>
    <w:rsid w:val="00AF742A"/>
    <w:rsid w:val="00AF7689"/>
    <w:rsid w:val="00AF76DB"/>
    <w:rsid w:val="00AF7825"/>
    <w:rsid w:val="00AF7869"/>
    <w:rsid w:val="00AF792A"/>
    <w:rsid w:val="00AF7A84"/>
    <w:rsid w:val="00AF7A98"/>
    <w:rsid w:val="00AF7CB8"/>
    <w:rsid w:val="00AF7D84"/>
    <w:rsid w:val="00AF7EB9"/>
    <w:rsid w:val="00AF7F02"/>
    <w:rsid w:val="00AF7F2E"/>
    <w:rsid w:val="00B00311"/>
    <w:rsid w:val="00B0035D"/>
    <w:rsid w:val="00B003BB"/>
    <w:rsid w:val="00B00496"/>
    <w:rsid w:val="00B00574"/>
    <w:rsid w:val="00B00730"/>
    <w:rsid w:val="00B00AAA"/>
    <w:rsid w:val="00B00B36"/>
    <w:rsid w:val="00B0108B"/>
    <w:rsid w:val="00B011E9"/>
    <w:rsid w:val="00B01231"/>
    <w:rsid w:val="00B01282"/>
    <w:rsid w:val="00B01287"/>
    <w:rsid w:val="00B01387"/>
    <w:rsid w:val="00B0155B"/>
    <w:rsid w:val="00B01630"/>
    <w:rsid w:val="00B0165F"/>
    <w:rsid w:val="00B01A14"/>
    <w:rsid w:val="00B01A25"/>
    <w:rsid w:val="00B01C07"/>
    <w:rsid w:val="00B01C4D"/>
    <w:rsid w:val="00B01CDE"/>
    <w:rsid w:val="00B01D69"/>
    <w:rsid w:val="00B01DC9"/>
    <w:rsid w:val="00B02127"/>
    <w:rsid w:val="00B02139"/>
    <w:rsid w:val="00B0217B"/>
    <w:rsid w:val="00B021EF"/>
    <w:rsid w:val="00B02330"/>
    <w:rsid w:val="00B0260C"/>
    <w:rsid w:val="00B02614"/>
    <w:rsid w:val="00B027B9"/>
    <w:rsid w:val="00B027E9"/>
    <w:rsid w:val="00B02978"/>
    <w:rsid w:val="00B02B0E"/>
    <w:rsid w:val="00B02C53"/>
    <w:rsid w:val="00B02C57"/>
    <w:rsid w:val="00B02C8D"/>
    <w:rsid w:val="00B02CAF"/>
    <w:rsid w:val="00B02DB0"/>
    <w:rsid w:val="00B031A4"/>
    <w:rsid w:val="00B031F9"/>
    <w:rsid w:val="00B0340E"/>
    <w:rsid w:val="00B036E3"/>
    <w:rsid w:val="00B037A1"/>
    <w:rsid w:val="00B037C7"/>
    <w:rsid w:val="00B03A17"/>
    <w:rsid w:val="00B03DAE"/>
    <w:rsid w:val="00B03DD9"/>
    <w:rsid w:val="00B03F94"/>
    <w:rsid w:val="00B03FBD"/>
    <w:rsid w:val="00B04026"/>
    <w:rsid w:val="00B040A8"/>
    <w:rsid w:val="00B0412B"/>
    <w:rsid w:val="00B043A6"/>
    <w:rsid w:val="00B047CE"/>
    <w:rsid w:val="00B049AF"/>
    <w:rsid w:val="00B04B0F"/>
    <w:rsid w:val="00B04BD8"/>
    <w:rsid w:val="00B04BD9"/>
    <w:rsid w:val="00B04D3F"/>
    <w:rsid w:val="00B05073"/>
    <w:rsid w:val="00B0526B"/>
    <w:rsid w:val="00B05341"/>
    <w:rsid w:val="00B05513"/>
    <w:rsid w:val="00B0558D"/>
    <w:rsid w:val="00B0567D"/>
    <w:rsid w:val="00B05A2C"/>
    <w:rsid w:val="00B05F39"/>
    <w:rsid w:val="00B06025"/>
    <w:rsid w:val="00B060E3"/>
    <w:rsid w:val="00B065DD"/>
    <w:rsid w:val="00B065F3"/>
    <w:rsid w:val="00B06774"/>
    <w:rsid w:val="00B0681E"/>
    <w:rsid w:val="00B06BC9"/>
    <w:rsid w:val="00B06C06"/>
    <w:rsid w:val="00B06DED"/>
    <w:rsid w:val="00B06DEE"/>
    <w:rsid w:val="00B06F1F"/>
    <w:rsid w:val="00B06F31"/>
    <w:rsid w:val="00B07309"/>
    <w:rsid w:val="00B0744F"/>
    <w:rsid w:val="00B07497"/>
    <w:rsid w:val="00B07504"/>
    <w:rsid w:val="00B0754C"/>
    <w:rsid w:val="00B0774D"/>
    <w:rsid w:val="00B07875"/>
    <w:rsid w:val="00B07B46"/>
    <w:rsid w:val="00B07C1E"/>
    <w:rsid w:val="00B07D21"/>
    <w:rsid w:val="00B07EBC"/>
    <w:rsid w:val="00B07F88"/>
    <w:rsid w:val="00B07FFA"/>
    <w:rsid w:val="00B07FFE"/>
    <w:rsid w:val="00B10001"/>
    <w:rsid w:val="00B1002C"/>
    <w:rsid w:val="00B1021D"/>
    <w:rsid w:val="00B10341"/>
    <w:rsid w:val="00B107C2"/>
    <w:rsid w:val="00B108E3"/>
    <w:rsid w:val="00B10CA9"/>
    <w:rsid w:val="00B10D2B"/>
    <w:rsid w:val="00B11051"/>
    <w:rsid w:val="00B1135B"/>
    <w:rsid w:val="00B11561"/>
    <w:rsid w:val="00B118D0"/>
    <w:rsid w:val="00B11907"/>
    <w:rsid w:val="00B11971"/>
    <w:rsid w:val="00B11AAF"/>
    <w:rsid w:val="00B11BBA"/>
    <w:rsid w:val="00B11CCB"/>
    <w:rsid w:val="00B11DD0"/>
    <w:rsid w:val="00B126EF"/>
    <w:rsid w:val="00B127BA"/>
    <w:rsid w:val="00B12885"/>
    <w:rsid w:val="00B12EAD"/>
    <w:rsid w:val="00B12F63"/>
    <w:rsid w:val="00B13035"/>
    <w:rsid w:val="00B13257"/>
    <w:rsid w:val="00B1347B"/>
    <w:rsid w:val="00B134CD"/>
    <w:rsid w:val="00B134DD"/>
    <w:rsid w:val="00B137DE"/>
    <w:rsid w:val="00B137F4"/>
    <w:rsid w:val="00B1381E"/>
    <w:rsid w:val="00B13824"/>
    <w:rsid w:val="00B13A5C"/>
    <w:rsid w:val="00B13B2A"/>
    <w:rsid w:val="00B13B49"/>
    <w:rsid w:val="00B13C3F"/>
    <w:rsid w:val="00B13C59"/>
    <w:rsid w:val="00B13ED2"/>
    <w:rsid w:val="00B13F50"/>
    <w:rsid w:val="00B1405A"/>
    <w:rsid w:val="00B141C7"/>
    <w:rsid w:val="00B14617"/>
    <w:rsid w:val="00B1467A"/>
    <w:rsid w:val="00B14760"/>
    <w:rsid w:val="00B14E0C"/>
    <w:rsid w:val="00B152F8"/>
    <w:rsid w:val="00B154C4"/>
    <w:rsid w:val="00B155D3"/>
    <w:rsid w:val="00B157DC"/>
    <w:rsid w:val="00B15933"/>
    <w:rsid w:val="00B159AE"/>
    <w:rsid w:val="00B159DC"/>
    <w:rsid w:val="00B15ACD"/>
    <w:rsid w:val="00B15B35"/>
    <w:rsid w:val="00B15D09"/>
    <w:rsid w:val="00B15D5D"/>
    <w:rsid w:val="00B15DB1"/>
    <w:rsid w:val="00B15EEB"/>
    <w:rsid w:val="00B160D5"/>
    <w:rsid w:val="00B160DD"/>
    <w:rsid w:val="00B161BD"/>
    <w:rsid w:val="00B1639B"/>
    <w:rsid w:val="00B1650C"/>
    <w:rsid w:val="00B1651B"/>
    <w:rsid w:val="00B1678D"/>
    <w:rsid w:val="00B16823"/>
    <w:rsid w:val="00B16BC8"/>
    <w:rsid w:val="00B16D51"/>
    <w:rsid w:val="00B16ED0"/>
    <w:rsid w:val="00B1708D"/>
    <w:rsid w:val="00B17167"/>
    <w:rsid w:val="00B17195"/>
    <w:rsid w:val="00B17375"/>
    <w:rsid w:val="00B17522"/>
    <w:rsid w:val="00B17571"/>
    <w:rsid w:val="00B17716"/>
    <w:rsid w:val="00B178B6"/>
    <w:rsid w:val="00B179E6"/>
    <w:rsid w:val="00B17B06"/>
    <w:rsid w:val="00B17B55"/>
    <w:rsid w:val="00B17B5C"/>
    <w:rsid w:val="00B17BA2"/>
    <w:rsid w:val="00B17C51"/>
    <w:rsid w:val="00B17CBB"/>
    <w:rsid w:val="00B17FD9"/>
    <w:rsid w:val="00B20103"/>
    <w:rsid w:val="00B201BD"/>
    <w:rsid w:val="00B2066F"/>
    <w:rsid w:val="00B20675"/>
    <w:rsid w:val="00B20866"/>
    <w:rsid w:val="00B20982"/>
    <w:rsid w:val="00B20A30"/>
    <w:rsid w:val="00B20A80"/>
    <w:rsid w:val="00B20ABA"/>
    <w:rsid w:val="00B20ACB"/>
    <w:rsid w:val="00B20B1A"/>
    <w:rsid w:val="00B20BF3"/>
    <w:rsid w:val="00B20C0B"/>
    <w:rsid w:val="00B20DAB"/>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7DF"/>
    <w:rsid w:val="00B22C8F"/>
    <w:rsid w:val="00B22D9C"/>
    <w:rsid w:val="00B23014"/>
    <w:rsid w:val="00B230C3"/>
    <w:rsid w:val="00B230F2"/>
    <w:rsid w:val="00B23186"/>
    <w:rsid w:val="00B232D8"/>
    <w:rsid w:val="00B233A8"/>
    <w:rsid w:val="00B233BA"/>
    <w:rsid w:val="00B233C5"/>
    <w:rsid w:val="00B23483"/>
    <w:rsid w:val="00B235B6"/>
    <w:rsid w:val="00B23738"/>
    <w:rsid w:val="00B23807"/>
    <w:rsid w:val="00B238D2"/>
    <w:rsid w:val="00B239C9"/>
    <w:rsid w:val="00B23A31"/>
    <w:rsid w:val="00B23AB6"/>
    <w:rsid w:val="00B23BFC"/>
    <w:rsid w:val="00B23CBE"/>
    <w:rsid w:val="00B24006"/>
    <w:rsid w:val="00B2428C"/>
    <w:rsid w:val="00B2446B"/>
    <w:rsid w:val="00B245B1"/>
    <w:rsid w:val="00B245BA"/>
    <w:rsid w:val="00B245D9"/>
    <w:rsid w:val="00B24A71"/>
    <w:rsid w:val="00B24ABC"/>
    <w:rsid w:val="00B24D09"/>
    <w:rsid w:val="00B24DFF"/>
    <w:rsid w:val="00B2538D"/>
    <w:rsid w:val="00B25398"/>
    <w:rsid w:val="00B2561E"/>
    <w:rsid w:val="00B25770"/>
    <w:rsid w:val="00B25924"/>
    <w:rsid w:val="00B25AA2"/>
    <w:rsid w:val="00B26002"/>
    <w:rsid w:val="00B26078"/>
    <w:rsid w:val="00B260E6"/>
    <w:rsid w:val="00B26172"/>
    <w:rsid w:val="00B261B1"/>
    <w:rsid w:val="00B26632"/>
    <w:rsid w:val="00B26A5F"/>
    <w:rsid w:val="00B26A69"/>
    <w:rsid w:val="00B26AA2"/>
    <w:rsid w:val="00B26B8E"/>
    <w:rsid w:val="00B26C25"/>
    <w:rsid w:val="00B26CB8"/>
    <w:rsid w:val="00B26CE2"/>
    <w:rsid w:val="00B26DCF"/>
    <w:rsid w:val="00B26E9A"/>
    <w:rsid w:val="00B26FC0"/>
    <w:rsid w:val="00B26FD1"/>
    <w:rsid w:val="00B270D4"/>
    <w:rsid w:val="00B27413"/>
    <w:rsid w:val="00B27426"/>
    <w:rsid w:val="00B274CB"/>
    <w:rsid w:val="00B2786A"/>
    <w:rsid w:val="00B278C9"/>
    <w:rsid w:val="00B27924"/>
    <w:rsid w:val="00B27AC5"/>
    <w:rsid w:val="00B27AFB"/>
    <w:rsid w:val="00B27F25"/>
    <w:rsid w:val="00B27FEC"/>
    <w:rsid w:val="00B300A1"/>
    <w:rsid w:val="00B30120"/>
    <w:rsid w:val="00B30250"/>
    <w:rsid w:val="00B3032A"/>
    <w:rsid w:val="00B304E9"/>
    <w:rsid w:val="00B30685"/>
    <w:rsid w:val="00B30844"/>
    <w:rsid w:val="00B30C51"/>
    <w:rsid w:val="00B30D86"/>
    <w:rsid w:val="00B30F6A"/>
    <w:rsid w:val="00B310B3"/>
    <w:rsid w:val="00B3125C"/>
    <w:rsid w:val="00B31289"/>
    <w:rsid w:val="00B31530"/>
    <w:rsid w:val="00B318DC"/>
    <w:rsid w:val="00B31955"/>
    <w:rsid w:val="00B31A3E"/>
    <w:rsid w:val="00B31BA3"/>
    <w:rsid w:val="00B32112"/>
    <w:rsid w:val="00B323DA"/>
    <w:rsid w:val="00B3253D"/>
    <w:rsid w:val="00B325BD"/>
    <w:rsid w:val="00B32627"/>
    <w:rsid w:val="00B32692"/>
    <w:rsid w:val="00B32781"/>
    <w:rsid w:val="00B3291D"/>
    <w:rsid w:val="00B32A0B"/>
    <w:rsid w:val="00B32A34"/>
    <w:rsid w:val="00B32A68"/>
    <w:rsid w:val="00B32E9C"/>
    <w:rsid w:val="00B331C9"/>
    <w:rsid w:val="00B33360"/>
    <w:rsid w:val="00B33484"/>
    <w:rsid w:val="00B335DE"/>
    <w:rsid w:val="00B3366F"/>
    <w:rsid w:val="00B336A7"/>
    <w:rsid w:val="00B336B0"/>
    <w:rsid w:val="00B33745"/>
    <w:rsid w:val="00B33919"/>
    <w:rsid w:val="00B33DA0"/>
    <w:rsid w:val="00B34129"/>
    <w:rsid w:val="00B3418D"/>
    <w:rsid w:val="00B341B8"/>
    <w:rsid w:val="00B342CF"/>
    <w:rsid w:val="00B3443D"/>
    <w:rsid w:val="00B34701"/>
    <w:rsid w:val="00B34804"/>
    <w:rsid w:val="00B3495C"/>
    <w:rsid w:val="00B34BFC"/>
    <w:rsid w:val="00B34CE1"/>
    <w:rsid w:val="00B34CF7"/>
    <w:rsid w:val="00B34E22"/>
    <w:rsid w:val="00B34E67"/>
    <w:rsid w:val="00B34EB8"/>
    <w:rsid w:val="00B34EBA"/>
    <w:rsid w:val="00B34EEF"/>
    <w:rsid w:val="00B34F4C"/>
    <w:rsid w:val="00B35018"/>
    <w:rsid w:val="00B3527E"/>
    <w:rsid w:val="00B354F5"/>
    <w:rsid w:val="00B35612"/>
    <w:rsid w:val="00B3574F"/>
    <w:rsid w:val="00B35905"/>
    <w:rsid w:val="00B35A9F"/>
    <w:rsid w:val="00B35B5D"/>
    <w:rsid w:val="00B35FED"/>
    <w:rsid w:val="00B360C0"/>
    <w:rsid w:val="00B3620C"/>
    <w:rsid w:val="00B36290"/>
    <w:rsid w:val="00B366E3"/>
    <w:rsid w:val="00B36C38"/>
    <w:rsid w:val="00B36CC5"/>
    <w:rsid w:val="00B36D3B"/>
    <w:rsid w:val="00B36D48"/>
    <w:rsid w:val="00B37028"/>
    <w:rsid w:val="00B3728B"/>
    <w:rsid w:val="00B373B6"/>
    <w:rsid w:val="00B374F8"/>
    <w:rsid w:val="00B379A4"/>
    <w:rsid w:val="00B37BAC"/>
    <w:rsid w:val="00B37C1F"/>
    <w:rsid w:val="00B37C91"/>
    <w:rsid w:val="00B37E06"/>
    <w:rsid w:val="00B37EA1"/>
    <w:rsid w:val="00B37F0E"/>
    <w:rsid w:val="00B37F8C"/>
    <w:rsid w:val="00B400D6"/>
    <w:rsid w:val="00B40222"/>
    <w:rsid w:val="00B403FD"/>
    <w:rsid w:val="00B406BF"/>
    <w:rsid w:val="00B406FA"/>
    <w:rsid w:val="00B40859"/>
    <w:rsid w:val="00B409C6"/>
    <w:rsid w:val="00B409FB"/>
    <w:rsid w:val="00B40AE0"/>
    <w:rsid w:val="00B40EA9"/>
    <w:rsid w:val="00B41504"/>
    <w:rsid w:val="00B41540"/>
    <w:rsid w:val="00B41573"/>
    <w:rsid w:val="00B416E3"/>
    <w:rsid w:val="00B41780"/>
    <w:rsid w:val="00B41948"/>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BC"/>
    <w:rsid w:val="00B435D5"/>
    <w:rsid w:val="00B435F2"/>
    <w:rsid w:val="00B4372B"/>
    <w:rsid w:val="00B43A35"/>
    <w:rsid w:val="00B43CB7"/>
    <w:rsid w:val="00B43FD6"/>
    <w:rsid w:val="00B44083"/>
    <w:rsid w:val="00B441A1"/>
    <w:rsid w:val="00B4420A"/>
    <w:rsid w:val="00B44265"/>
    <w:rsid w:val="00B4429A"/>
    <w:rsid w:val="00B442B0"/>
    <w:rsid w:val="00B4434F"/>
    <w:rsid w:val="00B44364"/>
    <w:rsid w:val="00B44483"/>
    <w:rsid w:val="00B445E1"/>
    <w:rsid w:val="00B445E5"/>
    <w:rsid w:val="00B44607"/>
    <w:rsid w:val="00B4460A"/>
    <w:rsid w:val="00B44656"/>
    <w:rsid w:val="00B44738"/>
    <w:rsid w:val="00B44808"/>
    <w:rsid w:val="00B44C5D"/>
    <w:rsid w:val="00B44D1A"/>
    <w:rsid w:val="00B44E2E"/>
    <w:rsid w:val="00B450AE"/>
    <w:rsid w:val="00B451E1"/>
    <w:rsid w:val="00B453B0"/>
    <w:rsid w:val="00B4542D"/>
    <w:rsid w:val="00B45500"/>
    <w:rsid w:val="00B45532"/>
    <w:rsid w:val="00B455FF"/>
    <w:rsid w:val="00B4576E"/>
    <w:rsid w:val="00B4577A"/>
    <w:rsid w:val="00B459BC"/>
    <w:rsid w:val="00B45A03"/>
    <w:rsid w:val="00B45C92"/>
    <w:rsid w:val="00B45CF6"/>
    <w:rsid w:val="00B45D70"/>
    <w:rsid w:val="00B45F81"/>
    <w:rsid w:val="00B4614D"/>
    <w:rsid w:val="00B46255"/>
    <w:rsid w:val="00B46324"/>
    <w:rsid w:val="00B463BE"/>
    <w:rsid w:val="00B464A3"/>
    <w:rsid w:val="00B464E7"/>
    <w:rsid w:val="00B465A9"/>
    <w:rsid w:val="00B4679C"/>
    <w:rsid w:val="00B467F7"/>
    <w:rsid w:val="00B469AD"/>
    <w:rsid w:val="00B469EB"/>
    <w:rsid w:val="00B46B68"/>
    <w:rsid w:val="00B46B77"/>
    <w:rsid w:val="00B46DAF"/>
    <w:rsid w:val="00B46E36"/>
    <w:rsid w:val="00B46F36"/>
    <w:rsid w:val="00B46F71"/>
    <w:rsid w:val="00B47042"/>
    <w:rsid w:val="00B4719F"/>
    <w:rsid w:val="00B471E1"/>
    <w:rsid w:val="00B472BE"/>
    <w:rsid w:val="00B4759B"/>
    <w:rsid w:val="00B476A6"/>
    <w:rsid w:val="00B47757"/>
    <w:rsid w:val="00B47774"/>
    <w:rsid w:val="00B477F7"/>
    <w:rsid w:val="00B4782E"/>
    <w:rsid w:val="00B47835"/>
    <w:rsid w:val="00B479BA"/>
    <w:rsid w:val="00B47B15"/>
    <w:rsid w:val="00B47C02"/>
    <w:rsid w:val="00B47CF5"/>
    <w:rsid w:val="00B47E10"/>
    <w:rsid w:val="00B47FC9"/>
    <w:rsid w:val="00B5018E"/>
    <w:rsid w:val="00B50210"/>
    <w:rsid w:val="00B50313"/>
    <w:rsid w:val="00B5048B"/>
    <w:rsid w:val="00B504F3"/>
    <w:rsid w:val="00B50547"/>
    <w:rsid w:val="00B5059C"/>
    <w:rsid w:val="00B506A3"/>
    <w:rsid w:val="00B5074C"/>
    <w:rsid w:val="00B5081F"/>
    <w:rsid w:val="00B5089D"/>
    <w:rsid w:val="00B50B22"/>
    <w:rsid w:val="00B50C52"/>
    <w:rsid w:val="00B50CC5"/>
    <w:rsid w:val="00B50DD2"/>
    <w:rsid w:val="00B50E45"/>
    <w:rsid w:val="00B50FA6"/>
    <w:rsid w:val="00B510E3"/>
    <w:rsid w:val="00B5110B"/>
    <w:rsid w:val="00B51164"/>
    <w:rsid w:val="00B5149A"/>
    <w:rsid w:val="00B514CE"/>
    <w:rsid w:val="00B516D1"/>
    <w:rsid w:val="00B51705"/>
    <w:rsid w:val="00B5195E"/>
    <w:rsid w:val="00B51C50"/>
    <w:rsid w:val="00B51EE2"/>
    <w:rsid w:val="00B51F38"/>
    <w:rsid w:val="00B522DB"/>
    <w:rsid w:val="00B52334"/>
    <w:rsid w:val="00B52661"/>
    <w:rsid w:val="00B526D5"/>
    <w:rsid w:val="00B5271D"/>
    <w:rsid w:val="00B52728"/>
    <w:rsid w:val="00B52803"/>
    <w:rsid w:val="00B52817"/>
    <w:rsid w:val="00B52982"/>
    <w:rsid w:val="00B52A30"/>
    <w:rsid w:val="00B52ABC"/>
    <w:rsid w:val="00B52AF5"/>
    <w:rsid w:val="00B52C7E"/>
    <w:rsid w:val="00B52EAF"/>
    <w:rsid w:val="00B52F08"/>
    <w:rsid w:val="00B530AE"/>
    <w:rsid w:val="00B531A1"/>
    <w:rsid w:val="00B53228"/>
    <w:rsid w:val="00B5328A"/>
    <w:rsid w:val="00B53608"/>
    <w:rsid w:val="00B536AF"/>
    <w:rsid w:val="00B53755"/>
    <w:rsid w:val="00B53770"/>
    <w:rsid w:val="00B537C7"/>
    <w:rsid w:val="00B537DB"/>
    <w:rsid w:val="00B53832"/>
    <w:rsid w:val="00B53C68"/>
    <w:rsid w:val="00B53CB1"/>
    <w:rsid w:val="00B53D15"/>
    <w:rsid w:val="00B5425E"/>
    <w:rsid w:val="00B542E5"/>
    <w:rsid w:val="00B54433"/>
    <w:rsid w:val="00B5448C"/>
    <w:rsid w:val="00B546E1"/>
    <w:rsid w:val="00B548A3"/>
    <w:rsid w:val="00B54BFC"/>
    <w:rsid w:val="00B54D5F"/>
    <w:rsid w:val="00B54F7E"/>
    <w:rsid w:val="00B55095"/>
    <w:rsid w:val="00B553C4"/>
    <w:rsid w:val="00B55A82"/>
    <w:rsid w:val="00B55BDF"/>
    <w:rsid w:val="00B55D36"/>
    <w:rsid w:val="00B55D92"/>
    <w:rsid w:val="00B55E5A"/>
    <w:rsid w:val="00B55ED7"/>
    <w:rsid w:val="00B56312"/>
    <w:rsid w:val="00B56471"/>
    <w:rsid w:val="00B56641"/>
    <w:rsid w:val="00B56B0A"/>
    <w:rsid w:val="00B56C38"/>
    <w:rsid w:val="00B56C62"/>
    <w:rsid w:val="00B56FAF"/>
    <w:rsid w:val="00B570A3"/>
    <w:rsid w:val="00B57681"/>
    <w:rsid w:val="00B577B6"/>
    <w:rsid w:val="00B57874"/>
    <w:rsid w:val="00B57895"/>
    <w:rsid w:val="00B57A99"/>
    <w:rsid w:val="00B57C59"/>
    <w:rsid w:val="00B57CBD"/>
    <w:rsid w:val="00B57FF4"/>
    <w:rsid w:val="00B60129"/>
    <w:rsid w:val="00B6043F"/>
    <w:rsid w:val="00B605F8"/>
    <w:rsid w:val="00B606F1"/>
    <w:rsid w:val="00B606FF"/>
    <w:rsid w:val="00B607F7"/>
    <w:rsid w:val="00B60AC9"/>
    <w:rsid w:val="00B60AEA"/>
    <w:rsid w:val="00B60D38"/>
    <w:rsid w:val="00B60DFB"/>
    <w:rsid w:val="00B61173"/>
    <w:rsid w:val="00B611AA"/>
    <w:rsid w:val="00B6137C"/>
    <w:rsid w:val="00B614AA"/>
    <w:rsid w:val="00B614CF"/>
    <w:rsid w:val="00B61580"/>
    <w:rsid w:val="00B61645"/>
    <w:rsid w:val="00B61704"/>
    <w:rsid w:val="00B618C7"/>
    <w:rsid w:val="00B61946"/>
    <w:rsid w:val="00B61A46"/>
    <w:rsid w:val="00B61AD7"/>
    <w:rsid w:val="00B61AFD"/>
    <w:rsid w:val="00B61C7E"/>
    <w:rsid w:val="00B61C94"/>
    <w:rsid w:val="00B61CBA"/>
    <w:rsid w:val="00B61D23"/>
    <w:rsid w:val="00B61E4B"/>
    <w:rsid w:val="00B61F09"/>
    <w:rsid w:val="00B62108"/>
    <w:rsid w:val="00B62145"/>
    <w:rsid w:val="00B62192"/>
    <w:rsid w:val="00B6223C"/>
    <w:rsid w:val="00B623B3"/>
    <w:rsid w:val="00B62417"/>
    <w:rsid w:val="00B625CD"/>
    <w:rsid w:val="00B626D1"/>
    <w:rsid w:val="00B6270E"/>
    <w:rsid w:val="00B6296B"/>
    <w:rsid w:val="00B62FCA"/>
    <w:rsid w:val="00B630A4"/>
    <w:rsid w:val="00B631EA"/>
    <w:rsid w:val="00B632A7"/>
    <w:rsid w:val="00B632AA"/>
    <w:rsid w:val="00B632B6"/>
    <w:rsid w:val="00B6333A"/>
    <w:rsid w:val="00B6335C"/>
    <w:rsid w:val="00B634BE"/>
    <w:rsid w:val="00B634F2"/>
    <w:rsid w:val="00B6352B"/>
    <w:rsid w:val="00B63565"/>
    <w:rsid w:val="00B63640"/>
    <w:rsid w:val="00B63642"/>
    <w:rsid w:val="00B637E6"/>
    <w:rsid w:val="00B638B1"/>
    <w:rsid w:val="00B638B9"/>
    <w:rsid w:val="00B63BB5"/>
    <w:rsid w:val="00B63FEF"/>
    <w:rsid w:val="00B64181"/>
    <w:rsid w:val="00B642F9"/>
    <w:rsid w:val="00B64465"/>
    <w:rsid w:val="00B648A1"/>
    <w:rsid w:val="00B648EC"/>
    <w:rsid w:val="00B64977"/>
    <w:rsid w:val="00B649D2"/>
    <w:rsid w:val="00B64B97"/>
    <w:rsid w:val="00B64D89"/>
    <w:rsid w:val="00B64DBC"/>
    <w:rsid w:val="00B64E8C"/>
    <w:rsid w:val="00B650F4"/>
    <w:rsid w:val="00B652EF"/>
    <w:rsid w:val="00B6535B"/>
    <w:rsid w:val="00B6536A"/>
    <w:rsid w:val="00B65378"/>
    <w:rsid w:val="00B6538E"/>
    <w:rsid w:val="00B655CA"/>
    <w:rsid w:val="00B657B6"/>
    <w:rsid w:val="00B6580C"/>
    <w:rsid w:val="00B6583A"/>
    <w:rsid w:val="00B658E2"/>
    <w:rsid w:val="00B659FF"/>
    <w:rsid w:val="00B65ABB"/>
    <w:rsid w:val="00B65BC9"/>
    <w:rsid w:val="00B65DC9"/>
    <w:rsid w:val="00B65E80"/>
    <w:rsid w:val="00B66041"/>
    <w:rsid w:val="00B66112"/>
    <w:rsid w:val="00B666C7"/>
    <w:rsid w:val="00B66769"/>
    <w:rsid w:val="00B667A5"/>
    <w:rsid w:val="00B66C4A"/>
    <w:rsid w:val="00B66D46"/>
    <w:rsid w:val="00B66F55"/>
    <w:rsid w:val="00B67009"/>
    <w:rsid w:val="00B67110"/>
    <w:rsid w:val="00B6711B"/>
    <w:rsid w:val="00B671A0"/>
    <w:rsid w:val="00B6725C"/>
    <w:rsid w:val="00B6728A"/>
    <w:rsid w:val="00B674A2"/>
    <w:rsid w:val="00B67535"/>
    <w:rsid w:val="00B67678"/>
    <w:rsid w:val="00B6769E"/>
    <w:rsid w:val="00B6789C"/>
    <w:rsid w:val="00B67ABA"/>
    <w:rsid w:val="00B67CA6"/>
    <w:rsid w:val="00B67D20"/>
    <w:rsid w:val="00B67E69"/>
    <w:rsid w:val="00B67F79"/>
    <w:rsid w:val="00B7006B"/>
    <w:rsid w:val="00B70297"/>
    <w:rsid w:val="00B70362"/>
    <w:rsid w:val="00B703B7"/>
    <w:rsid w:val="00B704A6"/>
    <w:rsid w:val="00B70616"/>
    <w:rsid w:val="00B70852"/>
    <w:rsid w:val="00B7089A"/>
    <w:rsid w:val="00B708CA"/>
    <w:rsid w:val="00B70AFF"/>
    <w:rsid w:val="00B70C72"/>
    <w:rsid w:val="00B70E1D"/>
    <w:rsid w:val="00B70F46"/>
    <w:rsid w:val="00B710D5"/>
    <w:rsid w:val="00B71196"/>
    <w:rsid w:val="00B712E9"/>
    <w:rsid w:val="00B71B1D"/>
    <w:rsid w:val="00B71DF5"/>
    <w:rsid w:val="00B71FCD"/>
    <w:rsid w:val="00B72076"/>
    <w:rsid w:val="00B72096"/>
    <w:rsid w:val="00B721E5"/>
    <w:rsid w:val="00B722DE"/>
    <w:rsid w:val="00B722EE"/>
    <w:rsid w:val="00B7250A"/>
    <w:rsid w:val="00B7253D"/>
    <w:rsid w:val="00B727A8"/>
    <w:rsid w:val="00B7286D"/>
    <w:rsid w:val="00B729AD"/>
    <w:rsid w:val="00B72A18"/>
    <w:rsid w:val="00B72B4E"/>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39"/>
    <w:rsid w:val="00B744E7"/>
    <w:rsid w:val="00B7454E"/>
    <w:rsid w:val="00B7468B"/>
    <w:rsid w:val="00B748C2"/>
    <w:rsid w:val="00B748FB"/>
    <w:rsid w:val="00B74BCD"/>
    <w:rsid w:val="00B74D28"/>
    <w:rsid w:val="00B75007"/>
    <w:rsid w:val="00B75197"/>
    <w:rsid w:val="00B75349"/>
    <w:rsid w:val="00B755ED"/>
    <w:rsid w:val="00B755F1"/>
    <w:rsid w:val="00B75671"/>
    <w:rsid w:val="00B7568C"/>
    <w:rsid w:val="00B75997"/>
    <w:rsid w:val="00B75A2A"/>
    <w:rsid w:val="00B75B0B"/>
    <w:rsid w:val="00B75B4D"/>
    <w:rsid w:val="00B75D4D"/>
    <w:rsid w:val="00B75E9F"/>
    <w:rsid w:val="00B75EB2"/>
    <w:rsid w:val="00B75F19"/>
    <w:rsid w:val="00B75F73"/>
    <w:rsid w:val="00B761FF"/>
    <w:rsid w:val="00B7674E"/>
    <w:rsid w:val="00B7675D"/>
    <w:rsid w:val="00B76992"/>
    <w:rsid w:val="00B76A31"/>
    <w:rsid w:val="00B76A62"/>
    <w:rsid w:val="00B76B5C"/>
    <w:rsid w:val="00B76BAA"/>
    <w:rsid w:val="00B76C3B"/>
    <w:rsid w:val="00B76D95"/>
    <w:rsid w:val="00B770FD"/>
    <w:rsid w:val="00B77100"/>
    <w:rsid w:val="00B7713E"/>
    <w:rsid w:val="00B7718A"/>
    <w:rsid w:val="00B772B2"/>
    <w:rsid w:val="00B77514"/>
    <w:rsid w:val="00B7758E"/>
    <w:rsid w:val="00B77B20"/>
    <w:rsid w:val="00B77BB5"/>
    <w:rsid w:val="00B77D99"/>
    <w:rsid w:val="00B77EE3"/>
    <w:rsid w:val="00B77F29"/>
    <w:rsid w:val="00B801AF"/>
    <w:rsid w:val="00B802BC"/>
    <w:rsid w:val="00B8047B"/>
    <w:rsid w:val="00B808A3"/>
    <w:rsid w:val="00B80A11"/>
    <w:rsid w:val="00B80B1B"/>
    <w:rsid w:val="00B80CFA"/>
    <w:rsid w:val="00B80EC4"/>
    <w:rsid w:val="00B80FC0"/>
    <w:rsid w:val="00B810C3"/>
    <w:rsid w:val="00B810FB"/>
    <w:rsid w:val="00B812AE"/>
    <w:rsid w:val="00B81334"/>
    <w:rsid w:val="00B8143E"/>
    <w:rsid w:val="00B815D4"/>
    <w:rsid w:val="00B8184E"/>
    <w:rsid w:val="00B81C51"/>
    <w:rsid w:val="00B81ECA"/>
    <w:rsid w:val="00B82039"/>
    <w:rsid w:val="00B820D0"/>
    <w:rsid w:val="00B82197"/>
    <w:rsid w:val="00B823E9"/>
    <w:rsid w:val="00B82491"/>
    <w:rsid w:val="00B827E0"/>
    <w:rsid w:val="00B827F8"/>
    <w:rsid w:val="00B82843"/>
    <w:rsid w:val="00B8290B"/>
    <w:rsid w:val="00B829A6"/>
    <w:rsid w:val="00B82A63"/>
    <w:rsid w:val="00B82D9A"/>
    <w:rsid w:val="00B82DFD"/>
    <w:rsid w:val="00B82E4F"/>
    <w:rsid w:val="00B82FE6"/>
    <w:rsid w:val="00B83114"/>
    <w:rsid w:val="00B83123"/>
    <w:rsid w:val="00B8319E"/>
    <w:rsid w:val="00B8328F"/>
    <w:rsid w:val="00B832B8"/>
    <w:rsid w:val="00B83378"/>
    <w:rsid w:val="00B8340F"/>
    <w:rsid w:val="00B83662"/>
    <w:rsid w:val="00B839DD"/>
    <w:rsid w:val="00B83B66"/>
    <w:rsid w:val="00B83C2C"/>
    <w:rsid w:val="00B83E1E"/>
    <w:rsid w:val="00B8413E"/>
    <w:rsid w:val="00B8419D"/>
    <w:rsid w:val="00B84201"/>
    <w:rsid w:val="00B845E5"/>
    <w:rsid w:val="00B846EF"/>
    <w:rsid w:val="00B848F2"/>
    <w:rsid w:val="00B849F1"/>
    <w:rsid w:val="00B849FB"/>
    <w:rsid w:val="00B84A27"/>
    <w:rsid w:val="00B84A31"/>
    <w:rsid w:val="00B84B72"/>
    <w:rsid w:val="00B84BF8"/>
    <w:rsid w:val="00B84C29"/>
    <w:rsid w:val="00B84FC0"/>
    <w:rsid w:val="00B851F7"/>
    <w:rsid w:val="00B85341"/>
    <w:rsid w:val="00B85443"/>
    <w:rsid w:val="00B855F0"/>
    <w:rsid w:val="00B8560C"/>
    <w:rsid w:val="00B85A6D"/>
    <w:rsid w:val="00B85A9E"/>
    <w:rsid w:val="00B85DE4"/>
    <w:rsid w:val="00B85F8F"/>
    <w:rsid w:val="00B86012"/>
    <w:rsid w:val="00B86026"/>
    <w:rsid w:val="00B86059"/>
    <w:rsid w:val="00B8613D"/>
    <w:rsid w:val="00B8640F"/>
    <w:rsid w:val="00B86624"/>
    <w:rsid w:val="00B86783"/>
    <w:rsid w:val="00B86A8D"/>
    <w:rsid w:val="00B86F7E"/>
    <w:rsid w:val="00B871A7"/>
    <w:rsid w:val="00B872E2"/>
    <w:rsid w:val="00B87391"/>
    <w:rsid w:val="00B87603"/>
    <w:rsid w:val="00B876ED"/>
    <w:rsid w:val="00B8792D"/>
    <w:rsid w:val="00B87949"/>
    <w:rsid w:val="00B87A05"/>
    <w:rsid w:val="00B87B58"/>
    <w:rsid w:val="00B87C1D"/>
    <w:rsid w:val="00B87E30"/>
    <w:rsid w:val="00B87F94"/>
    <w:rsid w:val="00B9001E"/>
    <w:rsid w:val="00B900D3"/>
    <w:rsid w:val="00B90188"/>
    <w:rsid w:val="00B9022A"/>
    <w:rsid w:val="00B90318"/>
    <w:rsid w:val="00B9044A"/>
    <w:rsid w:val="00B904CC"/>
    <w:rsid w:val="00B905E7"/>
    <w:rsid w:val="00B906D6"/>
    <w:rsid w:val="00B90856"/>
    <w:rsid w:val="00B90A3C"/>
    <w:rsid w:val="00B90D38"/>
    <w:rsid w:val="00B910F3"/>
    <w:rsid w:val="00B911A6"/>
    <w:rsid w:val="00B91252"/>
    <w:rsid w:val="00B912D9"/>
    <w:rsid w:val="00B913E8"/>
    <w:rsid w:val="00B913FC"/>
    <w:rsid w:val="00B91626"/>
    <w:rsid w:val="00B9195B"/>
    <w:rsid w:val="00B91AF6"/>
    <w:rsid w:val="00B91AFB"/>
    <w:rsid w:val="00B91B1F"/>
    <w:rsid w:val="00B91EDA"/>
    <w:rsid w:val="00B921A7"/>
    <w:rsid w:val="00B924ED"/>
    <w:rsid w:val="00B9254B"/>
    <w:rsid w:val="00B9259F"/>
    <w:rsid w:val="00B926EA"/>
    <w:rsid w:val="00B92741"/>
    <w:rsid w:val="00B92745"/>
    <w:rsid w:val="00B929A3"/>
    <w:rsid w:val="00B92A3D"/>
    <w:rsid w:val="00B92B86"/>
    <w:rsid w:val="00B92BDC"/>
    <w:rsid w:val="00B92D1E"/>
    <w:rsid w:val="00B92D96"/>
    <w:rsid w:val="00B92DC9"/>
    <w:rsid w:val="00B92DE5"/>
    <w:rsid w:val="00B931FB"/>
    <w:rsid w:val="00B93377"/>
    <w:rsid w:val="00B93413"/>
    <w:rsid w:val="00B93484"/>
    <w:rsid w:val="00B93503"/>
    <w:rsid w:val="00B93569"/>
    <w:rsid w:val="00B935BD"/>
    <w:rsid w:val="00B936D6"/>
    <w:rsid w:val="00B938B7"/>
    <w:rsid w:val="00B93966"/>
    <w:rsid w:val="00B93A73"/>
    <w:rsid w:val="00B93A7A"/>
    <w:rsid w:val="00B93D5D"/>
    <w:rsid w:val="00B93D96"/>
    <w:rsid w:val="00B93DF5"/>
    <w:rsid w:val="00B94205"/>
    <w:rsid w:val="00B94554"/>
    <w:rsid w:val="00B945C3"/>
    <w:rsid w:val="00B94690"/>
    <w:rsid w:val="00B9477C"/>
    <w:rsid w:val="00B9488F"/>
    <w:rsid w:val="00B94942"/>
    <w:rsid w:val="00B94AA6"/>
    <w:rsid w:val="00B94C14"/>
    <w:rsid w:val="00B94C4B"/>
    <w:rsid w:val="00B94DB3"/>
    <w:rsid w:val="00B94F97"/>
    <w:rsid w:val="00B9545D"/>
    <w:rsid w:val="00B95654"/>
    <w:rsid w:val="00B95686"/>
    <w:rsid w:val="00B956AC"/>
    <w:rsid w:val="00B95763"/>
    <w:rsid w:val="00B957BF"/>
    <w:rsid w:val="00B95C53"/>
    <w:rsid w:val="00B95E67"/>
    <w:rsid w:val="00B961DA"/>
    <w:rsid w:val="00B96266"/>
    <w:rsid w:val="00B96503"/>
    <w:rsid w:val="00B965A1"/>
    <w:rsid w:val="00B966F3"/>
    <w:rsid w:val="00B96767"/>
    <w:rsid w:val="00B96798"/>
    <w:rsid w:val="00B9679E"/>
    <w:rsid w:val="00B9688F"/>
    <w:rsid w:val="00B96B2A"/>
    <w:rsid w:val="00B96B48"/>
    <w:rsid w:val="00B97119"/>
    <w:rsid w:val="00B97195"/>
    <w:rsid w:val="00B9727E"/>
    <w:rsid w:val="00B9743E"/>
    <w:rsid w:val="00B97709"/>
    <w:rsid w:val="00B97777"/>
    <w:rsid w:val="00B9789D"/>
    <w:rsid w:val="00B979B2"/>
    <w:rsid w:val="00B979DD"/>
    <w:rsid w:val="00B97AD3"/>
    <w:rsid w:val="00B97AF6"/>
    <w:rsid w:val="00B97C1B"/>
    <w:rsid w:val="00B97E74"/>
    <w:rsid w:val="00B97EE2"/>
    <w:rsid w:val="00B97F18"/>
    <w:rsid w:val="00B97F2D"/>
    <w:rsid w:val="00B97FBA"/>
    <w:rsid w:val="00BA0077"/>
    <w:rsid w:val="00BA008B"/>
    <w:rsid w:val="00BA00F5"/>
    <w:rsid w:val="00BA0123"/>
    <w:rsid w:val="00BA04FD"/>
    <w:rsid w:val="00BA06ED"/>
    <w:rsid w:val="00BA0789"/>
    <w:rsid w:val="00BA0861"/>
    <w:rsid w:val="00BA090E"/>
    <w:rsid w:val="00BA0A67"/>
    <w:rsid w:val="00BA0B31"/>
    <w:rsid w:val="00BA0BD8"/>
    <w:rsid w:val="00BA0D36"/>
    <w:rsid w:val="00BA0D93"/>
    <w:rsid w:val="00BA0DC4"/>
    <w:rsid w:val="00BA0E99"/>
    <w:rsid w:val="00BA0FED"/>
    <w:rsid w:val="00BA1055"/>
    <w:rsid w:val="00BA10EB"/>
    <w:rsid w:val="00BA121C"/>
    <w:rsid w:val="00BA1325"/>
    <w:rsid w:val="00BA137E"/>
    <w:rsid w:val="00BA1B2E"/>
    <w:rsid w:val="00BA1B7D"/>
    <w:rsid w:val="00BA1C21"/>
    <w:rsid w:val="00BA1CB8"/>
    <w:rsid w:val="00BA200D"/>
    <w:rsid w:val="00BA2071"/>
    <w:rsid w:val="00BA20BB"/>
    <w:rsid w:val="00BA2105"/>
    <w:rsid w:val="00BA2163"/>
    <w:rsid w:val="00BA234B"/>
    <w:rsid w:val="00BA2668"/>
    <w:rsid w:val="00BA28A0"/>
    <w:rsid w:val="00BA28A7"/>
    <w:rsid w:val="00BA2C9A"/>
    <w:rsid w:val="00BA2C9C"/>
    <w:rsid w:val="00BA2E1A"/>
    <w:rsid w:val="00BA2E47"/>
    <w:rsid w:val="00BA2FA1"/>
    <w:rsid w:val="00BA3027"/>
    <w:rsid w:val="00BA319A"/>
    <w:rsid w:val="00BA3244"/>
    <w:rsid w:val="00BA3262"/>
    <w:rsid w:val="00BA33ED"/>
    <w:rsid w:val="00BA36A1"/>
    <w:rsid w:val="00BA3979"/>
    <w:rsid w:val="00BA39D8"/>
    <w:rsid w:val="00BA39E3"/>
    <w:rsid w:val="00BA39F7"/>
    <w:rsid w:val="00BA3BE5"/>
    <w:rsid w:val="00BA413F"/>
    <w:rsid w:val="00BA440F"/>
    <w:rsid w:val="00BA44AA"/>
    <w:rsid w:val="00BA475C"/>
    <w:rsid w:val="00BA4791"/>
    <w:rsid w:val="00BA4852"/>
    <w:rsid w:val="00BA4CD8"/>
    <w:rsid w:val="00BA4DBE"/>
    <w:rsid w:val="00BA4F2B"/>
    <w:rsid w:val="00BA5147"/>
    <w:rsid w:val="00BA51DD"/>
    <w:rsid w:val="00BA520F"/>
    <w:rsid w:val="00BA52B5"/>
    <w:rsid w:val="00BA5346"/>
    <w:rsid w:val="00BA5521"/>
    <w:rsid w:val="00BA5607"/>
    <w:rsid w:val="00BA5750"/>
    <w:rsid w:val="00BA5A02"/>
    <w:rsid w:val="00BA5C56"/>
    <w:rsid w:val="00BA5DFF"/>
    <w:rsid w:val="00BA5ECA"/>
    <w:rsid w:val="00BA5EE4"/>
    <w:rsid w:val="00BA5F3B"/>
    <w:rsid w:val="00BA600E"/>
    <w:rsid w:val="00BA6025"/>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935"/>
    <w:rsid w:val="00BB09DE"/>
    <w:rsid w:val="00BB0A1E"/>
    <w:rsid w:val="00BB0B3A"/>
    <w:rsid w:val="00BB0BF8"/>
    <w:rsid w:val="00BB0D69"/>
    <w:rsid w:val="00BB0F6E"/>
    <w:rsid w:val="00BB0FB0"/>
    <w:rsid w:val="00BB117D"/>
    <w:rsid w:val="00BB11A1"/>
    <w:rsid w:val="00BB13EE"/>
    <w:rsid w:val="00BB1589"/>
    <w:rsid w:val="00BB1670"/>
    <w:rsid w:val="00BB182D"/>
    <w:rsid w:val="00BB1B4B"/>
    <w:rsid w:val="00BB1FE3"/>
    <w:rsid w:val="00BB200C"/>
    <w:rsid w:val="00BB2053"/>
    <w:rsid w:val="00BB2113"/>
    <w:rsid w:val="00BB2177"/>
    <w:rsid w:val="00BB238A"/>
    <w:rsid w:val="00BB23F8"/>
    <w:rsid w:val="00BB2457"/>
    <w:rsid w:val="00BB27DB"/>
    <w:rsid w:val="00BB2B4B"/>
    <w:rsid w:val="00BB2BD9"/>
    <w:rsid w:val="00BB2D2F"/>
    <w:rsid w:val="00BB2F87"/>
    <w:rsid w:val="00BB2FB4"/>
    <w:rsid w:val="00BB31F4"/>
    <w:rsid w:val="00BB31F6"/>
    <w:rsid w:val="00BB3203"/>
    <w:rsid w:val="00BB325F"/>
    <w:rsid w:val="00BB3318"/>
    <w:rsid w:val="00BB33A5"/>
    <w:rsid w:val="00BB364E"/>
    <w:rsid w:val="00BB37B5"/>
    <w:rsid w:val="00BB3939"/>
    <w:rsid w:val="00BB3A79"/>
    <w:rsid w:val="00BB3E5F"/>
    <w:rsid w:val="00BB3F9A"/>
    <w:rsid w:val="00BB40AE"/>
    <w:rsid w:val="00BB40B6"/>
    <w:rsid w:val="00BB42CB"/>
    <w:rsid w:val="00BB44C9"/>
    <w:rsid w:val="00BB477E"/>
    <w:rsid w:val="00BB482C"/>
    <w:rsid w:val="00BB4944"/>
    <w:rsid w:val="00BB4BC3"/>
    <w:rsid w:val="00BB4C07"/>
    <w:rsid w:val="00BB4CDF"/>
    <w:rsid w:val="00BB4F67"/>
    <w:rsid w:val="00BB51A8"/>
    <w:rsid w:val="00BB55BF"/>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B74"/>
    <w:rsid w:val="00BB7CE6"/>
    <w:rsid w:val="00BB7D2E"/>
    <w:rsid w:val="00BB7D90"/>
    <w:rsid w:val="00BB7DD8"/>
    <w:rsid w:val="00BC0061"/>
    <w:rsid w:val="00BC00F1"/>
    <w:rsid w:val="00BC01C6"/>
    <w:rsid w:val="00BC02D9"/>
    <w:rsid w:val="00BC046A"/>
    <w:rsid w:val="00BC06CF"/>
    <w:rsid w:val="00BC082C"/>
    <w:rsid w:val="00BC082D"/>
    <w:rsid w:val="00BC0946"/>
    <w:rsid w:val="00BC0A1C"/>
    <w:rsid w:val="00BC0A1F"/>
    <w:rsid w:val="00BC0A2B"/>
    <w:rsid w:val="00BC0AF6"/>
    <w:rsid w:val="00BC0B37"/>
    <w:rsid w:val="00BC0C63"/>
    <w:rsid w:val="00BC0E1E"/>
    <w:rsid w:val="00BC0EAB"/>
    <w:rsid w:val="00BC0EFC"/>
    <w:rsid w:val="00BC0F9A"/>
    <w:rsid w:val="00BC0FE5"/>
    <w:rsid w:val="00BC155F"/>
    <w:rsid w:val="00BC17BC"/>
    <w:rsid w:val="00BC19A5"/>
    <w:rsid w:val="00BC1A2F"/>
    <w:rsid w:val="00BC1A6C"/>
    <w:rsid w:val="00BC1B69"/>
    <w:rsid w:val="00BC1C74"/>
    <w:rsid w:val="00BC2101"/>
    <w:rsid w:val="00BC2333"/>
    <w:rsid w:val="00BC2432"/>
    <w:rsid w:val="00BC2877"/>
    <w:rsid w:val="00BC2A1E"/>
    <w:rsid w:val="00BC2EE4"/>
    <w:rsid w:val="00BC2F06"/>
    <w:rsid w:val="00BC3012"/>
    <w:rsid w:val="00BC3233"/>
    <w:rsid w:val="00BC3301"/>
    <w:rsid w:val="00BC3309"/>
    <w:rsid w:val="00BC34DB"/>
    <w:rsid w:val="00BC351B"/>
    <w:rsid w:val="00BC3644"/>
    <w:rsid w:val="00BC3701"/>
    <w:rsid w:val="00BC3A03"/>
    <w:rsid w:val="00BC3CA6"/>
    <w:rsid w:val="00BC3DFC"/>
    <w:rsid w:val="00BC3E10"/>
    <w:rsid w:val="00BC415C"/>
    <w:rsid w:val="00BC47E8"/>
    <w:rsid w:val="00BC481C"/>
    <w:rsid w:val="00BC49DA"/>
    <w:rsid w:val="00BC4B34"/>
    <w:rsid w:val="00BC4B3C"/>
    <w:rsid w:val="00BC4E2A"/>
    <w:rsid w:val="00BC510B"/>
    <w:rsid w:val="00BC510E"/>
    <w:rsid w:val="00BC535B"/>
    <w:rsid w:val="00BC5370"/>
    <w:rsid w:val="00BC5499"/>
    <w:rsid w:val="00BC5540"/>
    <w:rsid w:val="00BC55C7"/>
    <w:rsid w:val="00BC59CA"/>
    <w:rsid w:val="00BC5A2D"/>
    <w:rsid w:val="00BC5D59"/>
    <w:rsid w:val="00BC5EE3"/>
    <w:rsid w:val="00BC5EEA"/>
    <w:rsid w:val="00BC5F85"/>
    <w:rsid w:val="00BC60C6"/>
    <w:rsid w:val="00BC6132"/>
    <w:rsid w:val="00BC615D"/>
    <w:rsid w:val="00BC63A5"/>
    <w:rsid w:val="00BC654A"/>
    <w:rsid w:val="00BC6573"/>
    <w:rsid w:val="00BC670A"/>
    <w:rsid w:val="00BC6716"/>
    <w:rsid w:val="00BC67D6"/>
    <w:rsid w:val="00BC6DD7"/>
    <w:rsid w:val="00BC6F19"/>
    <w:rsid w:val="00BC6FC4"/>
    <w:rsid w:val="00BC71A9"/>
    <w:rsid w:val="00BC7475"/>
    <w:rsid w:val="00BC754A"/>
    <w:rsid w:val="00BC7627"/>
    <w:rsid w:val="00BC7846"/>
    <w:rsid w:val="00BC791E"/>
    <w:rsid w:val="00BC79A8"/>
    <w:rsid w:val="00BC7A81"/>
    <w:rsid w:val="00BC7AE9"/>
    <w:rsid w:val="00BC7C99"/>
    <w:rsid w:val="00BC7CCC"/>
    <w:rsid w:val="00BD000F"/>
    <w:rsid w:val="00BD00E5"/>
    <w:rsid w:val="00BD0319"/>
    <w:rsid w:val="00BD052B"/>
    <w:rsid w:val="00BD081A"/>
    <w:rsid w:val="00BD0B62"/>
    <w:rsid w:val="00BD0EC6"/>
    <w:rsid w:val="00BD0F9B"/>
    <w:rsid w:val="00BD0FF6"/>
    <w:rsid w:val="00BD10C3"/>
    <w:rsid w:val="00BD1170"/>
    <w:rsid w:val="00BD117C"/>
    <w:rsid w:val="00BD11B3"/>
    <w:rsid w:val="00BD152C"/>
    <w:rsid w:val="00BD1631"/>
    <w:rsid w:val="00BD172B"/>
    <w:rsid w:val="00BD1775"/>
    <w:rsid w:val="00BD17B0"/>
    <w:rsid w:val="00BD1ADF"/>
    <w:rsid w:val="00BD1C20"/>
    <w:rsid w:val="00BD1D65"/>
    <w:rsid w:val="00BD1D88"/>
    <w:rsid w:val="00BD1E5C"/>
    <w:rsid w:val="00BD2014"/>
    <w:rsid w:val="00BD2087"/>
    <w:rsid w:val="00BD2133"/>
    <w:rsid w:val="00BD2215"/>
    <w:rsid w:val="00BD23EE"/>
    <w:rsid w:val="00BD2527"/>
    <w:rsid w:val="00BD2696"/>
    <w:rsid w:val="00BD2AC5"/>
    <w:rsid w:val="00BD2AD5"/>
    <w:rsid w:val="00BD2D8B"/>
    <w:rsid w:val="00BD2DFD"/>
    <w:rsid w:val="00BD355A"/>
    <w:rsid w:val="00BD359D"/>
    <w:rsid w:val="00BD3B1D"/>
    <w:rsid w:val="00BD3C23"/>
    <w:rsid w:val="00BD3CE0"/>
    <w:rsid w:val="00BD3F52"/>
    <w:rsid w:val="00BD3FA9"/>
    <w:rsid w:val="00BD4047"/>
    <w:rsid w:val="00BD40F4"/>
    <w:rsid w:val="00BD411A"/>
    <w:rsid w:val="00BD42CE"/>
    <w:rsid w:val="00BD433C"/>
    <w:rsid w:val="00BD451A"/>
    <w:rsid w:val="00BD4520"/>
    <w:rsid w:val="00BD48B8"/>
    <w:rsid w:val="00BD4A41"/>
    <w:rsid w:val="00BD4B47"/>
    <w:rsid w:val="00BD5207"/>
    <w:rsid w:val="00BD522B"/>
    <w:rsid w:val="00BD53D0"/>
    <w:rsid w:val="00BD56F3"/>
    <w:rsid w:val="00BD58DB"/>
    <w:rsid w:val="00BD599C"/>
    <w:rsid w:val="00BD5A24"/>
    <w:rsid w:val="00BD5A3E"/>
    <w:rsid w:val="00BD5A72"/>
    <w:rsid w:val="00BD5B86"/>
    <w:rsid w:val="00BD5BCC"/>
    <w:rsid w:val="00BD5EA0"/>
    <w:rsid w:val="00BD5F97"/>
    <w:rsid w:val="00BD5FDA"/>
    <w:rsid w:val="00BD60AB"/>
    <w:rsid w:val="00BD60E0"/>
    <w:rsid w:val="00BD60FD"/>
    <w:rsid w:val="00BD6145"/>
    <w:rsid w:val="00BD6296"/>
    <w:rsid w:val="00BD62D6"/>
    <w:rsid w:val="00BD641B"/>
    <w:rsid w:val="00BD6769"/>
    <w:rsid w:val="00BD67BB"/>
    <w:rsid w:val="00BD68D0"/>
    <w:rsid w:val="00BD6A49"/>
    <w:rsid w:val="00BD6A52"/>
    <w:rsid w:val="00BD6C6D"/>
    <w:rsid w:val="00BD6DF2"/>
    <w:rsid w:val="00BD6F2A"/>
    <w:rsid w:val="00BD704D"/>
    <w:rsid w:val="00BD70B6"/>
    <w:rsid w:val="00BD716D"/>
    <w:rsid w:val="00BD7170"/>
    <w:rsid w:val="00BD71DF"/>
    <w:rsid w:val="00BD736C"/>
    <w:rsid w:val="00BD746B"/>
    <w:rsid w:val="00BD74DF"/>
    <w:rsid w:val="00BD7739"/>
    <w:rsid w:val="00BD7877"/>
    <w:rsid w:val="00BD787C"/>
    <w:rsid w:val="00BD78A2"/>
    <w:rsid w:val="00BD7918"/>
    <w:rsid w:val="00BD79EE"/>
    <w:rsid w:val="00BD7B58"/>
    <w:rsid w:val="00BD7C74"/>
    <w:rsid w:val="00BD7EE4"/>
    <w:rsid w:val="00BD7F19"/>
    <w:rsid w:val="00BD7F60"/>
    <w:rsid w:val="00BD7F61"/>
    <w:rsid w:val="00BD7F6D"/>
    <w:rsid w:val="00BD7FCA"/>
    <w:rsid w:val="00BE0025"/>
    <w:rsid w:val="00BE02C9"/>
    <w:rsid w:val="00BE03A6"/>
    <w:rsid w:val="00BE042C"/>
    <w:rsid w:val="00BE04B0"/>
    <w:rsid w:val="00BE04C6"/>
    <w:rsid w:val="00BE052A"/>
    <w:rsid w:val="00BE06B0"/>
    <w:rsid w:val="00BE07FF"/>
    <w:rsid w:val="00BE0923"/>
    <w:rsid w:val="00BE0A26"/>
    <w:rsid w:val="00BE0A7F"/>
    <w:rsid w:val="00BE0D59"/>
    <w:rsid w:val="00BE0D6F"/>
    <w:rsid w:val="00BE0F30"/>
    <w:rsid w:val="00BE10B4"/>
    <w:rsid w:val="00BE1145"/>
    <w:rsid w:val="00BE13A4"/>
    <w:rsid w:val="00BE1499"/>
    <w:rsid w:val="00BE1753"/>
    <w:rsid w:val="00BE1823"/>
    <w:rsid w:val="00BE1A40"/>
    <w:rsid w:val="00BE1AFE"/>
    <w:rsid w:val="00BE1C46"/>
    <w:rsid w:val="00BE1D03"/>
    <w:rsid w:val="00BE1D6D"/>
    <w:rsid w:val="00BE20B9"/>
    <w:rsid w:val="00BE2358"/>
    <w:rsid w:val="00BE2414"/>
    <w:rsid w:val="00BE2615"/>
    <w:rsid w:val="00BE2B5F"/>
    <w:rsid w:val="00BE2B62"/>
    <w:rsid w:val="00BE2C31"/>
    <w:rsid w:val="00BE2D83"/>
    <w:rsid w:val="00BE2E84"/>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8DE"/>
    <w:rsid w:val="00BE4910"/>
    <w:rsid w:val="00BE4C10"/>
    <w:rsid w:val="00BE4C5C"/>
    <w:rsid w:val="00BE4C90"/>
    <w:rsid w:val="00BE4C9C"/>
    <w:rsid w:val="00BE4D2F"/>
    <w:rsid w:val="00BE4E03"/>
    <w:rsid w:val="00BE4EC4"/>
    <w:rsid w:val="00BE4EF6"/>
    <w:rsid w:val="00BE50BB"/>
    <w:rsid w:val="00BE5212"/>
    <w:rsid w:val="00BE52C5"/>
    <w:rsid w:val="00BE539D"/>
    <w:rsid w:val="00BE53C3"/>
    <w:rsid w:val="00BE5646"/>
    <w:rsid w:val="00BE57B0"/>
    <w:rsid w:val="00BE59EA"/>
    <w:rsid w:val="00BE5D41"/>
    <w:rsid w:val="00BE5E19"/>
    <w:rsid w:val="00BE60E1"/>
    <w:rsid w:val="00BE61D9"/>
    <w:rsid w:val="00BE6253"/>
    <w:rsid w:val="00BE6315"/>
    <w:rsid w:val="00BE64BF"/>
    <w:rsid w:val="00BE64C9"/>
    <w:rsid w:val="00BE659E"/>
    <w:rsid w:val="00BE68C5"/>
    <w:rsid w:val="00BE6BB2"/>
    <w:rsid w:val="00BE6C99"/>
    <w:rsid w:val="00BE6DB3"/>
    <w:rsid w:val="00BE6DBA"/>
    <w:rsid w:val="00BE6E1B"/>
    <w:rsid w:val="00BE6EB4"/>
    <w:rsid w:val="00BE6EF0"/>
    <w:rsid w:val="00BE6EF5"/>
    <w:rsid w:val="00BE6FC2"/>
    <w:rsid w:val="00BE6FEB"/>
    <w:rsid w:val="00BE702E"/>
    <w:rsid w:val="00BE730D"/>
    <w:rsid w:val="00BE75F8"/>
    <w:rsid w:val="00BE78BB"/>
    <w:rsid w:val="00BE795D"/>
    <w:rsid w:val="00BE7C46"/>
    <w:rsid w:val="00BE7F58"/>
    <w:rsid w:val="00BF02B6"/>
    <w:rsid w:val="00BF067C"/>
    <w:rsid w:val="00BF0A58"/>
    <w:rsid w:val="00BF0AF6"/>
    <w:rsid w:val="00BF0C53"/>
    <w:rsid w:val="00BF0D6E"/>
    <w:rsid w:val="00BF0F3E"/>
    <w:rsid w:val="00BF125F"/>
    <w:rsid w:val="00BF1565"/>
    <w:rsid w:val="00BF172D"/>
    <w:rsid w:val="00BF1793"/>
    <w:rsid w:val="00BF1821"/>
    <w:rsid w:val="00BF19B9"/>
    <w:rsid w:val="00BF1A37"/>
    <w:rsid w:val="00BF1A7D"/>
    <w:rsid w:val="00BF1B4B"/>
    <w:rsid w:val="00BF1BB9"/>
    <w:rsid w:val="00BF1BEE"/>
    <w:rsid w:val="00BF1C14"/>
    <w:rsid w:val="00BF1DEF"/>
    <w:rsid w:val="00BF1EAC"/>
    <w:rsid w:val="00BF1F80"/>
    <w:rsid w:val="00BF20E2"/>
    <w:rsid w:val="00BF230B"/>
    <w:rsid w:val="00BF2543"/>
    <w:rsid w:val="00BF2817"/>
    <w:rsid w:val="00BF2A4B"/>
    <w:rsid w:val="00BF31B9"/>
    <w:rsid w:val="00BF32DE"/>
    <w:rsid w:val="00BF34AF"/>
    <w:rsid w:val="00BF34B1"/>
    <w:rsid w:val="00BF34F9"/>
    <w:rsid w:val="00BF3747"/>
    <w:rsid w:val="00BF37DC"/>
    <w:rsid w:val="00BF38B2"/>
    <w:rsid w:val="00BF39BB"/>
    <w:rsid w:val="00BF3D1C"/>
    <w:rsid w:val="00BF3D62"/>
    <w:rsid w:val="00BF3DEF"/>
    <w:rsid w:val="00BF3E6C"/>
    <w:rsid w:val="00BF3EF8"/>
    <w:rsid w:val="00BF4050"/>
    <w:rsid w:val="00BF4143"/>
    <w:rsid w:val="00BF42FE"/>
    <w:rsid w:val="00BF443D"/>
    <w:rsid w:val="00BF4606"/>
    <w:rsid w:val="00BF47DA"/>
    <w:rsid w:val="00BF4827"/>
    <w:rsid w:val="00BF4841"/>
    <w:rsid w:val="00BF4AC5"/>
    <w:rsid w:val="00BF4AF7"/>
    <w:rsid w:val="00BF4CEF"/>
    <w:rsid w:val="00BF4D4E"/>
    <w:rsid w:val="00BF4E38"/>
    <w:rsid w:val="00BF4E7E"/>
    <w:rsid w:val="00BF4ECA"/>
    <w:rsid w:val="00BF5008"/>
    <w:rsid w:val="00BF51F9"/>
    <w:rsid w:val="00BF52AA"/>
    <w:rsid w:val="00BF539E"/>
    <w:rsid w:val="00BF5408"/>
    <w:rsid w:val="00BF574F"/>
    <w:rsid w:val="00BF57C4"/>
    <w:rsid w:val="00BF5868"/>
    <w:rsid w:val="00BF5B2C"/>
    <w:rsid w:val="00BF5C8A"/>
    <w:rsid w:val="00BF5CEC"/>
    <w:rsid w:val="00BF5D19"/>
    <w:rsid w:val="00BF5D23"/>
    <w:rsid w:val="00BF5F14"/>
    <w:rsid w:val="00BF5FF5"/>
    <w:rsid w:val="00BF6065"/>
    <w:rsid w:val="00BF6277"/>
    <w:rsid w:val="00BF64B7"/>
    <w:rsid w:val="00BF654C"/>
    <w:rsid w:val="00BF687A"/>
    <w:rsid w:val="00BF68B3"/>
    <w:rsid w:val="00BF68BE"/>
    <w:rsid w:val="00BF69B4"/>
    <w:rsid w:val="00BF6A65"/>
    <w:rsid w:val="00BF6B46"/>
    <w:rsid w:val="00BF6D40"/>
    <w:rsid w:val="00BF7049"/>
    <w:rsid w:val="00BF713D"/>
    <w:rsid w:val="00BF73C3"/>
    <w:rsid w:val="00BF73F6"/>
    <w:rsid w:val="00BF750F"/>
    <w:rsid w:val="00BF7580"/>
    <w:rsid w:val="00BF75D0"/>
    <w:rsid w:val="00BF762E"/>
    <w:rsid w:val="00BF76B6"/>
    <w:rsid w:val="00BF791F"/>
    <w:rsid w:val="00BF797D"/>
    <w:rsid w:val="00BF7B53"/>
    <w:rsid w:val="00BF7D9F"/>
    <w:rsid w:val="00BF7DBD"/>
    <w:rsid w:val="00C00277"/>
    <w:rsid w:val="00C00843"/>
    <w:rsid w:val="00C00923"/>
    <w:rsid w:val="00C00C50"/>
    <w:rsid w:val="00C00DBD"/>
    <w:rsid w:val="00C011FB"/>
    <w:rsid w:val="00C01240"/>
    <w:rsid w:val="00C0150E"/>
    <w:rsid w:val="00C0180A"/>
    <w:rsid w:val="00C01890"/>
    <w:rsid w:val="00C01B11"/>
    <w:rsid w:val="00C01B18"/>
    <w:rsid w:val="00C01C40"/>
    <w:rsid w:val="00C01D0F"/>
    <w:rsid w:val="00C01D74"/>
    <w:rsid w:val="00C01F4A"/>
    <w:rsid w:val="00C02250"/>
    <w:rsid w:val="00C025E7"/>
    <w:rsid w:val="00C028C1"/>
    <w:rsid w:val="00C0291F"/>
    <w:rsid w:val="00C02CE2"/>
    <w:rsid w:val="00C02E8A"/>
    <w:rsid w:val="00C02F46"/>
    <w:rsid w:val="00C02FCB"/>
    <w:rsid w:val="00C02FE0"/>
    <w:rsid w:val="00C03043"/>
    <w:rsid w:val="00C033E0"/>
    <w:rsid w:val="00C03477"/>
    <w:rsid w:val="00C03522"/>
    <w:rsid w:val="00C036B6"/>
    <w:rsid w:val="00C0394D"/>
    <w:rsid w:val="00C039D3"/>
    <w:rsid w:val="00C03B5C"/>
    <w:rsid w:val="00C03BAA"/>
    <w:rsid w:val="00C03BC1"/>
    <w:rsid w:val="00C03D05"/>
    <w:rsid w:val="00C03E8D"/>
    <w:rsid w:val="00C03FCF"/>
    <w:rsid w:val="00C04067"/>
    <w:rsid w:val="00C040D7"/>
    <w:rsid w:val="00C041CF"/>
    <w:rsid w:val="00C0433B"/>
    <w:rsid w:val="00C0438C"/>
    <w:rsid w:val="00C04440"/>
    <w:rsid w:val="00C04444"/>
    <w:rsid w:val="00C044C8"/>
    <w:rsid w:val="00C047B9"/>
    <w:rsid w:val="00C048C3"/>
    <w:rsid w:val="00C04ACD"/>
    <w:rsid w:val="00C04AD3"/>
    <w:rsid w:val="00C04B0B"/>
    <w:rsid w:val="00C04D75"/>
    <w:rsid w:val="00C04E6F"/>
    <w:rsid w:val="00C04F2C"/>
    <w:rsid w:val="00C05035"/>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C83"/>
    <w:rsid w:val="00C05D88"/>
    <w:rsid w:val="00C05DA7"/>
    <w:rsid w:val="00C05FEB"/>
    <w:rsid w:val="00C06491"/>
    <w:rsid w:val="00C06516"/>
    <w:rsid w:val="00C06582"/>
    <w:rsid w:val="00C065F6"/>
    <w:rsid w:val="00C06661"/>
    <w:rsid w:val="00C0673A"/>
    <w:rsid w:val="00C069A0"/>
    <w:rsid w:val="00C06A81"/>
    <w:rsid w:val="00C06AD2"/>
    <w:rsid w:val="00C06AEC"/>
    <w:rsid w:val="00C06D55"/>
    <w:rsid w:val="00C06DF3"/>
    <w:rsid w:val="00C06FC3"/>
    <w:rsid w:val="00C07182"/>
    <w:rsid w:val="00C07326"/>
    <w:rsid w:val="00C074AC"/>
    <w:rsid w:val="00C074BC"/>
    <w:rsid w:val="00C075C2"/>
    <w:rsid w:val="00C076B3"/>
    <w:rsid w:val="00C07702"/>
    <w:rsid w:val="00C0775B"/>
    <w:rsid w:val="00C0783F"/>
    <w:rsid w:val="00C078CA"/>
    <w:rsid w:val="00C0791E"/>
    <w:rsid w:val="00C07BF9"/>
    <w:rsid w:val="00C07E5B"/>
    <w:rsid w:val="00C07F29"/>
    <w:rsid w:val="00C07FF5"/>
    <w:rsid w:val="00C10428"/>
    <w:rsid w:val="00C104B0"/>
    <w:rsid w:val="00C10557"/>
    <w:rsid w:val="00C107F3"/>
    <w:rsid w:val="00C10800"/>
    <w:rsid w:val="00C109EE"/>
    <w:rsid w:val="00C10D32"/>
    <w:rsid w:val="00C10E52"/>
    <w:rsid w:val="00C111D2"/>
    <w:rsid w:val="00C114D8"/>
    <w:rsid w:val="00C116D4"/>
    <w:rsid w:val="00C117F7"/>
    <w:rsid w:val="00C11D63"/>
    <w:rsid w:val="00C11EED"/>
    <w:rsid w:val="00C120EB"/>
    <w:rsid w:val="00C12238"/>
    <w:rsid w:val="00C12541"/>
    <w:rsid w:val="00C125C4"/>
    <w:rsid w:val="00C12616"/>
    <w:rsid w:val="00C126D3"/>
    <w:rsid w:val="00C128A1"/>
    <w:rsid w:val="00C1295F"/>
    <w:rsid w:val="00C12A2E"/>
    <w:rsid w:val="00C12A76"/>
    <w:rsid w:val="00C12C45"/>
    <w:rsid w:val="00C12EC2"/>
    <w:rsid w:val="00C13128"/>
    <w:rsid w:val="00C1328D"/>
    <w:rsid w:val="00C13291"/>
    <w:rsid w:val="00C134FA"/>
    <w:rsid w:val="00C13522"/>
    <w:rsid w:val="00C13817"/>
    <w:rsid w:val="00C13870"/>
    <w:rsid w:val="00C13CB3"/>
    <w:rsid w:val="00C13DC6"/>
    <w:rsid w:val="00C13DDC"/>
    <w:rsid w:val="00C13DED"/>
    <w:rsid w:val="00C14267"/>
    <w:rsid w:val="00C142A5"/>
    <w:rsid w:val="00C14773"/>
    <w:rsid w:val="00C147FF"/>
    <w:rsid w:val="00C14962"/>
    <w:rsid w:val="00C14984"/>
    <w:rsid w:val="00C14BEA"/>
    <w:rsid w:val="00C14D1B"/>
    <w:rsid w:val="00C14FC7"/>
    <w:rsid w:val="00C15459"/>
    <w:rsid w:val="00C1557C"/>
    <w:rsid w:val="00C15580"/>
    <w:rsid w:val="00C155B2"/>
    <w:rsid w:val="00C15699"/>
    <w:rsid w:val="00C15708"/>
    <w:rsid w:val="00C1571A"/>
    <w:rsid w:val="00C157AE"/>
    <w:rsid w:val="00C157B0"/>
    <w:rsid w:val="00C15815"/>
    <w:rsid w:val="00C1597E"/>
    <w:rsid w:val="00C1599C"/>
    <w:rsid w:val="00C15A35"/>
    <w:rsid w:val="00C15BDB"/>
    <w:rsid w:val="00C15CAC"/>
    <w:rsid w:val="00C15DC1"/>
    <w:rsid w:val="00C15DDD"/>
    <w:rsid w:val="00C15F73"/>
    <w:rsid w:val="00C160BD"/>
    <w:rsid w:val="00C160FF"/>
    <w:rsid w:val="00C1627B"/>
    <w:rsid w:val="00C1630E"/>
    <w:rsid w:val="00C16368"/>
    <w:rsid w:val="00C16604"/>
    <w:rsid w:val="00C1661E"/>
    <w:rsid w:val="00C16710"/>
    <w:rsid w:val="00C16BE9"/>
    <w:rsid w:val="00C16CDC"/>
    <w:rsid w:val="00C16D94"/>
    <w:rsid w:val="00C16FCD"/>
    <w:rsid w:val="00C170B1"/>
    <w:rsid w:val="00C170DB"/>
    <w:rsid w:val="00C170E9"/>
    <w:rsid w:val="00C170EA"/>
    <w:rsid w:val="00C17171"/>
    <w:rsid w:val="00C172D3"/>
    <w:rsid w:val="00C17417"/>
    <w:rsid w:val="00C174F2"/>
    <w:rsid w:val="00C175C9"/>
    <w:rsid w:val="00C177BC"/>
    <w:rsid w:val="00C177C0"/>
    <w:rsid w:val="00C177CF"/>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0F0D"/>
    <w:rsid w:val="00C21615"/>
    <w:rsid w:val="00C21783"/>
    <w:rsid w:val="00C2192D"/>
    <w:rsid w:val="00C21A5D"/>
    <w:rsid w:val="00C21B3C"/>
    <w:rsid w:val="00C21C5D"/>
    <w:rsid w:val="00C21D7A"/>
    <w:rsid w:val="00C21FB5"/>
    <w:rsid w:val="00C220E6"/>
    <w:rsid w:val="00C22104"/>
    <w:rsid w:val="00C22336"/>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47"/>
    <w:rsid w:val="00C235A0"/>
    <w:rsid w:val="00C238D0"/>
    <w:rsid w:val="00C23958"/>
    <w:rsid w:val="00C23996"/>
    <w:rsid w:val="00C23A1A"/>
    <w:rsid w:val="00C23A34"/>
    <w:rsid w:val="00C23F38"/>
    <w:rsid w:val="00C23F72"/>
    <w:rsid w:val="00C24032"/>
    <w:rsid w:val="00C24187"/>
    <w:rsid w:val="00C241B8"/>
    <w:rsid w:val="00C2424B"/>
    <w:rsid w:val="00C245EA"/>
    <w:rsid w:val="00C2466D"/>
    <w:rsid w:val="00C24836"/>
    <w:rsid w:val="00C24AC1"/>
    <w:rsid w:val="00C24B2E"/>
    <w:rsid w:val="00C24B8F"/>
    <w:rsid w:val="00C2514F"/>
    <w:rsid w:val="00C2524D"/>
    <w:rsid w:val="00C25783"/>
    <w:rsid w:val="00C25784"/>
    <w:rsid w:val="00C2584C"/>
    <w:rsid w:val="00C25A62"/>
    <w:rsid w:val="00C25A68"/>
    <w:rsid w:val="00C25BD9"/>
    <w:rsid w:val="00C25D03"/>
    <w:rsid w:val="00C25E96"/>
    <w:rsid w:val="00C25EC6"/>
    <w:rsid w:val="00C25F37"/>
    <w:rsid w:val="00C260B2"/>
    <w:rsid w:val="00C263FA"/>
    <w:rsid w:val="00C263FC"/>
    <w:rsid w:val="00C266F4"/>
    <w:rsid w:val="00C267FF"/>
    <w:rsid w:val="00C26803"/>
    <w:rsid w:val="00C268C1"/>
    <w:rsid w:val="00C2695E"/>
    <w:rsid w:val="00C269EB"/>
    <w:rsid w:val="00C26A0E"/>
    <w:rsid w:val="00C26B54"/>
    <w:rsid w:val="00C26BD1"/>
    <w:rsid w:val="00C26CC2"/>
    <w:rsid w:val="00C26DBF"/>
    <w:rsid w:val="00C26E7D"/>
    <w:rsid w:val="00C26F8E"/>
    <w:rsid w:val="00C2700F"/>
    <w:rsid w:val="00C27013"/>
    <w:rsid w:val="00C270E6"/>
    <w:rsid w:val="00C272AE"/>
    <w:rsid w:val="00C27430"/>
    <w:rsid w:val="00C27639"/>
    <w:rsid w:val="00C2778B"/>
    <w:rsid w:val="00C27819"/>
    <w:rsid w:val="00C27A84"/>
    <w:rsid w:val="00C27AB6"/>
    <w:rsid w:val="00C27B48"/>
    <w:rsid w:val="00C27E01"/>
    <w:rsid w:val="00C27E9B"/>
    <w:rsid w:val="00C27EAB"/>
    <w:rsid w:val="00C27EB7"/>
    <w:rsid w:val="00C30184"/>
    <w:rsid w:val="00C30212"/>
    <w:rsid w:val="00C305ED"/>
    <w:rsid w:val="00C3072C"/>
    <w:rsid w:val="00C30831"/>
    <w:rsid w:val="00C30AA4"/>
    <w:rsid w:val="00C30CC3"/>
    <w:rsid w:val="00C30DB1"/>
    <w:rsid w:val="00C30E85"/>
    <w:rsid w:val="00C30E9D"/>
    <w:rsid w:val="00C30F4F"/>
    <w:rsid w:val="00C30F50"/>
    <w:rsid w:val="00C30FA3"/>
    <w:rsid w:val="00C311AF"/>
    <w:rsid w:val="00C311EB"/>
    <w:rsid w:val="00C316DA"/>
    <w:rsid w:val="00C31946"/>
    <w:rsid w:val="00C31B75"/>
    <w:rsid w:val="00C31F12"/>
    <w:rsid w:val="00C31FD3"/>
    <w:rsid w:val="00C32470"/>
    <w:rsid w:val="00C3250E"/>
    <w:rsid w:val="00C32539"/>
    <w:rsid w:val="00C32836"/>
    <w:rsid w:val="00C32A0D"/>
    <w:rsid w:val="00C32A86"/>
    <w:rsid w:val="00C32BFB"/>
    <w:rsid w:val="00C32CAF"/>
    <w:rsid w:val="00C32DE8"/>
    <w:rsid w:val="00C32E65"/>
    <w:rsid w:val="00C32FD0"/>
    <w:rsid w:val="00C33132"/>
    <w:rsid w:val="00C33335"/>
    <w:rsid w:val="00C334EA"/>
    <w:rsid w:val="00C33572"/>
    <w:rsid w:val="00C33579"/>
    <w:rsid w:val="00C335BD"/>
    <w:rsid w:val="00C33866"/>
    <w:rsid w:val="00C33991"/>
    <w:rsid w:val="00C346B5"/>
    <w:rsid w:val="00C348A3"/>
    <w:rsid w:val="00C34968"/>
    <w:rsid w:val="00C349E2"/>
    <w:rsid w:val="00C34CE6"/>
    <w:rsid w:val="00C34D39"/>
    <w:rsid w:val="00C34F71"/>
    <w:rsid w:val="00C35603"/>
    <w:rsid w:val="00C35611"/>
    <w:rsid w:val="00C356D4"/>
    <w:rsid w:val="00C35764"/>
    <w:rsid w:val="00C357E4"/>
    <w:rsid w:val="00C358EA"/>
    <w:rsid w:val="00C3591D"/>
    <w:rsid w:val="00C35957"/>
    <w:rsid w:val="00C35958"/>
    <w:rsid w:val="00C359AF"/>
    <w:rsid w:val="00C35C6C"/>
    <w:rsid w:val="00C35D32"/>
    <w:rsid w:val="00C35FA3"/>
    <w:rsid w:val="00C36343"/>
    <w:rsid w:val="00C363AB"/>
    <w:rsid w:val="00C36535"/>
    <w:rsid w:val="00C368E7"/>
    <w:rsid w:val="00C36AF2"/>
    <w:rsid w:val="00C36B46"/>
    <w:rsid w:val="00C36B4B"/>
    <w:rsid w:val="00C36C1E"/>
    <w:rsid w:val="00C36CAB"/>
    <w:rsid w:val="00C36D8A"/>
    <w:rsid w:val="00C36DA2"/>
    <w:rsid w:val="00C36F75"/>
    <w:rsid w:val="00C37064"/>
    <w:rsid w:val="00C372A7"/>
    <w:rsid w:val="00C3753E"/>
    <w:rsid w:val="00C37595"/>
    <w:rsid w:val="00C375CF"/>
    <w:rsid w:val="00C37727"/>
    <w:rsid w:val="00C3783C"/>
    <w:rsid w:val="00C379AF"/>
    <w:rsid w:val="00C37B63"/>
    <w:rsid w:val="00C37C4B"/>
    <w:rsid w:val="00C37C88"/>
    <w:rsid w:val="00C37D63"/>
    <w:rsid w:val="00C4025B"/>
    <w:rsid w:val="00C4028A"/>
    <w:rsid w:val="00C402E0"/>
    <w:rsid w:val="00C4054B"/>
    <w:rsid w:val="00C406EC"/>
    <w:rsid w:val="00C40954"/>
    <w:rsid w:val="00C4097E"/>
    <w:rsid w:val="00C40ADD"/>
    <w:rsid w:val="00C40BA6"/>
    <w:rsid w:val="00C40BD9"/>
    <w:rsid w:val="00C40DD4"/>
    <w:rsid w:val="00C411C2"/>
    <w:rsid w:val="00C412A9"/>
    <w:rsid w:val="00C41418"/>
    <w:rsid w:val="00C414D3"/>
    <w:rsid w:val="00C416BF"/>
    <w:rsid w:val="00C41ACD"/>
    <w:rsid w:val="00C41B54"/>
    <w:rsid w:val="00C41C22"/>
    <w:rsid w:val="00C41DF8"/>
    <w:rsid w:val="00C41F30"/>
    <w:rsid w:val="00C42096"/>
    <w:rsid w:val="00C420F9"/>
    <w:rsid w:val="00C421B7"/>
    <w:rsid w:val="00C423D7"/>
    <w:rsid w:val="00C4280B"/>
    <w:rsid w:val="00C42AEA"/>
    <w:rsid w:val="00C42B6D"/>
    <w:rsid w:val="00C42EB5"/>
    <w:rsid w:val="00C42EF2"/>
    <w:rsid w:val="00C42F73"/>
    <w:rsid w:val="00C4308A"/>
    <w:rsid w:val="00C4317F"/>
    <w:rsid w:val="00C43190"/>
    <w:rsid w:val="00C431F8"/>
    <w:rsid w:val="00C432D2"/>
    <w:rsid w:val="00C43522"/>
    <w:rsid w:val="00C435EE"/>
    <w:rsid w:val="00C43815"/>
    <w:rsid w:val="00C4384C"/>
    <w:rsid w:val="00C43B43"/>
    <w:rsid w:val="00C43D4D"/>
    <w:rsid w:val="00C43E8E"/>
    <w:rsid w:val="00C4400B"/>
    <w:rsid w:val="00C44273"/>
    <w:rsid w:val="00C4430D"/>
    <w:rsid w:val="00C4463E"/>
    <w:rsid w:val="00C44907"/>
    <w:rsid w:val="00C44B12"/>
    <w:rsid w:val="00C44DA4"/>
    <w:rsid w:val="00C44E38"/>
    <w:rsid w:val="00C44F06"/>
    <w:rsid w:val="00C45033"/>
    <w:rsid w:val="00C4503F"/>
    <w:rsid w:val="00C450CB"/>
    <w:rsid w:val="00C451C7"/>
    <w:rsid w:val="00C45365"/>
    <w:rsid w:val="00C45660"/>
    <w:rsid w:val="00C457A0"/>
    <w:rsid w:val="00C458FC"/>
    <w:rsid w:val="00C45916"/>
    <w:rsid w:val="00C45980"/>
    <w:rsid w:val="00C45BF0"/>
    <w:rsid w:val="00C45C2A"/>
    <w:rsid w:val="00C45D64"/>
    <w:rsid w:val="00C45E88"/>
    <w:rsid w:val="00C45F32"/>
    <w:rsid w:val="00C4641B"/>
    <w:rsid w:val="00C4674B"/>
    <w:rsid w:val="00C4692D"/>
    <w:rsid w:val="00C46995"/>
    <w:rsid w:val="00C469A7"/>
    <w:rsid w:val="00C46B54"/>
    <w:rsid w:val="00C46D0D"/>
    <w:rsid w:val="00C46F7C"/>
    <w:rsid w:val="00C46FF5"/>
    <w:rsid w:val="00C47043"/>
    <w:rsid w:val="00C472A0"/>
    <w:rsid w:val="00C47446"/>
    <w:rsid w:val="00C474BF"/>
    <w:rsid w:val="00C47A38"/>
    <w:rsid w:val="00C47B8D"/>
    <w:rsid w:val="00C47CD1"/>
    <w:rsid w:val="00C47EE8"/>
    <w:rsid w:val="00C47F4D"/>
    <w:rsid w:val="00C500F4"/>
    <w:rsid w:val="00C501BD"/>
    <w:rsid w:val="00C50327"/>
    <w:rsid w:val="00C5035A"/>
    <w:rsid w:val="00C5040A"/>
    <w:rsid w:val="00C506DF"/>
    <w:rsid w:val="00C5070C"/>
    <w:rsid w:val="00C50756"/>
    <w:rsid w:val="00C50BA9"/>
    <w:rsid w:val="00C50BF5"/>
    <w:rsid w:val="00C50D82"/>
    <w:rsid w:val="00C50F81"/>
    <w:rsid w:val="00C50F95"/>
    <w:rsid w:val="00C51020"/>
    <w:rsid w:val="00C51081"/>
    <w:rsid w:val="00C510F1"/>
    <w:rsid w:val="00C51331"/>
    <w:rsid w:val="00C5149A"/>
    <w:rsid w:val="00C51705"/>
    <w:rsid w:val="00C517E9"/>
    <w:rsid w:val="00C517F3"/>
    <w:rsid w:val="00C51F5A"/>
    <w:rsid w:val="00C5201D"/>
    <w:rsid w:val="00C520A8"/>
    <w:rsid w:val="00C520FB"/>
    <w:rsid w:val="00C52432"/>
    <w:rsid w:val="00C524C2"/>
    <w:rsid w:val="00C52507"/>
    <w:rsid w:val="00C52651"/>
    <w:rsid w:val="00C527A6"/>
    <w:rsid w:val="00C5289E"/>
    <w:rsid w:val="00C529A2"/>
    <w:rsid w:val="00C529C2"/>
    <w:rsid w:val="00C52A62"/>
    <w:rsid w:val="00C52CDE"/>
    <w:rsid w:val="00C52CE3"/>
    <w:rsid w:val="00C52ECE"/>
    <w:rsid w:val="00C5310D"/>
    <w:rsid w:val="00C53112"/>
    <w:rsid w:val="00C53201"/>
    <w:rsid w:val="00C53268"/>
    <w:rsid w:val="00C532ED"/>
    <w:rsid w:val="00C53316"/>
    <w:rsid w:val="00C53509"/>
    <w:rsid w:val="00C53640"/>
    <w:rsid w:val="00C538E6"/>
    <w:rsid w:val="00C53A40"/>
    <w:rsid w:val="00C53B4D"/>
    <w:rsid w:val="00C53D36"/>
    <w:rsid w:val="00C53D78"/>
    <w:rsid w:val="00C53DCA"/>
    <w:rsid w:val="00C53EFD"/>
    <w:rsid w:val="00C5445A"/>
    <w:rsid w:val="00C5448F"/>
    <w:rsid w:val="00C544C6"/>
    <w:rsid w:val="00C544C8"/>
    <w:rsid w:val="00C5459F"/>
    <w:rsid w:val="00C54899"/>
    <w:rsid w:val="00C54997"/>
    <w:rsid w:val="00C54A0A"/>
    <w:rsid w:val="00C54C53"/>
    <w:rsid w:val="00C54CD2"/>
    <w:rsid w:val="00C54CDD"/>
    <w:rsid w:val="00C54D17"/>
    <w:rsid w:val="00C55196"/>
    <w:rsid w:val="00C55370"/>
    <w:rsid w:val="00C55624"/>
    <w:rsid w:val="00C556F2"/>
    <w:rsid w:val="00C55890"/>
    <w:rsid w:val="00C55984"/>
    <w:rsid w:val="00C55A2D"/>
    <w:rsid w:val="00C55B75"/>
    <w:rsid w:val="00C55BF8"/>
    <w:rsid w:val="00C55CAF"/>
    <w:rsid w:val="00C55CEE"/>
    <w:rsid w:val="00C55DCC"/>
    <w:rsid w:val="00C5600F"/>
    <w:rsid w:val="00C56043"/>
    <w:rsid w:val="00C563D6"/>
    <w:rsid w:val="00C5644A"/>
    <w:rsid w:val="00C56863"/>
    <w:rsid w:val="00C568AF"/>
    <w:rsid w:val="00C568E5"/>
    <w:rsid w:val="00C569C9"/>
    <w:rsid w:val="00C56ABE"/>
    <w:rsid w:val="00C56B66"/>
    <w:rsid w:val="00C56BD7"/>
    <w:rsid w:val="00C56CAC"/>
    <w:rsid w:val="00C56D1C"/>
    <w:rsid w:val="00C56E37"/>
    <w:rsid w:val="00C56FB9"/>
    <w:rsid w:val="00C57088"/>
    <w:rsid w:val="00C57274"/>
    <w:rsid w:val="00C57320"/>
    <w:rsid w:val="00C5739C"/>
    <w:rsid w:val="00C574BC"/>
    <w:rsid w:val="00C57534"/>
    <w:rsid w:val="00C575BE"/>
    <w:rsid w:val="00C57680"/>
    <w:rsid w:val="00C57913"/>
    <w:rsid w:val="00C57A3F"/>
    <w:rsid w:val="00C57CF7"/>
    <w:rsid w:val="00C57D0F"/>
    <w:rsid w:val="00C57EA0"/>
    <w:rsid w:val="00C57F7D"/>
    <w:rsid w:val="00C57FD0"/>
    <w:rsid w:val="00C601B8"/>
    <w:rsid w:val="00C6025E"/>
    <w:rsid w:val="00C603C8"/>
    <w:rsid w:val="00C60433"/>
    <w:rsid w:val="00C606FF"/>
    <w:rsid w:val="00C60780"/>
    <w:rsid w:val="00C60817"/>
    <w:rsid w:val="00C60994"/>
    <w:rsid w:val="00C609B9"/>
    <w:rsid w:val="00C60AA4"/>
    <w:rsid w:val="00C60F79"/>
    <w:rsid w:val="00C611BA"/>
    <w:rsid w:val="00C616BC"/>
    <w:rsid w:val="00C6177A"/>
    <w:rsid w:val="00C6193B"/>
    <w:rsid w:val="00C61AB4"/>
    <w:rsid w:val="00C61B46"/>
    <w:rsid w:val="00C61EC7"/>
    <w:rsid w:val="00C61F32"/>
    <w:rsid w:val="00C620DC"/>
    <w:rsid w:val="00C62120"/>
    <w:rsid w:val="00C621D5"/>
    <w:rsid w:val="00C621ED"/>
    <w:rsid w:val="00C621F4"/>
    <w:rsid w:val="00C62211"/>
    <w:rsid w:val="00C622C2"/>
    <w:rsid w:val="00C624AA"/>
    <w:rsid w:val="00C624C3"/>
    <w:rsid w:val="00C6260A"/>
    <w:rsid w:val="00C62824"/>
    <w:rsid w:val="00C629A9"/>
    <w:rsid w:val="00C62AE6"/>
    <w:rsid w:val="00C62C16"/>
    <w:rsid w:val="00C62C59"/>
    <w:rsid w:val="00C62CCB"/>
    <w:rsid w:val="00C63022"/>
    <w:rsid w:val="00C630A9"/>
    <w:rsid w:val="00C631B4"/>
    <w:rsid w:val="00C63208"/>
    <w:rsid w:val="00C63363"/>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B07"/>
    <w:rsid w:val="00C64E8D"/>
    <w:rsid w:val="00C64EC6"/>
    <w:rsid w:val="00C65089"/>
    <w:rsid w:val="00C652CD"/>
    <w:rsid w:val="00C6531C"/>
    <w:rsid w:val="00C65491"/>
    <w:rsid w:val="00C655D0"/>
    <w:rsid w:val="00C65894"/>
    <w:rsid w:val="00C65B2B"/>
    <w:rsid w:val="00C65B48"/>
    <w:rsid w:val="00C65CCF"/>
    <w:rsid w:val="00C65D22"/>
    <w:rsid w:val="00C65EAE"/>
    <w:rsid w:val="00C66092"/>
    <w:rsid w:val="00C6645B"/>
    <w:rsid w:val="00C6679E"/>
    <w:rsid w:val="00C667A2"/>
    <w:rsid w:val="00C667FF"/>
    <w:rsid w:val="00C6694B"/>
    <w:rsid w:val="00C66A20"/>
    <w:rsid w:val="00C66B25"/>
    <w:rsid w:val="00C66B99"/>
    <w:rsid w:val="00C66EE8"/>
    <w:rsid w:val="00C66F39"/>
    <w:rsid w:val="00C67100"/>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4D"/>
    <w:rsid w:val="00C710B5"/>
    <w:rsid w:val="00C7118D"/>
    <w:rsid w:val="00C71195"/>
    <w:rsid w:val="00C7134B"/>
    <w:rsid w:val="00C7155F"/>
    <w:rsid w:val="00C71605"/>
    <w:rsid w:val="00C71A6D"/>
    <w:rsid w:val="00C71C72"/>
    <w:rsid w:val="00C71D87"/>
    <w:rsid w:val="00C71E21"/>
    <w:rsid w:val="00C7228E"/>
    <w:rsid w:val="00C7240F"/>
    <w:rsid w:val="00C727B5"/>
    <w:rsid w:val="00C72893"/>
    <w:rsid w:val="00C72B71"/>
    <w:rsid w:val="00C72C64"/>
    <w:rsid w:val="00C72E42"/>
    <w:rsid w:val="00C72F3D"/>
    <w:rsid w:val="00C730CA"/>
    <w:rsid w:val="00C732F8"/>
    <w:rsid w:val="00C7337A"/>
    <w:rsid w:val="00C734EB"/>
    <w:rsid w:val="00C73607"/>
    <w:rsid w:val="00C7372B"/>
    <w:rsid w:val="00C739D7"/>
    <w:rsid w:val="00C73A78"/>
    <w:rsid w:val="00C73B88"/>
    <w:rsid w:val="00C73BC0"/>
    <w:rsid w:val="00C73BC1"/>
    <w:rsid w:val="00C73D56"/>
    <w:rsid w:val="00C74056"/>
    <w:rsid w:val="00C74112"/>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11"/>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0C4"/>
    <w:rsid w:val="00C7724C"/>
    <w:rsid w:val="00C77281"/>
    <w:rsid w:val="00C77308"/>
    <w:rsid w:val="00C7742D"/>
    <w:rsid w:val="00C77490"/>
    <w:rsid w:val="00C7755C"/>
    <w:rsid w:val="00C77957"/>
    <w:rsid w:val="00C77CBE"/>
    <w:rsid w:val="00C77DE8"/>
    <w:rsid w:val="00C77FC2"/>
    <w:rsid w:val="00C80102"/>
    <w:rsid w:val="00C80163"/>
    <w:rsid w:val="00C801FF"/>
    <w:rsid w:val="00C80201"/>
    <w:rsid w:val="00C80373"/>
    <w:rsid w:val="00C8039C"/>
    <w:rsid w:val="00C80625"/>
    <w:rsid w:val="00C807A2"/>
    <w:rsid w:val="00C80A90"/>
    <w:rsid w:val="00C80AF7"/>
    <w:rsid w:val="00C80C33"/>
    <w:rsid w:val="00C80D0C"/>
    <w:rsid w:val="00C80E60"/>
    <w:rsid w:val="00C80E7B"/>
    <w:rsid w:val="00C80EEC"/>
    <w:rsid w:val="00C810B5"/>
    <w:rsid w:val="00C8128D"/>
    <w:rsid w:val="00C812C0"/>
    <w:rsid w:val="00C814D1"/>
    <w:rsid w:val="00C81C9F"/>
    <w:rsid w:val="00C81D03"/>
    <w:rsid w:val="00C82166"/>
    <w:rsid w:val="00C822D2"/>
    <w:rsid w:val="00C8246B"/>
    <w:rsid w:val="00C82932"/>
    <w:rsid w:val="00C82C18"/>
    <w:rsid w:val="00C82C2F"/>
    <w:rsid w:val="00C82CF9"/>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A4D"/>
    <w:rsid w:val="00C85B63"/>
    <w:rsid w:val="00C85C57"/>
    <w:rsid w:val="00C85EF2"/>
    <w:rsid w:val="00C85F29"/>
    <w:rsid w:val="00C86022"/>
    <w:rsid w:val="00C862EF"/>
    <w:rsid w:val="00C8643A"/>
    <w:rsid w:val="00C867FE"/>
    <w:rsid w:val="00C86A72"/>
    <w:rsid w:val="00C86C97"/>
    <w:rsid w:val="00C86E6C"/>
    <w:rsid w:val="00C8701B"/>
    <w:rsid w:val="00C870D8"/>
    <w:rsid w:val="00C87301"/>
    <w:rsid w:val="00C8753D"/>
    <w:rsid w:val="00C875A2"/>
    <w:rsid w:val="00C87700"/>
    <w:rsid w:val="00C87878"/>
    <w:rsid w:val="00C879CF"/>
    <w:rsid w:val="00C87B00"/>
    <w:rsid w:val="00C87B3D"/>
    <w:rsid w:val="00C87ED7"/>
    <w:rsid w:val="00C87F93"/>
    <w:rsid w:val="00C9024C"/>
    <w:rsid w:val="00C903AF"/>
    <w:rsid w:val="00C90463"/>
    <w:rsid w:val="00C904F1"/>
    <w:rsid w:val="00C90660"/>
    <w:rsid w:val="00C906A1"/>
    <w:rsid w:val="00C90751"/>
    <w:rsid w:val="00C90801"/>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33B"/>
    <w:rsid w:val="00C9164F"/>
    <w:rsid w:val="00C91B04"/>
    <w:rsid w:val="00C91C16"/>
    <w:rsid w:val="00C91E3B"/>
    <w:rsid w:val="00C91F96"/>
    <w:rsid w:val="00C92158"/>
    <w:rsid w:val="00C921DE"/>
    <w:rsid w:val="00C92271"/>
    <w:rsid w:val="00C924A4"/>
    <w:rsid w:val="00C925B4"/>
    <w:rsid w:val="00C9270F"/>
    <w:rsid w:val="00C927FE"/>
    <w:rsid w:val="00C928C2"/>
    <w:rsid w:val="00C92A36"/>
    <w:rsid w:val="00C92C80"/>
    <w:rsid w:val="00C92FDA"/>
    <w:rsid w:val="00C93210"/>
    <w:rsid w:val="00C935B3"/>
    <w:rsid w:val="00C938D5"/>
    <w:rsid w:val="00C9398B"/>
    <w:rsid w:val="00C93A24"/>
    <w:rsid w:val="00C93B8B"/>
    <w:rsid w:val="00C93D0B"/>
    <w:rsid w:val="00C93E0C"/>
    <w:rsid w:val="00C93F9F"/>
    <w:rsid w:val="00C94385"/>
    <w:rsid w:val="00C9442C"/>
    <w:rsid w:val="00C94567"/>
    <w:rsid w:val="00C94677"/>
    <w:rsid w:val="00C94691"/>
    <w:rsid w:val="00C94741"/>
    <w:rsid w:val="00C94817"/>
    <w:rsid w:val="00C94AE8"/>
    <w:rsid w:val="00C94CF1"/>
    <w:rsid w:val="00C94D63"/>
    <w:rsid w:val="00C94FDC"/>
    <w:rsid w:val="00C951D4"/>
    <w:rsid w:val="00C9540E"/>
    <w:rsid w:val="00C95525"/>
    <w:rsid w:val="00C9552E"/>
    <w:rsid w:val="00C95541"/>
    <w:rsid w:val="00C9569A"/>
    <w:rsid w:val="00C957D0"/>
    <w:rsid w:val="00C9596D"/>
    <w:rsid w:val="00C9597C"/>
    <w:rsid w:val="00C95A0B"/>
    <w:rsid w:val="00C95CAF"/>
    <w:rsid w:val="00C95D18"/>
    <w:rsid w:val="00C95E9F"/>
    <w:rsid w:val="00C960BB"/>
    <w:rsid w:val="00C960BD"/>
    <w:rsid w:val="00C960D6"/>
    <w:rsid w:val="00C9627E"/>
    <w:rsid w:val="00C966CE"/>
    <w:rsid w:val="00C967A1"/>
    <w:rsid w:val="00C967BD"/>
    <w:rsid w:val="00C967FF"/>
    <w:rsid w:val="00C969E0"/>
    <w:rsid w:val="00C96A29"/>
    <w:rsid w:val="00C96A70"/>
    <w:rsid w:val="00C96A95"/>
    <w:rsid w:val="00C96AEE"/>
    <w:rsid w:val="00C96E08"/>
    <w:rsid w:val="00C96F0B"/>
    <w:rsid w:val="00C972C1"/>
    <w:rsid w:val="00C9730F"/>
    <w:rsid w:val="00C97698"/>
    <w:rsid w:val="00C9778F"/>
    <w:rsid w:val="00C97939"/>
    <w:rsid w:val="00C9796A"/>
    <w:rsid w:val="00C97978"/>
    <w:rsid w:val="00C97AC1"/>
    <w:rsid w:val="00C97B88"/>
    <w:rsid w:val="00C97E7F"/>
    <w:rsid w:val="00C97EEE"/>
    <w:rsid w:val="00CA00AD"/>
    <w:rsid w:val="00CA01FE"/>
    <w:rsid w:val="00CA0243"/>
    <w:rsid w:val="00CA02BC"/>
    <w:rsid w:val="00CA043E"/>
    <w:rsid w:val="00CA0552"/>
    <w:rsid w:val="00CA06E8"/>
    <w:rsid w:val="00CA0872"/>
    <w:rsid w:val="00CA0910"/>
    <w:rsid w:val="00CA095F"/>
    <w:rsid w:val="00CA0A2E"/>
    <w:rsid w:val="00CA0A49"/>
    <w:rsid w:val="00CA0B08"/>
    <w:rsid w:val="00CA0DA9"/>
    <w:rsid w:val="00CA0DE2"/>
    <w:rsid w:val="00CA0DEC"/>
    <w:rsid w:val="00CA0FA8"/>
    <w:rsid w:val="00CA1553"/>
    <w:rsid w:val="00CA16EC"/>
    <w:rsid w:val="00CA171D"/>
    <w:rsid w:val="00CA1B18"/>
    <w:rsid w:val="00CA1B6C"/>
    <w:rsid w:val="00CA1BF7"/>
    <w:rsid w:val="00CA1FC6"/>
    <w:rsid w:val="00CA23A0"/>
    <w:rsid w:val="00CA2789"/>
    <w:rsid w:val="00CA278A"/>
    <w:rsid w:val="00CA2832"/>
    <w:rsid w:val="00CA294B"/>
    <w:rsid w:val="00CA2A65"/>
    <w:rsid w:val="00CA2C7B"/>
    <w:rsid w:val="00CA3088"/>
    <w:rsid w:val="00CA3290"/>
    <w:rsid w:val="00CA3292"/>
    <w:rsid w:val="00CA346B"/>
    <w:rsid w:val="00CA360A"/>
    <w:rsid w:val="00CA368C"/>
    <w:rsid w:val="00CA377C"/>
    <w:rsid w:val="00CA38D3"/>
    <w:rsid w:val="00CA3B10"/>
    <w:rsid w:val="00CA3B7C"/>
    <w:rsid w:val="00CA3C08"/>
    <w:rsid w:val="00CA3C48"/>
    <w:rsid w:val="00CA3F42"/>
    <w:rsid w:val="00CA3FBC"/>
    <w:rsid w:val="00CA3FC6"/>
    <w:rsid w:val="00CA4052"/>
    <w:rsid w:val="00CA40E2"/>
    <w:rsid w:val="00CA413F"/>
    <w:rsid w:val="00CA41C3"/>
    <w:rsid w:val="00CA4314"/>
    <w:rsid w:val="00CA435B"/>
    <w:rsid w:val="00CA4573"/>
    <w:rsid w:val="00CA4658"/>
    <w:rsid w:val="00CA47D1"/>
    <w:rsid w:val="00CA481D"/>
    <w:rsid w:val="00CA488A"/>
    <w:rsid w:val="00CA5007"/>
    <w:rsid w:val="00CA50CA"/>
    <w:rsid w:val="00CA536D"/>
    <w:rsid w:val="00CA5723"/>
    <w:rsid w:val="00CA5781"/>
    <w:rsid w:val="00CA5A01"/>
    <w:rsid w:val="00CA5A07"/>
    <w:rsid w:val="00CA5B31"/>
    <w:rsid w:val="00CA5BC2"/>
    <w:rsid w:val="00CA5BE9"/>
    <w:rsid w:val="00CA5BF1"/>
    <w:rsid w:val="00CA5C4E"/>
    <w:rsid w:val="00CA5C97"/>
    <w:rsid w:val="00CA5CF4"/>
    <w:rsid w:val="00CA5E8B"/>
    <w:rsid w:val="00CA61B8"/>
    <w:rsid w:val="00CA63B2"/>
    <w:rsid w:val="00CA645C"/>
    <w:rsid w:val="00CA685F"/>
    <w:rsid w:val="00CA694A"/>
    <w:rsid w:val="00CA6955"/>
    <w:rsid w:val="00CA69C4"/>
    <w:rsid w:val="00CA6D88"/>
    <w:rsid w:val="00CA6F99"/>
    <w:rsid w:val="00CA6F9C"/>
    <w:rsid w:val="00CA72E1"/>
    <w:rsid w:val="00CA7397"/>
    <w:rsid w:val="00CA748B"/>
    <w:rsid w:val="00CA781C"/>
    <w:rsid w:val="00CA7912"/>
    <w:rsid w:val="00CA799F"/>
    <w:rsid w:val="00CA7A39"/>
    <w:rsid w:val="00CA7A3A"/>
    <w:rsid w:val="00CA7A64"/>
    <w:rsid w:val="00CA7A75"/>
    <w:rsid w:val="00CA7A8E"/>
    <w:rsid w:val="00CA7B86"/>
    <w:rsid w:val="00CA7BCC"/>
    <w:rsid w:val="00CA7C76"/>
    <w:rsid w:val="00CA7E54"/>
    <w:rsid w:val="00CA7F15"/>
    <w:rsid w:val="00CA7F51"/>
    <w:rsid w:val="00CB0129"/>
    <w:rsid w:val="00CB0157"/>
    <w:rsid w:val="00CB046F"/>
    <w:rsid w:val="00CB0504"/>
    <w:rsid w:val="00CB0687"/>
    <w:rsid w:val="00CB083E"/>
    <w:rsid w:val="00CB09EB"/>
    <w:rsid w:val="00CB0C83"/>
    <w:rsid w:val="00CB0CBC"/>
    <w:rsid w:val="00CB0D2B"/>
    <w:rsid w:val="00CB0FDE"/>
    <w:rsid w:val="00CB101F"/>
    <w:rsid w:val="00CB1152"/>
    <w:rsid w:val="00CB1360"/>
    <w:rsid w:val="00CB13F8"/>
    <w:rsid w:val="00CB1644"/>
    <w:rsid w:val="00CB1AA7"/>
    <w:rsid w:val="00CB1CD1"/>
    <w:rsid w:val="00CB1CE6"/>
    <w:rsid w:val="00CB1CEF"/>
    <w:rsid w:val="00CB1F34"/>
    <w:rsid w:val="00CB203A"/>
    <w:rsid w:val="00CB2209"/>
    <w:rsid w:val="00CB23EC"/>
    <w:rsid w:val="00CB24A7"/>
    <w:rsid w:val="00CB25FA"/>
    <w:rsid w:val="00CB276B"/>
    <w:rsid w:val="00CB27E4"/>
    <w:rsid w:val="00CB28C1"/>
    <w:rsid w:val="00CB294A"/>
    <w:rsid w:val="00CB2A62"/>
    <w:rsid w:val="00CB2B6D"/>
    <w:rsid w:val="00CB2B95"/>
    <w:rsid w:val="00CB2CF9"/>
    <w:rsid w:val="00CB30C9"/>
    <w:rsid w:val="00CB30F9"/>
    <w:rsid w:val="00CB3269"/>
    <w:rsid w:val="00CB330D"/>
    <w:rsid w:val="00CB3347"/>
    <w:rsid w:val="00CB34E2"/>
    <w:rsid w:val="00CB355D"/>
    <w:rsid w:val="00CB356A"/>
    <w:rsid w:val="00CB3707"/>
    <w:rsid w:val="00CB37E9"/>
    <w:rsid w:val="00CB385E"/>
    <w:rsid w:val="00CB3912"/>
    <w:rsid w:val="00CB3A39"/>
    <w:rsid w:val="00CB3D4F"/>
    <w:rsid w:val="00CB3FC3"/>
    <w:rsid w:val="00CB3FF3"/>
    <w:rsid w:val="00CB4067"/>
    <w:rsid w:val="00CB42C2"/>
    <w:rsid w:val="00CB42F5"/>
    <w:rsid w:val="00CB43F9"/>
    <w:rsid w:val="00CB45FA"/>
    <w:rsid w:val="00CB4A5F"/>
    <w:rsid w:val="00CB4B13"/>
    <w:rsid w:val="00CB4B3A"/>
    <w:rsid w:val="00CB4BE6"/>
    <w:rsid w:val="00CB4C2E"/>
    <w:rsid w:val="00CB4D20"/>
    <w:rsid w:val="00CB4DC3"/>
    <w:rsid w:val="00CB4E16"/>
    <w:rsid w:val="00CB4EF2"/>
    <w:rsid w:val="00CB50C3"/>
    <w:rsid w:val="00CB514B"/>
    <w:rsid w:val="00CB5199"/>
    <w:rsid w:val="00CB51C3"/>
    <w:rsid w:val="00CB5212"/>
    <w:rsid w:val="00CB54A9"/>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BE2"/>
    <w:rsid w:val="00CB6C7F"/>
    <w:rsid w:val="00CB6C85"/>
    <w:rsid w:val="00CB6C97"/>
    <w:rsid w:val="00CB6F82"/>
    <w:rsid w:val="00CB70EB"/>
    <w:rsid w:val="00CB71A8"/>
    <w:rsid w:val="00CB73D0"/>
    <w:rsid w:val="00CB74F1"/>
    <w:rsid w:val="00CB7609"/>
    <w:rsid w:val="00CB7719"/>
    <w:rsid w:val="00CB7853"/>
    <w:rsid w:val="00CB7935"/>
    <w:rsid w:val="00CB7B5A"/>
    <w:rsid w:val="00CB7C11"/>
    <w:rsid w:val="00CB7DE4"/>
    <w:rsid w:val="00CC003F"/>
    <w:rsid w:val="00CC00C1"/>
    <w:rsid w:val="00CC0190"/>
    <w:rsid w:val="00CC0211"/>
    <w:rsid w:val="00CC021A"/>
    <w:rsid w:val="00CC0320"/>
    <w:rsid w:val="00CC040D"/>
    <w:rsid w:val="00CC060F"/>
    <w:rsid w:val="00CC0676"/>
    <w:rsid w:val="00CC07AC"/>
    <w:rsid w:val="00CC0950"/>
    <w:rsid w:val="00CC0998"/>
    <w:rsid w:val="00CC0A14"/>
    <w:rsid w:val="00CC0B63"/>
    <w:rsid w:val="00CC0BA9"/>
    <w:rsid w:val="00CC0C3E"/>
    <w:rsid w:val="00CC0E4D"/>
    <w:rsid w:val="00CC0ECA"/>
    <w:rsid w:val="00CC0FF0"/>
    <w:rsid w:val="00CC1443"/>
    <w:rsid w:val="00CC165F"/>
    <w:rsid w:val="00CC171A"/>
    <w:rsid w:val="00CC176B"/>
    <w:rsid w:val="00CC1983"/>
    <w:rsid w:val="00CC1A7F"/>
    <w:rsid w:val="00CC1C21"/>
    <w:rsid w:val="00CC1E95"/>
    <w:rsid w:val="00CC1E99"/>
    <w:rsid w:val="00CC22F0"/>
    <w:rsid w:val="00CC24B6"/>
    <w:rsid w:val="00CC2785"/>
    <w:rsid w:val="00CC2A9D"/>
    <w:rsid w:val="00CC2C71"/>
    <w:rsid w:val="00CC2CA1"/>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0E"/>
    <w:rsid w:val="00CC4797"/>
    <w:rsid w:val="00CC49C8"/>
    <w:rsid w:val="00CC4AA5"/>
    <w:rsid w:val="00CC4CD7"/>
    <w:rsid w:val="00CC4E21"/>
    <w:rsid w:val="00CC4F98"/>
    <w:rsid w:val="00CC4FC9"/>
    <w:rsid w:val="00CC503E"/>
    <w:rsid w:val="00CC513E"/>
    <w:rsid w:val="00CC51A8"/>
    <w:rsid w:val="00CC5275"/>
    <w:rsid w:val="00CC5431"/>
    <w:rsid w:val="00CC5710"/>
    <w:rsid w:val="00CC577B"/>
    <w:rsid w:val="00CC5A8C"/>
    <w:rsid w:val="00CC5BE3"/>
    <w:rsid w:val="00CC5CE6"/>
    <w:rsid w:val="00CC5D66"/>
    <w:rsid w:val="00CC5D6A"/>
    <w:rsid w:val="00CC5F17"/>
    <w:rsid w:val="00CC60AE"/>
    <w:rsid w:val="00CC6208"/>
    <w:rsid w:val="00CC62A2"/>
    <w:rsid w:val="00CC64F3"/>
    <w:rsid w:val="00CC653C"/>
    <w:rsid w:val="00CC6754"/>
    <w:rsid w:val="00CC69DA"/>
    <w:rsid w:val="00CC6B15"/>
    <w:rsid w:val="00CC6B6E"/>
    <w:rsid w:val="00CC6C1C"/>
    <w:rsid w:val="00CC722F"/>
    <w:rsid w:val="00CC72A2"/>
    <w:rsid w:val="00CC736E"/>
    <w:rsid w:val="00CC7376"/>
    <w:rsid w:val="00CC757F"/>
    <w:rsid w:val="00CC782E"/>
    <w:rsid w:val="00CC789D"/>
    <w:rsid w:val="00CC79A1"/>
    <w:rsid w:val="00CC79D3"/>
    <w:rsid w:val="00CC7A8B"/>
    <w:rsid w:val="00CC7B35"/>
    <w:rsid w:val="00CC7D33"/>
    <w:rsid w:val="00CC7D62"/>
    <w:rsid w:val="00CC7F2E"/>
    <w:rsid w:val="00CC7F41"/>
    <w:rsid w:val="00CD004E"/>
    <w:rsid w:val="00CD038B"/>
    <w:rsid w:val="00CD04D2"/>
    <w:rsid w:val="00CD0588"/>
    <w:rsid w:val="00CD0637"/>
    <w:rsid w:val="00CD06ED"/>
    <w:rsid w:val="00CD0706"/>
    <w:rsid w:val="00CD08DC"/>
    <w:rsid w:val="00CD090D"/>
    <w:rsid w:val="00CD094F"/>
    <w:rsid w:val="00CD09DF"/>
    <w:rsid w:val="00CD0B04"/>
    <w:rsid w:val="00CD0B13"/>
    <w:rsid w:val="00CD0CAE"/>
    <w:rsid w:val="00CD0D23"/>
    <w:rsid w:val="00CD0D86"/>
    <w:rsid w:val="00CD0EFA"/>
    <w:rsid w:val="00CD0F7F"/>
    <w:rsid w:val="00CD0F87"/>
    <w:rsid w:val="00CD100E"/>
    <w:rsid w:val="00CD122C"/>
    <w:rsid w:val="00CD128C"/>
    <w:rsid w:val="00CD12FE"/>
    <w:rsid w:val="00CD135E"/>
    <w:rsid w:val="00CD13DD"/>
    <w:rsid w:val="00CD1601"/>
    <w:rsid w:val="00CD1750"/>
    <w:rsid w:val="00CD1854"/>
    <w:rsid w:val="00CD18FC"/>
    <w:rsid w:val="00CD19C3"/>
    <w:rsid w:val="00CD1B20"/>
    <w:rsid w:val="00CD1C39"/>
    <w:rsid w:val="00CD1E57"/>
    <w:rsid w:val="00CD1F4B"/>
    <w:rsid w:val="00CD1FB8"/>
    <w:rsid w:val="00CD2399"/>
    <w:rsid w:val="00CD2698"/>
    <w:rsid w:val="00CD27A2"/>
    <w:rsid w:val="00CD281C"/>
    <w:rsid w:val="00CD2BA1"/>
    <w:rsid w:val="00CD2D31"/>
    <w:rsid w:val="00CD3229"/>
    <w:rsid w:val="00CD3250"/>
    <w:rsid w:val="00CD3430"/>
    <w:rsid w:val="00CD35DD"/>
    <w:rsid w:val="00CD36E8"/>
    <w:rsid w:val="00CD372F"/>
    <w:rsid w:val="00CD3775"/>
    <w:rsid w:val="00CD3AC9"/>
    <w:rsid w:val="00CD3B42"/>
    <w:rsid w:val="00CD3CA1"/>
    <w:rsid w:val="00CD3D77"/>
    <w:rsid w:val="00CD3E0A"/>
    <w:rsid w:val="00CD3F75"/>
    <w:rsid w:val="00CD4290"/>
    <w:rsid w:val="00CD42E2"/>
    <w:rsid w:val="00CD4327"/>
    <w:rsid w:val="00CD4732"/>
    <w:rsid w:val="00CD48E9"/>
    <w:rsid w:val="00CD4A70"/>
    <w:rsid w:val="00CD4AAC"/>
    <w:rsid w:val="00CD4CD2"/>
    <w:rsid w:val="00CD4D34"/>
    <w:rsid w:val="00CD4E5F"/>
    <w:rsid w:val="00CD4E84"/>
    <w:rsid w:val="00CD5417"/>
    <w:rsid w:val="00CD556F"/>
    <w:rsid w:val="00CD55E8"/>
    <w:rsid w:val="00CD563D"/>
    <w:rsid w:val="00CD585E"/>
    <w:rsid w:val="00CD5DE6"/>
    <w:rsid w:val="00CD5E06"/>
    <w:rsid w:val="00CD605D"/>
    <w:rsid w:val="00CD61E6"/>
    <w:rsid w:val="00CD62A9"/>
    <w:rsid w:val="00CD6345"/>
    <w:rsid w:val="00CD63FF"/>
    <w:rsid w:val="00CD655F"/>
    <w:rsid w:val="00CD6673"/>
    <w:rsid w:val="00CD6797"/>
    <w:rsid w:val="00CD684D"/>
    <w:rsid w:val="00CD68F4"/>
    <w:rsid w:val="00CD6910"/>
    <w:rsid w:val="00CD6AAC"/>
    <w:rsid w:val="00CD6B81"/>
    <w:rsid w:val="00CD6FA9"/>
    <w:rsid w:val="00CD731B"/>
    <w:rsid w:val="00CD755C"/>
    <w:rsid w:val="00CD76B8"/>
    <w:rsid w:val="00CD7999"/>
    <w:rsid w:val="00CD7D9F"/>
    <w:rsid w:val="00CD7E70"/>
    <w:rsid w:val="00CD7EC1"/>
    <w:rsid w:val="00CE0029"/>
    <w:rsid w:val="00CE004B"/>
    <w:rsid w:val="00CE0059"/>
    <w:rsid w:val="00CE00A9"/>
    <w:rsid w:val="00CE02AA"/>
    <w:rsid w:val="00CE02AF"/>
    <w:rsid w:val="00CE0437"/>
    <w:rsid w:val="00CE04A7"/>
    <w:rsid w:val="00CE0666"/>
    <w:rsid w:val="00CE0968"/>
    <w:rsid w:val="00CE0CAD"/>
    <w:rsid w:val="00CE0F9B"/>
    <w:rsid w:val="00CE10DF"/>
    <w:rsid w:val="00CE115E"/>
    <w:rsid w:val="00CE116A"/>
    <w:rsid w:val="00CE1189"/>
    <w:rsid w:val="00CE11EE"/>
    <w:rsid w:val="00CE1237"/>
    <w:rsid w:val="00CE12B9"/>
    <w:rsid w:val="00CE12DE"/>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75F"/>
    <w:rsid w:val="00CE280A"/>
    <w:rsid w:val="00CE28D1"/>
    <w:rsid w:val="00CE2A38"/>
    <w:rsid w:val="00CE2A6F"/>
    <w:rsid w:val="00CE2BD5"/>
    <w:rsid w:val="00CE2C19"/>
    <w:rsid w:val="00CE2EA8"/>
    <w:rsid w:val="00CE2F39"/>
    <w:rsid w:val="00CE2F4F"/>
    <w:rsid w:val="00CE3085"/>
    <w:rsid w:val="00CE3185"/>
    <w:rsid w:val="00CE31CA"/>
    <w:rsid w:val="00CE3226"/>
    <w:rsid w:val="00CE32E7"/>
    <w:rsid w:val="00CE3418"/>
    <w:rsid w:val="00CE3423"/>
    <w:rsid w:val="00CE370A"/>
    <w:rsid w:val="00CE3A74"/>
    <w:rsid w:val="00CE3C32"/>
    <w:rsid w:val="00CE3C74"/>
    <w:rsid w:val="00CE3DBC"/>
    <w:rsid w:val="00CE411A"/>
    <w:rsid w:val="00CE42A6"/>
    <w:rsid w:val="00CE438D"/>
    <w:rsid w:val="00CE438E"/>
    <w:rsid w:val="00CE440B"/>
    <w:rsid w:val="00CE475B"/>
    <w:rsid w:val="00CE4986"/>
    <w:rsid w:val="00CE49C8"/>
    <w:rsid w:val="00CE4ACC"/>
    <w:rsid w:val="00CE4B2E"/>
    <w:rsid w:val="00CE4CFB"/>
    <w:rsid w:val="00CE4D17"/>
    <w:rsid w:val="00CE503A"/>
    <w:rsid w:val="00CE50C1"/>
    <w:rsid w:val="00CE5259"/>
    <w:rsid w:val="00CE5270"/>
    <w:rsid w:val="00CE52DB"/>
    <w:rsid w:val="00CE5696"/>
    <w:rsid w:val="00CE5821"/>
    <w:rsid w:val="00CE58A4"/>
    <w:rsid w:val="00CE5BF8"/>
    <w:rsid w:val="00CE5C67"/>
    <w:rsid w:val="00CE5F46"/>
    <w:rsid w:val="00CE639A"/>
    <w:rsid w:val="00CE639B"/>
    <w:rsid w:val="00CE63A6"/>
    <w:rsid w:val="00CE6410"/>
    <w:rsid w:val="00CE645E"/>
    <w:rsid w:val="00CE65A7"/>
    <w:rsid w:val="00CE6660"/>
    <w:rsid w:val="00CE6733"/>
    <w:rsid w:val="00CE683C"/>
    <w:rsid w:val="00CE6897"/>
    <w:rsid w:val="00CE6ADE"/>
    <w:rsid w:val="00CE6B92"/>
    <w:rsid w:val="00CE6D06"/>
    <w:rsid w:val="00CE6DC0"/>
    <w:rsid w:val="00CE6E89"/>
    <w:rsid w:val="00CE7159"/>
    <w:rsid w:val="00CE71BA"/>
    <w:rsid w:val="00CE72FC"/>
    <w:rsid w:val="00CE7436"/>
    <w:rsid w:val="00CE75A9"/>
    <w:rsid w:val="00CE78BC"/>
    <w:rsid w:val="00CE78EF"/>
    <w:rsid w:val="00CE7A0D"/>
    <w:rsid w:val="00CE7A6E"/>
    <w:rsid w:val="00CE7B5A"/>
    <w:rsid w:val="00CE7F55"/>
    <w:rsid w:val="00CF013B"/>
    <w:rsid w:val="00CF0203"/>
    <w:rsid w:val="00CF028B"/>
    <w:rsid w:val="00CF035D"/>
    <w:rsid w:val="00CF04B8"/>
    <w:rsid w:val="00CF0737"/>
    <w:rsid w:val="00CF07ED"/>
    <w:rsid w:val="00CF0866"/>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1FD6"/>
    <w:rsid w:val="00CF200A"/>
    <w:rsid w:val="00CF217F"/>
    <w:rsid w:val="00CF21FC"/>
    <w:rsid w:val="00CF22C1"/>
    <w:rsid w:val="00CF23D1"/>
    <w:rsid w:val="00CF2652"/>
    <w:rsid w:val="00CF298C"/>
    <w:rsid w:val="00CF29F8"/>
    <w:rsid w:val="00CF2BB1"/>
    <w:rsid w:val="00CF2D3B"/>
    <w:rsid w:val="00CF2F84"/>
    <w:rsid w:val="00CF2FDD"/>
    <w:rsid w:val="00CF318C"/>
    <w:rsid w:val="00CF3872"/>
    <w:rsid w:val="00CF392C"/>
    <w:rsid w:val="00CF3940"/>
    <w:rsid w:val="00CF3B3C"/>
    <w:rsid w:val="00CF3B7D"/>
    <w:rsid w:val="00CF3C7C"/>
    <w:rsid w:val="00CF3CF9"/>
    <w:rsid w:val="00CF3D07"/>
    <w:rsid w:val="00CF3DA5"/>
    <w:rsid w:val="00CF3FE9"/>
    <w:rsid w:val="00CF4197"/>
    <w:rsid w:val="00CF441B"/>
    <w:rsid w:val="00CF46A1"/>
    <w:rsid w:val="00CF4790"/>
    <w:rsid w:val="00CF48D2"/>
    <w:rsid w:val="00CF4A72"/>
    <w:rsid w:val="00CF500A"/>
    <w:rsid w:val="00CF523C"/>
    <w:rsid w:val="00CF5256"/>
    <w:rsid w:val="00CF5263"/>
    <w:rsid w:val="00CF5436"/>
    <w:rsid w:val="00CF5463"/>
    <w:rsid w:val="00CF55EC"/>
    <w:rsid w:val="00CF56F5"/>
    <w:rsid w:val="00CF57DF"/>
    <w:rsid w:val="00CF592E"/>
    <w:rsid w:val="00CF5D73"/>
    <w:rsid w:val="00CF6033"/>
    <w:rsid w:val="00CF609B"/>
    <w:rsid w:val="00CF6229"/>
    <w:rsid w:val="00CF62B8"/>
    <w:rsid w:val="00CF63A4"/>
    <w:rsid w:val="00CF63B2"/>
    <w:rsid w:val="00CF65D4"/>
    <w:rsid w:val="00CF66A5"/>
    <w:rsid w:val="00CF68E4"/>
    <w:rsid w:val="00CF6CE8"/>
    <w:rsid w:val="00CF6E00"/>
    <w:rsid w:val="00CF6F96"/>
    <w:rsid w:val="00CF71A5"/>
    <w:rsid w:val="00CF7765"/>
    <w:rsid w:val="00CF791B"/>
    <w:rsid w:val="00CF7B2E"/>
    <w:rsid w:val="00CF7BC7"/>
    <w:rsid w:val="00CF7E80"/>
    <w:rsid w:val="00CF7ECB"/>
    <w:rsid w:val="00CF7F7B"/>
    <w:rsid w:val="00D000B8"/>
    <w:rsid w:val="00D000C0"/>
    <w:rsid w:val="00D0038D"/>
    <w:rsid w:val="00D0060A"/>
    <w:rsid w:val="00D008BA"/>
    <w:rsid w:val="00D00980"/>
    <w:rsid w:val="00D00C95"/>
    <w:rsid w:val="00D00F19"/>
    <w:rsid w:val="00D0108C"/>
    <w:rsid w:val="00D011C2"/>
    <w:rsid w:val="00D01255"/>
    <w:rsid w:val="00D014AC"/>
    <w:rsid w:val="00D01524"/>
    <w:rsid w:val="00D01686"/>
    <w:rsid w:val="00D0171B"/>
    <w:rsid w:val="00D0173A"/>
    <w:rsid w:val="00D0190E"/>
    <w:rsid w:val="00D01B8E"/>
    <w:rsid w:val="00D01E00"/>
    <w:rsid w:val="00D021D6"/>
    <w:rsid w:val="00D02331"/>
    <w:rsid w:val="00D02374"/>
    <w:rsid w:val="00D0243B"/>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796"/>
    <w:rsid w:val="00D037D1"/>
    <w:rsid w:val="00D0381C"/>
    <w:rsid w:val="00D039B4"/>
    <w:rsid w:val="00D03A2C"/>
    <w:rsid w:val="00D03AD0"/>
    <w:rsid w:val="00D03CC8"/>
    <w:rsid w:val="00D03D60"/>
    <w:rsid w:val="00D0400E"/>
    <w:rsid w:val="00D041A6"/>
    <w:rsid w:val="00D04549"/>
    <w:rsid w:val="00D04688"/>
    <w:rsid w:val="00D0475B"/>
    <w:rsid w:val="00D0506B"/>
    <w:rsid w:val="00D05077"/>
    <w:rsid w:val="00D052B4"/>
    <w:rsid w:val="00D05374"/>
    <w:rsid w:val="00D0555D"/>
    <w:rsid w:val="00D056D8"/>
    <w:rsid w:val="00D0579C"/>
    <w:rsid w:val="00D058FA"/>
    <w:rsid w:val="00D05935"/>
    <w:rsid w:val="00D059F7"/>
    <w:rsid w:val="00D05EC1"/>
    <w:rsid w:val="00D062F7"/>
    <w:rsid w:val="00D063A3"/>
    <w:rsid w:val="00D0646E"/>
    <w:rsid w:val="00D064A5"/>
    <w:rsid w:val="00D0656F"/>
    <w:rsid w:val="00D065A2"/>
    <w:rsid w:val="00D06735"/>
    <w:rsid w:val="00D06780"/>
    <w:rsid w:val="00D0683F"/>
    <w:rsid w:val="00D069B1"/>
    <w:rsid w:val="00D06AD7"/>
    <w:rsid w:val="00D06C3C"/>
    <w:rsid w:val="00D0709C"/>
    <w:rsid w:val="00D0710B"/>
    <w:rsid w:val="00D071A6"/>
    <w:rsid w:val="00D071BB"/>
    <w:rsid w:val="00D072E9"/>
    <w:rsid w:val="00D074CC"/>
    <w:rsid w:val="00D0752A"/>
    <w:rsid w:val="00D075FA"/>
    <w:rsid w:val="00D07710"/>
    <w:rsid w:val="00D07759"/>
    <w:rsid w:val="00D0793A"/>
    <w:rsid w:val="00D07995"/>
    <w:rsid w:val="00D07D32"/>
    <w:rsid w:val="00D07D48"/>
    <w:rsid w:val="00D07FAF"/>
    <w:rsid w:val="00D10046"/>
    <w:rsid w:val="00D10236"/>
    <w:rsid w:val="00D1036E"/>
    <w:rsid w:val="00D10637"/>
    <w:rsid w:val="00D106F3"/>
    <w:rsid w:val="00D10736"/>
    <w:rsid w:val="00D1073A"/>
    <w:rsid w:val="00D108A0"/>
    <w:rsid w:val="00D108C6"/>
    <w:rsid w:val="00D10A29"/>
    <w:rsid w:val="00D10CE7"/>
    <w:rsid w:val="00D10F00"/>
    <w:rsid w:val="00D10F0F"/>
    <w:rsid w:val="00D10FBB"/>
    <w:rsid w:val="00D10FCB"/>
    <w:rsid w:val="00D111AD"/>
    <w:rsid w:val="00D111CD"/>
    <w:rsid w:val="00D112DE"/>
    <w:rsid w:val="00D11468"/>
    <w:rsid w:val="00D11539"/>
    <w:rsid w:val="00D1160E"/>
    <w:rsid w:val="00D11A79"/>
    <w:rsid w:val="00D11DC7"/>
    <w:rsid w:val="00D11F2D"/>
    <w:rsid w:val="00D1211A"/>
    <w:rsid w:val="00D1235A"/>
    <w:rsid w:val="00D1246A"/>
    <w:rsid w:val="00D125A4"/>
    <w:rsid w:val="00D12897"/>
    <w:rsid w:val="00D128B7"/>
    <w:rsid w:val="00D12A5F"/>
    <w:rsid w:val="00D12B9A"/>
    <w:rsid w:val="00D12D08"/>
    <w:rsid w:val="00D12E38"/>
    <w:rsid w:val="00D12FDA"/>
    <w:rsid w:val="00D13066"/>
    <w:rsid w:val="00D1334C"/>
    <w:rsid w:val="00D1349E"/>
    <w:rsid w:val="00D13624"/>
    <w:rsid w:val="00D13637"/>
    <w:rsid w:val="00D137A5"/>
    <w:rsid w:val="00D138D7"/>
    <w:rsid w:val="00D13990"/>
    <w:rsid w:val="00D13A87"/>
    <w:rsid w:val="00D13BE7"/>
    <w:rsid w:val="00D13D35"/>
    <w:rsid w:val="00D13EBF"/>
    <w:rsid w:val="00D13FE1"/>
    <w:rsid w:val="00D14232"/>
    <w:rsid w:val="00D143FA"/>
    <w:rsid w:val="00D14474"/>
    <w:rsid w:val="00D14827"/>
    <w:rsid w:val="00D14833"/>
    <w:rsid w:val="00D14852"/>
    <w:rsid w:val="00D149AC"/>
    <w:rsid w:val="00D14AE3"/>
    <w:rsid w:val="00D14C14"/>
    <w:rsid w:val="00D14CA5"/>
    <w:rsid w:val="00D14EDC"/>
    <w:rsid w:val="00D151CC"/>
    <w:rsid w:val="00D15278"/>
    <w:rsid w:val="00D1547B"/>
    <w:rsid w:val="00D1565D"/>
    <w:rsid w:val="00D157D8"/>
    <w:rsid w:val="00D15823"/>
    <w:rsid w:val="00D15AED"/>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1E"/>
    <w:rsid w:val="00D175D4"/>
    <w:rsid w:val="00D1780C"/>
    <w:rsid w:val="00D17895"/>
    <w:rsid w:val="00D17978"/>
    <w:rsid w:val="00D17A85"/>
    <w:rsid w:val="00D17B65"/>
    <w:rsid w:val="00D17D41"/>
    <w:rsid w:val="00D17E0B"/>
    <w:rsid w:val="00D201E9"/>
    <w:rsid w:val="00D20700"/>
    <w:rsid w:val="00D20714"/>
    <w:rsid w:val="00D20762"/>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51C"/>
    <w:rsid w:val="00D21700"/>
    <w:rsid w:val="00D21830"/>
    <w:rsid w:val="00D21853"/>
    <w:rsid w:val="00D218FE"/>
    <w:rsid w:val="00D21A44"/>
    <w:rsid w:val="00D21B26"/>
    <w:rsid w:val="00D21C7B"/>
    <w:rsid w:val="00D21C7D"/>
    <w:rsid w:val="00D21CAA"/>
    <w:rsid w:val="00D21E84"/>
    <w:rsid w:val="00D21FA6"/>
    <w:rsid w:val="00D22138"/>
    <w:rsid w:val="00D2220A"/>
    <w:rsid w:val="00D22274"/>
    <w:rsid w:val="00D222A6"/>
    <w:rsid w:val="00D22512"/>
    <w:rsid w:val="00D22601"/>
    <w:rsid w:val="00D226C4"/>
    <w:rsid w:val="00D22755"/>
    <w:rsid w:val="00D22A02"/>
    <w:rsid w:val="00D22A08"/>
    <w:rsid w:val="00D22D9E"/>
    <w:rsid w:val="00D22DF6"/>
    <w:rsid w:val="00D22E7B"/>
    <w:rsid w:val="00D22EA3"/>
    <w:rsid w:val="00D22EE4"/>
    <w:rsid w:val="00D23174"/>
    <w:rsid w:val="00D2324D"/>
    <w:rsid w:val="00D233BF"/>
    <w:rsid w:val="00D23446"/>
    <w:rsid w:val="00D23721"/>
    <w:rsid w:val="00D23751"/>
    <w:rsid w:val="00D2381C"/>
    <w:rsid w:val="00D23A0C"/>
    <w:rsid w:val="00D23B5E"/>
    <w:rsid w:val="00D23EBD"/>
    <w:rsid w:val="00D2406A"/>
    <w:rsid w:val="00D240B6"/>
    <w:rsid w:val="00D24106"/>
    <w:rsid w:val="00D2414D"/>
    <w:rsid w:val="00D244D1"/>
    <w:rsid w:val="00D244EA"/>
    <w:rsid w:val="00D245FC"/>
    <w:rsid w:val="00D2469E"/>
    <w:rsid w:val="00D246C9"/>
    <w:rsid w:val="00D2474B"/>
    <w:rsid w:val="00D24847"/>
    <w:rsid w:val="00D2486C"/>
    <w:rsid w:val="00D24AE4"/>
    <w:rsid w:val="00D24B99"/>
    <w:rsid w:val="00D24C1F"/>
    <w:rsid w:val="00D24D6E"/>
    <w:rsid w:val="00D24D80"/>
    <w:rsid w:val="00D24EA7"/>
    <w:rsid w:val="00D24FD3"/>
    <w:rsid w:val="00D25059"/>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0C"/>
    <w:rsid w:val="00D26BED"/>
    <w:rsid w:val="00D26C96"/>
    <w:rsid w:val="00D26CD8"/>
    <w:rsid w:val="00D26DBE"/>
    <w:rsid w:val="00D26DD9"/>
    <w:rsid w:val="00D276E4"/>
    <w:rsid w:val="00D276F4"/>
    <w:rsid w:val="00D27721"/>
    <w:rsid w:val="00D27831"/>
    <w:rsid w:val="00D279F6"/>
    <w:rsid w:val="00D27A01"/>
    <w:rsid w:val="00D27A98"/>
    <w:rsid w:val="00D27B25"/>
    <w:rsid w:val="00D27CAB"/>
    <w:rsid w:val="00D27DA5"/>
    <w:rsid w:val="00D27F17"/>
    <w:rsid w:val="00D30005"/>
    <w:rsid w:val="00D30064"/>
    <w:rsid w:val="00D301FB"/>
    <w:rsid w:val="00D30288"/>
    <w:rsid w:val="00D3035B"/>
    <w:rsid w:val="00D30373"/>
    <w:rsid w:val="00D303B4"/>
    <w:rsid w:val="00D30537"/>
    <w:rsid w:val="00D30540"/>
    <w:rsid w:val="00D306AB"/>
    <w:rsid w:val="00D30929"/>
    <w:rsid w:val="00D30AF5"/>
    <w:rsid w:val="00D30BA1"/>
    <w:rsid w:val="00D30BC0"/>
    <w:rsid w:val="00D30C1B"/>
    <w:rsid w:val="00D30C57"/>
    <w:rsid w:val="00D30DFC"/>
    <w:rsid w:val="00D30E11"/>
    <w:rsid w:val="00D30F86"/>
    <w:rsid w:val="00D30FCF"/>
    <w:rsid w:val="00D3111D"/>
    <w:rsid w:val="00D31176"/>
    <w:rsid w:val="00D31263"/>
    <w:rsid w:val="00D312A8"/>
    <w:rsid w:val="00D3135C"/>
    <w:rsid w:val="00D313CD"/>
    <w:rsid w:val="00D31431"/>
    <w:rsid w:val="00D314B5"/>
    <w:rsid w:val="00D3181E"/>
    <w:rsid w:val="00D318C8"/>
    <w:rsid w:val="00D3195A"/>
    <w:rsid w:val="00D31B11"/>
    <w:rsid w:val="00D31CE3"/>
    <w:rsid w:val="00D321DF"/>
    <w:rsid w:val="00D32258"/>
    <w:rsid w:val="00D32284"/>
    <w:rsid w:val="00D32337"/>
    <w:rsid w:val="00D3251E"/>
    <w:rsid w:val="00D32651"/>
    <w:rsid w:val="00D32679"/>
    <w:rsid w:val="00D326A2"/>
    <w:rsid w:val="00D327A6"/>
    <w:rsid w:val="00D327E6"/>
    <w:rsid w:val="00D32ABC"/>
    <w:rsid w:val="00D32AD3"/>
    <w:rsid w:val="00D32B18"/>
    <w:rsid w:val="00D32FEC"/>
    <w:rsid w:val="00D3318D"/>
    <w:rsid w:val="00D33361"/>
    <w:rsid w:val="00D33477"/>
    <w:rsid w:val="00D334D0"/>
    <w:rsid w:val="00D3350C"/>
    <w:rsid w:val="00D336CD"/>
    <w:rsid w:val="00D336E2"/>
    <w:rsid w:val="00D338A9"/>
    <w:rsid w:val="00D33BCD"/>
    <w:rsid w:val="00D33DF7"/>
    <w:rsid w:val="00D33E42"/>
    <w:rsid w:val="00D33F7D"/>
    <w:rsid w:val="00D33F88"/>
    <w:rsid w:val="00D33FE7"/>
    <w:rsid w:val="00D34095"/>
    <w:rsid w:val="00D340B8"/>
    <w:rsid w:val="00D342E1"/>
    <w:rsid w:val="00D343B9"/>
    <w:rsid w:val="00D343FF"/>
    <w:rsid w:val="00D346F9"/>
    <w:rsid w:val="00D346FF"/>
    <w:rsid w:val="00D347EF"/>
    <w:rsid w:val="00D34875"/>
    <w:rsid w:val="00D348CD"/>
    <w:rsid w:val="00D34964"/>
    <w:rsid w:val="00D34974"/>
    <w:rsid w:val="00D349A2"/>
    <w:rsid w:val="00D34DAC"/>
    <w:rsid w:val="00D34E06"/>
    <w:rsid w:val="00D34F68"/>
    <w:rsid w:val="00D34FD8"/>
    <w:rsid w:val="00D35012"/>
    <w:rsid w:val="00D350A2"/>
    <w:rsid w:val="00D350C4"/>
    <w:rsid w:val="00D35119"/>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6E0"/>
    <w:rsid w:val="00D36896"/>
    <w:rsid w:val="00D36983"/>
    <w:rsid w:val="00D3699C"/>
    <w:rsid w:val="00D36BB1"/>
    <w:rsid w:val="00D36CCE"/>
    <w:rsid w:val="00D36CD7"/>
    <w:rsid w:val="00D36E5D"/>
    <w:rsid w:val="00D36FA3"/>
    <w:rsid w:val="00D37706"/>
    <w:rsid w:val="00D377C7"/>
    <w:rsid w:val="00D37844"/>
    <w:rsid w:val="00D37AE3"/>
    <w:rsid w:val="00D37EBF"/>
    <w:rsid w:val="00D40026"/>
    <w:rsid w:val="00D40272"/>
    <w:rsid w:val="00D403ED"/>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67"/>
    <w:rsid w:val="00D425AD"/>
    <w:rsid w:val="00D42658"/>
    <w:rsid w:val="00D42A5B"/>
    <w:rsid w:val="00D42CC5"/>
    <w:rsid w:val="00D42FE3"/>
    <w:rsid w:val="00D43064"/>
    <w:rsid w:val="00D4309D"/>
    <w:rsid w:val="00D4320D"/>
    <w:rsid w:val="00D43330"/>
    <w:rsid w:val="00D43536"/>
    <w:rsid w:val="00D435F3"/>
    <w:rsid w:val="00D4369D"/>
    <w:rsid w:val="00D436FB"/>
    <w:rsid w:val="00D4380B"/>
    <w:rsid w:val="00D4394E"/>
    <w:rsid w:val="00D43BA1"/>
    <w:rsid w:val="00D43D57"/>
    <w:rsid w:val="00D43FEE"/>
    <w:rsid w:val="00D441CD"/>
    <w:rsid w:val="00D4424B"/>
    <w:rsid w:val="00D4426A"/>
    <w:rsid w:val="00D444D7"/>
    <w:rsid w:val="00D445D4"/>
    <w:rsid w:val="00D446F1"/>
    <w:rsid w:val="00D44765"/>
    <w:rsid w:val="00D447AF"/>
    <w:rsid w:val="00D44A85"/>
    <w:rsid w:val="00D44AB3"/>
    <w:rsid w:val="00D44C47"/>
    <w:rsid w:val="00D44C94"/>
    <w:rsid w:val="00D44D4E"/>
    <w:rsid w:val="00D44DB4"/>
    <w:rsid w:val="00D44EC5"/>
    <w:rsid w:val="00D45065"/>
    <w:rsid w:val="00D45140"/>
    <w:rsid w:val="00D4549E"/>
    <w:rsid w:val="00D45529"/>
    <w:rsid w:val="00D45869"/>
    <w:rsid w:val="00D4593D"/>
    <w:rsid w:val="00D45AD7"/>
    <w:rsid w:val="00D45BF4"/>
    <w:rsid w:val="00D45C95"/>
    <w:rsid w:val="00D45E72"/>
    <w:rsid w:val="00D45F49"/>
    <w:rsid w:val="00D46056"/>
    <w:rsid w:val="00D46097"/>
    <w:rsid w:val="00D46122"/>
    <w:rsid w:val="00D4630B"/>
    <w:rsid w:val="00D464D9"/>
    <w:rsid w:val="00D4690A"/>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93C"/>
    <w:rsid w:val="00D47C14"/>
    <w:rsid w:val="00D47C7D"/>
    <w:rsid w:val="00D47DAB"/>
    <w:rsid w:val="00D47E48"/>
    <w:rsid w:val="00D47F78"/>
    <w:rsid w:val="00D50131"/>
    <w:rsid w:val="00D50168"/>
    <w:rsid w:val="00D50198"/>
    <w:rsid w:val="00D503E8"/>
    <w:rsid w:val="00D504BE"/>
    <w:rsid w:val="00D5051A"/>
    <w:rsid w:val="00D5067A"/>
    <w:rsid w:val="00D50721"/>
    <w:rsid w:val="00D507AC"/>
    <w:rsid w:val="00D508BE"/>
    <w:rsid w:val="00D508D4"/>
    <w:rsid w:val="00D50ADC"/>
    <w:rsid w:val="00D50B9D"/>
    <w:rsid w:val="00D50C40"/>
    <w:rsid w:val="00D50CD9"/>
    <w:rsid w:val="00D50DEA"/>
    <w:rsid w:val="00D51045"/>
    <w:rsid w:val="00D510DD"/>
    <w:rsid w:val="00D5119C"/>
    <w:rsid w:val="00D5124F"/>
    <w:rsid w:val="00D51453"/>
    <w:rsid w:val="00D51483"/>
    <w:rsid w:val="00D514E9"/>
    <w:rsid w:val="00D51842"/>
    <w:rsid w:val="00D5193A"/>
    <w:rsid w:val="00D51A10"/>
    <w:rsid w:val="00D51AAF"/>
    <w:rsid w:val="00D51BAD"/>
    <w:rsid w:val="00D51D4E"/>
    <w:rsid w:val="00D51D97"/>
    <w:rsid w:val="00D51DA0"/>
    <w:rsid w:val="00D51DA7"/>
    <w:rsid w:val="00D520B5"/>
    <w:rsid w:val="00D52251"/>
    <w:rsid w:val="00D522F9"/>
    <w:rsid w:val="00D52447"/>
    <w:rsid w:val="00D524BC"/>
    <w:rsid w:val="00D524E6"/>
    <w:rsid w:val="00D52605"/>
    <w:rsid w:val="00D52670"/>
    <w:rsid w:val="00D526A6"/>
    <w:rsid w:val="00D5282F"/>
    <w:rsid w:val="00D528AF"/>
    <w:rsid w:val="00D52D0F"/>
    <w:rsid w:val="00D52D6B"/>
    <w:rsid w:val="00D52D7E"/>
    <w:rsid w:val="00D52DEC"/>
    <w:rsid w:val="00D52F8D"/>
    <w:rsid w:val="00D53459"/>
    <w:rsid w:val="00D53612"/>
    <w:rsid w:val="00D537BC"/>
    <w:rsid w:val="00D53851"/>
    <w:rsid w:val="00D538EC"/>
    <w:rsid w:val="00D539E0"/>
    <w:rsid w:val="00D539ED"/>
    <w:rsid w:val="00D53A11"/>
    <w:rsid w:val="00D53B73"/>
    <w:rsid w:val="00D53C1D"/>
    <w:rsid w:val="00D53F17"/>
    <w:rsid w:val="00D53F53"/>
    <w:rsid w:val="00D54265"/>
    <w:rsid w:val="00D54340"/>
    <w:rsid w:val="00D5449A"/>
    <w:rsid w:val="00D544E3"/>
    <w:rsid w:val="00D54858"/>
    <w:rsid w:val="00D54875"/>
    <w:rsid w:val="00D548E1"/>
    <w:rsid w:val="00D54C16"/>
    <w:rsid w:val="00D54C5B"/>
    <w:rsid w:val="00D54DD7"/>
    <w:rsid w:val="00D54E3F"/>
    <w:rsid w:val="00D54EDE"/>
    <w:rsid w:val="00D54FEC"/>
    <w:rsid w:val="00D55086"/>
    <w:rsid w:val="00D55167"/>
    <w:rsid w:val="00D551FE"/>
    <w:rsid w:val="00D556EA"/>
    <w:rsid w:val="00D55786"/>
    <w:rsid w:val="00D558A9"/>
    <w:rsid w:val="00D55AB0"/>
    <w:rsid w:val="00D55AB7"/>
    <w:rsid w:val="00D55B09"/>
    <w:rsid w:val="00D55D31"/>
    <w:rsid w:val="00D55DF2"/>
    <w:rsid w:val="00D55E9C"/>
    <w:rsid w:val="00D56032"/>
    <w:rsid w:val="00D56049"/>
    <w:rsid w:val="00D5604B"/>
    <w:rsid w:val="00D560AA"/>
    <w:rsid w:val="00D560EC"/>
    <w:rsid w:val="00D56146"/>
    <w:rsid w:val="00D56197"/>
    <w:rsid w:val="00D563B8"/>
    <w:rsid w:val="00D564CA"/>
    <w:rsid w:val="00D56523"/>
    <w:rsid w:val="00D5655B"/>
    <w:rsid w:val="00D56632"/>
    <w:rsid w:val="00D56A33"/>
    <w:rsid w:val="00D56B99"/>
    <w:rsid w:val="00D56DB4"/>
    <w:rsid w:val="00D56DD6"/>
    <w:rsid w:val="00D56EAA"/>
    <w:rsid w:val="00D5730F"/>
    <w:rsid w:val="00D5732E"/>
    <w:rsid w:val="00D57371"/>
    <w:rsid w:val="00D5740D"/>
    <w:rsid w:val="00D574DC"/>
    <w:rsid w:val="00D576DC"/>
    <w:rsid w:val="00D57DA9"/>
    <w:rsid w:val="00D57E79"/>
    <w:rsid w:val="00D57FB4"/>
    <w:rsid w:val="00D60051"/>
    <w:rsid w:val="00D60093"/>
    <w:rsid w:val="00D601BC"/>
    <w:rsid w:val="00D6028A"/>
    <w:rsid w:val="00D60380"/>
    <w:rsid w:val="00D60506"/>
    <w:rsid w:val="00D60646"/>
    <w:rsid w:val="00D607B0"/>
    <w:rsid w:val="00D608DF"/>
    <w:rsid w:val="00D608F0"/>
    <w:rsid w:val="00D608F7"/>
    <w:rsid w:val="00D6095A"/>
    <w:rsid w:val="00D6098F"/>
    <w:rsid w:val="00D609B0"/>
    <w:rsid w:val="00D60B45"/>
    <w:rsid w:val="00D60BCC"/>
    <w:rsid w:val="00D60DCB"/>
    <w:rsid w:val="00D60E18"/>
    <w:rsid w:val="00D60E2A"/>
    <w:rsid w:val="00D60F33"/>
    <w:rsid w:val="00D6101B"/>
    <w:rsid w:val="00D611C9"/>
    <w:rsid w:val="00D6123C"/>
    <w:rsid w:val="00D61277"/>
    <w:rsid w:val="00D61392"/>
    <w:rsid w:val="00D61399"/>
    <w:rsid w:val="00D613FD"/>
    <w:rsid w:val="00D61508"/>
    <w:rsid w:val="00D61718"/>
    <w:rsid w:val="00D6175C"/>
    <w:rsid w:val="00D61895"/>
    <w:rsid w:val="00D6190D"/>
    <w:rsid w:val="00D61AA9"/>
    <w:rsid w:val="00D61BAF"/>
    <w:rsid w:val="00D61BE0"/>
    <w:rsid w:val="00D61D53"/>
    <w:rsid w:val="00D61E1B"/>
    <w:rsid w:val="00D61F4C"/>
    <w:rsid w:val="00D6200F"/>
    <w:rsid w:val="00D62128"/>
    <w:rsid w:val="00D62184"/>
    <w:rsid w:val="00D622B5"/>
    <w:rsid w:val="00D62652"/>
    <w:rsid w:val="00D626C0"/>
    <w:rsid w:val="00D6282C"/>
    <w:rsid w:val="00D6283A"/>
    <w:rsid w:val="00D62932"/>
    <w:rsid w:val="00D62958"/>
    <w:rsid w:val="00D629BF"/>
    <w:rsid w:val="00D62B52"/>
    <w:rsid w:val="00D62D05"/>
    <w:rsid w:val="00D62DD3"/>
    <w:rsid w:val="00D6301D"/>
    <w:rsid w:val="00D6304E"/>
    <w:rsid w:val="00D63140"/>
    <w:rsid w:val="00D632C4"/>
    <w:rsid w:val="00D63400"/>
    <w:rsid w:val="00D63461"/>
    <w:rsid w:val="00D63679"/>
    <w:rsid w:val="00D63884"/>
    <w:rsid w:val="00D63948"/>
    <w:rsid w:val="00D63ADB"/>
    <w:rsid w:val="00D63AFA"/>
    <w:rsid w:val="00D63B77"/>
    <w:rsid w:val="00D63BD4"/>
    <w:rsid w:val="00D63C03"/>
    <w:rsid w:val="00D63CEA"/>
    <w:rsid w:val="00D63E61"/>
    <w:rsid w:val="00D63EA3"/>
    <w:rsid w:val="00D64033"/>
    <w:rsid w:val="00D64244"/>
    <w:rsid w:val="00D6436D"/>
    <w:rsid w:val="00D6444F"/>
    <w:rsid w:val="00D6451B"/>
    <w:rsid w:val="00D646D4"/>
    <w:rsid w:val="00D6477E"/>
    <w:rsid w:val="00D647F5"/>
    <w:rsid w:val="00D64E32"/>
    <w:rsid w:val="00D64F54"/>
    <w:rsid w:val="00D64FFA"/>
    <w:rsid w:val="00D6507C"/>
    <w:rsid w:val="00D6508C"/>
    <w:rsid w:val="00D6509A"/>
    <w:rsid w:val="00D65452"/>
    <w:rsid w:val="00D65520"/>
    <w:rsid w:val="00D65538"/>
    <w:rsid w:val="00D655BD"/>
    <w:rsid w:val="00D65704"/>
    <w:rsid w:val="00D6593A"/>
    <w:rsid w:val="00D65960"/>
    <w:rsid w:val="00D65993"/>
    <w:rsid w:val="00D65C14"/>
    <w:rsid w:val="00D65C98"/>
    <w:rsid w:val="00D65D37"/>
    <w:rsid w:val="00D65E53"/>
    <w:rsid w:val="00D65F2D"/>
    <w:rsid w:val="00D65FD1"/>
    <w:rsid w:val="00D660E2"/>
    <w:rsid w:val="00D6610D"/>
    <w:rsid w:val="00D66807"/>
    <w:rsid w:val="00D66907"/>
    <w:rsid w:val="00D6699B"/>
    <w:rsid w:val="00D66A89"/>
    <w:rsid w:val="00D66C4B"/>
    <w:rsid w:val="00D66DD1"/>
    <w:rsid w:val="00D66F05"/>
    <w:rsid w:val="00D6711A"/>
    <w:rsid w:val="00D6724E"/>
    <w:rsid w:val="00D673B4"/>
    <w:rsid w:val="00D67401"/>
    <w:rsid w:val="00D67442"/>
    <w:rsid w:val="00D67460"/>
    <w:rsid w:val="00D678BD"/>
    <w:rsid w:val="00D67C7D"/>
    <w:rsid w:val="00D67CAB"/>
    <w:rsid w:val="00D67CBA"/>
    <w:rsid w:val="00D67EDA"/>
    <w:rsid w:val="00D67F2C"/>
    <w:rsid w:val="00D67F8C"/>
    <w:rsid w:val="00D7028B"/>
    <w:rsid w:val="00D70550"/>
    <w:rsid w:val="00D705C1"/>
    <w:rsid w:val="00D706B3"/>
    <w:rsid w:val="00D70A45"/>
    <w:rsid w:val="00D70B6C"/>
    <w:rsid w:val="00D70CCA"/>
    <w:rsid w:val="00D70F58"/>
    <w:rsid w:val="00D71081"/>
    <w:rsid w:val="00D710A9"/>
    <w:rsid w:val="00D710D8"/>
    <w:rsid w:val="00D712F4"/>
    <w:rsid w:val="00D713D6"/>
    <w:rsid w:val="00D714A5"/>
    <w:rsid w:val="00D71520"/>
    <w:rsid w:val="00D71629"/>
    <w:rsid w:val="00D71681"/>
    <w:rsid w:val="00D716CE"/>
    <w:rsid w:val="00D719E5"/>
    <w:rsid w:val="00D71BF1"/>
    <w:rsid w:val="00D71EA3"/>
    <w:rsid w:val="00D71F12"/>
    <w:rsid w:val="00D71F93"/>
    <w:rsid w:val="00D721D3"/>
    <w:rsid w:val="00D723C3"/>
    <w:rsid w:val="00D725EA"/>
    <w:rsid w:val="00D72623"/>
    <w:rsid w:val="00D727A0"/>
    <w:rsid w:val="00D72898"/>
    <w:rsid w:val="00D7298C"/>
    <w:rsid w:val="00D729AF"/>
    <w:rsid w:val="00D729CA"/>
    <w:rsid w:val="00D72BBA"/>
    <w:rsid w:val="00D72CB2"/>
    <w:rsid w:val="00D72E70"/>
    <w:rsid w:val="00D7333C"/>
    <w:rsid w:val="00D73665"/>
    <w:rsid w:val="00D7379F"/>
    <w:rsid w:val="00D737F4"/>
    <w:rsid w:val="00D73BE5"/>
    <w:rsid w:val="00D73CEF"/>
    <w:rsid w:val="00D73D60"/>
    <w:rsid w:val="00D73F98"/>
    <w:rsid w:val="00D73FB4"/>
    <w:rsid w:val="00D7476C"/>
    <w:rsid w:val="00D747AD"/>
    <w:rsid w:val="00D74A66"/>
    <w:rsid w:val="00D74AD7"/>
    <w:rsid w:val="00D74CA4"/>
    <w:rsid w:val="00D74D39"/>
    <w:rsid w:val="00D74E95"/>
    <w:rsid w:val="00D74EF2"/>
    <w:rsid w:val="00D75056"/>
    <w:rsid w:val="00D7535F"/>
    <w:rsid w:val="00D75425"/>
    <w:rsid w:val="00D75460"/>
    <w:rsid w:val="00D754BA"/>
    <w:rsid w:val="00D7565A"/>
    <w:rsid w:val="00D7579B"/>
    <w:rsid w:val="00D75807"/>
    <w:rsid w:val="00D75DD2"/>
    <w:rsid w:val="00D76185"/>
    <w:rsid w:val="00D7620D"/>
    <w:rsid w:val="00D76283"/>
    <w:rsid w:val="00D762C0"/>
    <w:rsid w:val="00D7653D"/>
    <w:rsid w:val="00D765EF"/>
    <w:rsid w:val="00D7689E"/>
    <w:rsid w:val="00D768CB"/>
    <w:rsid w:val="00D76D2C"/>
    <w:rsid w:val="00D76D74"/>
    <w:rsid w:val="00D76DF1"/>
    <w:rsid w:val="00D76E50"/>
    <w:rsid w:val="00D771C2"/>
    <w:rsid w:val="00D77392"/>
    <w:rsid w:val="00D773E8"/>
    <w:rsid w:val="00D7743D"/>
    <w:rsid w:val="00D774BE"/>
    <w:rsid w:val="00D77641"/>
    <w:rsid w:val="00D77642"/>
    <w:rsid w:val="00D77656"/>
    <w:rsid w:val="00D779E5"/>
    <w:rsid w:val="00D77ABC"/>
    <w:rsid w:val="00D77AE8"/>
    <w:rsid w:val="00D77CA8"/>
    <w:rsid w:val="00D800BA"/>
    <w:rsid w:val="00D8011F"/>
    <w:rsid w:val="00D8012A"/>
    <w:rsid w:val="00D801F2"/>
    <w:rsid w:val="00D802C3"/>
    <w:rsid w:val="00D80507"/>
    <w:rsid w:val="00D808A1"/>
    <w:rsid w:val="00D808DE"/>
    <w:rsid w:val="00D80ADB"/>
    <w:rsid w:val="00D80B38"/>
    <w:rsid w:val="00D80B98"/>
    <w:rsid w:val="00D80EC7"/>
    <w:rsid w:val="00D8102C"/>
    <w:rsid w:val="00D812A9"/>
    <w:rsid w:val="00D81367"/>
    <w:rsid w:val="00D816AF"/>
    <w:rsid w:val="00D81924"/>
    <w:rsid w:val="00D81A14"/>
    <w:rsid w:val="00D81CEA"/>
    <w:rsid w:val="00D81FC1"/>
    <w:rsid w:val="00D81FF2"/>
    <w:rsid w:val="00D8218C"/>
    <w:rsid w:val="00D8228F"/>
    <w:rsid w:val="00D822E8"/>
    <w:rsid w:val="00D82312"/>
    <w:rsid w:val="00D825D6"/>
    <w:rsid w:val="00D82603"/>
    <w:rsid w:val="00D826CD"/>
    <w:rsid w:val="00D82731"/>
    <w:rsid w:val="00D82904"/>
    <w:rsid w:val="00D82DAA"/>
    <w:rsid w:val="00D82DEA"/>
    <w:rsid w:val="00D82E25"/>
    <w:rsid w:val="00D82E77"/>
    <w:rsid w:val="00D82EA9"/>
    <w:rsid w:val="00D82EC0"/>
    <w:rsid w:val="00D83015"/>
    <w:rsid w:val="00D83130"/>
    <w:rsid w:val="00D831A1"/>
    <w:rsid w:val="00D831F5"/>
    <w:rsid w:val="00D83362"/>
    <w:rsid w:val="00D833F8"/>
    <w:rsid w:val="00D838C0"/>
    <w:rsid w:val="00D83A1B"/>
    <w:rsid w:val="00D83B2E"/>
    <w:rsid w:val="00D83C58"/>
    <w:rsid w:val="00D83D22"/>
    <w:rsid w:val="00D83FA0"/>
    <w:rsid w:val="00D83FFE"/>
    <w:rsid w:val="00D8424A"/>
    <w:rsid w:val="00D8459E"/>
    <w:rsid w:val="00D845BB"/>
    <w:rsid w:val="00D8488D"/>
    <w:rsid w:val="00D84A8D"/>
    <w:rsid w:val="00D84F7E"/>
    <w:rsid w:val="00D85286"/>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2F8"/>
    <w:rsid w:val="00D864AD"/>
    <w:rsid w:val="00D866A3"/>
    <w:rsid w:val="00D86C3C"/>
    <w:rsid w:val="00D86DC1"/>
    <w:rsid w:val="00D86DCA"/>
    <w:rsid w:val="00D86E1C"/>
    <w:rsid w:val="00D86EC6"/>
    <w:rsid w:val="00D870B2"/>
    <w:rsid w:val="00D8724C"/>
    <w:rsid w:val="00D873ED"/>
    <w:rsid w:val="00D8748A"/>
    <w:rsid w:val="00D8748C"/>
    <w:rsid w:val="00D874C5"/>
    <w:rsid w:val="00D87601"/>
    <w:rsid w:val="00D878D3"/>
    <w:rsid w:val="00D87919"/>
    <w:rsid w:val="00D87B2E"/>
    <w:rsid w:val="00D87B3F"/>
    <w:rsid w:val="00D87B75"/>
    <w:rsid w:val="00D87CF5"/>
    <w:rsid w:val="00D87D7B"/>
    <w:rsid w:val="00D87E9A"/>
    <w:rsid w:val="00D900A8"/>
    <w:rsid w:val="00D9012B"/>
    <w:rsid w:val="00D905F9"/>
    <w:rsid w:val="00D90750"/>
    <w:rsid w:val="00D9088C"/>
    <w:rsid w:val="00D90905"/>
    <w:rsid w:val="00D909F4"/>
    <w:rsid w:val="00D90B9C"/>
    <w:rsid w:val="00D90C27"/>
    <w:rsid w:val="00D90DB7"/>
    <w:rsid w:val="00D90EB5"/>
    <w:rsid w:val="00D9145D"/>
    <w:rsid w:val="00D91493"/>
    <w:rsid w:val="00D9164C"/>
    <w:rsid w:val="00D91787"/>
    <w:rsid w:val="00D918A9"/>
    <w:rsid w:val="00D91D00"/>
    <w:rsid w:val="00D91D36"/>
    <w:rsid w:val="00D91DC9"/>
    <w:rsid w:val="00D91E2A"/>
    <w:rsid w:val="00D91E7D"/>
    <w:rsid w:val="00D91EF3"/>
    <w:rsid w:val="00D91F7F"/>
    <w:rsid w:val="00D9200F"/>
    <w:rsid w:val="00D922E1"/>
    <w:rsid w:val="00D9253C"/>
    <w:rsid w:val="00D9256F"/>
    <w:rsid w:val="00D92652"/>
    <w:rsid w:val="00D9273B"/>
    <w:rsid w:val="00D92A02"/>
    <w:rsid w:val="00D92C31"/>
    <w:rsid w:val="00D92DCE"/>
    <w:rsid w:val="00D92EE9"/>
    <w:rsid w:val="00D92F1E"/>
    <w:rsid w:val="00D92F2E"/>
    <w:rsid w:val="00D92F74"/>
    <w:rsid w:val="00D930B4"/>
    <w:rsid w:val="00D93141"/>
    <w:rsid w:val="00D932B7"/>
    <w:rsid w:val="00D9331C"/>
    <w:rsid w:val="00D93681"/>
    <w:rsid w:val="00D936B9"/>
    <w:rsid w:val="00D9383B"/>
    <w:rsid w:val="00D93910"/>
    <w:rsid w:val="00D93B3A"/>
    <w:rsid w:val="00D93D08"/>
    <w:rsid w:val="00D93E0C"/>
    <w:rsid w:val="00D93F08"/>
    <w:rsid w:val="00D9443E"/>
    <w:rsid w:val="00D944D9"/>
    <w:rsid w:val="00D94540"/>
    <w:rsid w:val="00D945A8"/>
    <w:rsid w:val="00D94680"/>
    <w:rsid w:val="00D9476C"/>
    <w:rsid w:val="00D94A18"/>
    <w:rsid w:val="00D94EB8"/>
    <w:rsid w:val="00D94F03"/>
    <w:rsid w:val="00D94F0A"/>
    <w:rsid w:val="00D9506E"/>
    <w:rsid w:val="00D9530E"/>
    <w:rsid w:val="00D954FF"/>
    <w:rsid w:val="00D955CD"/>
    <w:rsid w:val="00D9564A"/>
    <w:rsid w:val="00D956FE"/>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50B"/>
    <w:rsid w:val="00D977C6"/>
    <w:rsid w:val="00D9781C"/>
    <w:rsid w:val="00D9784A"/>
    <w:rsid w:val="00D978A5"/>
    <w:rsid w:val="00D978EF"/>
    <w:rsid w:val="00D979C9"/>
    <w:rsid w:val="00D97FBD"/>
    <w:rsid w:val="00DA00B4"/>
    <w:rsid w:val="00DA01AB"/>
    <w:rsid w:val="00DA01AF"/>
    <w:rsid w:val="00DA054A"/>
    <w:rsid w:val="00DA05B1"/>
    <w:rsid w:val="00DA05E2"/>
    <w:rsid w:val="00DA069E"/>
    <w:rsid w:val="00DA0760"/>
    <w:rsid w:val="00DA0A13"/>
    <w:rsid w:val="00DA0A1E"/>
    <w:rsid w:val="00DA0C49"/>
    <w:rsid w:val="00DA0CD2"/>
    <w:rsid w:val="00DA109F"/>
    <w:rsid w:val="00DA10C2"/>
    <w:rsid w:val="00DA11B8"/>
    <w:rsid w:val="00DA1234"/>
    <w:rsid w:val="00DA12E9"/>
    <w:rsid w:val="00DA146E"/>
    <w:rsid w:val="00DA14A4"/>
    <w:rsid w:val="00DA15F5"/>
    <w:rsid w:val="00DA16ED"/>
    <w:rsid w:val="00DA1950"/>
    <w:rsid w:val="00DA1A5F"/>
    <w:rsid w:val="00DA1BF8"/>
    <w:rsid w:val="00DA1EC4"/>
    <w:rsid w:val="00DA2047"/>
    <w:rsid w:val="00DA2195"/>
    <w:rsid w:val="00DA22AF"/>
    <w:rsid w:val="00DA23DC"/>
    <w:rsid w:val="00DA25A4"/>
    <w:rsid w:val="00DA27A7"/>
    <w:rsid w:val="00DA2992"/>
    <w:rsid w:val="00DA29F8"/>
    <w:rsid w:val="00DA2DB9"/>
    <w:rsid w:val="00DA2FF4"/>
    <w:rsid w:val="00DA30C6"/>
    <w:rsid w:val="00DA3199"/>
    <w:rsid w:val="00DA3243"/>
    <w:rsid w:val="00DA329F"/>
    <w:rsid w:val="00DA32A9"/>
    <w:rsid w:val="00DA3336"/>
    <w:rsid w:val="00DA35E5"/>
    <w:rsid w:val="00DA36C8"/>
    <w:rsid w:val="00DA382E"/>
    <w:rsid w:val="00DA38A4"/>
    <w:rsid w:val="00DA38F0"/>
    <w:rsid w:val="00DA3A39"/>
    <w:rsid w:val="00DA3D9B"/>
    <w:rsid w:val="00DA3E7B"/>
    <w:rsid w:val="00DA3F4A"/>
    <w:rsid w:val="00DA3FE4"/>
    <w:rsid w:val="00DA425D"/>
    <w:rsid w:val="00DA4336"/>
    <w:rsid w:val="00DA43E1"/>
    <w:rsid w:val="00DA446C"/>
    <w:rsid w:val="00DA4522"/>
    <w:rsid w:val="00DA456D"/>
    <w:rsid w:val="00DA471B"/>
    <w:rsid w:val="00DA480F"/>
    <w:rsid w:val="00DA488D"/>
    <w:rsid w:val="00DA48FE"/>
    <w:rsid w:val="00DA4BE1"/>
    <w:rsid w:val="00DA4C1A"/>
    <w:rsid w:val="00DA4C7B"/>
    <w:rsid w:val="00DA4DA1"/>
    <w:rsid w:val="00DA4F01"/>
    <w:rsid w:val="00DA4F27"/>
    <w:rsid w:val="00DA5075"/>
    <w:rsid w:val="00DA5104"/>
    <w:rsid w:val="00DA529E"/>
    <w:rsid w:val="00DA5348"/>
    <w:rsid w:val="00DA5723"/>
    <w:rsid w:val="00DA583F"/>
    <w:rsid w:val="00DA58E2"/>
    <w:rsid w:val="00DA5B7D"/>
    <w:rsid w:val="00DA5C39"/>
    <w:rsid w:val="00DA5DCF"/>
    <w:rsid w:val="00DA5DEA"/>
    <w:rsid w:val="00DA5E6A"/>
    <w:rsid w:val="00DA5EAA"/>
    <w:rsid w:val="00DA5F0F"/>
    <w:rsid w:val="00DA60A7"/>
    <w:rsid w:val="00DA634F"/>
    <w:rsid w:val="00DA675E"/>
    <w:rsid w:val="00DA6774"/>
    <w:rsid w:val="00DA6BFA"/>
    <w:rsid w:val="00DA6C6E"/>
    <w:rsid w:val="00DA6F61"/>
    <w:rsid w:val="00DA7299"/>
    <w:rsid w:val="00DA7318"/>
    <w:rsid w:val="00DA759F"/>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13"/>
    <w:rsid w:val="00DB0F43"/>
    <w:rsid w:val="00DB0F5B"/>
    <w:rsid w:val="00DB0F8C"/>
    <w:rsid w:val="00DB103A"/>
    <w:rsid w:val="00DB110C"/>
    <w:rsid w:val="00DB1189"/>
    <w:rsid w:val="00DB13CC"/>
    <w:rsid w:val="00DB1540"/>
    <w:rsid w:val="00DB15BC"/>
    <w:rsid w:val="00DB1779"/>
    <w:rsid w:val="00DB19B6"/>
    <w:rsid w:val="00DB19BF"/>
    <w:rsid w:val="00DB1B2E"/>
    <w:rsid w:val="00DB1DBE"/>
    <w:rsid w:val="00DB1F1C"/>
    <w:rsid w:val="00DB2003"/>
    <w:rsid w:val="00DB21F2"/>
    <w:rsid w:val="00DB23B8"/>
    <w:rsid w:val="00DB2554"/>
    <w:rsid w:val="00DB2C67"/>
    <w:rsid w:val="00DB2E19"/>
    <w:rsid w:val="00DB2FB7"/>
    <w:rsid w:val="00DB31EE"/>
    <w:rsid w:val="00DB38C2"/>
    <w:rsid w:val="00DB3A14"/>
    <w:rsid w:val="00DB3C4E"/>
    <w:rsid w:val="00DB3C66"/>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B3"/>
    <w:rsid w:val="00DB57C4"/>
    <w:rsid w:val="00DB588E"/>
    <w:rsid w:val="00DB5B0C"/>
    <w:rsid w:val="00DB5B84"/>
    <w:rsid w:val="00DB5C0E"/>
    <w:rsid w:val="00DB5F33"/>
    <w:rsid w:val="00DB5FC4"/>
    <w:rsid w:val="00DB608B"/>
    <w:rsid w:val="00DB6111"/>
    <w:rsid w:val="00DB6203"/>
    <w:rsid w:val="00DB6376"/>
    <w:rsid w:val="00DB6606"/>
    <w:rsid w:val="00DB67F3"/>
    <w:rsid w:val="00DB69BA"/>
    <w:rsid w:val="00DB6F19"/>
    <w:rsid w:val="00DB6F4E"/>
    <w:rsid w:val="00DB6FD9"/>
    <w:rsid w:val="00DB7001"/>
    <w:rsid w:val="00DB7058"/>
    <w:rsid w:val="00DB708B"/>
    <w:rsid w:val="00DB70A6"/>
    <w:rsid w:val="00DB7177"/>
    <w:rsid w:val="00DB72D4"/>
    <w:rsid w:val="00DB756C"/>
    <w:rsid w:val="00DB75B4"/>
    <w:rsid w:val="00DB7775"/>
    <w:rsid w:val="00DB778D"/>
    <w:rsid w:val="00DB7865"/>
    <w:rsid w:val="00DB78ED"/>
    <w:rsid w:val="00DB79AA"/>
    <w:rsid w:val="00DB7BF1"/>
    <w:rsid w:val="00DB7C19"/>
    <w:rsid w:val="00DB7EFE"/>
    <w:rsid w:val="00DC0130"/>
    <w:rsid w:val="00DC04FD"/>
    <w:rsid w:val="00DC08F3"/>
    <w:rsid w:val="00DC09B9"/>
    <w:rsid w:val="00DC0BE6"/>
    <w:rsid w:val="00DC0D9F"/>
    <w:rsid w:val="00DC0DFF"/>
    <w:rsid w:val="00DC102F"/>
    <w:rsid w:val="00DC10BE"/>
    <w:rsid w:val="00DC119E"/>
    <w:rsid w:val="00DC1280"/>
    <w:rsid w:val="00DC14C9"/>
    <w:rsid w:val="00DC1568"/>
    <w:rsid w:val="00DC1580"/>
    <w:rsid w:val="00DC162F"/>
    <w:rsid w:val="00DC1B8A"/>
    <w:rsid w:val="00DC1D79"/>
    <w:rsid w:val="00DC1E9E"/>
    <w:rsid w:val="00DC1F10"/>
    <w:rsid w:val="00DC20CF"/>
    <w:rsid w:val="00DC224B"/>
    <w:rsid w:val="00DC22A2"/>
    <w:rsid w:val="00DC2350"/>
    <w:rsid w:val="00DC2624"/>
    <w:rsid w:val="00DC2C64"/>
    <w:rsid w:val="00DC2D29"/>
    <w:rsid w:val="00DC2E18"/>
    <w:rsid w:val="00DC2FD4"/>
    <w:rsid w:val="00DC304B"/>
    <w:rsid w:val="00DC30BB"/>
    <w:rsid w:val="00DC31B2"/>
    <w:rsid w:val="00DC31FD"/>
    <w:rsid w:val="00DC3276"/>
    <w:rsid w:val="00DC341B"/>
    <w:rsid w:val="00DC34AA"/>
    <w:rsid w:val="00DC3920"/>
    <w:rsid w:val="00DC3A9B"/>
    <w:rsid w:val="00DC3C5E"/>
    <w:rsid w:val="00DC3C8C"/>
    <w:rsid w:val="00DC4027"/>
    <w:rsid w:val="00DC40C9"/>
    <w:rsid w:val="00DC4274"/>
    <w:rsid w:val="00DC45D2"/>
    <w:rsid w:val="00DC4629"/>
    <w:rsid w:val="00DC486A"/>
    <w:rsid w:val="00DC486E"/>
    <w:rsid w:val="00DC4AB5"/>
    <w:rsid w:val="00DC4D7E"/>
    <w:rsid w:val="00DC529B"/>
    <w:rsid w:val="00DC54FC"/>
    <w:rsid w:val="00DC5506"/>
    <w:rsid w:val="00DC5C95"/>
    <w:rsid w:val="00DC5D78"/>
    <w:rsid w:val="00DC5EDF"/>
    <w:rsid w:val="00DC5F03"/>
    <w:rsid w:val="00DC6081"/>
    <w:rsid w:val="00DC6111"/>
    <w:rsid w:val="00DC620B"/>
    <w:rsid w:val="00DC6232"/>
    <w:rsid w:val="00DC6314"/>
    <w:rsid w:val="00DC649A"/>
    <w:rsid w:val="00DC64D0"/>
    <w:rsid w:val="00DC65AF"/>
    <w:rsid w:val="00DC65F3"/>
    <w:rsid w:val="00DC66B4"/>
    <w:rsid w:val="00DC66F1"/>
    <w:rsid w:val="00DC692E"/>
    <w:rsid w:val="00DC6AE5"/>
    <w:rsid w:val="00DC6B01"/>
    <w:rsid w:val="00DC7176"/>
    <w:rsid w:val="00DC718C"/>
    <w:rsid w:val="00DC732A"/>
    <w:rsid w:val="00DC7666"/>
    <w:rsid w:val="00DC7685"/>
    <w:rsid w:val="00DC76BC"/>
    <w:rsid w:val="00DC77EA"/>
    <w:rsid w:val="00DC7BD5"/>
    <w:rsid w:val="00DC7C47"/>
    <w:rsid w:val="00DD0341"/>
    <w:rsid w:val="00DD04F3"/>
    <w:rsid w:val="00DD070A"/>
    <w:rsid w:val="00DD0AB7"/>
    <w:rsid w:val="00DD0B6B"/>
    <w:rsid w:val="00DD0D4A"/>
    <w:rsid w:val="00DD0D5E"/>
    <w:rsid w:val="00DD0F71"/>
    <w:rsid w:val="00DD11AD"/>
    <w:rsid w:val="00DD135D"/>
    <w:rsid w:val="00DD13C0"/>
    <w:rsid w:val="00DD172B"/>
    <w:rsid w:val="00DD177B"/>
    <w:rsid w:val="00DD17F2"/>
    <w:rsid w:val="00DD192C"/>
    <w:rsid w:val="00DD193F"/>
    <w:rsid w:val="00DD1A13"/>
    <w:rsid w:val="00DD1BC0"/>
    <w:rsid w:val="00DD1BFC"/>
    <w:rsid w:val="00DD1C09"/>
    <w:rsid w:val="00DD1C0D"/>
    <w:rsid w:val="00DD1C87"/>
    <w:rsid w:val="00DD1EA5"/>
    <w:rsid w:val="00DD1F32"/>
    <w:rsid w:val="00DD1F76"/>
    <w:rsid w:val="00DD1F9D"/>
    <w:rsid w:val="00DD1FE1"/>
    <w:rsid w:val="00DD208E"/>
    <w:rsid w:val="00DD227F"/>
    <w:rsid w:val="00DD22D8"/>
    <w:rsid w:val="00DD23C5"/>
    <w:rsid w:val="00DD23C6"/>
    <w:rsid w:val="00DD23C7"/>
    <w:rsid w:val="00DD24E3"/>
    <w:rsid w:val="00DD267F"/>
    <w:rsid w:val="00DD26DF"/>
    <w:rsid w:val="00DD27C8"/>
    <w:rsid w:val="00DD28CF"/>
    <w:rsid w:val="00DD2A77"/>
    <w:rsid w:val="00DD2DA8"/>
    <w:rsid w:val="00DD2EC6"/>
    <w:rsid w:val="00DD2FB6"/>
    <w:rsid w:val="00DD30AF"/>
    <w:rsid w:val="00DD317C"/>
    <w:rsid w:val="00DD333E"/>
    <w:rsid w:val="00DD3384"/>
    <w:rsid w:val="00DD3620"/>
    <w:rsid w:val="00DD36E4"/>
    <w:rsid w:val="00DD3752"/>
    <w:rsid w:val="00DD395D"/>
    <w:rsid w:val="00DD39CD"/>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6CA"/>
    <w:rsid w:val="00DD5A11"/>
    <w:rsid w:val="00DD5A1C"/>
    <w:rsid w:val="00DD5B50"/>
    <w:rsid w:val="00DD5D4B"/>
    <w:rsid w:val="00DD5DE5"/>
    <w:rsid w:val="00DD6245"/>
    <w:rsid w:val="00DD62C5"/>
    <w:rsid w:val="00DD6303"/>
    <w:rsid w:val="00DD6304"/>
    <w:rsid w:val="00DD64E4"/>
    <w:rsid w:val="00DD6532"/>
    <w:rsid w:val="00DD66EF"/>
    <w:rsid w:val="00DD6789"/>
    <w:rsid w:val="00DD67BB"/>
    <w:rsid w:val="00DD6836"/>
    <w:rsid w:val="00DD6910"/>
    <w:rsid w:val="00DD69D9"/>
    <w:rsid w:val="00DD7038"/>
    <w:rsid w:val="00DD7077"/>
    <w:rsid w:val="00DD709D"/>
    <w:rsid w:val="00DD7202"/>
    <w:rsid w:val="00DD721A"/>
    <w:rsid w:val="00DD72A8"/>
    <w:rsid w:val="00DD74A4"/>
    <w:rsid w:val="00DD772F"/>
    <w:rsid w:val="00DD774A"/>
    <w:rsid w:val="00DD7935"/>
    <w:rsid w:val="00DD7AE5"/>
    <w:rsid w:val="00DD7B1A"/>
    <w:rsid w:val="00DD7D5D"/>
    <w:rsid w:val="00DD7DD1"/>
    <w:rsid w:val="00DD7E7F"/>
    <w:rsid w:val="00DD7F17"/>
    <w:rsid w:val="00DE0011"/>
    <w:rsid w:val="00DE010F"/>
    <w:rsid w:val="00DE02EB"/>
    <w:rsid w:val="00DE0331"/>
    <w:rsid w:val="00DE04ED"/>
    <w:rsid w:val="00DE07D2"/>
    <w:rsid w:val="00DE07F0"/>
    <w:rsid w:val="00DE0853"/>
    <w:rsid w:val="00DE0880"/>
    <w:rsid w:val="00DE0947"/>
    <w:rsid w:val="00DE09E5"/>
    <w:rsid w:val="00DE0C4B"/>
    <w:rsid w:val="00DE0CC9"/>
    <w:rsid w:val="00DE0E79"/>
    <w:rsid w:val="00DE10E2"/>
    <w:rsid w:val="00DE1336"/>
    <w:rsid w:val="00DE17A1"/>
    <w:rsid w:val="00DE196B"/>
    <w:rsid w:val="00DE1D17"/>
    <w:rsid w:val="00DE1E1F"/>
    <w:rsid w:val="00DE1F48"/>
    <w:rsid w:val="00DE1F70"/>
    <w:rsid w:val="00DE2093"/>
    <w:rsid w:val="00DE2200"/>
    <w:rsid w:val="00DE22D0"/>
    <w:rsid w:val="00DE26FF"/>
    <w:rsid w:val="00DE2721"/>
    <w:rsid w:val="00DE2749"/>
    <w:rsid w:val="00DE2756"/>
    <w:rsid w:val="00DE28C1"/>
    <w:rsid w:val="00DE28C9"/>
    <w:rsid w:val="00DE2A31"/>
    <w:rsid w:val="00DE2C4D"/>
    <w:rsid w:val="00DE2CD3"/>
    <w:rsid w:val="00DE2E06"/>
    <w:rsid w:val="00DE2E68"/>
    <w:rsid w:val="00DE2E8A"/>
    <w:rsid w:val="00DE3001"/>
    <w:rsid w:val="00DE300D"/>
    <w:rsid w:val="00DE33EE"/>
    <w:rsid w:val="00DE34A9"/>
    <w:rsid w:val="00DE3544"/>
    <w:rsid w:val="00DE392E"/>
    <w:rsid w:val="00DE3A26"/>
    <w:rsid w:val="00DE3D2F"/>
    <w:rsid w:val="00DE3FA6"/>
    <w:rsid w:val="00DE42DB"/>
    <w:rsid w:val="00DE4402"/>
    <w:rsid w:val="00DE4677"/>
    <w:rsid w:val="00DE46C9"/>
    <w:rsid w:val="00DE4722"/>
    <w:rsid w:val="00DE47FC"/>
    <w:rsid w:val="00DE486B"/>
    <w:rsid w:val="00DE4968"/>
    <w:rsid w:val="00DE4BFA"/>
    <w:rsid w:val="00DE4C84"/>
    <w:rsid w:val="00DE4EFB"/>
    <w:rsid w:val="00DE5059"/>
    <w:rsid w:val="00DE53C3"/>
    <w:rsid w:val="00DE5480"/>
    <w:rsid w:val="00DE5601"/>
    <w:rsid w:val="00DE5761"/>
    <w:rsid w:val="00DE577A"/>
    <w:rsid w:val="00DE5959"/>
    <w:rsid w:val="00DE596B"/>
    <w:rsid w:val="00DE5A82"/>
    <w:rsid w:val="00DE5EF9"/>
    <w:rsid w:val="00DE5F50"/>
    <w:rsid w:val="00DE5FE9"/>
    <w:rsid w:val="00DE5FF8"/>
    <w:rsid w:val="00DE610B"/>
    <w:rsid w:val="00DE641B"/>
    <w:rsid w:val="00DE64DD"/>
    <w:rsid w:val="00DE6560"/>
    <w:rsid w:val="00DE6590"/>
    <w:rsid w:val="00DE65D6"/>
    <w:rsid w:val="00DE66DD"/>
    <w:rsid w:val="00DE686F"/>
    <w:rsid w:val="00DE6885"/>
    <w:rsid w:val="00DE695B"/>
    <w:rsid w:val="00DE6A3D"/>
    <w:rsid w:val="00DE6A97"/>
    <w:rsid w:val="00DE6F2A"/>
    <w:rsid w:val="00DE709A"/>
    <w:rsid w:val="00DE724C"/>
    <w:rsid w:val="00DE72D7"/>
    <w:rsid w:val="00DE74BA"/>
    <w:rsid w:val="00DE7537"/>
    <w:rsid w:val="00DE785E"/>
    <w:rsid w:val="00DE7A92"/>
    <w:rsid w:val="00DE7B61"/>
    <w:rsid w:val="00DE7C16"/>
    <w:rsid w:val="00DE7DDC"/>
    <w:rsid w:val="00DE7DE3"/>
    <w:rsid w:val="00DF005A"/>
    <w:rsid w:val="00DF01D6"/>
    <w:rsid w:val="00DF0340"/>
    <w:rsid w:val="00DF0502"/>
    <w:rsid w:val="00DF061A"/>
    <w:rsid w:val="00DF062D"/>
    <w:rsid w:val="00DF09B1"/>
    <w:rsid w:val="00DF0B98"/>
    <w:rsid w:val="00DF0BB2"/>
    <w:rsid w:val="00DF0CDF"/>
    <w:rsid w:val="00DF0D49"/>
    <w:rsid w:val="00DF0FEE"/>
    <w:rsid w:val="00DF10A3"/>
    <w:rsid w:val="00DF1210"/>
    <w:rsid w:val="00DF13FD"/>
    <w:rsid w:val="00DF1465"/>
    <w:rsid w:val="00DF1575"/>
    <w:rsid w:val="00DF17E4"/>
    <w:rsid w:val="00DF18D9"/>
    <w:rsid w:val="00DF1903"/>
    <w:rsid w:val="00DF1BB2"/>
    <w:rsid w:val="00DF1D0B"/>
    <w:rsid w:val="00DF1E71"/>
    <w:rsid w:val="00DF2127"/>
    <w:rsid w:val="00DF21D5"/>
    <w:rsid w:val="00DF28F8"/>
    <w:rsid w:val="00DF2BD1"/>
    <w:rsid w:val="00DF2C0A"/>
    <w:rsid w:val="00DF2CEC"/>
    <w:rsid w:val="00DF2D96"/>
    <w:rsid w:val="00DF2DAF"/>
    <w:rsid w:val="00DF2E41"/>
    <w:rsid w:val="00DF30A0"/>
    <w:rsid w:val="00DF3234"/>
    <w:rsid w:val="00DF3285"/>
    <w:rsid w:val="00DF32DA"/>
    <w:rsid w:val="00DF341A"/>
    <w:rsid w:val="00DF3471"/>
    <w:rsid w:val="00DF34CD"/>
    <w:rsid w:val="00DF3534"/>
    <w:rsid w:val="00DF35C0"/>
    <w:rsid w:val="00DF385E"/>
    <w:rsid w:val="00DF3891"/>
    <w:rsid w:val="00DF4099"/>
    <w:rsid w:val="00DF4163"/>
    <w:rsid w:val="00DF4288"/>
    <w:rsid w:val="00DF42EF"/>
    <w:rsid w:val="00DF447B"/>
    <w:rsid w:val="00DF47CA"/>
    <w:rsid w:val="00DF47E8"/>
    <w:rsid w:val="00DF4AE0"/>
    <w:rsid w:val="00DF4DAE"/>
    <w:rsid w:val="00DF4EE7"/>
    <w:rsid w:val="00DF517D"/>
    <w:rsid w:val="00DF52DC"/>
    <w:rsid w:val="00DF53D3"/>
    <w:rsid w:val="00DF53E1"/>
    <w:rsid w:val="00DF54E7"/>
    <w:rsid w:val="00DF58BD"/>
    <w:rsid w:val="00DF59BD"/>
    <w:rsid w:val="00DF5B49"/>
    <w:rsid w:val="00DF5F7B"/>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57C"/>
    <w:rsid w:val="00DF79C3"/>
    <w:rsid w:val="00DF7A5A"/>
    <w:rsid w:val="00DF7A92"/>
    <w:rsid w:val="00DF7B51"/>
    <w:rsid w:val="00DF7C96"/>
    <w:rsid w:val="00DF7CA2"/>
    <w:rsid w:val="00DF7CE2"/>
    <w:rsid w:val="00DF7E6C"/>
    <w:rsid w:val="00E001F6"/>
    <w:rsid w:val="00E0025F"/>
    <w:rsid w:val="00E002E4"/>
    <w:rsid w:val="00E0036C"/>
    <w:rsid w:val="00E003CB"/>
    <w:rsid w:val="00E006DD"/>
    <w:rsid w:val="00E0074E"/>
    <w:rsid w:val="00E0077D"/>
    <w:rsid w:val="00E00801"/>
    <w:rsid w:val="00E009E1"/>
    <w:rsid w:val="00E00AA2"/>
    <w:rsid w:val="00E00B0F"/>
    <w:rsid w:val="00E00BBD"/>
    <w:rsid w:val="00E00D1D"/>
    <w:rsid w:val="00E00D38"/>
    <w:rsid w:val="00E00DAB"/>
    <w:rsid w:val="00E00ECF"/>
    <w:rsid w:val="00E00F52"/>
    <w:rsid w:val="00E0104B"/>
    <w:rsid w:val="00E012D8"/>
    <w:rsid w:val="00E012F4"/>
    <w:rsid w:val="00E0174A"/>
    <w:rsid w:val="00E01B45"/>
    <w:rsid w:val="00E01DF2"/>
    <w:rsid w:val="00E01FEA"/>
    <w:rsid w:val="00E02271"/>
    <w:rsid w:val="00E022C5"/>
    <w:rsid w:val="00E022D9"/>
    <w:rsid w:val="00E02376"/>
    <w:rsid w:val="00E0241E"/>
    <w:rsid w:val="00E0267A"/>
    <w:rsid w:val="00E0279E"/>
    <w:rsid w:val="00E02D84"/>
    <w:rsid w:val="00E02DF0"/>
    <w:rsid w:val="00E03055"/>
    <w:rsid w:val="00E033F7"/>
    <w:rsid w:val="00E034C3"/>
    <w:rsid w:val="00E03558"/>
    <w:rsid w:val="00E03562"/>
    <w:rsid w:val="00E037EC"/>
    <w:rsid w:val="00E03A1F"/>
    <w:rsid w:val="00E03A3B"/>
    <w:rsid w:val="00E03AED"/>
    <w:rsid w:val="00E03BAC"/>
    <w:rsid w:val="00E03C24"/>
    <w:rsid w:val="00E03D66"/>
    <w:rsid w:val="00E03E4A"/>
    <w:rsid w:val="00E0400F"/>
    <w:rsid w:val="00E04287"/>
    <w:rsid w:val="00E04338"/>
    <w:rsid w:val="00E0434E"/>
    <w:rsid w:val="00E04381"/>
    <w:rsid w:val="00E04591"/>
    <w:rsid w:val="00E04917"/>
    <w:rsid w:val="00E04A32"/>
    <w:rsid w:val="00E04ADC"/>
    <w:rsid w:val="00E04AE6"/>
    <w:rsid w:val="00E04B70"/>
    <w:rsid w:val="00E04C77"/>
    <w:rsid w:val="00E04E36"/>
    <w:rsid w:val="00E04E75"/>
    <w:rsid w:val="00E0509B"/>
    <w:rsid w:val="00E052A2"/>
    <w:rsid w:val="00E05397"/>
    <w:rsid w:val="00E054BC"/>
    <w:rsid w:val="00E05B8C"/>
    <w:rsid w:val="00E05D0D"/>
    <w:rsid w:val="00E05DE4"/>
    <w:rsid w:val="00E05DF8"/>
    <w:rsid w:val="00E05E53"/>
    <w:rsid w:val="00E05E67"/>
    <w:rsid w:val="00E05FFF"/>
    <w:rsid w:val="00E0613F"/>
    <w:rsid w:val="00E0639A"/>
    <w:rsid w:val="00E065F3"/>
    <w:rsid w:val="00E06603"/>
    <w:rsid w:val="00E06ACE"/>
    <w:rsid w:val="00E06D78"/>
    <w:rsid w:val="00E06E30"/>
    <w:rsid w:val="00E06F8E"/>
    <w:rsid w:val="00E07169"/>
    <w:rsid w:val="00E07244"/>
    <w:rsid w:val="00E0724A"/>
    <w:rsid w:val="00E0726E"/>
    <w:rsid w:val="00E07271"/>
    <w:rsid w:val="00E072D8"/>
    <w:rsid w:val="00E0753A"/>
    <w:rsid w:val="00E075F5"/>
    <w:rsid w:val="00E076F1"/>
    <w:rsid w:val="00E07913"/>
    <w:rsid w:val="00E07A86"/>
    <w:rsid w:val="00E07AF5"/>
    <w:rsid w:val="00E07D12"/>
    <w:rsid w:val="00E07E2D"/>
    <w:rsid w:val="00E07F0E"/>
    <w:rsid w:val="00E10351"/>
    <w:rsid w:val="00E10703"/>
    <w:rsid w:val="00E1089C"/>
    <w:rsid w:val="00E108C0"/>
    <w:rsid w:val="00E109F4"/>
    <w:rsid w:val="00E10C62"/>
    <w:rsid w:val="00E10C77"/>
    <w:rsid w:val="00E10E24"/>
    <w:rsid w:val="00E10FA8"/>
    <w:rsid w:val="00E11030"/>
    <w:rsid w:val="00E1120A"/>
    <w:rsid w:val="00E11378"/>
    <w:rsid w:val="00E113F2"/>
    <w:rsid w:val="00E1162A"/>
    <w:rsid w:val="00E11741"/>
    <w:rsid w:val="00E11743"/>
    <w:rsid w:val="00E11767"/>
    <w:rsid w:val="00E11A40"/>
    <w:rsid w:val="00E11A95"/>
    <w:rsid w:val="00E11E09"/>
    <w:rsid w:val="00E11F4C"/>
    <w:rsid w:val="00E11F55"/>
    <w:rsid w:val="00E1202D"/>
    <w:rsid w:val="00E122F1"/>
    <w:rsid w:val="00E122F9"/>
    <w:rsid w:val="00E12814"/>
    <w:rsid w:val="00E128FC"/>
    <w:rsid w:val="00E12AF9"/>
    <w:rsid w:val="00E12D4D"/>
    <w:rsid w:val="00E12F21"/>
    <w:rsid w:val="00E12FD9"/>
    <w:rsid w:val="00E131F9"/>
    <w:rsid w:val="00E1322A"/>
    <w:rsid w:val="00E1330B"/>
    <w:rsid w:val="00E1355F"/>
    <w:rsid w:val="00E135F4"/>
    <w:rsid w:val="00E13714"/>
    <w:rsid w:val="00E1381B"/>
    <w:rsid w:val="00E13A76"/>
    <w:rsid w:val="00E13AEB"/>
    <w:rsid w:val="00E13B4F"/>
    <w:rsid w:val="00E13C51"/>
    <w:rsid w:val="00E13F3F"/>
    <w:rsid w:val="00E13FAF"/>
    <w:rsid w:val="00E1430C"/>
    <w:rsid w:val="00E143E7"/>
    <w:rsid w:val="00E1456F"/>
    <w:rsid w:val="00E1479E"/>
    <w:rsid w:val="00E14824"/>
    <w:rsid w:val="00E1484A"/>
    <w:rsid w:val="00E14BD8"/>
    <w:rsid w:val="00E14C4C"/>
    <w:rsid w:val="00E14D7B"/>
    <w:rsid w:val="00E14E60"/>
    <w:rsid w:val="00E14F5D"/>
    <w:rsid w:val="00E150AD"/>
    <w:rsid w:val="00E150EF"/>
    <w:rsid w:val="00E152CC"/>
    <w:rsid w:val="00E153AE"/>
    <w:rsid w:val="00E15438"/>
    <w:rsid w:val="00E1548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B2A"/>
    <w:rsid w:val="00E16D30"/>
    <w:rsid w:val="00E16E0F"/>
    <w:rsid w:val="00E16EF6"/>
    <w:rsid w:val="00E1702B"/>
    <w:rsid w:val="00E17059"/>
    <w:rsid w:val="00E1707A"/>
    <w:rsid w:val="00E17137"/>
    <w:rsid w:val="00E17616"/>
    <w:rsid w:val="00E17667"/>
    <w:rsid w:val="00E17765"/>
    <w:rsid w:val="00E17776"/>
    <w:rsid w:val="00E178DA"/>
    <w:rsid w:val="00E17B84"/>
    <w:rsid w:val="00E17DFE"/>
    <w:rsid w:val="00E203F2"/>
    <w:rsid w:val="00E204AA"/>
    <w:rsid w:val="00E2084F"/>
    <w:rsid w:val="00E20B7D"/>
    <w:rsid w:val="00E20C8D"/>
    <w:rsid w:val="00E20DC3"/>
    <w:rsid w:val="00E20FAB"/>
    <w:rsid w:val="00E2102A"/>
    <w:rsid w:val="00E2118A"/>
    <w:rsid w:val="00E213C3"/>
    <w:rsid w:val="00E2149D"/>
    <w:rsid w:val="00E214E3"/>
    <w:rsid w:val="00E2154A"/>
    <w:rsid w:val="00E2160D"/>
    <w:rsid w:val="00E21798"/>
    <w:rsid w:val="00E2191B"/>
    <w:rsid w:val="00E219BF"/>
    <w:rsid w:val="00E21AB0"/>
    <w:rsid w:val="00E21B1F"/>
    <w:rsid w:val="00E21B24"/>
    <w:rsid w:val="00E21E67"/>
    <w:rsid w:val="00E21ED8"/>
    <w:rsid w:val="00E21EDF"/>
    <w:rsid w:val="00E21F77"/>
    <w:rsid w:val="00E22003"/>
    <w:rsid w:val="00E2213A"/>
    <w:rsid w:val="00E22304"/>
    <w:rsid w:val="00E225E9"/>
    <w:rsid w:val="00E22795"/>
    <w:rsid w:val="00E22797"/>
    <w:rsid w:val="00E2279D"/>
    <w:rsid w:val="00E228B5"/>
    <w:rsid w:val="00E228BA"/>
    <w:rsid w:val="00E229FD"/>
    <w:rsid w:val="00E22A6E"/>
    <w:rsid w:val="00E22AD2"/>
    <w:rsid w:val="00E22C35"/>
    <w:rsid w:val="00E22CB6"/>
    <w:rsid w:val="00E22D30"/>
    <w:rsid w:val="00E22DC7"/>
    <w:rsid w:val="00E22EA2"/>
    <w:rsid w:val="00E22F7B"/>
    <w:rsid w:val="00E22F97"/>
    <w:rsid w:val="00E232EF"/>
    <w:rsid w:val="00E235FD"/>
    <w:rsid w:val="00E236BA"/>
    <w:rsid w:val="00E2393E"/>
    <w:rsid w:val="00E23DE6"/>
    <w:rsid w:val="00E23EAB"/>
    <w:rsid w:val="00E23F4C"/>
    <w:rsid w:val="00E23FB7"/>
    <w:rsid w:val="00E24168"/>
    <w:rsid w:val="00E241EF"/>
    <w:rsid w:val="00E246DC"/>
    <w:rsid w:val="00E247A1"/>
    <w:rsid w:val="00E24870"/>
    <w:rsid w:val="00E2489A"/>
    <w:rsid w:val="00E248EB"/>
    <w:rsid w:val="00E24A4B"/>
    <w:rsid w:val="00E24AD0"/>
    <w:rsid w:val="00E24B38"/>
    <w:rsid w:val="00E24E9E"/>
    <w:rsid w:val="00E25066"/>
    <w:rsid w:val="00E25250"/>
    <w:rsid w:val="00E25291"/>
    <w:rsid w:val="00E2548D"/>
    <w:rsid w:val="00E258DC"/>
    <w:rsid w:val="00E259C5"/>
    <w:rsid w:val="00E25C0A"/>
    <w:rsid w:val="00E25CE8"/>
    <w:rsid w:val="00E25E51"/>
    <w:rsid w:val="00E260AE"/>
    <w:rsid w:val="00E260ED"/>
    <w:rsid w:val="00E26132"/>
    <w:rsid w:val="00E2620E"/>
    <w:rsid w:val="00E26280"/>
    <w:rsid w:val="00E26452"/>
    <w:rsid w:val="00E266F9"/>
    <w:rsid w:val="00E26813"/>
    <w:rsid w:val="00E2681A"/>
    <w:rsid w:val="00E2696B"/>
    <w:rsid w:val="00E269B4"/>
    <w:rsid w:val="00E269F9"/>
    <w:rsid w:val="00E26AE2"/>
    <w:rsid w:val="00E26C50"/>
    <w:rsid w:val="00E26D31"/>
    <w:rsid w:val="00E26EF8"/>
    <w:rsid w:val="00E27101"/>
    <w:rsid w:val="00E27129"/>
    <w:rsid w:val="00E273F1"/>
    <w:rsid w:val="00E2771F"/>
    <w:rsid w:val="00E2790E"/>
    <w:rsid w:val="00E27C7F"/>
    <w:rsid w:val="00E27CD7"/>
    <w:rsid w:val="00E300AE"/>
    <w:rsid w:val="00E3030D"/>
    <w:rsid w:val="00E3077B"/>
    <w:rsid w:val="00E30876"/>
    <w:rsid w:val="00E308C8"/>
    <w:rsid w:val="00E308E0"/>
    <w:rsid w:val="00E30976"/>
    <w:rsid w:val="00E309DA"/>
    <w:rsid w:val="00E30C88"/>
    <w:rsid w:val="00E30D64"/>
    <w:rsid w:val="00E30E78"/>
    <w:rsid w:val="00E30FF7"/>
    <w:rsid w:val="00E31037"/>
    <w:rsid w:val="00E310BF"/>
    <w:rsid w:val="00E310E3"/>
    <w:rsid w:val="00E3119D"/>
    <w:rsid w:val="00E3124E"/>
    <w:rsid w:val="00E31301"/>
    <w:rsid w:val="00E31375"/>
    <w:rsid w:val="00E31464"/>
    <w:rsid w:val="00E314E6"/>
    <w:rsid w:val="00E3158A"/>
    <w:rsid w:val="00E316A9"/>
    <w:rsid w:val="00E317A0"/>
    <w:rsid w:val="00E3194D"/>
    <w:rsid w:val="00E31AF2"/>
    <w:rsid w:val="00E31EC7"/>
    <w:rsid w:val="00E31F46"/>
    <w:rsid w:val="00E31F92"/>
    <w:rsid w:val="00E320C1"/>
    <w:rsid w:val="00E3221D"/>
    <w:rsid w:val="00E3233A"/>
    <w:rsid w:val="00E323C1"/>
    <w:rsid w:val="00E324AB"/>
    <w:rsid w:val="00E325E8"/>
    <w:rsid w:val="00E32777"/>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0F"/>
    <w:rsid w:val="00E33D3D"/>
    <w:rsid w:val="00E33D4D"/>
    <w:rsid w:val="00E34049"/>
    <w:rsid w:val="00E340BB"/>
    <w:rsid w:val="00E34217"/>
    <w:rsid w:val="00E34266"/>
    <w:rsid w:val="00E34288"/>
    <w:rsid w:val="00E34452"/>
    <w:rsid w:val="00E34520"/>
    <w:rsid w:val="00E346EB"/>
    <w:rsid w:val="00E34CF0"/>
    <w:rsid w:val="00E34D1E"/>
    <w:rsid w:val="00E35258"/>
    <w:rsid w:val="00E35340"/>
    <w:rsid w:val="00E35424"/>
    <w:rsid w:val="00E355C3"/>
    <w:rsid w:val="00E35C1C"/>
    <w:rsid w:val="00E36008"/>
    <w:rsid w:val="00E3631C"/>
    <w:rsid w:val="00E363B3"/>
    <w:rsid w:val="00E36D0F"/>
    <w:rsid w:val="00E36D75"/>
    <w:rsid w:val="00E36EA8"/>
    <w:rsid w:val="00E37073"/>
    <w:rsid w:val="00E37223"/>
    <w:rsid w:val="00E3730D"/>
    <w:rsid w:val="00E37325"/>
    <w:rsid w:val="00E3732E"/>
    <w:rsid w:val="00E3772C"/>
    <w:rsid w:val="00E37749"/>
    <w:rsid w:val="00E3793A"/>
    <w:rsid w:val="00E37948"/>
    <w:rsid w:val="00E379D7"/>
    <w:rsid w:val="00E37A19"/>
    <w:rsid w:val="00E37A7B"/>
    <w:rsid w:val="00E37A95"/>
    <w:rsid w:val="00E37AE4"/>
    <w:rsid w:val="00E37BA9"/>
    <w:rsid w:val="00E37D6B"/>
    <w:rsid w:val="00E37F64"/>
    <w:rsid w:val="00E37F79"/>
    <w:rsid w:val="00E37FBA"/>
    <w:rsid w:val="00E400D5"/>
    <w:rsid w:val="00E40148"/>
    <w:rsid w:val="00E402A7"/>
    <w:rsid w:val="00E403AA"/>
    <w:rsid w:val="00E40409"/>
    <w:rsid w:val="00E4040D"/>
    <w:rsid w:val="00E40AFF"/>
    <w:rsid w:val="00E40B42"/>
    <w:rsid w:val="00E40B67"/>
    <w:rsid w:val="00E40B68"/>
    <w:rsid w:val="00E40D97"/>
    <w:rsid w:val="00E414FF"/>
    <w:rsid w:val="00E41514"/>
    <w:rsid w:val="00E41749"/>
    <w:rsid w:val="00E417C2"/>
    <w:rsid w:val="00E41D23"/>
    <w:rsid w:val="00E41E15"/>
    <w:rsid w:val="00E41ED1"/>
    <w:rsid w:val="00E42050"/>
    <w:rsid w:val="00E42202"/>
    <w:rsid w:val="00E42312"/>
    <w:rsid w:val="00E42444"/>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24D"/>
    <w:rsid w:val="00E43352"/>
    <w:rsid w:val="00E4337E"/>
    <w:rsid w:val="00E4355C"/>
    <w:rsid w:val="00E4360C"/>
    <w:rsid w:val="00E437B8"/>
    <w:rsid w:val="00E438A6"/>
    <w:rsid w:val="00E439E5"/>
    <w:rsid w:val="00E43C11"/>
    <w:rsid w:val="00E43DDA"/>
    <w:rsid w:val="00E43E1C"/>
    <w:rsid w:val="00E44105"/>
    <w:rsid w:val="00E44199"/>
    <w:rsid w:val="00E442B8"/>
    <w:rsid w:val="00E443EF"/>
    <w:rsid w:val="00E4446D"/>
    <w:rsid w:val="00E4450F"/>
    <w:rsid w:val="00E4454D"/>
    <w:rsid w:val="00E44633"/>
    <w:rsid w:val="00E44657"/>
    <w:rsid w:val="00E4474C"/>
    <w:rsid w:val="00E4475B"/>
    <w:rsid w:val="00E447FF"/>
    <w:rsid w:val="00E44BE8"/>
    <w:rsid w:val="00E44C8B"/>
    <w:rsid w:val="00E44CB0"/>
    <w:rsid w:val="00E44DF5"/>
    <w:rsid w:val="00E4503E"/>
    <w:rsid w:val="00E45252"/>
    <w:rsid w:val="00E452FD"/>
    <w:rsid w:val="00E453FF"/>
    <w:rsid w:val="00E45419"/>
    <w:rsid w:val="00E45636"/>
    <w:rsid w:val="00E45AC5"/>
    <w:rsid w:val="00E45B7F"/>
    <w:rsid w:val="00E45C1E"/>
    <w:rsid w:val="00E45C7A"/>
    <w:rsid w:val="00E45E00"/>
    <w:rsid w:val="00E45EB1"/>
    <w:rsid w:val="00E45EE6"/>
    <w:rsid w:val="00E460D1"/>
    <w:rsid w:val="00E460ED"/>
    <w:rsid w:val="00E46278"/>
    <w:rsid w:val="00E462EC"/>
    <w:rsid w:val="00E46401"/>
    <w:rsid w:val="00E4680F"/>
    <w:rsid w:val="00E46C96"/>
    <w:rsid w:val="00E46F70"/>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669"/>
    <w:rsid w:val="00E50726"/>
    <w:rsid w:val="00E50761"/>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1E47"/>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C8"/>
    <w:rsid w:val="00E537D6"/>
    <w:rsid w:val="00E537D8"/>
    <w:rsid w:val="00E53846"/>
    <w:rsid w:val="00E538FF"/>
    <w:rsid w:val="00E53918"/>
    <w:rsid w:val="00E53A9E"/>
    <w:rsid w:val="00E53BDB"/>
    <w:rsid w:val="00E53EA2"/>
    <w:rsid w:val="00E53F63"/>
    <w:rsid w:val="00E540CC"/>
    <w:rsid w:val="00E54203"/>
    <w:rsid w:val="00E543DF"/>
    <w:rsid w:val="00E5442D"/>
    <w:rsid w:val="00E544E7"/>
    <w:rsid w:val="00E54673"/>
    <w:rsid w:val="00E54705"/>
    <w:rsid w:val="00E54770"/>
    <w:rsid w:val="00E548E4"/>
    <w:rsid w:val="00E54CA0"/>
    <w:rsid w:val="00E54D06"/>
    <w:rsid w:val="00E54D07"/>
    <w:rsid w:val="00E54D12"/>
    <w:rsid w:val="00E54D39"/>
    <w:rsid w:val="00E54DDF"/>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284"/>
    <w:rsid w:val="00E563BC"/>
    <w:rsid w:val="00E5656B"/>
    <w:rsid w:val="00E56A29"/>
    <w:rsid w:val="00E56B60"/>
    <w:rsid w:val="00E56CA4"/>
    <w:rsid w:val="00E57076"/>
    <w:rsid w:val="00E570FC"/>
    <w:rsid w:val="00E5721C"/>
    <w:rsid w:val="00E5738D"/>
    <w:rsid w:val="00E573EF"/>
    <w:rsid w:val="00E5743E"/>
    <w:rsid w:val="00E57566"/>
    <w:rsid w:val="00E576B1"/>
    <w:rsid w:val="00E576CA"/>
    <w:rsid w:val="00E577AE"/>
    <w:rsid w:val="00E57824"/>
    <w:rsid w:val="00E578E8"/>
    <w:rsid w:val="00E57A25"/>
    <w:rsid w:val="00E57C47"/>
    <w:rsid w:val="00E57CBA"/>
    <w:rsid w:val="00E57CE6"/>
    <w:rsid w:val="00E57D98"/>
    <w:rsid w:val="00E57FEE"/>
    <w:rsid w:val="00E600BC"/>
    <w:rsid w:val="00E6020F"/>
    <w:rsid w:val="00E60307"/>
    <w:rsid w:val="00E60516"/>
    <w:rsid w:val="00E605F7"/>
    <w:rsid w:val="00E605FE"/>
    <w:rsid w:val="00E6062C"/>
    <w:rsid w:val="00E60A16"/>
    <w:rsid w:val="00E60BB8"/>
    <w:rsid w:val="00E60C6B"/>
    <w:rsid w:val="00E60C74"/>
    <w:rsid w:val="00E60EC7"/>
    <w:rsid w:val="00E60F1F"/>
    <w:rsid w:val="00E61069"/>
    <w:rsid w:val="00E6106E"/>
    <w:rsid w:val="00E61118"/>
    <w:rsid w:val="00E61457"/>
    <w:rsid w:val="00E616CB"/>
    <w:rsid w:val="00E617B8"/>
    <w:rsid w:val="00E61C48"/>
    <w:rsid w:val="00E61D5B"/>
    <w:rsid w:val="00E61EB1"/>
    <w:rsid w:val="00E620DA"/>
    <w:rsid w:val="00E6221E"/>
    <w:rsid w:val="00E6223E"/>
    <w:rsid w:val="00E62439"/>
    <w:rsid w:val="00E62488"/>
    <w:rsid w:val="00E624BE"/>
    <w:rsid w:val="00E624E3"/>
    <w:rsid w:val="00E625BD"/>
    <w:rsid w:val="00E625F1"/>
    <w:rsid w:val="00E627D7"/>
    <w:rsid w:val="00E627F3"/>
    <w:rsid w:val="00E62CBF"/>
    <w:rsid w:val="00E62E2A"/>
    <w:rsid w:val="00E62E87"/>
    <w:rsid w:val="00E62F2A"/>
    <w:rsid w:val="00E62FEC"/>
    <w:rsid w:val="00E631CC"/>
    <w:rsid w:val="00E631E9"/>
    <w:rsid w:val="00E63584"/>
    <w:rsid w:val="00E635C4"/>
    <w:rsid w:val="00E63633"/>
    <w:rsid w:val="00E637AE"/>
    <w:rsid w:val="00E6385F"/>
    <w:rsid w:val="00E63EDF"/>
    <w:rsid w:val="00E63F03"/>
    <w:rsid w:val="00E6401D"/>
    <w:rsid w:val="00E641D3"/>
    <w:rsid w:val="00E6430B"/>
    <w:rsid w:val="00E64457"/>
    <w:rsid w:val="00E64491"/>
    <w:rsid w:val="00E644FF"/>
    <w:rsid w:val="00E6452D"/>
    <w:rsid w:val="00E64557"/>
    <w:rsid w:val="00E64745"/>
    <w:rsid w:val="00E64772"/>
    <w:rsid w:val="00E6477D"/>
    <w:rsid w:val="00E648B9"/>
    <w:rsid w:val="00E64AA6"/>
    <w:rsid w:val="00E64CCC"/>
    <w:rsid w:val="00E64D61"/>
    <w:rsid w:val="00E64E70"/>
    <w:rsid w:val="00E64F88"/>
    <w:rsid w:val="00E652EC"/>
    <w:rsid w:val="00E652F1"/>
    <w:rsid w:val="00E6536C"/>
    <w:rsid w:val="00E653A4"/>
    <w:rsid w:val="00E65550"/>
    <w:rsid w:val="00E6563B"/>
    <w:rsid w:val="00E65897"/>
    <w:rsid w:val="00E65B80"/>
    <w:rsid w:val="00E65F50"/>
    <w:rsid w:val="00E65FCE"/>
    <w:rsid w:val="00E65FE0"/>
    <w:rsid w:val="00E6637E"/>
    <w:rsid w:val="00E66459"/>
    <w:rsid w:val="00E664CA"/>
    <w:rsid w:val="00E664D9"/>
    <w:rsid w:val="00E66679"/>
    <w:rsid w:val="00E66754"/>
    <w:rsid w:val="00E6679B"/>
    <w:rsid w:val="00E66887"/>
    <w:rsid w:val="00E66939"/>
    <w:rsid w:val="00E66A28"/>
    <w:rsid w:val="00E66ADD"/>
    <w:rsid w:val="00E66B53"/>
    <w:rsid w:val="00E66C49"/>
    <w:rsid w:val="00E6713F"/>
    <w:rsid w:val="00E672EA"/>
    <w:rsid w:val="00E6741A"/>
    <w:rsid w:val="00E67460"/>
    <w:rsid w:val="00E6772A"/>
    <w:rsid w:val="00E677EC"/>
    <w:rsid w:val="00E678E3"/>
    <w:rsid w:val="00E67A4B"/>
    <w:rsid w:val="00E67D2F"/>
    <w:rsid w:val="00E67F66"/>
    <w:rsid w:val="00E700DE"/>
    <w:rsid w:val="00E702FF"/>
    <w:rsid w:val="00E706A6"/>
    <w:rsid w:val="00E70777"/>
    <w:rsid w:val="00E70779"/>
    <w:rsid w:val="00E70844"/>
    <w:rsid w:val="00E708AF"/>
    <w:rsid w:val="00E709BF"/>
    <w:rsid w:val="00E70DF0"/>
    <w:rsid w:val="00E70ED8"/>
    <w:rsid w:val="00E70F58"/>
    <w:rsid w:val="00E7101F"/>
    <w:rsid w:val="00E71112"/>
    <w:rsid w:val="00E71113"/>
    <w:rsid w:val="00E711B6"/>
    <w:rsid w:val="00E7125E"/>
    <w:rsid w:val="00E716C5"/>
    <w:rsid w:val="00E7171C"/>
    <w:rsid w:val="00E719D6"/>
    <w:rsid w:val="00E71A38"/>
    <w:rsid w:val="00E71C87"/>
    <w:rsid w:val="00E71F42"/>
    <w:rsid w:val="00E72169"/>
    <w:rsid w:val="00E72272"/>
    <w:rsid w:val="00E72337"/>
    <w:rsid w:val="00E72342"/>
    <w:rsid w:val="00E7256C"/>
    <w:rsid w:val="00E7280E"/>
    <w:rsid w:val="00E7285A"/>
    <w:rsid w:val="00E72AB0"/>
    <w:rsid w:val="00E72B3C"/>
    <w:rsid w:val="00E72FBE"/>
    <w:rsid w:val="00E73006"/>
    <w:rsid w:val="00E7307E"/>
    <w:rsid w:val="00E73373"/>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AF0"/>
    <w:rsid w:val="00E74B78"/>
    <w:rsid w:val="00E74BE5"/>
    <w:rsid w:val="00E74C94"/>
    <w:rsid w:val="00E74CC0"/>
    <w:rsid w:val="00E74E9E"/>
    <w:rsid w:val="00E7500C"/>
    <w:rsid w:val="00E752F5"/>
    <w:rsid w:val="00E7535A"/>
    <w:rsid w:val="00E7537A"/>
    <w:rsid w:val="00E7538E"/>
    <w:rsid w:val="00E757C4"/>
    <w:rsid w:val="00E757F6"/>
    <w:rsid w:val="00E75917"/>
    <w:rsid w:val="00E75B70"/>
    <w:rsid w:val="00E75DF0"/>
    <w:rsid w:val="00E76015"/>
    <w:rsid w:val="00E76051"/>
    <w:rsid w:val="00E76105"/>
    <w:rsid w:val="00E7622D"/>
    <w:rsid w:val="00E763A7"/>
    <w:rsid w:val="00E7648C"/>
    <w:rsid w:val="00E7663B"/>
    <w:rsid w:val="00E767A4"/>
    <w:rsid w:val="00E76871"/>
    <w:rsid w:val="00E76992"/>
    <w:rsid w:val="00E769DC"/>
    <w:rsid w:val="00E76A9C"/>
    <w:rsid w:val="00E76AE4"/>
    <w:rsid w:val="00E76E71"/>
    <w:rsid w:val="00E76F32"/>
    <w:rsid w:val="00E77068"/>
    <w:rsid w:val="00E77124"/>
    <w:rsid w:val="00E7712E"/>
    <w:rsid w:val="00E771D3"/>
    <w:rsid w:val="00E775AE"/>
    <w:rsid w:val="00E77693"/>
    <w:rsid w:val="00E7775C"/>
    <w:rsid w:val="00E778D5"/>
    <w:rsid w:val="00E77AB4"/>
    <w:rsid w:val="00E77AC9"/>
    <w:rsid w:val="00E77DBD"/>
    <w:rsid w:val="00E77E47"/>
    <w:rsid w:val="00E77E79"/>
    <w:rsid w:val="00E77F68"/>
    <w:rsid w:val="00E80029"/>
    <w:rsid w:val="00E80096"/>
    <w:rsid w:val="00E8012D"/>
    <w:rsid w:val="00E80270"/>
    <w:rsid w:val="00E802B0"/>
    <w:rsid w:val="00E80366"/>
    <w:rsid w:val="00E804CC"/>
    <w:rsid w:val="00E8059B"/>
    <w:rsid w:val="00E805A2"/>
    <w:rsid w:val="00E805B9"/>
    <w:rsid w:val="00E8070A"/>
    <w:rsid w:val="00E807D2"/>
    <w:rsid w:val="00E8091D"/>
    <w:rsid w:val="00E80CA6"/>
    <w:rsid w:val="00E80EEC"/>
    <w:rsid w:val="00E81053"/>
    <w:rsid w:val="00E81072"/>
    <w:rsid w:val="00E8108B"/>
    <w:rsid w:val="00E811D4"/>
    <w:rsid w:val="00E811FE"/>
    <w:rsid w:val="00E81273"/>
    <w:rsid w:val="00E8127D"/>
    <w:rsid w:val="00E81395"/>
    <w:rsid w:val="00E81495"/>
    <w:rsid w:val="00E814B4"/>
    <w:rsid w:val="00E8178C"/>
    <w:rsid w:val="00E817A0"/>
    <w:rsid w:val="00E81879"/>
    <w:rsid w:val="00E819B4"/>
    <w:rsid w:val="00E81AA3"/>
    <w:rsid w:val="00E81AD2"/>
    <w:rsid w:val="00E81BD9"/>
    <w:rsid w:val="00E81D3A"/>
    <w:rsid w:val="00E820E0"/>
    <w:rsid w:val="00E8218B"/>
    <w:rsid w:val="00E82215"/>
    <w:rsid w:val="00E823CB"/>
    <w:rsid w:val="00E82411"/>
    <w:rsid w:val="00E8251D"/>
    <w:rsid w:val="00E8263A"/>
    <w:rsid w:val="00E826A5"/>
    <w:rsid w:val="00E8271D"/>
    <w:rsid w:val="00E82740"/>
    <w:rsid w:val="00E82B24"/>
    <w:rsid w:val="00E82C5B"/>
    <w:rsid w:val="00E82D6A"/>
    <w:rsid w:val="00E82E23"/>
    <w:rsid w:val="00E82E7D"/>
    <w:rsid w:val="00E8329F"/>
    <w:rsid w:val="00E83304"/>
    <w:rsid w:val="00E83473"/>
    <w:rsid w:val="00E83675"/>
    <w:rsid w:val="00E83770"/>
    <w:rsid w:val="00E8384F"/>
    <w:rsid w:val="00E83863"/>
    <w:rsid w:val="00E83904"/>
    <w:rsid w:val="00E83961"/>
    <w:rsid w:val="00E839D7"/>
    <w:rsid w:val="00E83B7E"/>
    <w:rsid w:val="00E83B81"/>
    <w:rsid w:val="00E83BD5"/>
    <w:rsid w:val="00E83C2E"/>
    <w:rsid w:val="00E83CCF"/>
    <w:rsid w:val="00E83CF9"/>
    <w:rsid w:val="00E83E74"/>
    <w:rsid w:val="00E8409B"/>
    <w:rsid w:val="00E841CE"/>
    <w:rsid w:val="00E842A8"/>
    <w:rsid w:val="00E8431C"/>
    <w:rsid w:val="00E84537"/>
    <w:rsid w:val="00E845BE"/>
    <w:rsid w:val="00E84871"/>
    <w:rsid w:val="00E8488A"/>
    <w:rsid w:val="00E84A60"/>
    <w:rsid w:val="00E84AF6"/>
    <w:rsid w:val="00E84BCD"/>
    <w:rsid w:val="00E84E4D"/>
    <w:rsid w:val="00E84F07"/>
    <w:rsid w:val="00E84FE6"/>
    <w:rsid w:val="00E85029"/>
    <w:rsid w:val="00E85176"/>
    <w:rsid w:val="00E852E1"/>
    <w:rsid w:val="00E8559A"/>
    <w:rsid w:val="00E855C0"/>
    <w:rsid w:val="00E85670"/>
    <w:rsid w:val="00E8577A"/>
    <w:rsid w:val="00E85802"/>
    <w:rsid w:val="00E858D6"/>
    <w:rsid w:val="00E859F9"/>
    <w:rsid w:val="00E85C21"/>
    <w:rsid w:val="00E85DA3"/>
    <w:rsid w:val="00E85E09"/>
    <w:rsid w:val="00E86067"/>
    <w:rsid w:val="00E86470"/>
    <w:rsid w:val="00E86520"/>
    <w:rsid w:val="00E8687A"/>
    <w:rsid w:val="00E86925"/>
    <w:rsid w:val="00E86956"/>
    <w:rsid w:val="00E86D21"/>
    <w:rsid w:val="00E86D48"/>
    <w:rsid w:val="00E87059"/>
    <w:rsid w:val="00E870BE"/>
    <w:rsid w:val="00E87181"/>
    <w:rsid w:val="00E87255"/>
    <w:rsid w:val="00E87498"/>
    <w:rsid w:val="00E875E0"/>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0ECE"/>
    <w:rsid w:val="00E91034"/>
    <w:rsid w:val="00E913B0"/>
    <w:rsid w:val="00E9143C"/>
    <w:rsid w:val="00E915A7"/>
    <w:rsid w:val="00E91743"/>
    <w:rsid w:val="00E91758"/>
    <w:rsid w:val="00E9177D"/>
    <w:rsid w:val="00E9186C"/>
    <w:rsid w:val="00E91994"/>
    <w:rsid w:val="00E91B0F"/>
    <w:rsid w:val="00E91D46"/>
    <w:rsid w:val="00E91F6A"/>
    <w:rsid w:val="00E9208B"/>
    <w:rsid w:val="00E920F9"/>
    <w:rsid w:val="00E92198"/>
    <w:rsid w:val="00E921A1"/>
    <w:rsid w:val="00E9259E"/>
    <w:rsid w:val="00E9273D"/>
    <w:rsid w:val="00E92795"/>
    <w:rsid w:val="00E9283F"/>
    <w:rsid w:val="00E92A30"/>
    <w:rsid w:val="00E92B44"/>
    <w:rsid w:val="00E92DFD"/>
    <w:rsid w:val="00E92E0E"/>
    <w:rsid w:val="00E93229"/>
    <w:rsid w:val="00E93254"/>
    <w:rsid w:val="00E9330F"/>
    <w:rsid w:val="00E93733"/>
    <w:rsid w:val="00E937F8"/>
    <w:rsid w:val="00E938AB"/>
    <w:rsid w:val="00E93DC6"/>
    <w:rsid w:val="00E93F27"/>
    <w:rsid w:val="00E940F5"/>
    <w:rsid w:val="00E94130"/>
    <w:rsid w:val="00E942E7"/>
    <w:rsid w:val="00E94364"/>
    <w:rsid w:val="00E9470D"/>
    <w:rsid w:val="00E94BA5"/>
    <w:rsid w:val="00E94D32"/>
    <w:rsid w:val="00E94E0C"/>
    <w:rsid w:val="00E94E3A"/>
    <w:rsid w:val="00E94F9D"/>
    <w:rsid w:val="00E9502B"/>
    <w:rsid w:val="00E9525C"/>
    <w:rsid w:val="00E9529A"/>
    <w:rsid w:val="00E954BE"/>
    <w:rsid w:val="00E9551D"/>
    <w:rsid w:val="00E95704"/>
    <w:rsid w:val="00E95961"/>
    <w:rsid w:val="00E95DD1"/>
    <w:rsid w:val="00E95EA2"/>
    <w:rsid w:val="00E95F63"/>
    <w:rsid w:val="00E95FA4"/>
    <w:rsid w:val="00E9606C"/>
    <w:rsid w:val="00E96074"/>
    <w:rsid w:val="00E96166"/>
    <w:rsid w:val="00E96218"/>
    <w:rsid w:val="00E9625E"/>
    <w:rsid w:val="00E96343"/>
    <w:rsid w:val="00E963B6"/>
    <w:rsid w:val="00E9640C"/>
    <w:rsid w:val="00E96533"/>
    <w:rsid w:val="00E96583"/>
    <w:rsid w:val="00E967BE"/>
    <w:rsid w:val="00E96977"/>
    <w:rsid w:val="00E96A1E"/>
    <w:rsid w:val="00E96AF3"/>
    <w:rsid w:val="00E96B80"/>
    <w:rsid w:val="00E96C02"/>
    <w:rsid w:val="00E96E38"/>
    <w:rsid w:val="00E96F21"/>
    <w:rsid w:val="00E9719F"/>
    <w:rsid w:val="00E9736E"/>
    <w:rsid w:val="00E973D4"/>
    <w:rsid w:val="00E97489"/>
    <w:rsid w:val="00E974F7"/>
    <w:rsid w:val="00E97617"/>
    <w:rsid w:val="00E97702"/>
    <w:rsid w:val="00E977A1"/>
    <w:rsid w:val="00E977E5"/>
    <w:rsid w:val="00E97AAE"/>
    <w:rsid w:val="00E97BD0"/>
    <w:rsid w:val="00E97BF2"/>
    <w:rsid w:val="00E97C79"/>
    <w:rsid w:val="00E97ECD"/>
    <w:rsid w:val="00E97FBD"/>
    <w:rsid w:val="00EA00A2"/>
    <w:rsid w:val="00EA013A"/>
    <w:rsid w:val="00EA04FC"/>
    <w:rsid w:val="00EA0505"/>
    <w:rsid w:val="00EA053A"/>
    <w:rsid w:val="00EA0668"/>
    <w:rsid w:val="00EA06AA"/>
    <w:rsid w:val="00EA0772"/>
    <w:rsid w:val="00EA07AD"/>
    <w:rsid w:val="00EA08EE"/>
    <w:rsid w:val="00EA08F2"/>
    <w:rsid w:val="00EA0A08"/>
    <w:rsid w:val="00EA0AE3"/>
    <w:rsid w:val="00EA0B72"/>
    <w:rsid w:val="00EA0D0C"/>
    <w:rsid w:val="00EA0DD6"/>
    <w:rsid w:val="00EA0E37"/>
    <w:rsid w:val="00EA11EA"/>
    <w:rsid w:val="00EA16B3"/>
    <w:rsid w:val="00EA1AF2"/>
    <w:rsid w:val="00EA1E1B"/>
    <w:rsid w:val="00EA2616"/>
    <w:rsid w:val="00EA2738"/>
    <w:rsid w:val="00EA273F"/>
    <w:rsid w:val="00EA28D3"/>
    <w:rsid w:val="00EA2995"/>
    <w:rsid w:val="00EA2BE0"/>
    <w:rsid w:val="00EA2DB2"/>
    <w:rsid w:val="00EA2E18"/>
    <w:rsid w:val="00EA2E6B"/>
    <w:rsid w:val="00EA2EA3"/>
    <w:rsid w:val="00EA2EF8"/>
    <w:rsid w:val="00EA3233"/>
    <w:rsid w:val="00EA32BC"/>
    <w:rsid w:val="00EA35EF"/>
    <w:rsid w:val="00EA38AF"/>
    <w:rsid w:val="00EA394C"/>
    <w:rsid w:val="00EA41F9"/>
    <w:rsid w:val="00EA4210"/>
    <w:rsid w:val="00EA4349"/>
    <w:rsid w:val="00EA439D"/>
    <w:rsid w:val="00EA43CC"/>
    <w:rsid w:val="00EA43CD"/>
    <w:rsid w:val="00EA46BA"/>
    <w:rsid w:val="00EA46CB"/>
    <w:rsid w:val="00EA46DE"/>
    <w:rsid w:val="00EA4AA3"/>
    <w:rsid w:val="00EA4AAD"/>
    <w:rsid w:val="00EA4B04"/>
    <w:rsid w:val="00EA4D41"/>
    <w:rsid w:val="00EA4D99"/>
    <w:rsid w:val="00EA4DA3"/>
    <w:rsid w:val="00EA4DCB"/>
    <w:rsid w:val="00EA4DFC"/>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A56"/>
    <w:rsid w:val="00EA7BCD"/>
    <w:rsid w:val="00EA7BD6"/>
    <w:rsid w:val="00EA7BFC"/>
    <w:rsid w:val="00EA7D75"/>
    <w:rsid w:val="00EA7D9E"/>
    <w:rsid w:val="00EA7DD7"/>
    <w:rsid w:val="00EA7F4A"/>
    <w:rsid w:val="00EB00FA"/>
    <w:rsid w:val="00EB03C5"/>
    <w:rsid w:val="00EB0595"/>
    <w:rsid w:val="00EB07A9"/>
    <w:rsid w:val="00EB08E8"/>
    <w:rsid w:val="00EB0A00"/>
    <w:rsid w:val="00EB0A51"/>
    <w:rsid w:val="00EB0BC6"/>
    <w:rsid w:val="00EB0FE0"/>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1E86"/>
    <w:rsid w:val="00EB2109"/>
    <w:rsid w:val="00EB22F1"/>
    <w:rsid w:val="00EB242D"/>
    <w:rsid w:val="00EB2445"/>
    <w:rsid w:val="00EB2583"/>
    <w:rsid w:val="00EB26B1"/>
    <w:rsid w:val="00EB2725"/>
    <w:rsid w:val="00EB28A5"/>
    <w:rsid w:val="00EB28C3"/>
    <w:rsid w:val="00EB2CE8"/>
    <w:rsid w:val="00EB2E2B"/>
    <w:rsid w:val="00EB2E67"/>
    <w:rsid w:val="00EB2E7D"/>
    <w:rsid w:val="00EB2F73"/>
    <w:rsid w:val="00EB30B8"/>
    <w:rsid w:val="00EB314A"/>
    <w:rsid w:val="00EB32C7"/>
    <w:rsid w:val="00EB3A9A"/>
    <w:rsid w:val="00EB3B4A"/>
    <w:rsid w:val="00EB3C4D"/>
    <w:rsid w:val="00EB3C5E"/>
    <w:rsid w:val="00EB4034"/>
    <w:rsid w:val="00EB409C"/>
    <w:rsid w:val="00EB411E"/>
    <w:rsid w:val="00EB41CA"/>
    <w:rsid w:val="00EB425C"/>
    <w:rsid w:val="00EB42F7"/>
    <w:rsid w:val="00EB468E"/>
    <w:rsid w:val="00EB46AD"/>
    <w:rsid w:val="00EB46F8"/>
    <w:rsid w:val="00EB4877"/>
    <w:rsid w:val="00EB489A"/>
    <w:rsid w:val="00EB4A6C"/>
    <w:rsid w:val="00EB4D62"/>
    <w:rsid w:val="00EB4F11"/>
    <w:rsid w:val="00EB4F7C"/>
    <w:rsid w:val="00EB514A"/>
    <w:rsid w:val="00EB5247"/>
    <w:rsid w:val="00EB538C"/>
    <w:rsid w:val="00EB572C"/>
    <w:rsid w:val="00EB574A"/>
    <w:rsid w:val="00EB5940"/>
    <w:rsid w:val="00EB5ADD"/>
    <w:rsid w:val="00EB5C3C"/>
    <w:rsid w:val="00EB5D6B"/>
    <w:rsid w:val="00EB5E0C"/>
    <w:rsid w:val="00EB6099"/>
    <w:rsid w:val="00EB60B1"/>
    <w:rsid w:val="00EB60D1"/>
    <w:rsid w:val="00EB6275"/>
    <w:rsid w:val="00EB62AD"/>
    <w:rsid w:val="00EB64FB"/>
    <w:rsid w:val="00EB651B"/>
    <w:rsid w:val="00EB665C"/>
    <w:rsid w:val="00EB6850"/>
    <w:rsid w:val="00EB6A8F"/>
    <w:rsid w:val="00EB6BFF"/>
    <w:rsid w:val="00EB6CC7"/>
    <w:rsid w:val="00EB6D2D"/>
    <w:rsid w:val="00EB6E2F"/>
    <w:rsid w:val="00EB6FC2"/>
    <w:rsid w:val="00EB70DB"/>
    <w:rsid w:val="00EB7189"/>
    <w:rsid w:val="00EB7295"/>
    <w:rsid w:val="00EB7318"/>
    <w:rsid w:val="00EB7725"/>
    <w:rsid w:val="00EC01F2"/>
    <w:rsid w:val="00EC05AD"/>
    <w:rsid w:val="00EC05FF"/>
    <w:rsid w:val="00EC077D"/>
    <w:rsid w:val="00EC0824"/>
    <w:rsid w:val="00EC0967"/>
    <w:rsid w:val="00EC0984"/>
    <w:rsid w:val="00EC09D6"/>
    <w:rsid w:val="00EC0A51"/>
    <w:rsid w:val="00EC0C64"/>
    <w:rsid w:val="00EC0DA1"/>
    <w:rsid w:val="00EC0DB6"/>
    <w:rsid w:val="00EC0E7E"/>
    <w:rsid w:val="00EC0F59"/>
    <w:rsid w:val="00EC0F5C"/>
    <w:rsid w:val="00EC1008"/>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2EF"/>
    <w:rsid w:val="00EC2354"/>
    <w:rsid w:val="00EC25EA"/>
    <w:rsid w:val="00EC2603"/>
    <w:rsid w:val="00EC27B4"/>
    <w:rsid w:val="00EC281F"/>
    <w:rsid w:val="00EC2933"/>
    <w:rsid w:val="00EC2A00"/>
    <w:rsid w:val="00EC2C39"/>
    <w:rsid w:val="00EC2C74"/>
    <w:rsid w:val="00EC2E7C"/>
    <w:rsid w:val="00EC2F66"/>
    <w:rsid w:val="00EC30DD"/>
    <w:rsid w:val="00EC3218"/>
    <w:rsid w:val="00EC3521"/>
    <w:rsid w:val="00EC36BF"/>
    <w:rsid w:val="00EC3859"/>
    <w:rsid w:val="00EC38BD"/>
    <w:rsid w:val="00EC3A06"/>
    <w:rsid w:val="00EC3B01"/>
    <w:rsid w:val="00EC3BE3"/>
    <w:rsid w:val="00EC3C38"/>
    <w:rsid w:val="00EC3C3A"/>
    <w:rsid w:val="00EC3D0C"/>
    <w:rsid w:val="00EC3F14"/>
    <w:rsid w:val="00EC4038"/>
    <w:rsid w:val="00EC436A"/>
    <w:rsid w:val="00EC4648"/>
    <w:rsid w:val="00EC47D2"/>
    <w:rsid w:val="00EC4A85"/>
    <w:rsid w:val="00EC4B6C"/>
    <w:rsid w:val="00EC4D4D"/>
    <w:rsid w:val="00EC4FFD"/>
    <w:rsid w:val="00EC524F"/>
    <w:rsid w:val="00EC53B8"/>
    <w:rsid w:val="00EC5435"/>
    <w:rsid w:val="00EC54D0"/>
    <w:rsid w:val="00EC54FD"/>
    <w:rsid w:val="00EC57F4"/>
    <w:rsid w:val="00EC5897"/>
    <w:rsid w:val="00EC59AC"/>
    <w:rsid w:val="00EC5B5E"/>
    <w:rsid w:val="00EC5CBE"/>
    <w:rsid w:val="00EC5EEA"/>
    <w:rsid w:val="00EC6101"/>
    <w:rsid w:val="00EC623A"/>
    <w:rsid w:val="00EC6294"/>
    <w:rsid w:val="00EC62F0"/>
    <w:rsid w:val="00EC643A"/>
    <w:rsid w:val="00EC6453"/>
    <w:rsid w:val="00EC646E"/>
    <w:rsid w:val="00EC664A"/>
    <w:rsid w:val="00EC6A01"/>
    <w:rsid w:val="00EC6A65"/>
    <w:rsid w:val="00EC6BD9"/>
    <w:rsid w:val="00EC6C3B"/>
    <w:rsid w:val="00EC6C90"/>
    <w:rsid w:val="00EC6D83"/>
    <w:rsid w:val="00EC706E"/>
    <w:rsid w:val="00EC7166"/>
    <w:rsid w:val="00EC71BB"/>
    <w:rsid w:val="00EC72A7"/>
    <w:rsid w:val="00EC73F1"/>
    <w:rsid w:val="00EC7447"/>
    <w:rsid w:val="00EC74B2"/>
    <w:rsid w:val="00EC74F1"/>
    <w:rsid w:val="00EC79B2"/>
    <w:rsid w:val="00EC7B05"/>
    <w:rsid w:val="00EC7C2C"/>
    <w:rsid w:val="00EC7C8B"/>
    <w:rsid w:val="00EC7CFA"/>
    <w:rsid w:val="00EC7D9C"/>
    <w:rsid w:val="00EC7F07"/>
    <w:rsid w:val="00ED023D"/>
    <w:rsid w:val="00ED02A0"/>
    <w:rsid w:val="00ED0336"/>
    <w:rsid w:val="00ED034D"/>
    <w:rsid w:val="00ED0356"/>
    <w:rsid w:val="00ED05A4"/>
    <w:rsid w:val="00ED0660"/>
    <w:rsid w:val="00ED0685"/>
    <w:rsid w:val="00ED075F"/>
    <w:rsid w:val="00ED09F7"/>
    <w:rsid w:val="00ED0B2D"/>
    <w:rsid w:val="00ED0C69"/>
    <w:rsid w:val="00ED0DD3"/>
    <w:rsid w:val="00ED0ECC"/>
    <w:rsid w:val="00ED0EED"/>
    <w:rsid w:val="00ED0F76"/>
    <w:rsid w:val="00ED1195"/>
    <w:rsid w:val="00ED11CE"/>
    <w:rsid w:val="00ED11F8"/>
    <w:rsid w:val="00ED1213"/>
    <w:rsid w:val="00ED1491"/>
    <w:rsid w:val="00ED159C"/>
    <w:rsid w:val="00ED176C"/>
    <w:rsid w:val="00ED1836"/>
    <w:rsid w:val="00ED1946"/>
    <w:rsid w:val="00ED1948"/>
    <w:rsid w:val="00ED194C"/>
    <w:rsid w:val="00ED19C1"/>
    <w:rsid w:val="00ED1A42"/>
    <w:rsid w:val="00ED1B27"/>
    <w:rsid w:val="00ED1BA1"/>
    <w:rsid w:val="00ED1D2A"/>
    <w:rsid w:val="00ED1E0A"/>
    <w:rsid w:val="00ED2305"/>
    <w:rsid w:val="00ED2703"/>
    <w:rsid w:val="00ED27BB"/>
    <w:rsid w:val="00ED2ABD"/>
    <w:rsid w:val="00ED2B2A"/>
    <w:rsid w:val="00ED2B6E"/>
    <w:rsid w:val="00ED2C81"/>
    <w:rsid w:val="00ED318A"/>
    <w:rsid w:val="00ED31E6"/>
    <w:rsid w:val="00ED32C8"/>
    <w:rsid w:val="00ED32EC"/>
    <w:rsid w:val="00ED33EC"/>
    <w:rsid w:val="00ED350E"/>
    <w:rsid w:val="00ED36DD"/>
    <w:rsid w:val="00ED36FA"/>
    <w:rsid w:val="00ED3BBF"/>
    <w:rsid w:val="00ED3C43"/>
    <w:rsid w:val="00ED3CD3"/>
    <w:rsid w:val="00ED3D44"/>
    <w:rsid w:val="00ED3E62"/>
    <w:rsid w:val="00ED3F59"/>
    <w:rsid w:val="00ED3FAE"/>
    <w:rsid w:val="00ED3FC9"/>
    <w:rsid w:val="00ED3FE8"/>
    <w:rsid w:val="00ED4282"/>
    <w:rsid w:val="00ED4324"/>
    <w:rsid w:val="00ED441D"/>
    <w:rsid w:val="00ED452D"/>
    <w:rsid w:val="00ED460F"/>
    <w:rsid w:val="00ED474A"/>
    <w:rsid w:val="00ED47C4"/>
    <w:rsid w:val="00ED4858"/>
    <w:rsid w:val="00ED4B32"/>
    <w:rsid w:val="00ED4B44"/>
    <w:rsid w:val="00ED4D16"/>
    <w:rsid w:val="00ED52DC"/>
    <w:rsid w:val="00ED5303"/>
    <w:rsid w:val="00ED53C0"/>
    <w:rsid w:val="00ED5547"/>
    <w:rsid w:val="00ED5613"/>
    <w:rsid w:val="00ED561B"/>
    <w:rsid w:val="00ED56D1"/>
    <w:rsid w:val="00ED5A3B"/>
    <w:rsid w:val="00ED5C5B"/>
    <w:rsid w:val="00ED5E6D"/>
    <w:rsid w:val="00ED5E95"/>
    <w:rsid w:val="00ED6019"/>
    <w:rsid w:val="00ED609F"/>
    <w:rsid w:val="00ED61D0"/>
    <w:rsid w:val="00ED626D"/>
    <w:rsid w:val="00ED62E6"/>
    <w:rsid w:val="00ED6325"/>
    <w:rsid w:val="00ED63C4"/>
    <w:rsid w:val="00ED64A1"/>
    <w:rsid w:val="00ED6504"/>
    <w:rsid w:val="00ED6680"/>
    <w:rsid w:val="00ED684B"/>
    <w:rsid w:val="00ED6AB0"/>
    <w:rsid w:val="00ED6B47"/>
    <w:rsid w:val="00ED6C12"/>
    <w:rsid w:val="00ED7202"/>
    <w:rsid w:val="00ED722E"/>
    <w:rsid w:val="00ED788A"/>
    <w:rsid w:val="00ED78AB"/>
    <w:rsid w:val="00ED7911"/>
    <w:rsid w:val="00ED7DBB"/>
    <w:rsid w:val="00ED7F23"/>
    <w:rsid w:val="00EE00D2"/>
    <w:rsid w:val="00EE01D3"/>
    <w:rsid w:val="00EE04F3"/>
    <w:rsid w:val="00EE08BD"/>
    <w:rsid w:val="00EE08C0"/>
    <w:rsid w:val="00EE09C8"/>
    <w:rsid w:val="00EE0CB8"/>
    <w:rsid w:val="00EE0DB3"/>
    <w:rsid w:val="00EE1055"/>
    <w:rsid w:val="00EE1184"/>
    <w:rsid w:val="00EE1414"/>
    <w:rsid w:val="00EE195E"/>
    <w:rsid w:val="00EE1B8E"/>
    <w:rsid w:val="00EE1B91"/>
    <w:rsid w:val="00EE1D89"/>
    <w:rsid w:val="00EE1EBB"/>
    <w:rsid w:val="00EE20AE"/>
    <w:rsid w:val="00EE221E"/>
    <w:rsid w:val="00EE2480"/>
    <w:rsid w:val="00EE2531"/>
    <w:rsid w:val="00EE25D7"/>
    <w:rsid w:val="00EE2613"/>
    <w:rsid w:val="00EE26F4"/>
    <w:rsid w:val="00EE275B"/>
    <w:rsid w:val="00EE27CA"/>
    <w:rsid w:val="00EE28CF"/>
    <w:rsid w:val="00EE2A17"/>
    <w:rsid w:val="00EE2AAF"/>
    <w:rsid w:val="00EE2B29"/>
    <w:rsid w:val="00EE2CDB"/>
    <w:rsid w:val="00EE2D1B"/>
    <w:rsid w:val="00EE2FE4"/>
    <w:rsid w:val="00EE3041"/>
    <w:rsid w:val="00EE3095"/>
    <w:rsid w:val="00EE3220"/>
    <w:rsid w:val="00EE33AC"/>
    <w:rsid w:val="00EE3533"/>
    <w:rsid w:val="00EE3632"/>
    <w:rsid w:val="00EE3684"/>
    <w:rsid w:val="00EE388C"/>
    <w:rsid w:val="00EE3BBF"/>
    <w:rsid w:val="00EE3C58"/>
    <w:rsid w:val="00EE3E9A"/>
    <w:rsid w:val="00EE432B"/>
    <w:rsid w:val="00EE436B"/>
    <w:rsid w:val="00EE44C3"/>
    <w:rsid w:val="00EE476E"/>
    <w:rsid w:val="00EE47CE"/>
    <w:rsid w:val="00EE4806"/>
    <w:rsid w:val="00EE4918"/>
    <w:rsid w:val="00EE494E"/>
    <w:rsid w:val="00EE49C2"/>
    <w:rsid w:val="00EE4AD4"/>
    <w:rsid w:val="00EE4EC0"/>
    <w:rsid w:val="00EE4F20"/>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6FD"/>
    <w:rsid w:val="00EE673A"/>
    <w:rsid w:val="00EE69E9"/>
    <w:rsid w:val="00EE6A32"/>
    <w:rsid w:val="00EE6B43"/>
    <w:rsid w:val="00EE6C99"/>
    <w:rsid w:val="00EE6CA5"/>
    <w:rsid w:val="00EE6CD7"/>
    <w:rsid w:val="00EE6D9F"/>
    <w:rsid w:val="00EE6DB8"/>
    <w:rsid w:val="00EE6E55"/>
    <w:rsid w:val="00EE6E77"/>
    <w:rsid w:val="00EE71AB"/>
    <w:rsid w:val="00EE73CF"/>
    <w:rsid w:val="00EE755A"/>
    <w:rsid w:val="00EE76F7"/>
    <w:rsid w:val="00EE7848"/>
    <w:rsid w:val="00EE797E"/>
    <w:rsid w:val="00EE7AEF"/>
    <w:rsid w:val="00EE7B11"/>
    <w:rsid w:val="00EE7B24"/>
    <w:rsid w:val="00EE7C63"/>
    <w:rsid w:val="00EE7FAC"/>
    <w:rsid w:val="00EF002E"/>
    <w:rsid w:val="00EF0236"/>
    <w:rsid w:val="00EF02E5"/>
    <w:rsid w:val="00EF0430"/>
    <w:rsid w:val="00EF056E"/>
    <w:rsid w:val="00EF05CF"/>
    <w:rsid w:val="00EF094A"/>
    <w:rsid w:val="00EF0AE2"/>
    <w:rsid w:val="00EF0C30"/>
    <w:rsid w:val="00EF0CE5"/>
    <w:rsid w:val="00EF0CFA"/>
    <w:rsid w:val="00EF0E57"/>
    <w:rsid w:val="00EF1291"/>
    <w:rsid w:val="00EF1517"/>
    <w:rsid w:val="00EF155A"/>
    <w:rsid w:val="00EF158C"/>
    <w:rsid w:val="00EF17B4"/>
    <w:rsid w:val="00EF1BE9"/>
    <w:rsid w:val="00EF1CA3"/>
    <w:rsid w:val="00EF1D04"/>
    <w:rsid w:val="00EF1DA8"/>
    <w:rsid w:val="00EF1E21"/>
    <w:rsid w:val="00EF1F8C"/>
    <w:rsid w:val="00EF1F9A"/>
    <w:rsid w:val="00EF2027"/>
    <w:rsid w:val="00EF2247"/>
    <w:rsid w:val="00EF24BA"/>
    <w:rsid w:val="00EF2610"/>
    <w:rsid w:val="00EF268B"/>
    <w:rsid w:val="00EF276B"/>
    <w:rsid w:val="00EF27B8"/>
    <w:rsid w:val="00EF28B6"/>
    <w:rsid w:val="00EF2903"/>
    <w:rsid w:val="00EF2AD5"/>
    <w:rsid w:val="00EF2E93"/>
    <w:rsid w:val="00EF2F0A"/>
    <w:rsid w:val="00EF348B"/>
    <w:rsid w:val="00EF351A"/>
    <w:rsid w:val="00EF35E6"/>
    <w:rsid w:val="00EF35F4"/>
    <w:rsid w:val="00EF37E1"/>
    <w:rsid w:val="00EF38D2"/>
    <w:rsid w:val="00EF39C0"/>
    <w:rsid w:val="00EF39EB"/>
    <w:rsid w:val="00EF39F6"/>
    <w:rsid w:val="00EF3B24"/>
    <w:rsid w:val="00EF3B97"/>
    <w:rsid w:val="00EF3C09"/>
    <w:rsid w:val="00EF3CF4"/>
    <w:rsid w:val="00EF4028"/>
    <w:rsid w:val="00EF4114"/>
    <w:rsid w:val="00EF4208"/>
    <w:rsid w:val="00EF432F"/>
    <w:rsid w:val="00EF4362"/>
    <w:rsid w:val="00EF436A"/>
    <w:rsid w:val="00EF44AD"/>
    <w:rsid w:val="00EF450F"/>
    <w:rsid w:val="00EF458D"/>
    <w:rsid w:val="00EF45E7"/>
    <w:rsid w:val="00EF46A9"/>
    <w:rsid w:val="00EF46D0"/>
    <w:rsid w:val="00EF47CE"/>
    <w:rsid w:val="00EF4814"/>
    <w:rsid w:val="00EF4816"/>
    <w:rsid w:val="00EF48AC"/>
    <w:rsid w:val="00EF4968"/>
    <w:rsid w:val="00EF4BE2"/>
    <w:rsid w:val="00EF4C26"/>
    <w:rsid w:val="00EF4E93"/>
    <w:rsid w:val="00EF4F20"/>
    <w:rsid w:val="00EF4FE0"/>
    <w:rsid w:val="00EF5057"/>
    <w:rsid w:val="00EF52AC"/>
    <w:rsid w:val="00EF5376"/>
    <w:rsid w:val="00EF53C0"/>
    <w:rsid w:val="00EF5478"/>
    <w:rsid w:val="00EF55FF"/>
    <w:rsid w:val="00EF5A3F"/>
    <w:rsid w:val="00EF5A7D"/>
    <w:rsid w:val="00EF5AA2"/>
    <w:rsid w:val="00EF5AA3"/>
    <w:rsid w:val="00EF5B69"/>
    <w:rsid w:val="00EF5C1D"/>
    <w:rsid w:val="00EF5D32"/>
    <w:rsid w:val="00EF5DEC"/>
    <w:rsid w:val="00EF5E6E"/>
    <w:rsid w:val="00EF5FC3"/>
    <w:rsid w:val="00EF6050"/>
    <w:rsid w:val="00EF60F0"/>
    <w:rsid w:val="00EF613D"/>
    <w:rsid w:val="00EF6218"/>
    <w:rsid w:val="00EF624D"/>
    <w:rsid w:val="00EF63D5"/>
    <w:rsid w:val="00EF6622"/>
    <w:rsid w:val="00EF6637"/>
    <w:rsid w:val="00EF6674"/>
    <w:rsid w:val="00EF670E"/>
    <w:rsid w:val="00EF67AC"/>
    <w:rsid w:val="00EF6BC4"/>
    <w:rsid w:val="00EF6DC1"/>
    <w:rsid w:val="00EF6E05"/>
    <w:rsid w:val="00EF6F98"/>
    <w:rsid w:val="00EF7517"/>
    <w:rsid w:val="00EF75A3"/>
    <w:rsid w:val="00EF769F"/>
    <w:rsid w:val="00EF77F6"/>
    <w:rsid w:val="00EF79AB"/>
    <w:rsid w:val="00EF7A6E"/>
    <w:rsid w:val="00EF7A9F"/>
    <w:rsid w:val="00EF7AA2"/>
    <w:rsid w:val="00EF7AAC"/>
    <w:rsid w:val="00EF7B20"/>
    <w:rsid w:val="00EF7B8E"/>
    <w:rsid w:val="00EF7BFF"/>
    <w:rsid w:val="00EF7CD1"/>
    <w:rsid w:val="00EF7DB0"/>
    <w:rsid w:val="00F003AF"/>
    <w:rsid w:val="00F003CD"/>
    <w:rsid w:val="00F0077C"/>
    <w:rsid w:val="00F0083B"/>
    <w:rsid w:val="00F00898"/>
    <w:rsid w:val="00F008F9"/>
    <w:rsid w:val="00F00912"/>
    <w:rsid w:val="00F00995"/>
    <w:rsid w:val="00F00ACC"/>
    <w:rsid w:val="00F00E55"/>
    <w:rsid w:val="00F0108C"/>
    <w:rsid w:val="00F01164"/>
    <w:rsid w:val="00F0116F"/>
    <w:rsid w:val="00F011AC"/>
    <w:rsid w:val="00F01338"/>
    <w:rsid w:val="00F01401"/>
    <w:rsid w:val="00F01625"/>
    <w:rsid w:val="00F01741"/>
    <w:rsid w:val="00F01DCF"/>
    <w:rsid w:val="00F01DD3"/>
    <w:rsid w:val="00F01F88"/>
    <w:rsid w:val="00F021B4"/>
    <w:rsid w:val="00F021DD"/>
    <w:rsid w:val="00F0231B"/>
    <w:rsid w:val="00F023DC"/>
    <w:rsid w:val="00F0248A"/>
    <w:rsid w:val="00F024C1"/>
    <w:rsid w:val="00F024EE"/>
    <w:rsid w:val="00F0266C"/>
    <w:rsid w:val="00F026C3"/>
    <w:rsid w:val="00F02802"/>
    <w:rsid w:val="00F02A6C"/>
    <w:rsid w:val="00F02B27"/>
    <w:rsid w:val="00F02D1A"/>
    <w:rsid w:val="00F02E03"/>
    <w:rsid w:val="00F02E8C"/>
    <w:rsid w:val="00F02E9D"/>
    <w:rsid w:val="00F02EAC"/>
    <w:rsid w:val="00F02F71"/>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2F"/>
    <w:rsid w:val="00F04BCB"/>
    <w:rsid w:val="00F04BDB"/>
    <w:rsid w:val="00F04BFA"/>
    <w:rsid w:val="00F04E4B"/>
    <w:rsid w:val="00F04E7E"/>
    <w:rsid w:val="00F04EFF"/>
    <w:rsid w:val="00F04F7F"/>
    <w:rsid w:val="00F05015"/>
    <w:rsid w:val="00F05038"/>
    <w:rsid w:val="00F05109"/>
    <w:rsid w:val="00F052AE"/>
    <w:rsid w:val="00F05341"/>
    <w:rsid w:val="00F05534"/>
    <w:rsid w:val="00F055B9"/>
    <w:rsid w:val="00F0576D"/>
    <w:rsid w:val="00F05B49"/>
    <w:rsid w:val="00F05CC9"/>
    <w:rsid w:val="00F05D26"/>
    <w:rsid w:val="00F05E77"/>
    <w:rsid w:val="00F05EAC"/>
    <w:rsid w:val="00F05F7E"/>
    <w:rsid w:val="00F06213"/>
    <w:rsid w:val="00F06230"/>
    <w:rsid w:val="00F0653F"/>
    <w:rsid w:val="00F06590"/>
    <w:rsid w:val="00F0677E"/>
    <w:rsid w:val="00F0679E"/>
    <w:rsid w:val="00F06858"/>
    <w:rsid w:val="00F06884"/>
    <w:rsid w:val="00F06DFA"/>
    <w:rsid w:val="00F06E7A"/>
    <w:rsid w:val="00F070E9"/>
    <w:rsid w:val="00F0749F"/>
    <w:rsid w:val="00F074B0"/>
    <w:rsid w:val="00F0751A"/>
    <w:rsid w:val="00F075CC"/>
    <w:rsid w:val="00F076BB"/>
    <w:rsid w:val="00F079A5"/>
    <w:rsid w:val="00F07A9F"/>
    <w:rsid w:val="00F07AA9"/>
    <w:rsid w:val="00F07EC3"/>
    <w:rsid w:val="00F07F61"/>
    <w:rsid w:val="00F10519"/>
    <w:rsid w:val="00F1054D"/>
    <w:rsid w:val="00F10703"/>
    <w:rsid w:val="00F1091D"/>
    <w:rsid w:val="00F10979"/>
    <w:rsid w:val="00F10AE1"/>
    <w:rsid w:val="00F10B8F"/>
    <w:rsid w:val="00F11344"/>
    <w:rsid w:val="00F11409"/>
    <w:rsid w:val="00F115C0"/>
    <w:rsid w:val="00F1163F"/>
    <w:rsid w:val="00F116FD"/>
    <w:rsid w:val="00F11D2A"/>
    <w:rsid w:val="00F11D9B"/>
    <w:rsid w:val="00F11DFD"/>
    <w:rsid w:val="00F11E2C"/>
    <w:rsid w:val="00F11E37"/>
    <w:rsid w:val="00F122CB"/>
    <w:rsid w:val="00F124B5"/>
    <w:rsid w:val="00F126A1"/>
    <w:rsid w:val="00F12867"/>
    <w:rsid w:val="00F129FB"/>
    <w:rsid w:val="00F12AA9"/>
    <w:rsid w:val="00F12D0C"/>
    <w:rsid w:val="00F131D0"/>
    <w:rsid w:val="00F135B9"/>
    <w:rsid w:val="00F138F3"/>
    <w:rsid w:val="00F13939"/>
    <w:rsid w:val="00F13977"/>
    <w:rsid w:val="00F13A6A"/>
    <w:rsid w:val="00F13F8F"/>
    <w:rsid w:val="00F140A0"/>
    <w:rsid w:val="00F14238"/>
    <w:rsid w:val="00F14387"/>
    <w:rsid w:val="00F14430"/>
    <w:rsid w:val="00F1448E"/>
    <w:rsid w:val="00F1451A"/>
    <w:rsid w:val="00F14719"/>
    <w:rsid w:val="00F148C3"/>
    <w:rsid w:val="00F14956"/>
    <w:rsid w:val="00F14CF9"/>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193"/>
    <w:rsid w:val="00F16293"/>
    <w:rsid w:val="00F16552"/>
    <w:rsid w:val="00F16A14"/>
    <w:rsid w:val="00F16A76"/>
    <w:rsid w:val="00F16B4E"/>
    <w:rsid w:val="00F16D26"/>
    <w:rsid w:val="00F16E67"/>
    <w:rsid w:val="00F16F3C"/>
    <w:rsid w:val="00F16F70"/>
    <w:rsid w:val="00F16F7A"/>
    <w:rsid w:val="00F1708C"/>
    <w:rsid w:val="00F172B7"/>
    <w:rsid w:val="00F172E2"/>
    <w:rsid w:val="00F174D6"/>
    <w:rsid w:val="00F1773A"/>
    <w:rsid w:val="00F17769"/>
    <w:rsid w:val="00F1782D"/>
    <w:rsid w:val="00F17C47"/>
    <w:rsid w:val="00F17E3F"/>
    <w:rsid w:val="00F17F67"/>
    <w:rsid w:val="00F2012A"/>
    <w:rsid w:val="00F2021A"/>
    <w:rsid w:val="00F20299"/>
    <w:rsid w:val="00F206AE"/>
    <w:rsid w:val="00F207DB"/>
    <w:rsid w:val="00F20834"/>
    <w:rsid w:val="00F20A1B"/>
    <w:rsid w:val="00F20AA8"/>
    <w:rsid w:val="00F20F96"/>
    <w:rsid w:val="00F21021"/>
    <w:rsid w:val="00F211D3"/>
    <w:rsid w:val="00F21213"/>
    <w:rsid w:val="00F2127E"/>
    <w:rsid w:val="00F212A4"/>
    <w:rsid w:val="00F2135A"/>
    <w:rsid w:val="00F21395"/>
    <w:rsid w:val="00F213DA"/>
    <w:rsid w:val="00F2143D"/>
    <w:rsid w:val="00F21463"/>
    <w:rsid w:val="00F214A4"/>
    <w:rsid w:val="00F2154D"/>
    <w:rsid w:val="00F215E9"/>
    <w:rsid w:val="00F21631"/>
    <w:rsid w:val="00F21705"/>
    <w:rsid w:val="00F21796"/>
    <w:rsid w:val="00F21908"/>
    <w:rsid w:val="00F219D2"/>
    <w:rsid w:val="00F21A97"/>
    <w:rsid w:val="00F21C0E"/>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3E1C"/>
    <w:rsid w:val="00F24183"/>
    <w:rsid w:val="00F24316"/>
    <w:rsid w:val="00F244D1"/>
    <w:rsid w:val="00F24538"/>
    <w:rsid w:val="00F24554"/>
    <w:rsid w:val="00F24686"/>
    <w:rsid w:val="00F24782"/>
    <w:rsid w:val="00F2478B"/>
    <w:rsid w:val="00F247D0"/>
    <w:rsid w:val="00F2482C"/>
    <w:rsid w:val="00F24B11"/>
    <w:rsid w:val="00F24D9B"/>
    <w:rsid w:val="00F24E02"/>
    <w:rsid w:val="00F24EA1"/>
    <w:rsid w:val="00F24EF8"/>
    <w:rsid w:val="00F25299"/>
    <w:rsid w:val="00F2534D"/>
    <w:rsid w:val="00F25512"/>
    <w:rsid w:val="00F25525"/>
    <w:rsid w:val="00F25614"/>
    <w:rsid w:val="00F25668"/>
    <w:rsid w:val="00F25A26"/>
    <w:rsid w:val="00F25A3A"/>
    <w:rsid w:val="00F25A90"/>
    <w:rsid w:val="00F25A97"/>
    <w:rsid w:val="00F25ACD"/>
    <w:rsid w:val="00F25AE1"/>
    <w:rsid w:val="00F25B1E"/>
    <w:rsid w:val="00F25C26"/>
    <w:rsid w:val="00F2608F"/>
    <w:rsid w:val="00F26172"/>
    <w:rsid w:val="00F26218"/>
    <w:rsid w:val="00F263C4"/>
    <w:rsid w:val="00F266B5"/>
    <w:rsid w:val="00F268D4"/>
    <w:rsid w:val="00F26B5C"/>
    <w:rsid w:val="00F26BF6"/>
    <w:rsid w:val="00F26D6D"/>
    <w:rsid w:val="00F26F58"/>
    <w:rsid w:val="00F26F7F"/>
    <w:rsid w:val="00F27095"/>
    <w:rsid w:val="00F270B9"/>
    <w:rsid w:val="00F2714D"/>
    <w:rsid w:val="00F271B1"/>
    <w:rsid w:val="00F271BB"/>
    <w:rsid w:val="00F273AB"/>
    <w:rsid w:val="00F27493"/>
    <w:rsid w:val="00F27541"/>
    <w:rsid w:val="00F279D6"/>
    <w:rsid w:val="00F27A78"/>
    <w:rsid w:val="00F27D5F"/>
    <w:rsid w:val="00F27D8D"/>
    <w:rsid w:val="00F27ECD"/>
    <w:rsid w:val="00F30323"/>
    <w:rsid w:val="00F3033B"/>
    <w:rsid w:val="00F3036F"/>
    <w:rsid w:val="00F305F9"/>
    <w:rsid w:val="00F30629"/>
    <w:rsid w:val="00F306C8"/>
    <w:rsid w:val="00F30938"/>
    <w:rsid w:val="00F30C23"/>
    <w:rsid w:val="00F30C9E"/>
    <w:rsid w:val="00F30F49"/>
    <w:rsid w:val="00F31022"/>
    <w:rsid w:val="00F311CA"/>
    <w:rsid w:val="00F3145D"/>
    <w:rsid w:val="00F31479"/>
    <w:rsid w:val="00F314C3"/>
    <w:rsid w:val="00F31581"/>
    <w:rsid w:val="00F316F5"/>
    <w:rsid w:val="00F31735"/>
    <w:rsid w:val="00F31A15"/>
    <w:rsid w:val="00F31B2D"/>
    <w:rsid w:val="00F31C67"/>
    <w:rsid w:val="00F31CA6"/>
    <w:rsid w:val="00F31D94"/>
    <w:rsid w:val="00F31DEF"/>
    <w:rsid w:val="00F31EBF"/>
    <w:rsid w:val="00F3209B"/>
    <w:rsid w:val="00F32117"/>
    <w:rsid w:val="00F321DD"/>
    <w:rsid w:val="00F328D4"/>
    <w:rsid w:val="00F32CDD"/>
    <w:rsid w:val="00F32DCC"/>
    <w:rsid w:val="00F32E28"/>
    <w:rsid w:val="00F32E39"/>
    <w:rsid w:val="00F33017"/>
    <w:rsid w:val="00F33166"/>
    <w:rsid w:val="00F3330A"/>
    <w:rsid w:val="00F33360"/>
    <w:rsid w:val="00F333DC"/>
    <w:rsid w:val="00F3347C"/>
    <w:rsid w:val="00F334A9"/>
    <w:rsid w:val="00F335D3"/>
    <w:rsid w:val="00F3365A"/>
    <w:rsid w:val="00F336A3"/>
    <w:rsid w:val="00F33812"/>
    <w:rsid w:val="00F33814"/>
    <w:rsid w:val="00F33968"/>
    <w:rsid w:val="00F33B2F"/>
    <w:rsid w:val="00F33BAB"/>
    <w:rsid w:val="00F33D10"/>
    <w:rsid w:val="00F33E0A"/>
    <w:rsid w:val="00F340F6"/>
    <w:rsid w:val="00F34220"/>
    <w:rsid w:val="00F3423A"/>
    <w:rsid w:val="00F34409"/>
    <w:rsid w:val="00F344DE"/>
    <w:rsid w:val="00F34595"/>
    <w:rsid w:val="00F345D4"/>
    <w:rsid w:val="00F34767"/>
    <w:rsid w:val="00F347C0"/>
    <w:rsid w:val="00F34AB5"/>
    <w:rsid w:val="00F34C3E"/>
    <w:rsid w:val="00F34D80"/>
    <w:rsid w:val="00F34D92"/>
    <w:rsid w:val="00F34DF9"/>
    <w:rsid w:val="00F34E7D"/>
    <w:rsid w:val="00F34EF5"/>
    <w:rsid w:val="00F34F9A"/>
    <w:rsid w:val="00F3514B"/>
    <w:rsid w:val="00F35208"/>
    <w:rsid w:val="00F353C3"/>
    <w:rsid w:val="00F35435"/>
    <w:rsid w:val="00F35607"/>
    <w:rsid w:val="00F356D7"/>
    <w:rsid w:val="00F3578A"/>
    <w:rsid w:val="00F357E4"/>
    <w:rsid w:val="00F3594F"/>
    <w:rsid w:val="00F35954"/>
    <w:rsid w:val="00F35C35"/>
    <w:rsid w:val="00F35D2B"/>
    <w:rsid w:val="00F35D30"/>
    <w:rsid w:val="00F35E8A"/>
    <w:rsid w:val="00F3626B"/>
    <w:rsid w:val="00F362B5"/>
    <w:rsid w:val="00F36341"/>
    <w:rsid w:val="00F3655A"/>
    <w:rsid w:val="00F36727"/>
    <w:rsid w:val="00F36757"/>
    <w:rsid w:val="00F369B4"/>
    <w:rsid w:val="00F36B75"/>
    <w:rsid w:val="00F36FF2"/>
    <w:rsid w:val="00F3706D"/>
    <w:rsid w:val="00F371EC"/>
    <w:rsid w:val="00F3734F"/>
    <w:rsid w:val="00F3752B"/>
    <w:rsid w:val="00F37895"/>
    <w:rsid w:val="00F378C7"/>
    <w:rsid w:val="00F37910"/>
    <w:rsid w:val="00F37AEE"/>
    <w:rsid w:val="00F37B6E"/>
    <w:rsid w:val="00F37C6F"/>
    <w:rsid w:val="00F37C94"/>
    <w:rsid w:val="00F37CE4"/>
    <w:rsid w:val="00F37DED"/>
    <w:rsid w:val="00F37E70"/>
    <w:rsid w:val="00F37F7E"/>
    <w:rsid w:val="00F40077"/>
    <w:rsid w:val="00F40102"/>
    <w:rsid w:val="00F40170"/>
    <w:rsid w:val="00F401A0"/>
    <w:rsid w:val="00F40239"/>
    <w:rsid w:val="00F4032D"/>
    <w:rsid w:val="00F403F7"/>
    <w:rsid w:val="00F405C8"/>
    <w:rsid w:val="00F4064A"/>
    <w:rsid w:val="00F40772"/>
    <w:rsid w:val="00F407A0"/>
    <w:rsid w:val="00F40BB4"/>
    <w:rsid w:val="00F411E3"/>
    <w:rsid w:val="00F41202"/>
    <w:rsid w:val="00F4129D"/>
    <w:rsid w:val="00F41471"/>
    <w:rsid w:val="00F41530"/>
    <w:rsid w:val="00F415F5"/>
    <w:rsid w:val="00F416C7"/>
    <w:rsid w:val="00F4183D"/>
    <w:rsid w:val="00F418EB"/>
    <w:rsid w:val="00F418EE"/>
    <w:rsid w:val="00F419CE"/>
    <w:rsid w:val="00F41A4D"/>
    <w:rsid w:val="00F41B60"/>
    <w:rsid w:val="00F41B81"/>
    <w:rsid w:val="00F41BE2"/>
    <w:rsid w:val="00F41D0A"/>
    <w:rsid w:val="00F41D19"/>
    <w:rsid w:val="00F41DB0"/>
    <w:rsid w:val="00F41EC5"/>
    <w:rsid w:val="00F42172"/>
    <w:rsid w:val="00F42205"/>
    <w:rsid w:val="00F4234E"/>
    <w:rsid w:val="00F4250F"/>
    <w:rsid w:val="00F42555"/>
    <w:rsid w:val="00F42582"/>
    <w:rsid w:val="00F4284F"/>
    <w:rsid w:val="00F429A4"/>
    <w:rsid w:val="00F42A34"/>
    <w:rsid w:val="00F42A64"/>
    <w:rsid w:val="00F42AAA"/>
    <w:rsid w:val="00F42DFF"/>
    <w:rsid w:val="00F43081"/>
    <w:rsid w:val="00F430A6"/>
    <w:rsid w:val="00F430D2"/>
    <w:rsid w:val="00F43166"/>
    <w:rsid w:val="00F431B4"/>
    <w:rsid w:val="00F4325A"/>
    <w:rsid w:val="00F434A1"/>
    <w:rsid w:val="00F43516"/>
    <w:rsid w:val="00F43691"/>
    <w:rsid w:val="00F43861"/>
    <w:rsid w:val="00F43999"/>
    <w:rsid w:val="00F439B1"/>
    <w:rsid w:val="00F43B65"/>
    <w:rsid w:val="00F43B68"/>
    <w:rsid w:val="00F43BEA"/>
    <w:rsid w:val="00F43E9B"/>
    <w:rsid w:val="00F440A1"/>
    <w:rsid w:val="00F440B8"/>
    <w:rsid w:val="00F4420D"/>
    <w:rsid w:val="00F4449C"/>
    <w:rsid w:val="00F44632"/>
    <w:rsid w:val="00F44715"/>
    <w:rsid w:val="00F447BD"/>
    <w:rsid w:val="00F447D0"/>
    <w:rsid w:val="00F44A03"/>
    <w:rsid w:val="00F44B90"/>
    <w:rsid w:val="00F44B9F"/>
    <w:rsid w:val="00F44BD9"/>
    <w:rsid w:val="00F44D6F"/>
    <w:rsid w:val="00F45075"/>
    <w:rsid w:val="00F45118"/>
    <w:rsid w:val="00F451C2"/>
    <w:rsid w:val="00F453F6"/>
    <w:rsid w:val="00F454BE"/>
    <w:rsid w:val="00F45707"/>
    <w:rsid w:val="00F459BF"/>
    <w:rsid w:val="00F45A36"/>
    <w:rsid w:val="00F45A81"/>
    <w:rsid w:val="00F45BCC"/>
    <w:rsid w:val="00F45BDE"/>
    <w:rsid w:val="00F45CA2"/>
    <w:rsid w:val="00F45CE4"/>
    <w:rsid w:val="00F45DD1"/>
    <w:rsid w:val="00F45EA3"/>
    <w:rsid w:val="00F45F7E"/>
    <w:rsid w:val="00F46312"/>
    <w:rsid w:val="00F46423"/>
    <w:rsid w:val="00F464D8"/>
    <w:rsid w:val="00F466F2"/>
    <w:rsid w:val="00F466F5"/>
    <w:rsid w:val="00F466FF"/>
    <w:rsid w:val="00F467D3"/>
    <w:rsid w:val="00F46E50"/>
    <w:rsid w:val="00F471DE"/>
    <w:rsid w:val="00F471F1"/>
    <w:rsid w:val="00F47321"/>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B"/>
    <w:rsid w:val="00F50DCE"/>
    <w:rsid w:val="00F50F44"/>
    <w:rsid w:val="00F51119"/>
    <w:rsid w:val="00F51149"/>
    <w:rsid w:val="00F5133E"/>
    <w:rsid w:val="00F51457"/>
    <w:rsid w:val="00F5145C"/>
    <w:rsid w:val="00F518F2"/>
    <w:rsid w:val="00F51C19"/>
    <w:rsid w:val="00F51CD0"/>
    <w:rsid w:val="00F51D83"/>
    <w:rsid w:val="00F51DE8"/>
    <w:rsid w:val="00F51F73"/>
    <w:rsid w:val="00F520A3"/>
    <w:rsid w:val="00F52141"/>
    <w:rsid w:val="00F522CD"/>
    <w:rsid w:val="00F523CC"/>
    <w:rsid w:val="00F525D1"/>
    <w:rsid w:val="00F525F9"/>
    <w:rsid w:val="00F52689"/>
    <w:rsid w:val="00F527BC"/>
    <w:rsid w:val="00F52895"/>
    <w:rsid w:val="00F528E2"/>
    <w:rsid w:val="00F52995"/>
    <w:rsid w:val="00F52BC9"/>
    <w:rsid w:val="00F52C4E"/>
    <w:rsid w:val="00F52DD1"/>
    <w:rsid w:val="00F52DF8"/>
    <w:rsid w:val="00F5320E"/>
    <w:rsid w:val="00F533A8"/>
    <w:rsid w:val="00F5373E"/>
    <w:rsid w:val="00F539CA"/>
    <w:rsid w:val="00F53B9D"/>
    <w:rsid w:val="00F53BD6"/>
    <w:rsid w:val="00F53C98"/>
    <w:rsid w:val="00F53D17"/>
    <w:rsid w:val="00F540AA"/>
    <w:rsid w:val="00F54217"/>
    <w:rsid w:val="00F542C1"/>
    <w:rsid w:val="00F544CC"/>
    <w:rsid w:val="00F545AE"/>
    <w:rsid w:val="00F546D7"/>
    <w:rsid w:val="00F54763"/>
    <w:rsid w:val="00F5478A"/>
    <w:rsid w:val="00F548C7"/>
    <w:rsid w:val="00F54B94"/>
    <w:rsid w:val="00F54E69"/>
    <w:rsid w:val="00F55002"/>
    <w:rsid w:val="00F5520A"/>
    <w:rsid w:val="00F5523F"/>
    <w:rsid w:val="00F55252"/>
    <w:rsid w:val="00F5544B"/>
    <w:rsid w:val="00F556D6"/>
    <w:rsid w:val="00F55701"/>
    <w:rsid w:val="00F557FD"/>
    <w:rsid w:val="00F55906"/>
    <w:rsid w:val="00F55AA8"/>
    <w:rsid w:val="00F55B80"/>
    <w:rsid w:val="00F55B98"/>
    <w:rsid w:val="00F55BA8"/>
    <w:rsid w:val="00F560FC"/>
    <w:rsid w:val="00F56363"/>
    <w:rsid w:val="00F563CA"/>
    <w:rsid w:val="00F565C9"/>
    <w:rsid w:val="00F566C2"/>
    <w:rsid w:val="00F5670B"/>
    <w:rsid w:val="00F56A06"/>
    <w:rsid w:val="00F56A7E"/>
    <w:rsid w:val="00F56CFC"/>
    <w:rsid w:val="00F56D81"/>
    <w:rsid w:val="00F56E2C"/>
    <w:rsid w:val="00F56E4B"/>
    <w:rsid w:val="00F56F4C"/>
    <w:rsid w:val="00F56F53"/>
    <w:rsid w:val="00F571A1"/>
    <w:rsid w:val="00F57243"/>
    <w:rsid w:val="00F57615"/>
    <w:rsid w:val="00F57713"/>
    <w:rsid w:val="00F57810"/>
    <w:rsid w:val="00F5797C"/>
    <w:rsid w:val="00F57B6F"/>
    <w:rsid w:val="00F57C3E"/>
    <w:rsid w:val="00F57CF0"/>
    <w:rsid w:val="00F57DF8"/>
    <w:rsid w:val="00F600C4"/>
    <w:rsid w:val="00F600C6"/>
    <w:rsid w:val="00F60177"/>
    <w:rsid w:val="00F602CD"/>
    <w:rsid w:val="00F60405"/>
    <w:rsid w:val="00F6057C"/>
    <w:rsid w:val="00F60751"/>
    <w:rsid w:val="00F61103"/>
    <w:rsid w:val="00F61783"/>
    <w:rsid w:val="00F61893"/>
    <w:rsid w:val="00F61932"/>
    <w:rsid w:val="00F61B8D"/>
    <w:rsid w:val="00F61CC5"/>
    <w:rsid w:val="00F61D95"/>
    <w:rsid w:val="00F61EAD"/>
    <w:rsid w:val="00F61F7C"/>
    <w:rsid w:val="00F621E7"/>
    <w:rsid w:val="00F62239"/>
    <w:rsid w:val="00F622A0"/>
    <w:rsid w:val="00F623B1"/>
    <w:rsid w:val="00F623FD"/>
    <w:rsid w:val="00F627A4"/>
    <w:rsid w:val="00F62B10"/>
    <w:rsid w:val="00F62B7F"/>
    <w:rsid w:val="00F631BB"/>
    <w:rsid w:val="00F631D1"/>
    <w:rsid w:val="00F632FF"/>
    <w:rsid w:val="00F634DF"/>
    <w:rsid w:val="00F635C5"/>
    <w:rsid w:val="00F6374C"/>
    <w:rsid w:val="00F637DA"/>
    <w:rsid w:val="00F6388B"/>
    <w:rsid w:val="00F638DE"/>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094"/>
    <w:rsid w:val="00F653B0"/>
    <w:rsid w:val="00F654EE"/>
    <w:rsid w:val="00F6550F"/>
    <w:rsid w:val="00F655DF"/>
    <w:rsid w:val="00F655FD"/>
    <w:rsid w:val="00F6574F"/>
    <w:rsid w:val="00F657E5"/>
    <w:rsid w:val="00F6586D"/>
    <w:rsid w:val="00F65996"/>
    <w:rsid w:val="00F6599D"/>
    <w:rsid w:val="00F65B6B"/>
    <w:rsid w:val="00F65BE8"/>
    <w:rsid w:val="00F65C1C"/>
    <w:rsid w:val="00F65DA3"/>
    <w:rsid w:val="00F65EA5"/>
    <w:rsid w:val="00F65EAD"/>
    <w:rsid w:val="00F65F87"/>
    <w:rsid w:val="00F66015"/>
    <w:rsid w:val="00F6605C"/>
    <w:rsid w:val="00F66064"/>
    <w:rsid w:val="00F660FA"/>
    <w:rsid w:val="00F66178"/>
    <w:rsid w:val="00F661E7"/>
    <w:rsid w:val="00F66246"/>
    <w:rsid w:val="00F663F4"/>
    <w:rsid w:val="00F667BB"/>
    <w:rsid w:val="00F6683C"/>
    <w:rsid w:val="00F6689C"/>
    <w:rsid w:val="00F66976"/>
    <w:rsid w:val="00F66A59"/>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CD7"/>
    <w:rsid w:val="00F67EBD"/>
    <w:rsid w:val="00F7004B"/>
    <w:rsid w:val="00F702D5"/>
    <w:rsid w:val="00F70385"/>
    <w:rsid w:val="00F704B9"/>
    <w:rsid w:val="00F704F2"/>
    <w:rsid w:val="00F70533"/>
    <w:rsid w:val="00F70578"/>
    <w:rsid w:val="00F707CF"/>
    <w:rsid w:val="00F7095F"/>
    <w:rsid w:val="00F70AED"/>
    <w:rsid w:val="00F70B65"/>
    <w:rsid w:val="00F70CD8"/>
    <w:rsid w:val="00F70D4A"/>
    <w:rsid w:val="00F70EC3"/>
    <w:rsid w:val="00F70ED5"/>
    <w:rsid w:val="00F70FCA"/>
    <w:rsid w:val="00F71345"/>
    <w:rsid w:val="00F71492"/>
    <w:rsid w:val="00F714AE"/>
    <w:rsid w:val="00F7157D"/>
    <w:rsid w:val="00F71750"/>
    <w:rsid w:val="00F71826"/>
    <w:rsid w:val="00F71836"/>
    <w:rsid w:val="00F71A6B"/>
    <w:rsid w:val="00F71ACC"/>
    <w:rsid w:val="00F71B89"/>
    <w:rsid w:val="00F71BF2"/>
    <w:rsid w:val="00F71CCC"/>
    <w:rsid w:val="00F71CD0"/>
    <w:rsid w:val="00F72086"/>
    <w:rsid w:val="00F72135"/>
    <w:rsid w:val="00F723B0"/>
    <w:rsid w:val="00F72400"/>
    <w:rsid w:val="00F72428"/>
    <w:rsid w:val="00F724E9"/>
    <w:rsid w:val="00F72A5A"/>
    <w:rsid w:val="00F72BAB"/>
    <w:rsid w:val="00F72C5A"/>
    <w:rsid w:val="00F72CF9"/>
    <w:rsid w:val="00F72CFF"/>
    <w:rsid w:val="00F72D46"/>
    <w:rsid w:val="00F73071"/>
    <w:rsid w:val="00F73321"/>
    <w:rsid w:val="00F7355E"/>
    <w:rsid w:val="00F73574"/>
    <w:rsid w:val="00F736EB"/>
    <w:rsid w:val="00F7379A"/>
    <w:rsid w:val="00F73955"/>
    <w:rsid w:val="00F73980"/>
    <w:rsid w:val="00F73A65"/>
    <w:rsid w:val="00F73C95"/>
    <w:rsid w:val="00F73C9C"/>
    <w:rsid w:val="00F73D12"/>
    <w:rsid w:val="00F73E18"/>
    <w:rsid w:val="00F73F71"/>
    <w:rsid w:val="00F73F75"/>
    <w:rsid w:val="00F74084"/>
    <w:rsid w:val="00F74633"/>
    <w:rsid w:val="00F74757"/>
    <w:rsid w:val="00F7481E"/>
    <w:rsid w:val="00F74912"/>
    <w:rsid w:val="00F74BAC"/>
    <w:rsid w:val="00F74D02"/>
    <w:rsid w:val="00F74F3B"/>
    <w:rsid w:val="00F75031"/>
    <w:rsid w:val="00F7522B"/>
    <w:rsid w:val="00F753BC"/>
    <w:rsid w:val="00F75655"/>
    <w:rsid w:val="00F75832"/>
    <w:rsid w:val="00F75977"/>
    <w:rsid w:val="00F75B37"/>
    <w:rsid w:val="00F76186"/>
    <w:rsid w:val="00F7641D"/>
    <w:rsid w:val="00F764E4"/>
    <w:rsid w:val="00F76574"/>
    <w:rsid w:val="00F765FE"/>
    <w:rsid w:val="00F7662A"/>
    <w:rsid w:val="00F76772"/>
    <w:rsid w:val="00F767DE"/>
    <w:rsid w:val="00F768BF"/>
    <w:rsid w:val="00F768EC"/>
    <w:rsid w:val="00F769DE"/>
    <w:rsid w:val="00F76A8D"/>
    <w:rsid w:val="00F76BB0"/>
    <w:rsid w:val="00F76E6E"/>
    <w:rsid w:val="00F76FAF"/>
    <w:rsid w:val="00F77065"/>
    <w:rsid w:val="00F77283"/>
    <w:rsid w:val="00F774CD"/>
    <w:rsid w:val="00F7765C"/>
    <w:rsid w:val="00F77897"/>
    <w:rsid w:val="00F77928"/>
    <w:rsid w:val="00F77A76"/>
    <w:rsid w:val="00F77C22"/>
    <w:rsid w:val="00F77C4C"/>
    <w:rsid w:val="00F77D73"/>
    <w:rsid w:val="00F77DB9"/>
    <w:rsid w:val="00F77E77"/>
    <w:rsid w:val="00F77F23"/>
    <w:rsid w:val="00F77FD3"/>
    <w:rsid w:val="00F77FEF"/>
    <w:rsid w:val="00F80075"/>
    <w:rsid w:val="00F80255"/>
    <w:rsid w:val="00F8030F"/>
    <w:rsid w:val="00F80328"/>
    <w:rsid w:val="00F8047E"/>
    <w:rsid w:val="00F80590"/>
    <w:rsid w:val="00F8061A"/>
    <w:rsid w:val="00F80636"/>
    <w:rsid w:val="00F8069E"/>
    <w:rsid w:val="00F806BC"/>
    <w:rsid w:val="00F807A9"/>
    <w:rsid w:val="00F808A8"/>
    <w:rsid w:val="00F8090A"/>
    <w:rsid w:val="00F8092F"/>
    <w:rsid w:val="00F80CD0"/>
    <w:rsid w:val="00F80E39"/>
    <w:rsid w:val="00F80F5F"/>
    <w:rsid w:val="00F811D5"/>
    <w:rsid w:val="00F812C8"/>
    <w:rsid w:val="00F8161E"/>
    <w:rsid w:val="00F8167C"/>
    <w:rsid w:val="00F81716"/>
    <w:rsid w:val="00F81B36"/>
    <w:rsid w:val="00F81D8D"/>
    <w:rsid w:val="00F81E50"/>
    <w:rsid w:val="00F81F38"/>
    <w:rsid w:val="00F81F5A"/>
    <w:rsid w:val="00F82365"/>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7EB"/>
    <w:rsid w:val="00F84938"/>
    <w:rsid w:val="00F84984"/>
    <w:rsid w:val="00F84A84"/>
    <w:rsid w:val="00F84AC9"/>
    <w:rsid w:val="00F84AFF"/>
    <w:rsid w:val="00F84CC8"/>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363"/>
    <w:rsid w:val="00F8652C"/>
    <w:rsid w:val="00F86947"/>
    <w:rsid w:val="00F86AAD"/>
    <w:rsid w:val="00F870C9"/>
    <w:rsid w:val="00F87261"/>
    <w:rsid w:val="00F8740D"/>
    <w:rsid w:val="00F87849"/>
    <w:rsid w:val="00F87917"/>
    <w:rsid w:val="00F87A30"/>
    <w:rsid w:val="00F87B67"/>
    <w:rsid w:val="00F87F09"/>
    <w:rsid w:val="00F9000E"/>
    <w:rsid w:val="00F90395"/>
    <w:rsid w:val="00F903D4"/>
    <w:rsid w:val="00F907B1"/>
    <w:rsid w:val="00F90A03"/>
    <w:rsid w:val="00F90A6A"/>
    <w:rsid w:val="00F90AD0"/>
    <w:rsid w:val="00F90CB3"/>
    <w:rsid w:val="00F90CF0"/>
    <w:rsid w:val="00F90E82"/>
    <w:rsid w:val="00F90EC6"/>
    <w:rsid w:val="00F90F11"/>
    <w:rsid w:val="00F9115B"/>
    <w:rsid w:val="00F91188"/>
    <w:rsid w:val="00F91213"/>
    <w:rsid w:val="00F912A4"/>
    <w:rsid w:val="00F91339"/>
    <w:rsid w:val="00F915AD"/>
    <w:rsid w:val="00F91884"/>
    <w:rsid w:val="00F91940"/>
    <w:rsid w:val="00F91C29"/>
    <w:rsid w:val="00F91CAA"/>
    <w:rsid w:val="00F91DB0"/>
    <w:rsid w:val="00F920D1"/>
    <w:rsid w:val="00F921F5"/>
    <w:rsid w:val="00F922CC"/>
    <w:rsid w:val="00F92372"/>
    <w:rsid w:val="00F92421"/>
    <w:rsid w:val="00F924CE"/>
    <w:rsid w:val="00F924D8"/>
    <w:rsid w:val="00F92504"/>
    <w:rsid w:val="00F92964"/>
    <w:rsid w:val="00F92BBE"/>
    <w:rsid w:val="00F92CC4"/>
    <w:rsid w:val="00F92CCC"/>
    <w:rsid w:val="00F92D31"/>
    <w:rsid w:val="00F92E6D"/>
    <w:rsid w:val="00F92EA4"/>
    <w:rsid w:val="00F92F85"/>
    <w:rsid w:val="00F92F9B"/>
    <w:rsid w:val="00F93115"/>
    <w:rsid w:val="00F934FA"/>
    <w:rsid w:val="00F9375D"/>
    <w:rsid w:val="00F93764"/>
    <w:rsid w:val="00F93774"/>
    <w:rsid w:val="00F93986"/>
    <w:rsid w:val="00F93B8F"/>
    <w:rsid w:val="00F93BB8"/>
    <w:rsid w:val="00F93E95"/>
    <w:rsid w:val="00F93ED3"/>
    <w:rsid w:val="00F93F0B"/>
    <w:rsid w:val="00F94275"/>
    <w:rsid w:val="00F94752"/>
    <w:rsid w:val="00F94846"/>
    <w:rsid w:val="00F948F4"/>
    <w:rsid w:val="00F94A15"/>
    <w:rsid w:val="00F94D15"/>
    <w:rsid w:val="00F94D84"/>
    <w:rsid w:val="00F94DB5"/>
    <w:rsid w:val="00F94E05"/>
    <w:rsid w:val="00F94E24"/>
    <w:rsid w:val="00F95050"/>
    <w:rsid w:val="00F952F3"/>
    <w:rsid w:val="00F954CE"/>
    <w:rsid w:val="00F9563F"/>
    <w:rsid w:val="00F958C8"/>
    <w:rsid w:val="00F958F1"/>
    <w:rsid w:val="00F9595C"/>
    <w:rsid w:val="00F95C50"/>
    <w:rsid w:val="00F962F8"/>
    <w:rsid w:val="00F96357"/>
    <w:rsid w:val="00F9636E"/>
    <w:rsid w:val="00F963B3"/>
    <w:rsid w:val="00F9683F"/>
    <w:rsid w:val="00F9697B"/>
    <w:rsid w:val="00F96A08"/>
    <w:rsid w:val="00F96A4D"/>
    <w:rsid w:val="00F96AC3"/>
    <w:rsid w:val="00F96B32"/>
    <w:rsid w:val="00F96BF8"/>
    <w:rsid w:val="00F96ECB"/>
    <w:rsid w:val="00F96F26"/>
    <w:rsid w:val="00F97036"/>
    <w:rsid w:val="00F97075"/>
    <w:rsid w:val="00F972EF"/>
    <w:rsid w:val="00F9735A"/>
    <w:rsid w:val="00F9748F"/>
    <w:rsid w:val="00F97566"/>
    <w:rsid w:val="00F97871"/>
    <w:rsid w:val="00F97963"/>
    <w:rsid w:val="00F97A26"/>
    <w:rsid w:val="00F97AAF"/>
    <w:rsid w:val="00FA023B"/>
    <w:rsid w:val="00FA05E9"/>
    <w:rsid w:val="00FA070F"/>
    <w:rsid w:val="00FA07C8"/>
    <w:rsid w:val="00FA0B84"/>
    <w:rsid w:val="00FA0FD0"/>
    <w:rsid w:val="00FA1015"/>
    <w:rsid w:val="00FA10D4"/>
    <w:rsid w:val="00FA1305"/>
    <w:rsid w:val="00FA13E4"/>
    <w:rsid w:val="00FA13EF"/>
    <w:rsid w:val="00FA14AE"/>
    <w:rsid w:val="00FA14E3"/>
    <w:rsid w:val="00FA179E"/>
    <w:rsid w:val="00FA1815"/>
    <w:rsid w:val="00FA18B1"/>
    <w:rsid w:val="00FA18BC"/>
    <w:rsid w:val="00FA194B"/>
    <w:rsid w:val="00FA19CA"/>
    <w:rsid w:val="00FA1B41"/>
    <w:rsid w:val="00FA1D6A"/>
    <w:rsid w:val="00FA1E16"/>
    <w:rsid w:val="00FA1E73"/>
    <w:rsid w:val="00FA22EA"/>
    <w:rsid w:val="00FA237C"/>
    <w:rsid w:val="00FA2385"/>
    <w:rsid w:val="00FA23E4"/>
    <w:rsid w:val="00FA26AB"/>
    <w:rsid w:val="00FA275B"/>
    <w:rsid w:val="00FA2843"/>
    <w:rsid w:val="00FA2932"/>
    <w:rsid w:val="00FA2D62"/>
    <w:rsid w:val="00FA2F43"/>
    <w:rsid w:val="00FA3065"/>
    <w:rsid w:val="00FA32F5"/>
    <w:rsid w:val="00FA3367"/>
    <w:rsid w:val="00FA337B"/>
    <w:rsid w:val="00FA3469"/>
    <w:rsid w:val="00FA38C8"/>
    <w:rsid w:val="00FA3922"/>
    <w:rsid w:val="00FA39B6"/>
    <w:rsid w:val="00FA39DF"/>
    <w:rsid w:val="00FA3A0D"/>
    <w:rsid w:val="00FA3AD1"/>
    <w:rsid w:val="00FA3FFF"/>
    <w:rsid w:val="00FA4322"/>
    <w:rsid w:val="00FA452C"/>
    <w:rsid w:val="00FA4C27"/>
    <w:rsid w:val="00FA4C6C"/>
    <w:rsid w:val="00FA4C80"/>
    <w:rsid w:val="00FA4E31"/>
    <w:rsid w:val="00FA4E46"/>
    <w:rsid w:val="00FA4F39"/>
    <w:rsid w:val="00FA4FE5"/>
    <w:rsid w:val="00FA4FE8"/>
    <w:rsid w:val="00FA4FFC"/>
    <w:rsid w:val="00FA508A"/>
    <w:rsid w:val="00FA5330"/>
    <w:rsid w:val="00FA5392"/>
    <w:rsid w:val="00FA53EB"/>
    <w:rsid w:val="00FA54E4"/>
    <w:rsid w:val="00FA5B1E"/>
    <w:rsid w:val="00FA5B69"/>
    <w:rsid w:val="00FA5C43"/>
    <w:rsid w:val="00FA6285"/>
    <w:rsid w:val="00FA638F"/>
    <w:rsid w:val="00FA63E9"/>
    <w:rsid w:val="00FA65D6"/>
    <w:rsid w:val="00FA6808"/>
    <w:rsid w:val="00FA680B"/>
    <w:rsid w:val="00FA687F"/>
    <w:rsid w:val="00FA69F4"/>
    <w:rsid w:val="00FA6BFE"/>
    <w:rsid w:val="00FA6D2B"/>
    <w:rsid w:val="00FA6DC2"/>
    <w:rsid w:val="00FA7018"/>
    <w:rsid w:val="00FA7071"/>
    <w:rsid w:val="00FA70D3"/>
    <w:rsid w:val="00FA70EE"/>
    <w:rsid w:val="00FA7134"/>
    <w:rsid w:val="00FA7387"/>
    <w:rsid w:val="00FA7539"/>
    <w:rsid w:val="00FA78FB"/>
    <w:rsid w:val="00FA79CA"/>
    <w:rsid w:val="00FA7BD2"/>
    <w:rsid w:val="00FA7D1B"/>
    <w:rsid w:val="00FA7E40"/>
    <w:rsid w:val="00FA7F21"/>
    <w:rsid w:val="00FB0059"/>
    <w:rsid w:val="00FB00C6"/>
    <w:rsid w:val="00FB021B"/>
    <w:rsid w:val="00FB0320"/>
    <w:rsid w:val="00FB03F5"/>
    <w:rsid w:val="00FB042F"/>
    <w:rsid w:val="00FB071E"/>
    <w:rsid w:val="00FB0BBC"/>
    <w:rsid w:val="00FB0CA9"/>
    <w:rsid w:val="00FB0FB4"/>
    <w:rsid w:val="00FB105C"/>
    <w:rsid w:val="00FB1135"/>
    <w:rsid w:val="00FB1392"/>
    <w:rsid w:val="00FB13BE"/>
    <w:rsid w:val="00FB15FB"/>
    <w:rsid w:val="00FB16FA"/>
    <w:rsid w:val="00FB18D5"/>
    <w:rsid w:val="00FB1A66"/>
    <w:rsid w:val="00FB1ADE"/>
    <w:rsid w:val="00FB203D"/>
    <w:rsid w:val="00FB241B"/>
    <w:rsid w:val="00FB24E1"/>
    <w:rsid w:val="00FB25D8"/>
    <w:rsid w:val="00FB262E"/>
    <w:rsid w:val="00FB268E"/>
    <w:rsid w:val="00FB27DD"/>
    <w:rsid w:val="00FB28CA"/>
    <w:rsid w:val="00FB29A6"/>
    <w:rsid w:val="00FB29A8"/>
    <w:rsid w:val="00FB29E7"/>
    <w:rsid w:val="00FB2BAE"/>
    <w:rsid w:val="00FB2D61"/>
    <w:rsid w:val="00FB2E39"/>
    <w:rsid w:val="00FB2E77"/>
    <w:rsid w:val="00FB2FD3"/>
    <w:rsid w:val="00FB2FF2"/>
    <w:rsid w:val="00FB308C"/>
    <w:rsid w:val="00FB32F1"/>
    <w:rsid w:val="00FB3389"/>
    <w:rsid w:val="00FB36D2"/>
    <w:rsid w:val="00FB39BF"/>
    <w:rsid w:val="00FB3B73"/>
    <w:rsid w:val="00FB3C75"/>
    <w:rsid w:val="00FB3D81"/>
    <w:rsid w:val="00FB3F12"/>
    <w:rsid w:val="00FB3F38"/>
    <w:rsid w:val="00FB401D"/>
    <w:rsid w:val="00FB4192"/>
    <w:rsid w:val="00FB421E"/>
    <w:rsid w:val="00FB43B7"/>
    <w:rsid w:val="00FB451C"/>
    <w:rsid w:val="00FB4569"/>
    <w:rsid w:val="00FB45F2"/>
    <w:rsid w:val="00FB46C8"/>
    <w:rsid w:val="00FB4892"/>
    <w:rsid w:val="00FB4921"/>
    <w:rsid w:val="00FB4932"/>
    <w:rsid w:val="00FB49E4"/>
    <w:rsid w:val="00FB4ACF"/>
    <w:rsid w:val="00FB4D46"/>
    <w:rsid w:val="00FB4D49"/>
    <w:rsid w:val="00FB4E65"/>
    <w:rsid w:val="00FB4E9C"/>
    <w:rsid w:val="00FB4F50"/>
    <w:rsid w:val="00FB4F66"/>
    <w:rsid w:val="00FB5172"/>
    <w:rsid w:val="00FB53E2"/>
    <w:rsid w:val="00FB53F4"/>
    <w:rsid w:val="00FB53F5"/>
    <w:rsid w:val="00FB54CF"/>
    <w:rsid w:val="00FB5643"/>
    <w:rsid w:val="00FB57DF"/>
    <w:rsid w:val="00FB5BD9"/>
    <w:rsid w:val="00FB5C25"/>
    <w:rsid w:val="00FB5CE9"/>
    <w:rsid w:val="00FB5DED"/>
    <w:rsid w:val="00FB5EBD"/>
    <w:rsid w:val="00FB5F42"/>
    <w:rsid w:val="00FB5F6E"/>
    <w:rsid w:val="00FB5FCE"/>
    <w:rsid w:val="00FB613E"/>
    <w:rsid w:val="00FB6430"/>
    <w:rsid w:val="00FB6580"/>
    <w:rsid w:val="00FB6663"/>
    <w:rsid w:val="00FB673D"/>
    <w:rsid w:val="00FB6868"/>
    <w:rsid w:val="00FB68CE"/>
    <w:rsid w:val="00FB6936"/>
    <w:rsid w:val="00FB6AAD"/>
    <w:rsid w:val="00FB72B1"/>
    <w:rsid w:val="00FB72FC"/>
    <w:rsid w:val="00FB736E"/>
    <w:rsid w:val="00FB7451"/>
    <w:rsid w:val="00FB76B7"/>
    <w:rsid w:val="00FB7793"/>
    <w:rsid w:val="00FB7880"/>
    <w:rsid w:val="00FB7891"/>
    <w:rsid w:val="00FB799A"/>
    <w:rsid w:val="00FB7AED"/>
    <w:rsid w:val="00FB7B68"/>
    <w:rsid w:val="00FB7C24"/>
    <w:rsid w:val="00FB7C97"/>
    <w:rsid w:val="00FC016F"/>
    <w:rsid w:val="00FC0374"/>
    <w:rsid w:val="00FC0676"/>
    <w:rsid w:val="00FC094C"/>
    <w:rsid w:val="00FC0AAD"/>
    <w:rsid w:val="00FC0FFF"/>
    <w:rsid w:val="00FC106E"/>
    <w:rsid w:val="00FC1126"/>
    <w:rsid w:val="00FC1141"/>
    <w:rsid w:val="00FC14E0"/>
    <w:rsid w:val="00FC1551"/>
    <w:rsid w:val="00FC15D9"/>
    <w:rsid w:val="00FC1873"/>
    <w:rsid w:val="00FC18D2"/>
    <w:rsid w:val="00FC192B"/>
    <w:rsid w:val="00FC19CA"/>
    <w:rsid w:val="00FC1B2B"/>
    <w:rsid w:val="00FC1C4D"/>
    <w:rsid w:val="00FC1DF2"/>
    <w:rsid w:val="00FC1E28"/>
    <w:rsid w:val="00FC1EE7"/>
    <w:rsid w:val="00FC21FE"/>
    <w:rsid w:val="00FC221D"/>
    <w:rsid w:val="00FC22C5"/>
    <w:rsid w:val="00FC22EC"/>
    <w:rsid w:val="00FC22F5"/>
    <w:rsid w:val="00FC23D5"/>
    <w:rsid w:val="00FC241D"/>
    <w:rsid w:val="00FC248C"/>
    <w:rsid w:val="00FC24CA"/>
    <w:rsid w:val="00FC24FC"/>
    <w:rsid w:val="00FC27FE"/>
    <w:rsid w:val="00FC281F"/>
    <w:rsid w:val="00FC28AA"/>
    <w:rsid w:val="00FC2BD8"/>
    <w:rsid w:val="00FC2CE2"/>
    <w:rsid w:val="00FC2F12"/>
    <w:rsid w:val="00FC2F7D"/>
    <w:rsid w:val="00FC303F"/>
    <w:rsid w:val="00FC3056"/>
    <w:rsid w:val="00FC316C"/>
    <w:rsid w:val="00FC3176"/>
    <w:rsid w:val="00FC33EB"/>
    <w:rsid w:val="00FC3475"/>
    <w:rsid w:val="00FC34BD"/>
    <w:rsid w:val="00FC3798"/>
    <w:rsid w:val="00FC37E4"/>
    <w:rsid w:val="00FC3801"/>
    <w:rsid w:val="00FC3812"/>
    <w:rsid w:val="00FC3849"/>
    <w:rsid w:val="00FC3885"/>
    <w:rsid w:val="00FC38A2"/>
    <w:rsid w:val="00FC38D3"/>
    <w:rsid w:val="00FC393C"/>
    <w:rsid w:val="00FC3B1D"/>
    <w:rsid w:val="00FC3C8F"/>
    <w:rsid w:val="00FC3ECC"/>
    <w:rsid w:val="00FC3F79"/>
    <w:rsid w:val="00FC405C"/>
    <w:rsid w:val="00FC4417"/>
    <w:rsid w:val="00FC44F9"/>
    <w:rsid w:val="00FC45E3"/>
    <w:rsid w:val="00FC48CC"/>
    <w:rsid w:val="00FC4946"/>
    <w:rsid w:val="00FC4A75"/>
    <w:rsid w:val="00FC4B4A"/>
    <w:rsid w:val="00FC4BEC"/>
    <w:rsid w:val="00FC4D5F"/>
    <w:rsid w:val="00FC4D88"/>
    <w:rsid w:val="00FC4DBF"/>
    <w:rsid w:val="00FC4E19"/>
    <w:rsid w:val="00FC4EE4"/>
    <w:rsid w:val="00FC5033"/>
    <w:rsid w:val="00FC50FE"/>
    <w:rsid w:val="00FC5132"/>
    <w:rsid w:val="00FC5283"/>
    <w:rsid w:val="00FC53D2"/>
    <w:rsid w:val="00FC5469"/>
    <w:rsid w:val="00FC555F"/>
    <w:rsid w:val="00FC5816"/>
    <w:rsid w:val="00FC58FF"/>
    <w:rsid w:val="00FC598B"/>
    <w:rsid w:val="00FC5E7F"/>
    <w:rsid w:val="00FC6007"/>
    <w:rsid w:val="00FC62CF"/>
    <w:rsid w:val="00FC63A1"/>
    <w:rsid w:val="00FC66F2"/>
    <w:rsid w:val="00FC6753"/>
    <w:rsid w:val="00FC6C17"/>
    <w:rsid w:val="00FC6C87"/>
    <w:rsid w:val="00FC6D12"/>
    <w:rsid w:val="00FC6D20"/>
    <w:rsid w:val="00FC711D"/>
    <w:rsid w:val="00FC7257"/>
    <w:rsid w:val="00FC7269"/>
    <w:rsid w:val="00FC72FA"/>
    <w:rsid w:val="00FC748D"/>
    <w:rsid w:val="00FC765C"/>
    <w:rsid w:val="00FC7708"/>
    <w:rsid w:val="00FC770B"/>
    <w:rsid w:val="00FC79C3"/>
    <w:rsid w:val="00FC79DF"/>
    <w:rsid w:val="00FC7A95"/>
    <w:rsid w:val="00FC7A9D"/>
    <w:rsid w:val="00FC7D60"/>
    <w:rsid w:val="00FC7F0C"/>
    <w:rsid w:val="00FD01A8"/>
    <w:rsid w:val="00FD03BD"/>
    <w:rsid w:val="00FD03CE"/>
    <w:rsid w:val="00FD05EF"/>
    <w:rsid w:val="00FD05FE"/>
    <w:rsid w:val="00FD066A"/>
    <w:rsid w:val="00FD06F0"/>
    <w:rsid w:val="00FD07BD"/>
    <w:rsid w:val="00FD0A4F"/>
    <w:rsid w:val="00FD0A8A"/>
    <w:rsid w:val="00FD0CC0"/>
    <w:rsid w:val="00FD0F60"/>
    <w:rsid w:val="00FD10F9"/>
    <w:rsid w:val="00FD111F"/>
    <w:rsid w:val="00FD1208"/>
    <w:rsid w:val="00FD147F"/>
    <w:rsid w:val="00FD18F5"/>
    <w:rsid w:val="00FD18F9"/>
    <w:rsid w:val="00FD1C44"/>
    <w:rsid w:val="00FD1D1D"/>
    <w:rsid w:val="00FD1F25"/>
    <w:rsid w:val="00FD2030"/>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D7"/>
    <w:rsid w:val="00FD30FE"/>
    <w:rsid w:val="00FD322D"/>
    <w:rsid w:val="00FD3236"/>
    <w:rsid w:val="00FD33BB"/>
    <w:rsid w:val="00FD354C"/>
    <w:rsid w:val="00FD3661"/>
    <w:rsid w:val="00FD36DE"/>
    <w:rsid w:val="00FD374E"/>
    <w:rsid w:val="00FD38DB"/>
    <w:rsid w:val="00FD39E3"/>
    <w:rsid w:val="00FD3B0F"/>
    <w:rsid w:val="00FD3B19"/>
    <w:rsid w:val="00FD3B44"/>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4F29"/>
    <w:rsid w:val="00FD52F6"/>
    <w:rsid w:val="00FD5535"/>
    <w:rsid w:val="00FD56AC"/>
    <w:rsid w:val="00FD59D7"/>
    <w:rsid w:val="00FD5A63"/>
    <w:rsid w:val="00FD5A71"/>
    <w:rsid w:val="00FD5AF4"/>
    <w:rsid w:val="00FD5C12"/>
    <w:rsid w:val="00FD5DF7"/>
    <w:rsid w:val="00FD6203"/>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AB"/>
    <w:rsid w:val="00FD7AB3"/>
    <w:rsid w:val="00FD7B51"/>
    <w:rsid w:val="00FD7C32"/>
    <w:rsid w:val="00FD7E61"/>
    <w:rsid w:val="00FE0122"/>
    <w:rsid w:val="00FE03CA"/>
    <w:rsid w:val="00FE0441"/>
    <w:rsid w:val="00FE0500"/>
    <w:rsid w:val="00FE05A0"/>
    <w:rsid w:val="00FE0959"/>
    <w:rsid w:val="00FE0970"/>
    <w:rsid w:val="00FE0A96"/>
    <w:rsid w:val="00FE0B91"/>
    <w:rsid w:val="00FE0C5F"/>
    <w:rsid w:val="00FE0C73"/>
    <w:rsid w:val="00FE0E43"/>
    <w:rsid w:val="00FE0E86"/>
    <w:rsid w:val="00FE0F57"/>
    <w:rsid w:val="00FE0FDA"/>
    <w:rsid w:val="00FE1295"/>
    <w:rsid w:val="00FE185A"/>
    <w:rsid w:val="00FE1938"/>
    <w:rsid w:val="00FE1999"/>
    <w:rsid w:val="00FE19B5"/>
    <w:rsid w:val="00FE1B5A"/>
    <w:rsid w:val="00FE1C13"/>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A4C"/>
    <w:rsid w:val="00FE3C32"/>
    <w:rsid w:val="00FE3DE9"/>
    <w:rsid w:val="00FE3F22"/>
    <w:rsid w:val="00FE41E8"/>
    <w:rsid w:val="00FE42D5"/>
    <w:rsid w:val="00FE44B7"/>
    <w:rsid w:val="00FE44C1"/>
    <w:rsid w:val="00FE4502"/>
    <w:rsid w:val="00FE46FB"/>
    <w:rsid w:val="00FE4BD0"/>
    <w:rsid w:val="00FE4EBB"/>
    <w:rsid w:val="00FE4EDE"/>
    <w:rsid w:val="00FE4EE5"/>
    <w:rsid w:val="00FE5116"/>
    <w:rsid w:val="00FE51B0"/>
    <w:rsid w:val="00FE54AE"/>
    <w:rsid w:val="00FE56F4"/>
    <w:rsid w:val="00FE5754"/>
    <w:rsid w:val="00FE57DC"/>
    <w:rsid w:val="00FE59D3"/>
    <w:rsid w:val="00FE5BE9"/>
    <w:rsid w:val="00FE5CF4"/>
    <w:rsid w:val="00FE5DE0"/>
    <w:rsid w:val="00FE5F78"/>
    <w:rsid w:val="00FE63EC"/>
    <w:rsid w:val="00FE6466"/>
    <w:rsid w:val="00FE6680"/>
    <w:rsid w:val="00FE669D"/>
    <w:rsid w:val="00FE689E"/>
    <w:rsid w:val="00FE68AE"/>
    <w:rsid w:val="00FE6944"/>
    <w:rsid w:val="00FE6BF7"/>
    <w:rsid w:val="00FE6C4C"/>
    <w:rsid w:val="00FE6D91"/>
    <w:rsid w:val="00FE6DBA"/>
    <w:rsid w:val="00FE6DC1"/>
    <w:rsid w:val="00FE6E43"/>
    <w:rsid w:val="00FE7196"/>
    <w:rsid w:val="00FE73A7"/>
    <w:rsid w:val="00FE7452"/>
    <w:rsid w:val="00FE7530"/>
    <w:rsid w:val="00FE77F6"/>
    <w:rsid w:val="00FE79D2"/>
    <w:rsid w:val="00FE7A0A"/>
    <w:rsid w:val="00FE7A0F"/>
    <w:rsid w:val="00FE7CB0"/>
    <w:rsid w:val="00FE7D37"/>
    <w:rsid w:val="00FE7D93"/>
    <w:rsid w:val="00FE7EA1"/>
    <w:rsid w:val="00FF0146"/>
    <w:rsid w:val="00FF01CF"/>
    <w:rsid w:val="00FF04AA"/>
    <w:rsid w:val="00FF07C5"/>
    <w:rsid w:val="00FF09BC"/>
    <w:rsid w:val="00FF0A9C"/>
    <w:rsid w:val="00FF0B52"/>
    <w:rsid w:val="00FF0E47"/>
    <w:rsid w:val="00FF10C3"/>
    <w:rsid w:val="00FF12CD"/>
    <w:rsid w:val="00FF1353"/>
    <w:rsid w:val="00FF1399"/>
    <w:rsid w:val="00FF1403"/>
    <w:rsid w:val="00FF1507"/>
    <w:rsid w:val="00FF1788"/>
    <w:rsid w:val="00FF1838"/>
    <w:rsid w:val="00FF189A"/>
    <w:rsid w:val="00FF1B11"/>
    <w:rsid w:val="00FF1D69"/>
    <w:rsid w:val="00FF1DE5"/>
    <w:rsid w:val="00FF1E28"/>
    <w:rsid w:val="00FF1FE1"/>
    <w:rsid w:val="00FF2252"/>
    <w:rsid w:val="00FF22C2"/>
    <w:rsid w:val="00FF23F7"/>
    <w:rsid w:val="00FF249C"/>
    <w:rsid w:val="00FF25C5"/>
    <w:rsid w:val="00FF2612"/>
    <w:rsid w:val="00FF2677"/>
    <w:rsid w:val="00FF26DB"/>
    <w:rsid w:val="00FF27C0"/>
    <w:rsid w:val="00FF2821"/>
    <w:rsid w:val="00FF2DC9"/>
    <w:rsid w:val="00FF2E36"/>
    <w:rsid w:val="00FF3022"/>
    <w:rsid w:val="00FF3027"/>
    <w:rsid w:val="00FF30FA"/>
    <w:rsid w:val="00FF31CA"/>
    <w:rsid w:val="00FF3285"/>
    <w:rsid w:val="00FF3347"/>
    <w:rsid w:val="00FF341F"/>
    <w:rsid w:val="00FF36A4"/>
    <w:rsid w:val="00FF3908"/>
    <w:rsid w:val="00FF3920"/>
    <w:rsid w:val="00FF3C3E"/>
    <w:rsid w:val="00FF3E3D"/>
    <w:rsid w:val="00FF3E9F"/>
    <w:rsid w:val="00FF3EF6"/>
    <w:rsid w:val="00FF405C"/>
    <w:rsid w:val="00FF4094"/>
    <w:rsid w:val="00FF40B3"/>
    <w:rsid w:val="00FF440A"/>
    <w:rsid w:val="00FF44DF"/>
    <w:rsid w:val="00FF4916"/>
    <w:rsid w:val="00FF4943"/>
    <w:rsid w:val="00FF49A8"/>
    <w:rsid w:val="00FF4F2B"/>
    <w:rsid w:val="00FF4FA2"/>
    <w:rsid w:val="00FF5077"/>
    <w:rsid w:val="00FF52BA"/>
    <w:rsid w:val="00FF52D6"/>
    <w:rsid w:val="00FF52DF"/>
    <w:rsid w:val="00FF52F8"/>
    <w:rsid w:val="00FF549C"/>
    <w:rsid w:val="00FF5537"/>
    <w:rsid w:val="00FF55EC"/>
    <w:rsid w:val="00FF5897"/>
    <w:rsid w:val="00FF5A68"/>
    <w:rsid w:val="00FF5E68"/>
    <w:rsid w:val="00FF5EA9"/>
    <w:rsid w:val="00FF5F43"/>
    <w:rsid w:val="00FF6067"/>
    <w:rsid w:val="00FF60D4"/>
    <w:rsid w:val="00FF6164"/>
    <w:rsid w:val="00FF61E3"/>
    <w:rsid w:val="00FF62EC"/>
    <w:rsid w:val="00FF639B"/>
    <w:rsid w:val="00FF6519"/>
    <w:rsid w:val="00FF6555"/>
    <w:rsid w:val="00FF6977"/>
    <w:rsid w:val="00FF6AC7"/>
    <w:rsid w:val="00FF6B07"/>
    <w:rsid w:val="00FF6B4D"/>
    <w:rsid w:val="00FF6E08"/>
    <w:rsid w:val="00FF716E"/>
    <w:rsid w:val="00FF726F"/>
    <w:rsid w:val="00FF74FE"/>
    <w:rsid w:val="00FF7560"/>
    <w:rsid w:val="00FF7698"/>
    <w:rsid w:val="00FF7944"/>
    <w:rsid w:val="00FF7A9F"/>
    <w:rsid w:val="00FF7B12"/>
    <w:rsid w:val="00FF7BCA"/>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DF30CA"/>
  <w15:docId w15:val="{ECA91A9B-F2CE-4A1D-A293-1C9AAF78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qFormat="1"/>
    <w:lsdException w:name="footnote text" w:locked="1" w:semiHidden="1" w:unhideWhenUsed="1" w:qFormat="1"/>
    <w:lsdException w:name="annotation text" w:locked="1" w:semiHidden="1" w:unhideWhenUsed="1"/>
    <w:lsdException w:name="header" w:locked="1" w:semiHidden="1" w:uiPriority="0" w:unhideWhenUsed="1" w:qFormat="1"/>
    <w:lsdException w:name="footer" w:locked="1" w:semiHidden="1" w:unhideWhenUsed="1"/>
    <w:lsdException w:name="index heading" w:locked="1" w:semiHidden="1" w:unhideWhenUsed="1"/>
    <w:lsdException w:name="caption" w:locked="1" w:uiPriority="35" w:qFormat="1"/>
    <w:lsdException w:name="table of figures" w:locked="1" w:semiHidden="1" w:unhideWhenUsed="1" w:qFormat="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iPriority="0" w:unhideWhenUsed="1"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lsdException w:name="Medium Shading 1 Accent 5"/>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qFormat/>
    <w:rsid w:val="00DF6640"/>
    <w:pPr>
      <w:keepNext/>
      <w:spacing w:before="360" w:after="240"/>
      <w:ind w:firstLine="567"/>
      <w:jc w:val="both"/>
      <w:outlineLvl w:val="1"/>
    </w:pPr>
    <w:rPr>
      <w:rFonts w:ascii="GHEA Grapalat" w:hAnsi="GHEA Grapalat"/>
      <w:b/>
      <w:sz w:val="22"/>
      <w:szCs w:val="20"/>
      <w:lang w:val="de-AT"/>
    </w:rPr>
  </w:style>
  <w:style w:type="paragraph" w:styleId="Heading3">
    <w:name w:val="heading 3"/>
    <w:aliases w:val="Centered,(text),(Sub-Chapter),Heading 3 Char Char Char Char Char Char"/>
    <w:basedOn w:val="Normal"/>
    <w:next w:val="Normal"/>
    <w:link w:val="Heading3Char1"/>
    <w:uiPriority w:val="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Citation List,Centre,heading 4"/>
    <w:basedOn w:val="CM4"/>
    <w:next w:val="Normal"/>
    <w:link w:val="Heading4Char2"/>
    <w:uiPriority w:val="9"/>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
    <w:qFormat/>
    <w:rsid w:val="002D4A3F"/>
    <w:pPr>
      <w:keepNext/>
      <w:spacing w:line="360" w:lineRule="auto"/>
      <w:ind w:left="720"/>
      <w:jc w:val="both"/>
      <w:outlineLvl w:val="5"/>
    </w:pPr>
    <w:rPr>
      <w:rFonts w:ascii="Times Armenian" w:hAnsi="Times Armenian"/>
      <w:szCs w:val="20"/>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szCs w:val="20"/>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szCs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locked/>
    <w:rsid w:val="002D4A3F"/>
    <w:rPr>
      <w:rFonts w:ascii="Times Armenian" w:hAnsi="Times Armenian" w:cs="Times New Roman"/>
      <w:b/>
      <w:i/>
      <w:noProof/>
      <w:sz w:val="28"/>
      <w:lang w:val="hy-AM" w:eastAsia="en-US"/>
    </w:rPr>
  </w:style>
  <w:style w:type="character" w:customStyle="1" w:styleId="Heading2Char">
    <w:name w:val="Heading 2 Char"/>
    <w:aliases w:val="Paranum Char"/>
    <w:basedOn w:val="DefaultParagraphFont"/>
    <w:link w:val="Heading2"/>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basedOn w:val="DefaultParagraphFont"/>
    <w:uiPriority w:val="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PDP DOCUMENT SUBTITLE Char,Table no. List Paragraph Char,Абзац списка3 Char,Bullet Points Char,List Paragraph111 Char,Bullet paras Char,OBC Bullet Char,Normal numbered Char,Titulo 2 Char,Centre Char"/>
    <w:basedOn w:val="DefaultParagraphFont"/>
    <w:uiPriority w:val="9"/>
    <w:rsid w:val="00ED754B"/>
    <w:rPr>
      <w:rFonts w:asciiTheme="minorHAnsi" w:eastAsiaTheme="minorEastAsia" w:hAnsiTheme="minorHAnsi" w:cstheme="minorBidi"/>
      <w:b/>
      <w:bCs/>
      <w:noProof/>
      <w:sz w:val="28"/>
      <w:szCs w:val="28"/>
      <w:lang w:val="hy-AM"/>
    </w:rPr>
  </w:style>
  <w:style w:type="character" w:customStyle="1" w:styleId="Heading5Char">
    <w:name w:val="Heading 5 Char"/>
    <w:aliases w:val="Side Char"/>
    <w:basedOn w:val="DefaultParagraphFont"/>
    <w:uiPriority w:val="9"/>
    <w:locked/>
    <w:rsid w:val="006F0D28"/>
    <w:rPr>
      <w:rFonts w:ascii="Calibri" w:hAnsi="Calibri" w:cs="Times New Roman"/>
      <w:b/>
      <w:i/>
      <w:noProof/>
      <w:sz w:val="26"/>
      <w:lang w:val="hy-AM"/>
    </w:rPr>
  </w:style>
  <w:style w:type="character" w:customStyle="1" w:styleId="Heading6Char">
    <w:name w:val="Heading 6 Char"/>
    <w:basedOn w:val="DefaultParagraphFont"/>
    <w:link w:val="Heading6"/>
    <w:uiPriority w:val="9"/>
    <w:locked/>
    <w:rsid w:val="002D4A3F"/>
    <w:rPr>
      <w:rFonts w:ascii="Times Armenian" w:hAnsi="Times Armenian" w:cs="Times New Roman"/>
      <w:noProof/>
      <w:sz w:val="24"/>
      <w:u w:val="single"/>
      <w:lang w:val="hy-AM" w:eastAsia="en-US"/>
    </w:rPr>
  </w:style>
  <w:style w:type="character" w:customStyle="1" w:styleId="Heading7Char">
    <w:name w:val="Heading 7 Char"/>
    <w:basedOn w:val="DefaultParagraphFont"/>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basedOn w:val="DefaultParagraphFont"/>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basedOn w:val="DefaultParagraphFont"/>
    <w:link w:val="Heading9"/>
    <w:uiPriority w:val="99"/>
    <w:locked/>
    <w:rsid w:val="002D4A3F"/>
    <w:rPr>
      <w:rFonts w:cs="Times New Roman"/>
      <w:sz w:val="22"/>
      <w:lang w:val="en-GB" w:eastAsia="en-US"/>
    </w:rPr>
  </w:style>
  <w:style w:type="character" w:customStyle="1" w:styleId="Heading4Char7">
    <w:name w:val="Heading 4 Char7"/>
    <w:aliases w:val="Абзац списка2 Char6,List Paragraph5 Char6,PDP DOCUMENT SUBTITLE Char6,Table no. List Paragraph Char6,Абзац списка3 Char6,Bullet Points Char6,List Paragraph111 Char6,Bullet paras Char6,OBC Bullet Char6,Normal numbered Char6,Titulo 2 Char6"/>
    <w:basedOn w:val="DefaultParagraphFont"/>
    <w:uiPriority w:val="99"/>
    <w:semiHidden/>
    <w:locked/>
    <w:rPr>
      <w:rFonts w:ascii="Calibri" w:hAnsi="Calibri" w:cs="Times New Roman"/>
      <w:b/>
      <w:bCs/>
      <w:noProof/>
      <w:sz w:val="28"/>
      <w:szCs w:val="28"/>
      <w:lang w:val="hy-AM"/>
    </w:rPr>
  </w:style>
  <w:style w:type="character" w:customStyle="1" w:styleId="Heading4Char6">
    <w:name w:val="Heading 4 Char6"/>
    <w:aliases w:val="Абзац списка2 Char5,List Paragraph5 Char5,PDP DOCUMENT SUBTITLE Char5,Table no. List Paragraph Char5,Абзац списка3 Char5,Bullet Points Char5,List Paragraph111 Char5,Bullet paras Char5,OBC Bullet Char5,Normal numbered Char5,Titulo 2 Char5"/>
    <w:basedOn w:val="DefaultParagraphFont"/>
    <w:uiPriority w:val="99"/>
    <w:semiHidden/>
    <w:locked/>
    <w:rsid w:val="00EE436B"/>
    <w:rPr>
      <w:rFonts w:ascii="Calibri" w:hAnsi="Calibri" w:cs="Times New Roman"/>
      <w:b/>
      <w:bCs/>
      <w:noProof/>
      <w:sz w:val="28"/>
      <w:szCs w:val="28"/>
      <w:lang w:val="hy-AM"/>
    </w:rPr>
  </w:style>
  <w:style w:type="character" w:customStyle="1" w:styleId="Heading4Char5">
    <w:name w:val="Heading 4 Char5"/>
    <w:aliases w:val="Абзац списка2 Char4,List Paragraph5 Char4,PDP DOCUMENT SUBTITLE Char4,Table no. List Paragraph Char4,Абзац списка3 Char4,Bullet Points Char4,List Paragraph111 Char4,Bullet paras Char4,OBC Bullet Char4,Normal numbered Char4,Titulo 2 Char4"/>
    <w:basedOn w:val="DefaultParagraphFont"/>
    <w:uiPriority w:val="99"/>
    <w:semiHidden/>
    <w:locked/>
    <w:rsid w:val="00157128"/>
    <w:rPr>
      <w:rFonts w:ascii="Calibri" w:hAnsi="Calibri" w:cs="Times New Roman"/>
      <w:b/>
      <w:bCs/>
      <w:noProof/>
      <w:sz w:val="28"/>
      <w:szCs w:val="28"/>
      <w:lang w:val="hy-AM"/>
    </w:rPr>
  </w:style>
  <w:style w:type="character" w:customStyle="1" w:styleId="Heading4Char4">
    <w:name w:val="Heading 4 Char4"/>
    <w:aliases w:val="Абзац списка2 Char3,List Paragraph5 Char3,PDP DOCUMENT SUBTITLE Char3,Table no. List Paragraph Char3,Абзац списка3 Char3,Bullet Points Char3,List Paragraph111 Char3,Bullet paras Char3,OBC Bullet Char3,Normal numbered Char3,Titulo 2 Char3"/>
    <w:basedOn w:val="DefaultParagraphFont"/>
    <w:uiPriority w:val="99"/>
    <w:semiHidden/>
    <w:locked/>
    <w:rsid w:val="00800C77"/>
    <w:rPr>
      <w:rFonts w:ascii="Calibri" w:hAnsi="Calibri" w:cs="Times New Roman"/>
      <w:b/>
      <w:bCs/>
      <w:noProof/>
      <w:sz w:val="28"/>
      <w:szCs w:val="28"/>
      <w:lang w:val="hy-AM"/>
    </w:rPr>
  </w:style>
  <w:style w:type="character" w:customStyle="1" w:styleId="Heading4Char3">
    <w:name w:val="Heading 4 Char3"/>
    <w:aliases w:val="Абзац списка2 Char2,List Paragraph5 Char2,Centred Char1,PDP DOCUMENT SUBTITLE Char1,Table no. List Paragraph Char1,Абзац списка3 Char1,Bullet Points Char1,List Paragraph111 Char1,Bullet paras Char1,OBC Bullet Char1"/>
    <w:uiPriority w:val="99"/>
    <w:locked/>
    <w:rsid w:val="006F0D28"/>
    <w:rPr>
      <w:rFonts w:ascii="Calibri" w:hAnsi="Calibri"/>
      <w:b/>
      <w:noProof/>
      <w:sz w:val="28"/>
      <w:lang w:val="hy-AM"/>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qFormat/>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basedOn w:val="DefaultParagraphFont"/>
    <w:locked/>
    <w:rsid w:val="006F0D28"/>
    <w:rPr>
      <w:rFonts w:cs="Times New Roman"/>
      <w:noProof/>
      <w:sz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basedOn w:val="DefaultParagraphFont"/>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Body Text Indent Char2 Char,(Table Source) Char Char,(Table Source) Char2 Char,(Table Source) Char Char1 Char,Body Text Indent Char Char Char,(Table Source) Char3,(Table Source) Char,Body Text Indent Char2"/>
    <w:basedOn w:val="Normal"/>
    <w:link w:val="BodyTextIndentChar1"/>
    <w:qFormat/>
    <w:rsid w:val="002D4A3F"/>
    <w:pPr>
      <w:spacing w:line="360" w:lineRule="auto"/>
      <w:ind w:firstLine="720"/>
      <w:jc w:val="both"/>
    </w:pPr>
  </w:style>
  <w:style w:type="character" w:customStyle="1" w:styleId="BodyTextIndentChar1">
    <w:name w:val="Body Text Indent Char1"/>
    <w:aliases w:val="Body Text Indent Char Char,Body Text Indent Char2 Char Char,(Table Source) Char Char Char,(Table Source) Char2 Char Char,(Table Source) Char Char1 Char Char,Body Text Indent Char Char Char Char,(Table Source) Char3 Char"/>
    <w:basedOn w:val="DefaultParagraphFont"/>
    <w:link w:val="BodyTextIndent"/>
    <w:locked/>
    <w:rsid w:val="00800C77"/>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footnote text"/>
    <w:basedOn w:val="Normal"/>
    <w:link w:val="FootnoteTextChar2"/>
    <w:uiPriority w:val="99"/>
    <w:qFormat/>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basedOn w:val="DefaultParagraphFont"/>
    <w:uiPriority w:val="99"/>
    <w:locked/>
    <w:rsid w:val="006F0D28"/>
    <w:rPr>
      <w:rFonts w:cs="Times New Roman"/>
      <w:noProof/>
      <w:sz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basedOn w:val="DefaultParagraphFont"/>
    <w:link w:val="BVIfnr1"/>
    <w:uiPriority w:val="99"/>
    <w:qFormat/>
    <w:locked/>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basedOn w:val="DefaultParagraphFont"/>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basedOn w:val="DefaultParagraphFont"/>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basedOn w:val="DefaultParagraphFont"/>
    <w:link w:val="BodyText3"/>
    <w:uiPriority w:val="99"/>
    <w:locked/>
    <w:rsid w:val="00461412"/>
    <w:rPr>
      <w:rFonts w:ascii="Times Armenian" w:hAnsi="Times Armenian" w:cs="Times New Roman"/>
      <w:noProof/>
      <w:sz w:val="22"/>
      <w:lang w:val="en-GB"/>
    </w:rPr>
  </w:style>
  <w:style w:type="character" w:styleId="PageNumber">
    <w:name w:val="page number"/>
    <w:basedOn w:val="DefaultParagraphFont"/>
    <w:uiPriority w:val="99"/>
    <w:rsid w:val="002D4A3F"/>
    <w:rPr>
      <w:rFonts w:cs="Times New Roman"/>
    </w:rPr>
  </w:style>
  <w:style w:type="paragraph" w:styleId="TOC1">
    <w:name w:val="toc 1"/>
    <w:basedOn w:val="Normal"/>
    <w:next w:val="Normal"/>
    <w:autoRedefine/>
    <w:uiPriority w:val="39"/>
    <w:rsid w:val="00EA4DFC"/>
    <w:pPr>
      <w:tabs>
        <w:tab w:val="right" w:leader="dot" w:pos="10198"/>
      </w:tabs>
    </w:pPr>
    <w:rPr>
      <w:rFonts w:ascii="GHEA Grapalat" w:hAnsi="GHEA Grapalat" w:cs="Sylfaen"/>
      <w:b/>
      <w:bCs/>
      <w:caps/>
      <w:color w:val="000000"/>
      <w:sz w:val="20"/>
      <w:szCs w:val="20"/>
      <w:lang w:val="en-US"/>
    </w:rPr>
  </w:style>
  <w:style w:type="paragraph" w:styleId="TOC2">
    <w:name w:val="toc 2"/>
    <w:basedOn w:val="Normal"/>
    <w:next w:val="Normal"/>
    <w:autoRedefine/>
    <w:uiPriority w:val="39"/>
    <w:rsid w:val="00CD7EC1"/>
    <w:pPr>
      <w:tabs>
        <w:tab w:val="right" w:leader="dot" w:pos="10198"/>
      </w:tabs>
      <w:spacing w:line="276" w:lineRule="auto"/>
      <w:ind w:left="240"/>
      <w:jc w:val="both"/>
    </w:pPr>
    <w:rPr>
      <w:rFonts w:ascii="GHEA Grapalat" w:hAnsi="GHEA Grapalat"/>
      <w:bCs/>
      <w:sz w:val="20"/>
      <w:szCs w:val="20"/>
    </w:rPr>
  </w:style>
  <w:style w:type="paragraph" w:styleId="TOC3">
    <w:name w:val="toc 3"/>
    <w:basedOn w:val="Normal"/>
    <w:next w:val="Normal"/>
    <w:autoRedefine/>
    <w:uiPriority w:val="39"/>
    <w:rsid w:val="002D4A3F"/>
    <w:pPr>
      <w:ind w:left="480"/>
    </w:pPr>
    <w:rPr>
      <w:i/>
      <w:iCs/>
      <w:sz w:val="20"/>
      <w:szCs w:val="20"/>
    </w:rPr>
  </w:style>
  <w:style w:type="character" w:styleId="Hyperlink">
    <w:name w:val="Hyperlink"/>
    <w:basedOn w:val="DefaultParagraphFont"/>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qFormat/>
    <w:rsid w:val="002D4A3F"/>
    <w:pPr>
      <w:spacing w:after="120"/>
    </w:pPr>
    <w:rPr>
      <w:szCs w:val="20"/>
    </w:rPr>
  </w:style>
  <w:style w:type="character" w:customStyle="1" w:styleId="BodyTextChar">
    <w:name w:val="Body Text Char"/>
    <w:aliases w:val="(Main Text) Char,date Char,Body Text (Main text) Char"/>
    <w:basedOn w:val="DefaultParagraphFont"/>
    <w:uiPriority w:val="99"/>
    <w:locked/>
    <w:rsid w:val="006F0D28"/>
    <w:rPr>
      <w:rFonts w:cs="Times New Roman"/>
      <w:noProof/>
      <w:sz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qFormat/>
    <w:rsid w:val="002D4A3F"/>
    <w:rPr>
      <w:sz w:val="24"/>
      <w:szCs w:val="20"/>
      <w:lang w:eastAsia="ru-RU"/>
    </w:rPr>
  </w:style>
  <w:style w:type="paragraph" w:customStyle="1" w:styleId="10">
    <w:name w:val="???????1"/>
    <w:uiPriority w:val="99"/>
    <w:qFormat/>
    <w:rsid w:val="002D4A3F"/>
    <w:rPr>
      <w:sz w:val="20"/>
      <w:szCs w:val="20"/>
      <w:lang w:val="ru-RU" w:eastAsia="ru-RU"/>
    </w:rPr>
  </w:style>
  <w:style w:type="paragraph" w:customStyle="1" w:styleId="3">
    <w:name w:val="???????? ????? ? ????????3"/>
    <w:basedOn w:val="a1"/>
    <w:uiPriority w:val="99"/>
    <w:qFormat/>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qFormat/>
    <w:rsid w:val="002D4A3F"/>
    <w:pPr>
      <w:spacing w:after="160" w:line="240" w:lineRule="exact"/>
    </w:pPr>
    <w:rPr>
      <w:rFonts w:ascii="Arial" w:hAnsi="Arial" w:cs="Arial"/>
      <w:sz w:val="20"/>
      <w:szCs w:val="20"/>
    </w:rPr>
  </w:style>
  <w:style w:type="paragraph" w:customStyle="1" w:styleId="Armenian">
    <w:name w:val="Armenian"/>
    <w:basedOn w:val="Normal"/>
    <w:uiPriority w:val="99"/>
    <w:qFormat/>
    <w:rsid w:val="002D4A3F"/>
    <w:rPr>
      <w:rFonts w:ascii="Agg_Times1" w:hAnsi="Agg_Times1"/>
      <w:szCs w:val="20"/>
      <w:lang w:val="en-GB"/>
    </w:rPr>
  </w:style>
  <w:style w:type="paragraph" w:styleId="Title">
    <w:name w:val="Title"/>
    <w:basedOn w:val="Normal"/>
    <w:link w:val="TitleChar1"/>
    <w:qFormat/>
    <w:rsid w:val="002D4A3F"/>
    <w:pPr>
      <w:jc w:val="center"/>
    </w:pPr>
    <w:rPr>
      <w:rFonts w:ascii="Arial Armenian" w:hAnsi="Arial Armenian"/>
      <w:b/>
      <w:sz w:val="28"/>
      <w:szCs w:val="20"/>
    </w:rPr>
  </w:style>
  <w:style w:type="character" w:customStyle="1" w:styleId="TitleChar">
    <w:name w:val="Title Char"/>
    <w:basedOn w:val="DefaultParagraphFont"/>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Char,Char Char Char Char, webb, Char Char, Char, Char Char Char Char"/>
    <w:basedOn w:val="Normal"/>
    <w:link w:val="NormalWebChar"/>
    <w:uiPriority w:val="99"/>
    <w:qFormat/>
    <w:rsid w:val="002D4A3F"/>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20"/>
    </w:rPr>
  </w:style>
  <w:style w:type="character" w:customStyle="1" w:styleId="BodyTextIndent3Char">
    <w:name w:val="Body Text Indent 3 Char"/>
    <w:basedOn w:val="DefaultParagraphFont"/>
    <w:link w:val="BodyTextIndent3"/>
    <w:uiPriority w:val="99"/>
    <w:locked/>
    <w:rsid w:val="00461412"/>
    <w:rPr>
      <w:rFonts w:cs="Times New Roman"/>
      <w:noProof/>
      <w:sz w:val="16"/>
      <w:lang w:val="hy-AM"/>
    </w:rPr>
  </w:style>
  <w:style w:type="table" w:styleId="TableGrid">
    <w:name w:val="Table Grid"/>
    <w:basedOn w:val="TableNormal"/>
    <w:rsid w:val="002D4A3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basedOn w:val="DefaultParagraphFont"/>
    <w:uiPriority w:val="99"/>
    <w:locked/>
    <w:rsid w:val="002D4A3F"/>
    <w:rPr>
      <w:rFonts w:ascii="Tahoma" w:hAnsi="Tahoma" w:cs="Times New Roman"/>
      <w:noProof/>
      <w:sz w:val="16"/>
      <w:lang w:val="hy-AM" w:eastAsia="en-US"/>
    </w:rPr>
  </w:style>
  <w:style w:type="paragraph" w:customStyle="1" w:styleId="11">
    <w:name w:val="????????1"/>
    <w:basedOn w:val="a1"/>
    <w:uiPriority w:val="99"/>
    <w:qFormat/>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qFormat/>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qFormat/>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qFormat/>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qFormat/>
    <w:rsid w:val="002D4A3F"/>
    <w:pPr>
      <w:tabs>
        <w:tab w:val="left" w:pos="709"/>
      </w:tabs>
    </w:pPr>
    <w:rPr>
      <w:rFonts w:ascii="Tahoma" w:hAnsi="Tahoma"/>
      <w:noProof w:val="0"/>
      <w:lang w:val="pl-PL" w:eastAsia="pl-PL"/>
    </w:rPr>
  </w:style>
  <w:style w:type="paragraph" w:customStyle="1" w:styleId="a2">
    <w:name w:val="Знак Знак"/>
    <w:basedOn w:val="Normal"/>
    <w:uiPriority w:val="99"/>
    <w:qFormat/>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qFormat/>
    <w:locked/>
    <w:rsid w:val="002D4A3F"/>
    <w:pPr>
      <w:spacing w:after="160"/>
    </w:pPr>
    <w:rPr>
      <w:rFonts w:ascii="Verdana" w:eastAsia="Batang" w:hAnsi="Verdana" w:cs="Verdana"/>
      <w:noProof w:val="0"/>
      <w:lang w:val="en-US"/>
    </w:rPr>
  </w:style>
  <w:style w:type="paragraph" w:customStyle="1" w:styleId="30">
    <w:name w:val="???????? ????? ? ???????? 3"/>
    <w:basedOn w:val="a1"/>
    <w:uiPriority w:val="99"/>
    <w:qFormat/>
    <w:rsid w:val="002D4A3F"/>
    <w:pPr>
      <w:ind w:firstLine="360"/>
      <w:jc w:val="both"/>
    </w:pPr>
    <w:rPr>
      <w:rFonts w:ascii="Times Armenian" w:hAnsi="Times Armenian"/>
      <w:lang w:val="af-ZA"/>
    </w:rPr>
  </w:style>
  <w:style w:type="paragraph" w:customStyle="1" w:styleId="a3">
    <w:name w:val="???????? ????? ? ????????"/>
    <w:basedOn w:val="10"/>
    <w:uiPriority w:val="99"/>
    <w:qFormat/>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qFormat/>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qFormat/>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basedOn w:val="DefaultParagraphFont"/>
    <w:uiPriority w:val="22"/>
    <w:qFormat/>
    <w:rsid w:val="002D4A3F"/>
    <w:rPr>
      <w:rFonts w:cs="Times New Roman"/>
      <w:b/>
    </w:rPr>
  </w:style>
  <w:style w:type="paragraph" w:customStyle="1" w:styleId="Char1">
    <w:name w:val="Char1"/>
    <w:basedOn w:val="Normal"/>
    <w:next w:val="Normal"/>
    <w:uiPriority w:val="99"/>
    <w:qFormat/>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qFormat/>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qFormat/>
    <w:rsid w:val="002D4A3F"/>
    <w:pPr>
      <w:jc w:val="center"/>
    </w:pPr>
    <w:rPr>
      <w:rFonts w:ascii="Times Armenian" w:hAnsi="Times Armenian"/>
      <w:i/>
      <w:sz w:val="28"/>
    </w:rPr>
  </w:style>
  <w:style w:type="paragraph" w:customStyle="1" w:styleId="Default">
    <w:name w:val="Default"/>
    <w:link w:val="DefaultChar"/>
    <w:qFormat/>
    <w:rsid w:val="002D4A3F"/>
    <w:pPr>
      <w:autoSpaceDE w:val="0"/>
      <w:autoSpaceDN w:val="0"/>
      <w:adjustRightInd w:val="0"/>
    </w:pPr>
    <w:rPr>
      <w:rFonts w:ascii="Warnock Pro" w:hAnsi="Warnock Pro"/>
      <w:color w:val="000000"/>
    </w:rPr>
  </w:style>
  <w:style w:type="paragraph" w:styleId="TOCHeading">
    <w:name w:val="TOC Heading"/>
    <w:basedOn w:val="Heading1"/>
    <w:next w:val="Normal"/>
    <w:uiPriority w:val="3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basedOn w:val="DefaultParagraphFont"/>
    <w:uiPriority w:val="99"/>
    <w:qFormat/>
    <w:rsid w:val="002D4A3F"/>
    <w:rPr>
      <w:rFonts w:cs="Times New Roman"/>
      <w:i/>
    </w:rPr>
  </w:style>
  <w:style w:type="character" w:styleId="CommentReference">
    <w:name w:val="annotation reference"/>
    <w:basedOn w:val="DefaultParagraphFont"/>
    <w:uiPriority w:val="99"/>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basedOn w:val="DefaultParagraphFont"/>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rPr>
  </w:style>
  <w:style w:type="character" w:customStyle="1" w:styleId="CommentSubjectChar">
    <w:name w:val="Comment Subject Char"/>
    <w:basedOn w:val="CommentText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qFormat/>
    <w:rsid w:val="002D4A3F"/>
    <w:pPr>
      <w:spacing w:after="160" w:line="240" w:lineRule="exact"/>
    </w:pPr>
    <w:rPr>
      <w:rFonts w:ascii="Arial" w:hAnsi="Arial" w:cs="Arial"/>
      <w:noProof w:val="0"/>
      <w:sz w:val="20"/>
      <w:szCs w:val="20"/>
      <w:lang w:val="en-US"/>
    </w:rPr>
  </w:style>
  <w:style w:type="character" w:styleId="FollowedHyperlink">
    <w:name w:val="FollowedHyperlink"/>
    <w:basedOn w:val="DefaultParagraphFont"/>
    <w:uiPriority w:val="99"/>
    <w:rsid w:val="002D4A3F"/>
    <w:rPr>
      <w:rFonts w:cs="Times New Roman"/>
      <w:color w:val="800080"/>
      <w:u w:val="single"/>
    </w:rPr>
  </w:style>
  <w:style w:type="paragraph" w:customStyle="1" w:styleId="Char3CharCharChar">
    <w:name w:val="Char3 Char Char Char"/>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qFormat/>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qFormat/>
    <w:rsid w:val="002D4A3F"/>
    <w:rPr>
      <w:rFonts w:eastAsia="SimSun"/>
      <w:noProof w:val="0"/>
      <w:sz w:val="20"/>
      <w:szCs w:val="20"/>
      <w:lang w:val="en-US" w:eastAsia="ru-RU"/>
    </w:rPr>
  </w:style>
  <w:style w:type="paragraph" w:customStyle="1" w:styleId="mechtex">
    <w:name w:val="mechtex"/>
    <w:basedOn w:val="Normal"/>
    <w:link w:val="mechtexChar"/>
    <w:uiPriority w:val="99"/>
    <w:qFormat/>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qFormat/>
    <w:rsid w:val="002D4A3F"/>
    <w:rPr>
      <w:rFonts w:eastAsia="SimSun"/>
      <w:noProof w:val="0"/>
      <w:sz w:val="20"/>
      <w:szCs w:val="20"/>
      <w:lang w:val="en-US" w:eastAsia="ru-RU"/>
    </w:rPr>
  </w:style>
  <w:style w:type="paragraph" w:customStyle="1" w:styleId="Znak4">
    <w:name w:val="Znak4"/>
    <w:basedOn w:val="Normal"/>
    <w:uiPriority w:val="99"/>
    <w:qFormat/>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basedOn w:val="DefaultParagraphFont"/>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paragraph" w:styleId="Caption">
    <w:name w:val="caption"/>
    <w:basedOn w:val="Normal"/>
    <w:next w:val="Normal"/>
    <w:uiPriority w:val="35"/>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qFormat/>
    <w:rsid w:val="002D4A3F"/>
    <w:pPr>
      <w:spacing w:after="120"/>
      <w:ind w:left="360"/>
    </w:pPr>
    <w:rPr>
      <w:noProof w:val="0"/>
      <w:sz w:val="20"/>
      <w:lang w:val="en-US"/>
    </w:rPr>
  </w:style>
  <w:style w:type="table" w:styleId="TableColumns2">
    <w:name w:val="Table Columns 2"/>
    <w:basedOn w:val="TableNormal"/>
    <w:uiPriority w:val="99"/>
    <w:rsid w:val="002D4A3F"/>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qFormat/>
    <w:locked/>
    <w:rsid w:val="002D4A3F"/>
    <w:pPr>
      <w:spacing w:after="160"/>
    </w:pPr>
    <w:rPr>
      <w:rFonts w:ascii="Verdana" w:eastAsia="Batang" w:hAnsi="Verdana" w:cs="Verdana"/>
      <w:noProof w:val="0"/>
      <w:lang w:val="en-US"/>
    </w:rPr>
  </w:style>
  <w:style w:type="paragraph" w:customStyle="1" w:styleId="12">
    <w:name w:val="Знак Знак1"/>
    <w:basedOn w:val="Normal"/>
    <w:uiPriority w:val="99"/>
    <w:qFormat/>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qFormat/>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qFormat/>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qFormat/>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qFormat/>
    <w:rsid w:val="002D4A3F"/>
    <w:rPr>
      <w:rFonts w:ascii="Sylfaen" w:hAnsi="Sylfaen"/>
      <w:color w:val="auto"/>
    </w:rPr>
  </w:style>
  <w:style w:type="paragraph" w:customStyle="1" w:styleId="BodyText1">
    <w:name w:val="Body Text1"/>
    <w:basedOn w:val="Default"/>
    <w:next w:val="Default"/>
    <w:uiPriority w:val="99"/>
    <w:qFormat/>
    <w:rsid w:val="002D4A3F"/>
    <w:rPr>
      <w:rFonts w:ascii="Sylfaen" w:hAnsi="Sylfaen"/>
      <w:color w:val="auto"/>
    </w:rPr>
  </w:style>
  <w:style w:type="paragraph" w:customStyle="1" w:styleId="20">
    <w:name w:val="Знак Знак2"/>
    <w:basedOn w:val="Normal"/>
    <w:uiPriority w:val="99"/>
    <w:qFormat/>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qFormat/>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qFormat/>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basedOn w:val="DefaultParagraphFont"/>
    <w:uiPriority w:val="99"/>
    <w:locked/>
    <w:rsid w:val="003263E2"/>
    <w:rPr>
      <w:rFonts w:ascii="Consolas" w:hAnsi="Consolas" w:cs="Times New Roman"/>
      <w:sz w:val="21"/>
    </w:rPr>
  </w:style>
  <w:style w:type="paragraph" w:customStyle="1" w:styleId="Tabletext">
    <w:name w:val="Tabletext"/>
    <w:basedOn w:val="Normal"/>
    <w:uiPriority w:val="99"/>
    <w:qFormat/>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qFormat/>
    <w:rsid w:val="002D4A3F"/>
    <w:pPr>
      <w:keepNext/>
      <w:spacing w:after="130"/>
      <w:jc w:val="center"/>
    </w:pPr>
  </w:style>
  <w:style w:type="paragraph" w:customStyle="1" w:styleId="Bullet">
    <w:name w:val="Bullet"/>
    <w:aliases w:val="bl,Bullet L1,bl1"/>
    <w:basedOn w:val="Normal"/>
    <w:uiPriority w:val="99"/>
    <w:qFormat/>
    <w:rsid w:val="002D4A3F"/>
    <w:pPr>
      <w:numPr>
        <w:numId w:val="1"/>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qFormat/>
    <w:rsid w:val="002D4A3F"/>
    <w:pPr>
      <w:pageBreakBefore/>
      <w:overflowPunct w:val="0"/>
      <w:autoSpaceDE w:val="0"/>
      <w:autoSpaceDN w:val="0"/>
      <w:adjustRightInd w:val="0"/>
      <w:textAlignment w:val="baseline"/>
    </w:pPr>
    <w:rPr>
      <w:noProof/>
      <w:sz w:val="36"/>
      <w:szCs w:val="20"/>
      <w:lang w:val="en-GB"/>
    </w:rPr>
  </w:style>
  <w:style w:type="paragraph" w:customStyle="1" w:styleId="CaptionSubtitle">
    <w:name w:val="Caption: Subtitle"/>
    <w:uiPriority w:val="99"/>
    <w:qFormat/>
    <w:rsid w:val="002D4A3F"/>
    <w:rPr>
      <w:rFonts w:ascii="Arial" w:hAnsi="Arial"/>
      <w:noProof/>
      <w:sz w:val="18"/>
      <w:szCs w:val="20"/>
    </w:rPr>
  </w:style>
  <w:style w:type="paragraph" w:customStyle="1" w:styleId="KLegalHeading3">
    <w:name w:val="KLegal Heading 3"/>
    <w:basedOn w:val="Normal"/>
    <w:next w:val="Text"/>
    <w:uiPriority w:val="99"/>
    <w:qFormat/>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qFormat/>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qFormat/>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qFormat/>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qFormat/>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qFormat/>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qFormat/>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qFormat/>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qFormat/>
    <w:rsid w:val="002D4A3F"/>
    <w:pPr>
      <w:spacing w:before="100" w:beforeAutospacing="1" w:after="100" w:afterAutospacing="1"/>
      <w:textAlignment w:val="center"/>
    </w:pPr>
    <w:rPr>
      <w:noProof w:val="0"/>
      <w:lang w:val="en-US"/>
    </w:rPr>
  </w:style>
  <w:style w:type="paragraph" w:customStyle="1" w:styleId="xl66">
    <w:name w:val="xl66"/>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qFormat/>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qFormat/>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qFormat/>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qFormat/>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qFormat/>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qFormat/>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qFormat/>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qFormat/>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qFormat/>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qFormat/>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qFormat/>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qFormat/>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qFormat/>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qFormat/>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qFormat/>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qFormat/>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qFormat/>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qFormat/>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qFormat/>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qFormat/>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qFormat/>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qFormat/>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qFormat/>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qFormat/>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qFormat/>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qFormat/>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qFormat/>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qFormat/>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qFormat/>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qFormat/>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qFormat/>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qFormat/>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qFormat/>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qFormat/>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qFormat/>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qFormat/>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qFormat/>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qFormat/>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qFormat/>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qFormat/>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qFormat/>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qFormat/>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qFormat/>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qFormat/>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qFormat/>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qFormat/>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qFormat/>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qFormat/>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qFormat/>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qFormat/>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qFormat/>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qFormat/>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qFormat/>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qFormat/>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qFormat/>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qFormat/>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qFormat/>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qFormat/>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qFormat/>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qFormat/>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qFormat/>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11"/>
    <w:qFormat/>
    <w:rsid w:val="002D4A3F"/>
    <w:pPr>
      <w:jc w:val="center"/>
    </w:pPr>
    <w:rPr>
      <w:rFonts w:ascii="Times LatArm" w:hAnsi="Times LatArm"/>
      <w:b/>
      <w:noProof w:val="0"/>
      <w:szCs w:val="20"/>
      <w:lang w:val="en-US"/>
    </w:rPr>
  </w:style>
  <w:style w:type="character" w:customStyle="1" w:styleId="SubtitleChar">
    <w:name w:val="Subtitle Char"/>
    <w:basedOn w:val="DefaultParagraphFont"/>
    <w:uiPriority w:val="11"/>
    <w:locked/>
    <w:rsid w:val="00FD33BB"/>
    <w:rPr>
      <w:rFonts w:ascii="Times LatArm" w:hAnsi="Times LatArm" w:cs="Times New Roman"/>
      <w:b/>
      <w:sz w:val="24"/>
      <w:lang w:val="en-US" w:eastAsia="en-US"/>
    </w:rPr>
  </w:style>
  <w:style w:type="paragraph" w:customStyle="1" w:styleId="xl24">
    <w:name w:val="xl24"/>
    <w:basedOn w:val="Normal"/>
    <w:uiPriority w:val="99"/>
    <w:qFormat/>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qFormat/>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qFormat/>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qFormat/>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qFormat/>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qFormat/>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qFormat/>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qFormat/>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qFormat/>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qFormat/>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qFormat/>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qFormat/>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qFormat/>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qFormat/>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qFormat/>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qFormat/>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qFormat/>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qFormat/>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qFormat/>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0">
    <w:name w:val="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1"/>
    <w:qFormat/>
    <w:rsid w:val="002D4A3F"/>
    <w:rPr>
      <w:rFonts w:ascii="Calibri" w:hAnsi="Calibri"/>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basedOn w:val="DefaultParagraphFont"/>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sz w:val="22"/>
    </w:rPr>
  </w:style>
  <w:style w:type="character" w:customStyle="1" w:styleId="BodyTextFirstIndentChar">
    <w:name w:val="Body Text First Indent Char"/>
    <w:basedOn w:val="BodyTextChar2"/>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qFormat/>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qFormat/>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3"/>
    <w:uiPriority w:val="99"/>
    <w:locked/>
    <w:rsid w:val="002D4A3F"/>
    <w:rPr>
      <w:rFonts w:ascii="Tahoma" w:hAnsi="Tahoma"/>
      <w:sz w:val="19"/>
      <w:shd w:val="clear" w:color="auto" w:fill="FFFFFF"/>
    </w:rPr>
  </w:style>
  <w:style w:type="paragraph" w:customStyle="1" w:styleId="13">
    <w:name w:val="Основной текст1"/>
    <w:basedOn w:val="Normal"/>
    <w:link w:val="a5"/>
    <w:uiPriority w:val="99"/>
    <w:qFormat/>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uiPriority w:val="99"/>
    <w:rsid w:val="002D4A3F"/>
    <w:rPr>
      <w:noProof/>
      <w:lang w:val="hy-AM" w:eastAsia="en-US"/>
    </w:rPr>
  </w:style>
  <w:style w:type="paragraph" w:customStyle="1" w:styleId="yiv1819130750msonormal">
    <w:name w:val="yiv1819130750msonormal"/>
    <w:basedOn w:val="Normal"/>
    <w:uiPriority w:val="99"/>
    <w:qFormat/>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qFormat/>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i/>
      <w:noProof w:val="0"/>
      <w:color w:val="244061"/>
      <w:sz w:val="22"/>
      <w:szCs w:val="20"/>
      <w:lang w:val="en-US"/>
    </w:rPr>
  </w:style>
  <w:style w:type="character" w:customStyle="1" w:styleId="IntenseQuoteChar">
    <w:name w:val="Intense Quote Char"/>
    <w:basedOn w:val="DefaultParagraphFont"/>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qFormat/>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qFormat/>
    <w:rsid w:val="002D4A3F"/>
    <w:pPr>
      <w:ind w:right="-141" w:firstLine="567"/>
      <w:jc w:val="both"/>
    </w:pPr>
    <w:rPr>
      <w:rFonts w:ascii="Times Armenian" w:hAnsi="Times Armenian"/>
      <w:lang w:val="ru-RU"/>
    </w:rPr>
  </w:style>
  <w:style w:type="paragraph" w:customStyle="1" w:styleId="BankNormal">
    <w:name w:val="BankNormal"/>
    <w:basedOn w:val="Normal"/>
    <w:uiPriority w:val="99"/>
    <w:qFormat/>
    <w:rsid w:val="002D4A3F"/>
    <w:pPr>
      <w:spacing w:after="240"/>
    </w:pPr>
    <w:rPr>
      <w:noProof w:val="0"/>
      <w:szCs w:val="20"/>
      <w:lang w:val="en-US"/>
    </w:rPr>
  </w:style>
  <w:style w:type="paragraph" w:customStyle="1" w:styleId="Einrckung1">
    <w:name w:val="Einrückung 1"/>
    <w:basedOn w:val="Normal"/>
    <w:uiPriority w:val="99"/>
    <w:qFormat/>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2,Table no. List Paragraph Char2,Абзац списка3 Char2,Bullet Points Char2,List Paragraph111 Char2,Bullet paras Char2,OBC Bullet Char2,Normal numbered Char2,Titulo 2 Char2"/>
    <w:link w:val="Heading4"/>
    <w:uiPriority w:val="34"/>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semiHidden/>
    <w:rsid w:val="002D4A3F"/>
    <w:rPr>
      <w:rFonts w:ascii="Cambria" w:hAnsi="Cambria"/>
      <w:b/>
      <w:noProof/>
      <w:color w:val="4F81BD"/>
      <w:sz w:val="26"/>
      <w:lang w:val="hy-AM"/>
    </w:rPr>
  </w:style>
  <w:style w:type="character" w:customStyle="1" w:styleId="Heading4Char1">
    <w:name w:val="Heading 4 Char1"/>
    <w:aliases w:val="Centred Char,Centred Char2,Normal numbered Char1,Titulo 2 Char1,heading 4 Char"/>
    <w:uiPriority w:val="99"/>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1">
    <w:name w:val="Body Text Indent Char11"/>
    <w:aliases w:val="(Table Source) Char1,(Table Source) Char Char2,Body Text Indent Char2 Char1,(Table Source) Char2 Char1,(Table Source) Char Char1 Char1,(Table Source) Char Char21,Body Text Indent Char2 Char11,(Table Source) Char2 Char11"/>
    <w:uiPriority w:val="99"/>
    <w:rsid w:val="002D4A3F"/>
    <w:rPr>
      <w:rFonts w:ascii="Times New Roman" w:hAnsi="Times New Roman"/>
      <w:noProof/>
      <w:sz w:val="24"/>
      <w:lang w:val="hy-AM"/>
    </w:rPr>
  </w:style>
  <w:style w:type="paragraph" w:customStyle="1" w:styleId="CharCharCharCharChar4">
    <w:name w:val="Char Char Char Char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qFormat/>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qFormat/>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qFormat/>
    <w:rsid w:val="002D4A3F"/>
    <w:rPr>
      <w:rFonts w:eastAsia="SimSun"/>
      <w:noProof w:val="0"/>
      <w:sz w:val="20"/>
      <w:szCs w:val="20"/>
      <w:lang w:val="en-US" w:eastAsia="ru-RU"/>
    </w:rPr>
  </w:style>
  <w:style w:type="paragraph" w:customStyle="1" w:styleId="CharCharChar4">
    <w:name w:val="Char Char Char Знак4"/>
    <w:basedOn w:val="Normal"/>
    <w:next w:val="Normal"/>
    <w:uiPriority w:val="99"/>
    <w:qFormat/>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qFormat/>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qFormat/>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qFormat/>
    <w:rsid w:val="002D4A3F"/>
    <w:rPr>
      <w:rFonts w:ascii="Sylfaen" w:hAnsi="Sylfaen"/>
      <w:color w:val="auto"/>
    </w:rPr>
  </w:style>
  <w:style w:type="paragraph" w:customStyle="1" w:styleId="24">
    <w:name w:val="Знак Знак2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qFormat/>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qFormat/>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34"/>
    <w:qFormat/>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basedOn w:val="DefaultParagraphFont"/>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qFormat/>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qFormat/>
    <w:rsid w:val="006639D7"/>
    <w:rPr>
      <w:rFonts w:ascii="Trebuchet MS" w:eastAsia="MS Mincho" w:hAnsi="Trebuchet MS"/>
      <w:b/>
      <w:noProof w:val="0"/>
      <w:color w:val="003776"/>
      <w:lang w:val="en-US"/>
    </w:rPr>
  </w:style>
  <w:style w:type="paragraph" w:customStyle="1" w:styleId="rmcvptur">
    <w:name w:val="rmcvptur"/>
    <w:basedOn w:val="Normal"/>
    <w:uiPriority w:val="99"/>
    <w:qFormat/>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qFormat/>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qFormat/>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qFormat/>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basedOn w:val="DefaultParagraphFont"/>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qFormat/>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qFormat/>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qFormat/>
    <w:rsid w:val="00D21853"/>
    <w:pPr>
      <w:ind w:left="720"/>
      <w:contextualSpacing/>
    </w:pPr>
    <w:rPr>
      <w:noProof w:val="0"/>
      <w:sz w:val="20"/>
      <w:szCs w:val="20"/>
      <w:lang w:val="en-AU" w:eastAsia="ru-RU"/>
    </w:rPr>
  </w:style>
  <w:style w:type="paragraph" w:customStyle="1" w:styleId="31">
    <w:name w:val="Знак Знак3"/>
    <w:basedOn w:val="Normal"/>
    <w:autoRedefine/>
    <w:uiPriority w:val="99"/>
    <w:qFormat/>
    <w:rsid w:val="00D21853"/>
    <w:rPr>
      <w:rFonts w:eastAsia="SimSun"/>
      <w:noProof w:val="0"/>
      <w:sz w:val="20"/>
      <w:szCs w:val="20"/>
      <w:lang w:val="en-US" w:eastAsia="ru-RU"/>
    </w:rPr>
  </w:style>
  <w:style w:type="paragraph" w:customStyle="1" w:styleId="Znak1">
    <w:name w:val="Znak1"/>
    <w:basedOn w:val="Normal"/>
    <w:uiPriority w:val="99"/>
    <w:qFormat/>
    <w:rsid w:val="00D21853"/>
    <w:pPr>
      <w:tabs>
        <w:tab w:val="left" w:pos="709"/>
      </w:tabs>
    </w:pPr>
    <w:rPr>
      <w:rFonts w:ascii="Tahoma" w:hAnsi="Tahoma"/>
      <w:noProof w:val="0"/>
      <w:lang w:val="pl-PL" w:eastAsia="pl-PL"/>
    </w:rPr>
  </w:style>
  <w:style w:type="paragraph" w:customStyle="1" w:styleId="Char3">
    <w:name w:val="Char3"/>
    <w:basedOn w:val="Normal"/>
    <w:uiPriority w:val="99"/>
    <w:qFormat/>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qFormat/>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qFormat/>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qFormat/>
    <w:rsid w:val="00D21853"/>
    <w:rPr>
      <w:rFonts w:eastAsia="SimSun"/>
      <w:noProof w:val="0"/>
      <w:sz w:val="20"/>
      <w:szCs w:val="20"/>
      <w:lang w:val="en-US" w:eastAsia="ru-RU"/>
    </w:rPr>
  </w:style>
  <w:style w:type="paragraph" w:customStyle="1" w:styleId="CharCharChar1">
    <w:name w:val="Char Char Char Знак1"/>
    <w:basedOn w:val="Normal"/>
    <w:next w:val="Normal"/>
    <w:uiPriority w:val="99"/>
    <w:qFormat/>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qFormat/>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qFormat/>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qFormat/>
    <w:rsid w:val="00D21853"/>
    <w:rPr>
      <w:rFonts w:ascii="Sylfaen" w:hAnsi="Sylfaen"/>
      <w:color w:val="auto"/>
    </w:rPr>
  </w:style>
  <w:style w:type="paragraph" w:customStyle="1" w:styleId="210">
    <w:name w:val="Знак Знак2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qFormat/>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qFormat/>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qFormat/>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qFormat/>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qFormat/>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5">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qFormat/>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qFormat/>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qFormat/>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qFormat/>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16">
    <w:name w:val="Без интервала1"/>
    <w:uiPriority w:val="99"/>
    <w:qFormat/>
    <w:rsid w:val="00532AB3"/>
    <w:pPr>
      <w:suppressAutoHyphens/>
    </w:pPr>
    <w:rPr>
      <w:rFonts w:ascii="GHEA Grapalat" w:hAnsi="GHEA Grapalat" w:cs="GHEA Grapalat"/>
      <w:kern w:val="1"/>
    </w:rPr>
  </w:style>
  <w:style w:type="paragraph" w:customStyle="1" w:styleId="112">
    <w:name w:val="Без интервала11"/>
    <w:uiPriority w:val="99"/>
    <w:qFormat/>
    <w:rsid w:val="00532AB3"/>
    <w:pPr>
      <w:suppressAutoHyphens/>
    </w:pPr>
    <w:rPr>
      <w:rFonts w:ascii="GHEA Grapalat" w:hAnsi="GHEA Grapalat" w:cs="GHEA Grapalat"/>
      <w:kern w:val="1"/>
    </w:rPr>
  </w:style>
  <w:style w:type="paragraph" w:customStyle="1" w:styleId="Iacaaiea">
    <w:name w:val="Iacaaiea"/>
    <w:basedOn w:val="Normal"/>
    <w:uiPriority w:val="99"/>
    <w:qFormat/>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qFormat/>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qFormat/>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7">
    <w:name w:val="Заголовок №1"/>
    <w:basedOn w:val="Normal"/>
    <w:uiPriority w:val="99"/>
    <w:qFormat/>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qFormat/>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qFormat/>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qFormat/>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qFormat/>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qFormat/>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qFormat/>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qFormat/>
    <w:rsid w:val="00532AB3"/>
    <w:pPr>
      <w:numPr>
        <w:numId w:val="3"/>
      </w:numPr>
      <w:tabs>
        <w:tab w:val="num" w:pos="540"/>
        <w:tab w:val="num" w:pos="643"/>
        <w:tab w:val="num" w:pos="720"/>
      </w:tabs>
      <w:ind w:left="568" w:hanging="284"/>
    </w:pPr>
    <w:rPr>
      <w:color w:val="000000"/>
      <w:lang w:val="af-ZA"/>
    </w:rPr>
  </w:style>
  <w:style w:type="paragraph" w:customStyle="1" w:styleId="Char6">
    <w:name w:val="Char6"/>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
    <w:name w:val="Знак Знак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qFormat/>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qFormat/>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qFormat/>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qFormat/>
    <w:rsid w:val="00532AB3"/>
    <w:rPr>
      <w:rFonts w:ascii="Arial Armenian" w:hAnsi="Arial Armenian" w:cs="Arial Armenian"/>
      <w:sz w:val="24"/>
      <w:szCs w:val="24"/>
      <w:lang w:val="ru-RU"/>
    </w:rPr>
  </w:style>
  <w:style w:type="paragraph" w:customStyle="1" w:styleId="Standard">
    <w:name w:val="Standard"/>
    <w:uiPriority w:val="99"/>
    <w:qFormat/>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qFormat/>
    <w:rsid w:val="00532AB3"/>
    <w:rPr>
      <w:i/>
      <w:color w:val="808080"/>
    </w:rPr>
  </w:style>
  <w:style w:type="paragraph" w:customStyle="1" w:styleId="IntenseQuote1">
    <w:name w:val="Intense Quote1"/>
    <w:basedOn w:val="Normal"/>
    <w:next w:val="Normal"/>
    <w:uiPriority w:val="99"/>
    <w:qFormat/>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qFormat/>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qFormat/>
    <w:rsid w:val="00532AB3"/>
    <w:pPr>
      <w:suppressAutoHyphens/>
    </w:pPr>
    <w:rPr>
      <w:rFonts w:ascii="GHEA Grapalat" w:hAnsi="GHEA Grapalat" w:cs="GHEA Grapalat"/>
      <w:kern w:val="1"/>
    </w:rPr>
  </w:style>
  <w:style w:type="character" w:customStyle="1" w:styleId="5yl5">
    <w:name w:val="_5yl5"/>
    <w:uiPriority w:val="99"/>
    <w:rsid w:val="00532AB3"/>
  </w:style>
  <w:style w:type="character" w:customStyle="1" w:styleId="18">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qFormat/>
    <w:rsid w:val="00532AB3"/>
    <w:rPr>
      <w:sz w:val="24"/>
      <w:szCs w:val="24"/>
      <w:lang w:val="ru-RU" w:eastAsia="ru-RU"/>
    </w:rPr>
  </w:style>
  <w:style w:type="table" w:styleId="TableWeb1">
    <w:name w:val="Table Web 1"/>
    <w:basedOn w:val="TableNormal"/>
    <w:uiPriority w:val="99"/>
    <w:rsid w:val="00532AB3"/>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basedOn w:val="DefaultParagraphFont"/>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Char Char7, webb Char, Char Char1"/>
    <w:link w:val="NormalWeb"/>
    <w:uiPriority w:val="99"/>
    <w:locked/>
    <w:rsid w:val="00E0726E"/>
    <w:rPr>
      <w:noProof/>
      <w:sz w:val="24"/>
      <w:lang w:val="hy-AM"/>
    </w:rPr>
  </w:style>
  <w:style w:type="paragraph" w:customStyle="1" w:styleId="ModelNrmlSingle">
    <w:name w:val="ModelNrmlSingle"/>
    <w:basedOn w:val="Normal"/>
    <w:uiPriority w:val="99"/>
    <w:qFormat/>
    <w:rsid w:val="002D5F79"/>
    <w:pPr>
      <w:spacing w:after="240"/>
      <w:ind w:firstLine="720"/>
      <w:jc w:val="both"/>
    </w:pPr>
    <w:rPr>
      <w:noProof w:val="0"/>
      <w:sz w:val="22"/>
      <w:szCs w:val="20"/>
      <w:lang w:val="en-US"/>
    </w:rPr>
  </w:style>
  <w:style w:type="paragraph" w:customStyle="1" w:styleId="rmcbsepg">
    <w:name w:val="rmcbsepg"/>
    <w:basedOn w:val="Normal"/>
    <w:uiPriority w:val="99"/>
    <w:qFormat/>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qFormat/>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qFormat/>
    <w:rsid w:val="009F7080"/>
    <w:rPr>
      <w:rFonts w:eastAsia="SimSun"/>
      <w:noProof w:val="0"/>
      <w:sz w:val="20"/>
      <w:szCs w:val="20"/>
      <w:lang w:val="en-US" w:eastAsia="ru-RU"/>
    </w:rPr>
  </w:style>
  <w:style w:type="paragraph" w:customStyle="1" w:styleId="Znak2">
    <w:name w:val="Znak2"/>
    <w:basedOn w:val="Normal"/>
    <w:uiPriority w:val="99"/>
    <w:qFormat/>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qFormat/>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qFormat/>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qFormat/>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qFormat/>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qFormat/>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qFormat/>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qFormat/>
    <w:rsid w:val="009F7080"/>
    <w:rPr>
      <w:rFonts w:ascii="Sylfaen" w:hAnsi="Sylfaen"/>
      <w:color w:val="auto"/>
    </w:rPr>
  </w:style>
  <w:style w:type="paragraph" w:customStyle="1" w:styleId="220">
    <w:name w:val="Знак Знак2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qFormat/>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qFormat/>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qFormat/>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qFormat/>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qFormat/>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qFormat/>
    <w:rsid w:val="00330B24"/>
    <w:pPr>
      <w:spacing w:before="100" w:beforeAutospacing="1" w:after="100" w:afterAutospacing="1"/>
    </w:pPr>
    <w:rPr>
      <w:noProof w:val="0"/>
      <w:lang w:val="en-US"/>
    </w:rPr>
  </w:style>
  <w:style w:type="paragraph" w:customStyle="1" w:styleId="paragraph">
    <w:name w:val="paragraph"/>
    <w:basedOn w:val="Normal"/>
    <w:uiPriority w:val="99"/>
    <w:qFormat/>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qFormat/>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qFormat/>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qFormat/>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qFormat/>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qFormat/>
    <w:rsid w:val="00F51F73"/>
    <w:pPr>
      <w:spacing w:before="100" w:beforeAutospacing="1" w:after="100" w:afterAutospacing="1"/>
    </w:pPr>
    <w:rPr>
      <w:noProof w:val="0"/>
      <w:lang w:val="en-US"/>
    </w:rPr>
  </w:style>
  <w:style w:type="paragraph" w:customStyle="1" w:styleId="intro">
    <w:name w:val="intro"/>
    <w:basedOn w:val="Normal"/>
    <w:uiPriority w:val="99"/>
    <w:qFormat/>
    <w:rsid w:val="00F51F73"/>
    <w:pPr>
      <w:spacing w:before="100" w:beforeAutospacing="1" w:after="100" w:afterAutospacing="1"/>
    </w:pPr>
    <w:rPr>
      <w:noProof w:val="0"/>
      <w:lang w:val="en-US"/>
    </w:rPr>
  </w:style>
  <w:style w:type="paragraph" w:customStyle="1" w:styleId="newstimeplace">
    <w:name w:val="news_time_place"/>
    <w:basedOn w:val="Normal"/>
    <w:uiPriority w:val="99"/>
    <w:qFormat/>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qFormat/>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qFormat/>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qFormat/>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qFormat/>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qFormat/>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qFormat/>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link w:val="BodyChar"/>
    <w:uiPriority w:val="99"/>
    <w:qFormat/>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noProof w:val="0"/>
      <w:sz w:val="22"/>
      <w:szCs w:val="20"/>
      <w:lang w:val="en-US"/>
    </w:rPr>
  </w:style>
  <w:style w:type="character" w:customStyle="1" w:styleId="QuoteChar">
    <w:name w:val="Quote Char"/>
    <w:basedOn w:val="DefaultParagraphFont"/>
    <w:link w:val="Quote"/>
    <w:uiPriority w:val="99"/>
    <w:locked/>
    <w:rsid w:val="00F51F73"/>
    <w:rPr>
      <w:rFonts w:ascii="Calibri" w:hAnsi="Calibri" w:cs="Times New Roman"/>
      <w:i/>
      <w:sz w:val="22"/>
    </w:rPr>
  </w:style>
  <w:style w:type="character" w:styleId="SubtleEmphasis">
    <w:name w:val="Subtle Emphasis"/>
    <w:basedOn w:val="DefaultParagraphFont"/>
    <w:uiPriority w:val="99"/>
    <w:qFormat/>
    <w:rsid w:val="00F51F73"/>
    <w:rPr>
      <w:rFonts w:cs="Times New Roman"/>
      <w:i/>
    </w:rPr>
  </w:style>
  <w:style w:type="character" w:styleId="IntenseEmphasis">
    <w:name w:val="Intense Emphasis"/>
    <w:basedOn w:val="DefaultParagraphFont"/>
    <w:uiPriority w:val="99"/>
    <w:qFormat/>
    <w:rsid w:val="00F51F73"/>
    <w:rPr>
      <w:rFonts w:cs="Times New Roman"/>
      <w:b/>
    </w:rPr>
  </w:style>
  <w:style w:type="character" w:styleId="SubtleReference">
    <w:name w:val="Subtle Reference"/>
    <w:basedOn w:val="DefaultParagraphFont"/>
    <w:uiPriority w:val="99"/>
    <w:qFormat/>
    <w:rsid w:val="00F51F73"/>
    <w:rPr>
      <w:rFonts w:cs="Times New Roman"/>
      <w:smallCaps/>
    </w:rPr>
  </w:style>
  <w:style w:type="character" w:styleId="IntenseReference">
    <w:name w:val="Intense Reference"/>
    <w:basedOn w:val="DefaultParagraphFont"/>
    <w:uiPriority w:val="99"/>
    <w:qFormat/>
    <w:rsid w:val="00F51F73"/>
    <w:rPr>
      <w:rFonts w:cs="Times New Roman"/>
      <w:smallCaps/>
      <w:spacing w:val="5"/>
      <w:u w:val="single"/>
    </w:rPr>
  </w:style>
  <w:style w:type="character" w:styleId="BookTitle">
    <w:name w:val="Book Title"/>
    <w:basedOn w:val="DefaultParagraphFont"/>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qFormat/>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qFormat/>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qFormat/>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qFormat/>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qFormat/>
    <w:rsid w:val="0078654B"/>
    <w:pPr>
      <w:tabs>
        <w:tab w:val="left" w:pos="709"/>
      </w:tabs>
    </w:pPr>
    <w:rPr>
      <w:rFonts w:ascii="Tahoma" w:hAnsi="Tahoma"/>
      <w:noProof w:val="0"/>
      <w:lang w:val="pl-PL" w:eastAsia="pl-PL"/>
    </w:rPr>
  </w:style>
  <w:style w:type="paragraph" w:customStyle="1" w:styleId="5">
    <w:name w:val="Знак Знак5"/>
    <w:basedOn w:val="Normal"/>
    <w:uiPriority w:val="99"/>
    <w:qFormat/>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qFormat/>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qFormat/>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qFormat/>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qFormat/>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qFormat/>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qFormat/>
    <w:rsid w:val="0078654B"/>
    <w:rPr>
      <w:rFonts w:ascii="Sylfaen" w:hAnsi="Sylfaen"/>
      <w:color w:val="auto"/>
    </w:rPr>
  </w:style>
  <w:style w:type="paragraph" w:customStyle="1" w:styleId="230">
    <w:name w:val="Знак Знак2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qFormat/>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qFormat/>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qFormat/>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qFormat/>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qFormat/>
    <w:rsid w:val="00702996"/>
    <w:pPr>
      <w:tabs>
        <w:tab w:val="left" w:pos="709"/>
      </w:tabs>
    </w:pPr>
    <w:rPr>
      <w:rFonts w:ascii="Tahoma" w:hAnsi="Tahoma"/>
      <w:noProof w:val="0"/>
      <w:lang w:val="pl-PL" w:eastAsia="pl-PL"/>
    </w:rPr>
  </w:style>
  <w:style w:type="paragraph" w:customStyle="1" w:styleId="9">
    <w:name w:val="Знак Знак9"/>
    <w:basedOn w:val="Normal"/>
    <w:uiPriority w:val="99"/>
    <w:qFormat/>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qFormat/>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qFormat/>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qFormat/>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qFormat/>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qFormat/>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qFormat/>
    <w:rsid w:val="00702996"/>
    <w:rPr>
      <w:rFonts w:ascii="Sylfaen" w:hAnsi="Sylfaen"/>
      <w:color w:val="auto"/>
    </w:rPr>
  </w:style>
  <w:style w:type="paragraph" w:customStyle="1" w:styleId="270">
    <w:name w:val="Знак Знак2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qFormat/>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qFormat/>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qFormat/>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qFormat/>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qFormat/>
    <w:rsid w:val="00391F6D"/>
    <w:pPr>
      <w:tabs>
        <w:tab w:val="left" w:pos="709"/>
      </w:tabs>
    </w:pPr>
    <w:rPr>
      <w:rFonts w:ascii="Tahoma" w:hAnsi="Tahoma"/>
      <w:noProof w:val="0"/>
      <w:lang w:val="pl-PL" w:eastAsia="pl-PL"/>
    </w:rPr>
  </w:style>
  <w:style w:type="paragraph" w:customStyle="1" w:styleId="8">
    <w:name w:val="Знак Знак8"/>
    <w:basedOn w:val="Normal"/>
    <w:uiPriority w:val="99"/>
    <w:qFormat/>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qFormat/>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qFormat/>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qFormat/>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qFormat/>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qFormat/>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qFormat/>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qFormat/>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qFormat/>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qFormat/>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qFormat/>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qFormat/>
    <w:rsid w:val="00B2066F"/>
    <w:pPr>
      <w:tabs>
        <w:tab w:val="left" w:pos="709"/>
      </w:tabs>
    </w:pPr>
    <w:rPr>
      <w:rFonts w:ascii="Tahoma" w:hAnsi="Tahoma"/>
      <w:noProof w:val="0"/>
      <w:lang w:val="pl-PL" w:eastAsia="pl-PL"/>
    </w:rPr>
  </w:style>
  <w:style w:type="paragraph" w:customStyle="1" w:styleId="200">
    <w:name w:val="Знак Знак20"/>
    <w:basedOn w:val="Normal"/>
    <w:uiPriority w:val="99"/>
    <w:qFormat/>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qFormat/>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qFormat/>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qFormat/>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qFormat/>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qFormat/>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qFormat/>
    <w:rsid w:val="00B2066F"/>
    <w:rPr>
      <w:rFonts w:ascii="Sylfaen" w:hAnsi="Sylfaen"/>
      <w:color w:val="auto"/>
    </w:rPr>
  </w:style>
  <w:style w:type="paragraph" w:customStyle="1" w:styleId="29">
    <w:name w:val="Знак Знак2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qFormat/>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qFormat/>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qFormat/>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qFormat/>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qFormat/>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qFormat/>
    <w:rsid w:val="00251FB7"/>
    <w:pPr>
      <w:tabs>
        <w:tab w:val="left" w:pos="709"/>
      </w:tabs>
    </w:pPr>
    <w:rPr>
      <w:rFonts w:ascii="Tahoma" w:hAnsi="Tahoma"/>
      <w:noProof w:val="0"/>
      <w:lang w:val="pl-PL" w:eastAsia="pl-PL"/>
    </w:rPr>
  </w:style>
  <w:style w:type="paragraph" w:customStyle="1" w:styleId="7">
    <w:name w:val="Знак Знак7"/>
    <w:basedOn w:val="Normal"/>
    <w:uiPriority w:val="99"/>
    <w:qFormat/>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qFormat/>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qFormat/>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qFormat/>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qFormat/>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qFormat/>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qFormat/>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qFormat/>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0">
    <w:name w:val="Знак Знак Знак Char Char Char Char Знак Знак Знак"/>
    <w:basedOn w:val="Normal"/>
    <w:uiPriority w:val="99"/>
    <w:qFormat/>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qFormat/>
    <w:rsid w:val="00C960BD"/>
    <w:pPr>
      <w:numPr>
        <w:numId w:val="4"/>
      </w:numPr>
      <w:spacing w:after="20"/>
      <w:jc w:val="both"/>
    </w:pPr>
    <w:rPr>
      <w:noProof w:val="0"/>
      <w:sz w:val="22"/>
      <w:szCs w:val="20"/>
      <w:lang w:val="en-GB" w:eastAsia="cs-CZ"/>
    </w:rPr>
  </w:style>
  <w:style w:type="paragraph" w:customStyle="1" w:styleId="Bullet1">
    <w:name w:val="Bullet 1"/>
    <w:basedOn w:val="Normal"/>
    <w:autoRedefine/>
    <w:uiPriority w:val="99"/>
    <w:qFormat/>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qFormat/>
    <w:rsid w:val="00D9443E"/>
    <w:pPr>
      <w:spacing w:before="100" w:beforeAutospacing="1" w:after="100" w:afterAutospacing="1"/>
    </w:pPr>
    <w:rPr>
      <w:noProof w:val="0"/>
      <w:lang w:val="en-US"/>
    </w:rPr>
  </w:style>
  <w:style w:type="character" w:customStyle="1" w:styleId="reference-text">
    <w:name w:val="reference-text"/>
    <w:uiPriority w:val="99"/>
    <w:rsid w:val="00CE7159"/>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qFormat/>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
    <w:autoRedefine/>
    <w:qFormat/>
    <w:rsid w:val="004C12B8"/>
    <w:pPr>
      <w:keepNext/>
      <w:keepLines/>
      <w:numPr>
        <w:numId w:val="8"/>
      </w:numPr>
      <w:tabs>
        <w:tab w:val="left" w:pos="1701"/>
        <w:tab w:val="left" w:pos="1985"/>
      </w:tabs>
      <w:autoSpaceDE w:val="0"/>
      <w:autoSpaceDN w:val="0"/>
      <w:adjustRightInd w:val="0"/>
      <w:spacing w:after="120" w:line="276" w:lineRule="auto"/>
      <w:ind w:left="0" w:firstLine="0"/>
    </w:pPr>
    <w:rPr>
      <w:rFonts w:ascii="GHEA Grapalat" w:hAnsi="GHEA Grapalat"/>
      <w:noProof w:val="0"/>
      <w:sz w:val="22"/>
      <w:szCs w:val="22"/>
      <w:lang w:val="en-US"/>
    </w:rPr>
  </w:style>
  <w:style w:type="character" w:customStyle="1" w:styleId="Char">
    <w:name w:val="Գծապատկեր Char"/>
    <w:link w:val="a"/>
    <w:locked/>
    <w:rsid w:val="004C12B8"/>
    <w:rPr>
      <w:rFonts w:ascii="GHEA Grapalat" w:hAnsi="GHEA Grapalat"/>
    </w:rPr>
  </w:style>
  <w:style w:type="paragraph" w:styleId="TableofFigures">
    <w:name w:val="table of figures"/>
    <w:aliases w:val="ԳԾԱՊԱՏԿԵՐՆԵՐ"/>
    <w:basedOn w:val="Normal"/>
    <w:next w:val="Normal"/>
    <w:autoRedefine/>
    <w:uiPriority w:val="99"/>
    <w:qFormat/>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qFormat/>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qFormat/>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qFormat/>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style>
  <w:style w:type="character" w:customStyle="1" w:styleId="news-content">
    <w:name w:val="news-content"/>
    <w:uiPriority w:val="99"/>
    <w:rsid w:val="00742A42"/>
  </w:style>
  <w:style w:type="paragraph" w:customStyle="1" w:styleId="43">
    <w:name w:val="Абзац списка4"/>
    <w:basedOn w:val="Normal"/>
    <w:uiPriority w:val="99"/>
    <w:qFormat/>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qFormat/>
    <w:rsid w:val="008D5B96"/>
    <w:rPr>
      <w:rFonts w:ascii="Calibri" w:hAnsi="Calibri" w:cs="Calibri"/>
    </w:rPr>
  </w:style>
  <w:style w:type="paragraph" w:customStyle="1" w:styleId="60">
    <w:name w:val="Основной текст6"/>
    <w:basedOn w:val="Normal"/>
    <w:uiPriority w:val="99"/>
    <w:qFormat/>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qFormat/>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qFormat/>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qFormat/>
    <w:rsid w:val="008D5B96"/>
    <w:pPr>
      <w:tabs>
        <w:tab w:val="left" w:pos="709"/>
      </w:tabs>
    </w:pPr>
    <w:rPr>
      <w:rFonts w:ascii="Tahoma" w:hAnsi="Tahoma"/>
      <w:noProof w:val="0"/>
      <w:lang w:val="pl-PL" w:eastAsia="pl-PL"/>
    </w:rPr>
  </w:style>
  <w:style w:type="paragraph" w:customStyle="1" w:styleId="101">
    <w:name w:val="Знак Знак10"/>
    <w:basedOn w:val="Normal"/>
    <w:uiPriority w:val="99"/>
    <w:qFormat/>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qFormat/>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qFormat/>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qFormat/>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qFormat/>
    <w:rsid w:val="008D5B96"/>
    <w:pPr>
      <w:spacing w:after="160" w:line="240" w:lineRule="exact"/>
    </w:pPr>
    <w:rPr>
      <w:rFonts w:ascii="Arial" w:hAnsi="Arial" w:cs="Arial"/>
      <w:noProof w:val="0"/>
      <w:sz w:val="20"/>
      <w:szCs w:val="20"/>
      <w:lang w:val="en-US"/>
    </w:rPr>
  </w:style>
  <w:style w:type="paragraph" w:customStyle="1" w:styleId="180">
    <w:name w:val="Знак Знак18"/>
    <w:basedOn w:val="Normal"/>
    <w:uiPriority w:val="99"/>
    <w:qFormat/>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qFormat/>
    <w:rsid w:val="008D5B96"/>
    <w:rPr>
      <w:rFonts w:ascii="Sylfaen" w:hAnsi="Sylfaen"/>
      <w:color w:val="auto"/>
    </w:rPr>
  </w:style>
  <w:style w:type="paragraph" w:customStyle="1" w:styleId="280">
    <w:name w:val="Знак Знак2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qFormat/>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
    <w:name w:val="Char Char Char Char8"/>
    <w:basedOn w:val="Normal"/>
    <w:uiPriority w:val="99"/>
    <w:qFormat/>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0"/>
    <w:uiPriority w:val="99"/>
    <w:qFormat/>
    <w:rsid w:val="00C42EB5"/>
    <w:pPr>
      <w:keepNext/>
      <w:numPr>
        <w:numId w:val="5"/>
      </w:numPr>
      <w:spacing w:before="240" w:after="120"/>
      <w:ind w:left="0" w:firstLine="0"/>
      <w:jc w:val="both"/>
    </w:pPr>
    <w:rPr>
      <w:rFonts w:ascii="GHEA Grapalat" w:hAnsi="GHEA Grapalat"/>
      <w:b/>
      <w:color w:val="1F497D"/>
    </w:rPr>
  </w:style>
  <w:style w:type="character" w:customStyle="1" w:styleId="Char0">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rPr>
  </w:style>
  <w:style w:type="character" w:customStyle="1" w:styleId="acopre">
    <w:name w:val="acopre"/>
    <w:uiPriority w:val="99"/>
    <w:rsid w:val="00FD2AB2"/>
  </w:style>
  <w:style w:type="paragraph" w:styleId="ListParagraph">
    <w:name w:val="List Paragraph"/>
    <w:aliases w:val="Table of contents numbered,List Paragraph in table,lp1,CPS,Ha,Dot pt,WinDForce-Letter,ANNEX,Normal 1,OBC Bulle,Graphi,3,Heading 2_sj,Normal 2,Main numbered paragraph,1.1.1_List Paragraph,List Paragraph 1.1.1,En tête 1,Liste ,Listeafsnit"/>
    <w:basedOn w:val="Normal"/>
    <w:uiPriority w:val="34"/>
    <w:qFormat/>
    <w:rsid w:val="00720736"/>
    <w:pPr>
      <w:spacing w:after="200" w:line="276" w:lineRule="auto"/>
      <w:ind w:left="720"/>
      <w:contextualSpacing/>
    </w:pPr>
    <w:rPr>
      <w:rFonts w:ascii="Calibri" w:hAnsi="Calibri" w:cs="Calibri"/>
      <w:noProof w:val="0"/>
      <w:sz w:val="22"/>
      <w:szCs w:val="22"/>
      <w:lang w:val="ru-RU" w:eastAsia="ru-RU"/>
    </w:rPr>
  </w:style>
  <w:style w:type="character" w:customStyle="1" w:styleId="mechtex0">
    <w:name w:val="mechtex Знак"/>
    <w:locked/>
    <w:rsid w:val="00720736"/>
    <w:rPr>
      <w:rFonts w:ascii="Arial Armenian" w:hAnsi="Arial Armenian"/>
      <w:kern w:val="2"/>
      <w:lang w:eastAsia="ru-RU"/>
    </w:rPr>
  </w:style>
  <w:style w:type="paragraph" w:customStyle="1" w:styleId="BodyA">
    <w:name w:val="Body A"/>
    <w:rsid w:val="001861BE"/>
    <w:rPr>
      <w:rFonts w:ascii="Helvetica Neue" w:eastAsia="Arial Unicode MS" w:hAnsi="Helvetica Neue" w:cs="Arial Unicode MS"/>
      <w:color w:val="000000"/>
      <w:u w:color="000000"/>
    </w:rPr>
  </w:style>
  <w:style w:type="paragraph" w:customStyle="1" w:styleId="TableContents">
    <w:name w:val="Table Contents"/>
    <w:basedOn w:val="Normal"/>
    <w:uiPriority w:val="99"/>
    <w:qFormat/>
    <w:rsid w:val="0053411A"/>
    <w:pPr>
      <w:widowControl w:val="0"/>
      <w:suppressLineNumbers/>
      <w:suppressAutoHyphens/>
    </w:pPr>
    <w:rPr>
      <w:rFonts w:ascii="Liberation Serif" w:hAnsi="Liberation Serif" w:cs="Lohit Devanagari"/>
      <w:noProof w:val="0"/>
      <w:kern w:val="2"/>
      <w:lang w:val="en-US" w:eastAsia="zh-CN" w:bidi="hi-IN"/>
    </w:rPr>
  </w:style>
  <w:style w:type="character" w:customStyle="1" w:styleId="CommentTextChar1">
    <w:name w:val="Comment Text Char1"/>
    <w:semiHidden/>
    <w:rsid w:val="00FC2F7D"/>
    <w:rPr>
      <w:rFonts w:ascii="Arial Armenian" w:hAnsi="Arial Armenian"/>
    </w:rPr>
  </w:style>
  <w:style w:type="character" w:customStyle="1" w:styleId="Heading7Char1">
    <w:name w:val="Heading 7 Char1"/>
    <w:semiHidden/>
    <w:rsid w:val="00FC2F7D"/>
    <w:rPr>
      <w:rFonts w:ascii="Cambria" w:hAnsi="Cambria"/>
      <w:i/>
      <w:color w:val="404040"/>
      <w:sz w:val="24"/>
    </w:rPr>
  </w:style>
  <w:style w:type="character" w:customStyle="1" w:styleId="Heading8Char1">
    <w:name w:val="Heading 8 Char1"/>
    <w:semiHidden/>
    <w:rsid w:val="00FC2F7D"/>
    <w:rPr>
      <w:rFonts w:ascii="Cambria" w:hAnsi="Cambria"/>
      <w:color w:val="404040"/>
    </w:rPr>
  </w:style>
  <w:style w:type="character" w:customStyle="1" w:styleId="Heading9Char1">
    <w:name w:val="Heading 9 Char1"/>
    <w:uiPriority w:val="99"/>
    <w:semiHidden/>
    <w:rsid w:val="00FC2F7D"/>
    <w:rPr>
      <w:rFonts w:ascii="Cambria" w:hAnsi="Cambria"/>
      <w:i/>
      <w:color w:val="404040"/>
    </w:rPr>
  </w:style>
  <w:style w:type="character" w:customStyle="1" w:styleId="BodyTextIndent2Char1">
    <w:name w:val="Body Text Indent 2 Char1"/>
    <w:semiHidden/>
    <w:rsid w:val="00FC2F7D"/>
    <w:rPr>
      <w:rFonts w:ascii="Arial Armenian" w:hAnsi="Arial Armenian"/>
      <w:sz w:val="24"/>
    </w:rPr>
  </w:style>
  <w:style w:type="character" w:customStyle="1" w:styleId="CommentSubjectChar1">
    <w:name w:val="Comment Subject Char1"/>
    <w:semiHidden/>
    <w:rsid w:val="00FC2F7D"/>
    <w:rPr>
      <w:rFonts w:ascii="Arial Armenian" w:hAnsi="Arial Armenian"/>
      <w:b/>
    </w:rPr>
  </w:style>
  <w:style w:type="character" w:customStyle="1" w:styleId="EndnoteTextChar1">
    <w:name w:val="Endnote Text Char1"/>
    <w:semiHidden/>
    <w:rsid w:val="00FC2F7D"/>
    <w:rPr>
      <w:rFonts w:ascii="Arial Armenian" w:hAnsi="Arial Armenian"/>
    </w:rPr>
  </w:style>
  <w:style w:type="character" w:customStyle="1" w:styleId="DocumentMapChar1">
    <w:name w:val="Document Map Char1"/>
    <w:uiPriority w:val="99"/>
    <w:semiHidden/>
    <w:rsid w:val="00FC2F7D"/>
    <w:rPr>
      <w:rFonts w:ascii="Tahoma" w:hAnsi="Tahoma"/>
      <w:sz w:val="16"/>
    </w:rPr>
  </w:style>
  <w:style w:type="character" w:customStyle="1" w:styleId="BodyTextFirstIndentChar1">
    <w:name w:val="Body Text First Indent Char1"/>
    <w:uiPriority w:val="99"/>
    <w:semiHidden/>
    <w:rsid w:val="00FC2F7D"/>
    <w:rPr>
      <w:rFonts w:ascii="Times Armenian" w:hAnsi="Times Armenian"/>
      <w:b/>
      <w:i/>
      <w:noProof/>
      <w:sz w:val="24"/>
      <w:lang w:val="hy-AM"/>
    </w:rPr>
  </w:style>
  <w:style w:type="character" w:customStyle="1" w:styleId="IntenseQuoteChar1">
    <w:name w:val="Intense Quote Char1"/>
    <w:uiPriority w:val="99"/>
    <w:rsid w:val="00FC2F7D"/>
    <w:rPr>
      <w:rFonts w:ascii="Arial Armenian" w:hAnsi="Arial Armenian"/>
      <w:b/>
      <w:i/>
      <w:color w:val="4F81BD"/>
      <w:sz w:val="24"/>
    </w:rPr>
  </w:style>
  <w:style w:type="character" w:customStyle="1" w:styleId="PlainTextChar2">
    <w:name w:val="Plain Text Char2"/>
    <w:uiPriority w:val="99"/>
    <w:semiHidden/>
    <w:rsid w:val="00FC2F7D"/>
    <w:rPr>
      <w:rFonts w:ascii="Consolas" w:hAnsi="Consolas"/>
      <w:sz w:val="21"/>
    </w:rPr>
  </w:style>
  <w:style w:type="character" w:customStyle="1" w:styleId="TitleChar2">
    <w:name w:val="Title Char2"/>
    <w:uiPriority w:val="10"/>
    <w:rsid w:val="00FC2F7D"/>
    <w:rPr>
      <w:rFonts w:ascii="Cambria" w:hAnsi="Cambria"/>
      <w:color w:val="17365D"/>
      <w:spacing w:val="5"/>
      <w:kern w:val="28"/>
      <w:sz w:val="52"/>
    </w:rPr>
  </w:style>
  <w:style w:type="character" w:customStyle="1" w:styleId="SubtitleChar2">
    <w:name w:val="Subtitle Char2"/>
    <w:uiPriority w:val="11"/>
    <w:rsid w:val="00FC2F7D"/>
    <w:rPr>
      <w:rFonts w:ascii="Cambria" w:hAnsi="Cambria"/>
      <w:i/>
      <w:color w:val="4F81BD"/>
      <w:spacing w:val="15"/>
      <w:sz w:val="24"/>
    </w:rPr>
  </w:style>
  <w:style w:type="character" w:customStyle="1" w:styleId="QuoteChar1">
    <w:name w:val="Quote Char1"/>
    <w:uiPriority w:val="99"/>
    <w:rsid w:val="00FC2F7D"/>
    <w:rPr>
      <w:rFonts w:ascii="Arial Armenian" w:hAnsi="Arial Armenian"/>
      <w:i/>
      <w:color w:val="000000"/>
      <w:sz w:val="24"/>
    </w:rPr>
  </w:style>
  <w:style w:type="table" w:customStyle="1" w:styleId="TableGrid14212">
    <w:name w:val="Table Grid14212"/>
    <w:uiPriority w:val="39"/>
    <w:rsid w:val="00FC2F7D"/>
    <w:pPr>
      <w:spacing w:after="200" w:line="276"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12">
    <w:name w:val="Table Grid1113112"/>
    <w:uiPriority w:val="39"/>
    <w:rsid w:val="00FC2F7D"/>
    <w:pPr>
      <w:spacing w:after="200" w:line="276"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2">
    <w:name w:val="Table Grid912"/>
    <w:uiPriority w:val="39"/>
    <w:rsid w:val="00FC2F7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1">
    <w:name w:val="Grid Table 4 - Accent 11"/>
    <w:uiPriority w:val="49"/>
    <w:rsid w:val="00FC2F7D"/>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character" w:customStyle="1" w:styleId="UnresolvedMention1">
    <w:name w:val="Unresolved Mention1"/>
    <w:uiPriority w:val="99"/>
    <w:semiHidden/>
    <w:rsid w:val="00F86947"/>
    <w:rPr>
      <w:color w:val="605E5C"/>
      <w:shd w:val="clear" w:color="auto" w:fill="E1DFDD"/>
    </w:rPr>
  </w:style>
  <w:style w:type="character" w:customStyle="1" w:styleId="markedcontent">
    <w:name w:val="markedcontent"/>
    <w:rsid w:val="00F86947"/>
  </w:style>
  <w:style w:type="character" w:customStyle="1" w:styleId="UnresolvedMention2">
    <w:name w:val="Unresolved Mention2"/>
    <w:uiPriority w:val="99"/>
    <w:semiHidden/>
    <w:rsid w:val="00681A5B"/>
    <w:rPr>
      <w:color w:val="605E5C"/>
      <w:shd w:val="clear" w:color="auto" w:fill="E1DFDD"/>
    </w:rPr>
  </w:style>
  <w:style w:type="paragraph" w:customStyle="1" w:styleId="Ac">
    <w:name w:val="Основной текст A"/>
    <w:rsid w:val="00695F26"/>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u w:color="000000"/>
    </w:rPr>
  </w:style>
  <w:style w:type="character" w:customStyle="1" w:styleId="UnresolvedMention">
    <w:name w:val="Unresolved Mention"/>
    <w:uiPriority w:val="99"/>
    <w:semiHidden/>
    <w:rsid w:val="00401A48"/>
    <w:rPr>
      <w:color w:val="605E5C"/>
      <w:shd w:val="clear" w:color="auto" w:fill="E1DFDD"/>
    </w:rPr>
  </w:style>
  <w:style w:type="character" w:customStyle="1" w:styleId="FontStyle11">
    <w:name w:val="Font Style11"/>
    <w:rsid w:val="00401A48"/>
    <w:rPr>
      <w:rFonts w:ascii="Arial Unicode MS" w:eastAsia="Arial Unicode MS"/>
      <w:b/>
      <w:sz w:val="30"/>
    </w:rPr>
  </w:style>
  <w:style w:type="paragraph" w:customStyle="1" w:styleId="v1v1msonormal">
    <w:name w:val="v1v1msonormal"/>
    <w:basedOn w:val="Normal"/>
    <w:rsid w:val="00681414"/>
    <w:pPr>
      <w:spacing w:before="100" w:beforeAutospacing="1" w:after="100" w:afterAutospacing="1"/>
    </w:pPr>
    <w:rPr>
      <w:noProof w:val="0"/>
      <w:lang w:val="en-US"/>
    </w:r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56123"/>
    <w:pPr>
      <w:spacing w:after="160" w:line="240" w:lineRule="exact"/>
    </w:pPr>
    <w:rPr>
      <w:noProof w:val="0"/>
      <w:sz w:val="20"/>
      <w:szCs w:val="20"/>
      <w:vertAlign w:val="superscript"/>
      <w:lang w:val="en-US"/>
    </w:rPr>
  </w:style>
  <w:style w:type="character" w:customStyle="1" w:styleId="BulletedChar">
    <w:name w:val="Bulleted Char"/>
    <w:link w:val="Bulleted"/>
    <w:locked/>
    <w:rsid w:val="005E4A11"/>
    <w:rPr>
      <w:sz w:val="20"/>
      <w:szCs w:val="20"/>
      <w:lang w:eastAsia="hy-AM"/>
    </w:rPr>
  </w:style>
  <w:style w:type="paragraph" w:customStyle="1" w:styleId="Bulleted">
    <w:name w:val="Bulleted"/>
    <w:basedOn w:val="Normal"/>
    <w:link w:val="BulletedChar"/>
    <w:qFormat/>
    <w:rsid w:val="005E4A11"/>
    <w:pPr>
      <w:numPr>
        <w:numId w:val="15"/>
      </w:numPr>
    </w:pPr>
    <w:rPr>
      <w:noProof w:val="0"/>
      <w:sz w:val="20"/>
      <w:szCs w:val="20"/>
      <w:lang w:val="en-US" w:eastAsia="hy-AM"/>
    </w:rPr>
  </w:style>
  <w:style w:type="table" w:customStyle="1" w:styleId="TableGrid1">
    <w:name w:val="Table Grid1"/>
    <w:uiPriority w:val="39"/>
    <w:rsid w:val="006A49E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4-Accent11">
    <w:name w:val="List Table 4 - Accent 11"/>
    <w:uiPriority w:val="49"/>
    <w:rsid w:val="00400A22"/>
    <w:rPr>
      <w:rFonts w:ascii="Calibri" w:hAnsi="Calibri"/>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tblBorders>
      <w:tblCellMar>
        <w:top w:w="0" w:type="dxa"/>
        <w:left w:w="108" w:type="dxa"/>
        <w:bottom w:w="0" w:type="dxa"/>
        <w:right w:w="108" w:type="dxa"/>
      </w:tblCellMar>
    </w:tblPr>
  </w:style>
  <w:style w:type="numbering" w:customStyle="1" w:styleId="Style1">
    <w:name w:val="Style1"/>
    <w:rsid w:val="00ED754B"/>
    <w:pPr>
      <w:numPr>
        <w:numId w:val="2"/>
      </w:numPr>
    </w:pPr>
  </w:style>
  <w:style w:type="numbering" w:customStyle="1" w:styleId="1">
    <w:name w:val="Стиль1"/>
    <w:uiPriority w:val="99"/>
    <w:rsid w:val="00ED754B"/>
    <w:pPr>
      <w:numPr>
        <w:numId w:val="9"/>
      </w:numPr>
    </w:pPr>
  </w:style>
  <w:style w:type="paragraph" w:customStyle="1" w:styleId="namak">
    <w:name w:val="namak"/>
    <w:basedOn w:val="Normal"/>
    <w:link w:val="namak0"/>
    <w:rsid w:val="001A2390"/>
    <w:pPr>
      <w:spacing w:line="400" w:lineRule="exact"/>
      <w:ind w:firstLine="397"/>
      <w:jc w:val="both"/>
    </w:pPr>
    <w:rPr>
      <w:rFonts w:ascii="GHEA Grapalat" w:hAnsi="GHEA Grapalat"/>
      <w:noProof w:val="0"/>
      <w:spacing w:val="-4"/>
      <w:lang w:val="en-US" w:eastAsia="ru-RU"/>
    </w:rPr>
  </w:style>
  <w:style w:type="character" w:customStyle="1" w:styleId="namak0">
    <w:name w:val="namak Знак"/>
    <w:link w:val="namak"/>
    <w:rsid w:val="001A2390"/>
    <w:rPr>
      <w:rFonts w:ascii="GHEA Grapalat" w:hAnsi="GHEA Grapalat"/>
      <w:spacing w:val="-4"/>
      <w:sz w:val="24"/>
      <w:szCs w:val="24"/>
      <w:lang w:eastAsia="ru-RU"/>
    </w:rPr>
  </w:style>
  <w:style w:type="character" w:customStyle="1" w:styleId="BodyChar">
    <w:name w:val="Body Char"/>
    <w:basedOn w:val="DefaultParagraphFont"/>
    <w:link w:val="Body"/>
    <w:locked/>
    <w:rsid w:val="00A05906"/>
    <w:rPr>
      <w:rFonts w:ascii="Cambria" w:hAnsi="Cambria" w:cs="Cambria"/>
      <w:color w:val="000000"/>
      <w:sz w:val="24"/>
      <w:szCs w:val="24"/>
      <w:u w:color="000000"/>
    </w:rPr>
  </w:style>
  <w:style w:type="paragraph" w:customStyle="1" w:styleId="99aa78d3b532a93cmsonospacing">
    <w:name w:val="99aa78d3b532a93cmsonospacing"/>
    <w:basedOn w:val="Normal"/>
    <w:rsid w:val="00752BF7"/>
    <w:pPr>
      <w:spacing w:before="100" w:beforeAutospacing="1" w:after="100" w:afterAutospacing="1"/>
    </w:pPr>
    <w:rPr>
      <w:noProof w:val="0"/>
      <w:lang w:val="en-US"/>
    </w:rPr>
  </w:style>
  <w:style w:type="character" w:customStyle="1" w:styleId="TableSourceChar">
    <w:name w:val="(Table Source) Char"/>
    <w:locked/>
    <w:rsid w:val="0046194F"/>
    <w:rPr>
      <w:rFonts w:cs="Times New Roman"/>
      <w:noProof/>
      <w:sz w:val="24"/>
      <w:szCs w:val="24"/>
      <w:lang w:val="hy-AM"/>
    </w:rPr>
  </w:style>
  <w:style w:type="numbering" w:customStyle="1" w:styleId="NoList1">
    <w:name w:val="No List1"/>
    <w:next w:val="NoList"/>
    <w:semiHidden/>
    <w:rsid w:val="0046194F"/>
  </w:style>
  <w:style w:type="table" w:customStyle="1" w:styleId="TableGrid2">
    <w:name w:val="Table Grid2"/>
    <w:basedOn w:val="TableNormal"/>
    <w:next w:val="TableGrid"/>
    <w:uiPriority w:val="39"/>
    <w:rsid w:val="00E760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441018">
      <w:marLeft w:val="0"/>
      <w:marRight w:val="0"/>
      <w:marTop w:val="0"/>
      <w:marBottom w:val="0"/>
      <w:divBdr>
        <w:top w:val="none" w:sz="0" w:space="0" w:color="auto"/>
        <w:left w:val="none" w:sz="0" w:space="0" w:color="auto"/>
        <w:bottom w:val="none" w:sz="0" w:space="0" w:color="auto"/>
        <w:right w:val="none" w:sz="0" w:space="0" w:color="auto"/>
      </w:divBdr>
    </w:div>
    <w:div w:id="883441019">
      <w:marLeft w:val="0"/>
      <w:marRight w:val="0"/>
      <w:marTop w:val="0"/>
      <w:marBottom w:val="0"/>
      <w:divBdr>
        <w:top w:val="none" w:sz="0" w:space="0" w:color="auto"/>
        <w:left w:val="none" w:sz="0" w:space="0" w:color="auto"/>
        <w:bottom w:val="none" w:sz="0" w:space="0" w:color="auto"/>
        <w:right w:val="none" w:sz="0" w:space="0" w:color="auto"/>
      </w:divBdr>
    </w:div>
    <w:div w:id="883441020">
      <w:marLeft w:val="0"/>
      <w:marRight w:val="0"/>
      <w:marTop w:val="0"/>
      <w:marBottom w:val="0"/>
      <w:divBdr>
        <w:top w:val="none" w:sz="0" w:space="0" w:color="auto"/>
        <w:left w:val="none" w:sz="0" w:space="0" w:color="auto"/>
        <w:bottom w:val="none" w:sz="0" w:space="0" w:color="auto"/>
        <w:right w:val="none" w:sz="0" w:space="0" w:color="auto"/>
      </w:divBdr>
    </w:div>
    <w:div w:id="883441021">
      <w:marLeft w:val="0"/>
      <w:marRight w:val="0"/>
      <w:marTop w:val="0"/>
      <w:marBottom w:val="0"/>
      <w:divBdr>
        <w:top w:val="none" w:sz="0" w:space="0" w:color="auto"/>
        <w:left w:val="none" w:sz="0" w:space="0" w:color="auto"/>
        <w:bottom w:val="none" w:sz="0" w:space="0" w:color="auto"/>
        <w:right w:val="none" w:sz="0" w:space="0" w:color="auto"/>
      </w:divBdr>
    </w:div>
    <w:div w:id="883441022">
      <w:marLeft w:val="0"/>
      <w:marRight w:val="0"/>
      <w:marTop w:val="0"/>
      <w:marBottom w:val="0"/>
      <w:divBdr>
        <w:top w:val="none" w:sz="0" w:space="0" w:color="auto"/>
        <w:left w:val="none" w:sz="0" w:space="0" w:color="auto"/>
        <w:bottom w:val="none" w:sz="0" w:space="0" w:color="auto"/>
        <w:right w:val="none" w:sz="0" w:space="0" w:color="auto"/>
      </w:divBdr>
    </w:div>
    <w:div w:id="883441023">
      <w:marLeft w:val="0"/>
      <w:marRight w:val="0"/>
      <w:marTop w:val="0"/>
      <w:marBottom w:val="0"/>
      <w:divBdr>
        <w:top w:val="none" w:sz="0" w:space="0" w:color="auto"/>
        <w:left w:val="none" w:sz="0" w:space="0" w:color="auto"/>
        <w:bottom w:val="none" w:sz="0" w:space="0" w:color="auto"/>
        <w:right w:val="none" w:sz="0" w:space="0" w:color="auto"/>
      </w:divBdr>
    </w:div>
    <w:div w:id="883441024">
      <w:marLeft w:val="0"/>
      <w:marRight w:val="0"/>
      <w:marTop w:val="0"/>
      <w:marBottom w:val="0"/>
      <w:divBdr>
        <w:top w:val="none" w:sz="0" w:space="0" w:color="auto"/>
        <w:left w:val="none" w:sz="0" w:space="0" w:color="auto"/>
        <w:bottom w:val="none" w:sz="0" w:space="0" w:color="auto"/>
        <w:right w:val="none" w:sz="0" w:space="0" w:color="auto"/>
      </w:divBdr>
    </w:div>
    <w:div w:id="883441025">
      <w:marLeft w:val="0"/>
      <w:marRight w:val="0"/>
      <w:marTop w:val="0"/>
      <w:marBottom w:val="0"/>
      <w:divBdr>
        <w:top w:val="none" w:sz="0" w:space="0" w:color="auto"/>
        <w:left w:val="none" w:sz="0" w:space="0" w:color="auto"/>
        <w:bottom w:val="none" w:sz="0" w:space="0" w:color="auto"/>
        <w:right w:val="none" w:sz="0" w:space="0" w:color="auto"/>
      </w:divBdr>
    </w:div>
    <w:div w:id="883441026">
      <w:marLeft w:val="0"/>
      <w:marRight w:val="0"/>
      <w:marTop w:val="0"/>
      <w:marBottom w:val="0"/>
      <w:divBdr>
        <w:top w:val="none" w:sz="0" w:space="0" w:color="auto"/>
        <w:left w:val="none" w:sz="0" w:space="0" w:color="auto"/>
        <w:bottom w:val="none" w:sz="0" w:space="0" w:color="auto"/>
        <w:right w:val="none" w:sz="0" w:space="0" w:color="auto"/>
      </w:divBdr>
    </w:div>
    <w:div w:id="883441027">
      <w:marLeft w:val="0"/>
      <w:marRight w:val="0"/>
      <w:marTop w:val="0"/>
      <w:marBottom w:val="0"/>
      <w:divBdr>
        <w:top w:val="none" w:sz="0" w:space="0" w:color="auto"/>
        <w:left w:val="none" w:sz="0" w:space="0" w:color="auto"/>
        <w:bottom w:val="none" w:sz="0" w:space="0" w:color="auto"/>
        <w:right w:val="none" w:sz="0" w:space="0" w:color="auto"/>
      </w:divBdr>
    </w:div>
    <w:div w:id="883441028">
      <w:marLeft w:val="0"/>
      <w:marRight w:val="0"/>
      <w:marTop w:val="0"/>
      <w:marBottom w:val="0"/>
      <w:divBdr>
        <w:top w:val="none" w:sz="0" w:space="0" w:color="auto"/>
        <w:left w:val="none" w:sz="0" w:space="0" w:color="auto"/>
        <w:bottom w:val="none" w:sz="0" w:space="0" w:color="auto"/>
        <w:right w:val="none" w:sz="0" w:space="0" w:color="auto"/>
      </w:divBdr>
    </w:div>
    <w:div w:id="883441029">
      <w:marLeft w:val="0"/>
      <w:marRight w:val="0"/>
      <w:marTop w:val="0"/>
      <w:marBottom w:val="0"/>
      <w:divBdr>
        <w:top w:val="none" w:sz="0" w:space="0" w:color="auto"/>
        <w:left w:val="none" w:sz="0" w:space="0" w:color="auto"/>
        <w:bottom w:val="none" w:sz="0" w:space="0" w:color="auto"/>
        <w:right w:val="none" w:sz="0" w:space="0" w:color="auto"/>
      </w:divBdr>
    </w:div>
    <w:div w:id="883441030">
      <w:marLeft w:val="0"/>
      <w:marRight w:val="0"/>
      <w:marTop w:val="0"/>
      <w:marBottom w:val="0"/>
      <w:divBdr>
        <w:top w:val="none" w:sz="0" w:space="0" w:color="auto"/>
        <w:left w:val="none" w:sz="0" w:space="0" w:color="auto"/>
        <w:bottom w:val="none" w:sz="0" w:space="0" w:color="auto"/>
        <w:right w:val="none" w:sz="0" w:space="0" w:color="auto"/>
      </w:divBdr>
    </w:div>
    <w:div w:id="883441031">
      <w:marLeft w:val="0"/>
      <w:marRight w:val="0"/>
      <w:marTop w:val="0"/>
      <w:marBottom w:val="0"/>
      <w:divBdr>
        <w:top w:val="none" w:sz="0" w:space="0" w:color="auto"/>
        <w:left w:val="none" w:sz="0" w:space="0" w:color="auto"/>
        <w:bottom w:val="none" w:sz="0" w:space="0" w:color="auto"/>
        <w:right w:val="none" w:sz="0" w:space="0" w:color="auto"/>
      </w:divBdr>
    </w:div>
    <w:div w:id="883441032">
      <w:marLeft w:val="0"/>
      <w:marRight w:val="0"/>
      <w:marTop w:val="0"/>
      <w:marBottom w:val="0"/>
      <w:divBdr>
        <w:top w:val="none" w:sz="0" w:space="0" w:color="auto"/>
        <w:left w:val="none" w:sz="0" w:space="0" w:color="auto"/>
        <w:bottom w:val="none" w:sz="0" w:space="0" w:color="auto"/>
        <w:right w:val="none" w:sz="0" w:space="0" w:color="auto"/>
      </w:divBdr>
    </w:div>
    <w:div w:id="883441033">
      <w:marLeft w:val="0"/>
      <w:marRight w:val="0"/>
      <w:marTop w:val="0"/>
      <w:marBottom w:val="0"/>
      <w:divBdr>
        <w:top w:val="none" w:sz="0" w:space="0" w:color="auto"/>
        <w:left w:val="none" w:sz="0" w:space="0" w:color="auto"/>
        <w:bottom w:val="none" w:sz="0" w:space="0" w:color="auto"/>
        <w:right w:val="none" w:sz="0" w:space="0" w:color="auto"/>
      </w:divBdr>
    </w:div>
    <w:div w:id="883441034">
      <w:marLeft w:val="0"/>
      <w:marRight w:val="0"/>
      <w:marTop w:val="0"/>
      <w:marBottom w:val="0"/>
      <w:divBdr>
        <w:top w:val="none" w:sz="0" w:space="0" w:color="auto"/>
        <w:left w:val="none" w:sz="0" w:space="0" w:color="auto"/>
        <w:bottom w:val="none" w:sz="0" w:space="0" w:color="auto"/>
        <w:right w:val="none" w:sz="0" w:space="0" w:color="auto"/>
      </w:divBdr>
    </w:div>
    <w:div w:id="883441035">
      <w:marLeft w:val="0"/>
      <w:marRight w:val="0"/>
      <w:marTop w:val="0"/>
      <w:marBottom w:val="0"/>
      <w:divBdr>
        <w:top w:val="none" w:sz="0" w:space="0" w:color="auto"/>
        <w:left w:val="none" w:sz="0" w:space="0" w:color="auto"/>
        <w:bottom w:val="none" w:sz="0" w:space="0" w:color="auto"/>
        <w:right w:val="none" w:sz="0" w:space="0" w:color="auto"/>
      </w:divBdr>
    </w:div>
    <w:div w:id="883441036">
      <w:marLeft w:val="0"/>
      <w:marRight w:val="0"/>
      <w:marTop w:val="0"/>
      <w:marBottom w:val="0"/>
      <w:divBdr>
        <w:top w:val="none" w:sz="0" w:space="0" w:color="auto"/>
        <w:left w:val="none" w:sz="0" w:space="0" w:color="auto"/>
        <w:bottom w:val="none" w:sz="0" w:space="0" w:color="auto"/>
        <w:right w:val="none" w:sz="0" w:space="0" w:color="auto"/>
      </w:divBdr>
    </w:div>
    <w:div w:id="883441037">
      <w:marLeft w:val="0"/>
      <w:marRight w:val="0"/>
      <w:marTop w:val="0"/>
      <w:marBottom w:val="0"/>
      <w:divBdr>
        <w:top w:val="none" w:sz="0" w:space="0" w:color="auto"/>
        <w:left w:val="none" w:sz="0" w:space="0" w:color="auto"/>
        <w:bottom w:val="none" w:sz="0" w:space="0" w:color="auto"/>
        <w:right w:val="none" w:sz="0" w:space="0" w:color="auto"/>
      </w:divBdr>
    </w:div>
    <w:div w:id="883441038">
      <w:marLeft w:val="0"/>
      <w:marRight w:val="0"/>
      <w:marTop w:val="0"/>
      <w:marBottom w:val="0"/>
      <w:divBdr>
        <w:top w:val="none" w:sz="0" w:space="0" w:color="auto"/>
        <w:left w:val="none" w:sz="0" w:space="0" w:color="auto"/>
        <w:bottom w:val="none" w:sz="0" w:space="0" w:color="auto"/>
        <w:right w:val="none" w:sz="0" w:space="0" w:color="auto"/>
      </w:divBdr>
    </w:div>
    <w:div w:id="883441039">
      <w:marLeft w:val="0"/>
      <w:marRight w:val="0"/>
      <w:marTop w:val="0"/>
      <w:marBottom w:val="0"/>
      <w:divBdr>
        <w:top w:val="none" w:sz="0" w:space="0" w:color="auto"/>
        <w:left w:val="none" w:sz="0" w:space="0" w:color="auto"/>
        <w:bottom w:val="none" w:sz="0" w:space="0" w:color="auto"/>
        <w:right w:val="none" w:sz="0" w:space="0" w:color="auto"/>
      </w:divBdr>
    </w:div>
    <w:div w:id="883441040">
      <w:marLeft w:val="0"/>
      <w:marRight w:val="0"/>
      <w:marTop w:val="0"/>
      <w:marBottom w:val="0"/>
      <w:divBdr>
        <w:top w:val="none" w:sz="0" w:space="0" w:color="auto"/>
        <w:left w:val="none" w:sz="0" w:space="0" w:color="auto"/>
        <w:bottom w:val="none" w:sz="0" w:space="0" w:color="auto"/>
        <w:right w:val="none" w:sz="0" w:space="0" w:color="auto"/>
      </w:divBdr>
    </w:div>
    <w:div w:id="883441041">
      <w:marLeft w:val="0"/>
      <w:marRight w:val="0"/>
      <w:marTop w:val="0"/>
      <w:marBottom w:val="0"/>
      <w:divBdr>
        <w:top w:val="none" w:sz="0" w:space="0" w:color="auto"/>
        <w:left w:val="none" w:sz="0" w:space="0" w:color="auto"/>
        <w:bottom w:val="none" w:sz="0" w:space="0" w:color="auto"/>
        <w:right w:val="none" w:sz="0" w:space="0" w:color="auto"/>
      </w:divBdr>
    </w:div>
    <w:div w:id="883441042">
      <w:marLeft w:val="0"/>
      <w:marRight w:val="0"/>
      <w:marTop w:val="0"/>
      <w:marBottom w:val="0"/>
      <w:divBdr>
        <w:top w:val="none" w:sz="0" w:space="0" w:color="auto"/>
        <w:left w:val="none" w:sz="0" w:space="0" w:color="auto"/>
        <w:bottom w:val="none" w:sz="0" w:space="0" w:color="auto"/>
        <w:right w:val="none" w:sz="0" w:space="0" w:color="auto"/>
      </w:divBdr>
    </w:div>
    <w:div w:id="883441043">
      <w:marLeft w:val="0"/>
      <w:marRight w:val="0"/>
      <w:marTop w:val="0"/>
      <w:marBottom w:val="0"/>
      <w:divBdr>
        <w:top w:val="none" w:sz="0" w:space="0" w:color="auto"/>
        <w:left w:val="none" w:sz="0" w:space="0" w:color="auto"/>
        <w:bottom w:val="none" w:sz="0" w:space="0" w:color="auto"/>
        <w:right w:val="none" w:sz="0" w:space="0" w:color="auto"/>
      </w:divBdr>
    </w:div>
    <w:div w:id="883441044">
      <w:marLeft w:val="0"/>
      <w:marRight w:val="0"/>
      <w:marTop w:val="0"/>
      <w:marBottom w:val="0"/>
      <w:divBdr>
        <w:top w:val="none" w:sz="0" w:space="0" w:color="auto"/>
        <w:left w:val="none" w:sz="0" w:space="0" w:color="auto"/>
        <w:bottom w:val="none" w:sz="0" w:space="0" w:color="auto"/>
        <w:right w:val="none" w:sz="0" w:space="0" w:color="auto"/>
      </w:divBdr>
    </w:div>
    <w:div w:id="883441045">
      <w:marLeft w:val="0"/>
      <w:marRight w:val="0"/>
      <w:marTop w:val="0"/>
      <w:marBottom w:val="0"/>
      <w:divBdr>
        <w:top w:val="none" w:sz="0" w:space="0" w:color="auto"/>
        <w:left w:val="none" w:sz="0" w:space="0" w:color="auto"/>
        <w:bottom w:val="none" w:sz="0" w:space="0" w:color="auto"/>
        <w:right w:val="none" w:sz="0" w:space="0" w:color="auto"/>
      </w:divBdr>
    </w:div>
    <w:div w:id="883441046">
      <w:marLeft w:val="0"/>
      <w:marRight w:val="0"/>
      <w:marTop w:val="0"/>
      <w:marBottom w:val="0"/>
      <w:divBdr>
        <w:top w:val="none" w:sz="0" w:space="0" w:color="auto"/>
        <w:left w:val="none" w:sz="0" w:space="0" w:color="auto"/>
        <w:bottom w:val="none" w:sz="0" w:space="0" w:color="auto"/>
        <w:right w:val="none" w:sz="0" w:space="0" w:color="auto"/>
      </w:divBdr>
    </w:div>
    <w:div w:id="883441047">
      <w:marLeft w:val="0"/>
      <w:marRight w:val="0"/>
      <w:marTop w:val="0"/>
      <w:marBottom w:val="0"/>
      <w:divBdr>
        <w:top w:val="none" w:sz="0" w:space="0" w:color="auto"/>
        <w:left w:val="none" w:sz="0" w:space="0" w:color="auto"/>
        <w:bottom w:val="none" w:sz="0" w:space="0" w:color="auto"/>
        <w:right w:val="none" w:sz="0" w:space="0" w:color="auto"/>
      </w:divBdr>
    </w:div>
    <w:div w:id="883441048">
      <w:marLeft w:val="0"/>
      <w:marRight w:val="0"/>
      <w:marTop w:val="0"/>
      <w:marBottom w:val="0"/>
      <w:divBdr>
        <w:top w:val="none" w:sz="0" w:space="0" w:color="auto"/>
        <w:left w:val="none" w:sz="0" w:space="0" w:color="auto"/>
        <w:bottom w:val="none" w:sz="0" w:space="0" w:color="auto"/>
        <w:right w:val="none" w:sz="0" w:space="0" w:color="auto"/>
      </w:divBdr>
    </w:div>
    <w:div w:id="883441049">
      <w:marLeft w:val="0"/>
      <w:marRight w:val="0"/>
      <w:marTop w:val="0"/>
      <w:marBottom w:val="0"/>
      <w:divBdr>
        <w:top w:val="none" w:sz="0" w:space="0" w:color="auto"/>
        <w:left w:val="none" w:sz="0" w:space="0" w:color="auto"/>
        <w:bottom w:val="none" w:sz="0" w:space="0" w:color="auto"/>
        <w:right w:val="none" w:sz="0" w:space="0" w:color="auto"/>
      </w:divBdr>
    </w:div>
    <w:div w:id="883441050">
      <w:marLeft w:val="0"/>
      <w:marRight w:val="0"/>
      <w:marTop w:val="0"/>
      <w:marBottom w:val="0"/>
      <w:divBdr>
        <w:top w:val="none" w:sz="0" w:space="0" w:color="auto"/>
        <w:left w:val="none" w:sz="0" w:space="0" w:color="auto"/>
        <w:bottom w:val="none" w:sz="0" w:space="0" w:color="auto"/>
        <w:right w:val="none" w:sz="0" w:space="0" w:color="auto"/>
      </w:divBdr>
    </w:div>
    <w:div w:id="883441051">
      <w:marLeft w:val="0"/>
      <w:marRight w:val="0"/>
      <w:marTop w:val="0"/>
      <w:marBottom w:val="0"/>
      <w:divBdr>
        <w:top w:val="none" w:sz="0" w:space="0" w:color="auto"/>
        <w:left w:val="none" w:sz="0" w:space="0" w:color="auto"/>
        <w:bottom w:val="none" w:sz="0" w:space="0" w:color="auto"/>
        <w:right w:val="none" w:sz="0" w:space="0" w:color="auto"/>
      </w:divBdr>
    </w:div>
    <w:div w:id="883441052">
      <w:marLeft w:val="0"/>
      <w:marRight w:val="0"/>
      <w:marTop w:val="0"/>
      <w:marBottom w:val="0"/>
      <w:divBdr>
        <w:top w:val="none" w:sz="0" w:space="0" w:color="auto"/>
        <w:left w:val="none" w:sz="0" w:space="0" w:color="auto"/>
        <w:bottom w:val="none" w:sz="0" w:space="0" w:color="auto"/>
        <w:right w:val="none" w:sz="0" w:space="0" w:color="auto"/>
      </w:divBdr>
    </w:div>
    <w:div w:id="883441053">
      <w:marLeft w:val="0"/>
      <w:marRight w:val="0"/>
      <w:marTop w:val="0"/>
      <w:marBottom w:val="0"/>
      <w:divBdr>
        <w:top w:val="none" w:sz="0" w:space="0" w:color="auto"/>
        <w:left w:val="none" w:sz="0" w:space="0" w:color="auto"/>
        <w:bottom w:val="none" w:sz="0" w:space="0" w:color="auto"/>
        <w:right w:val="none" w:sz="0" w:space="0" w:color="auto"/>
      </w:divBdr>
    </w:div>
    <w:div w:id="883441054">
      <w:marLeft w:val="0"/>
      <w:marRight w:val="0"/>
      <w:marTop w:val="0"/>
      <w:marBottom w:val="0"/>
      <w:divBdr>
        <w:top w:val="none" w:sz="0" w:space="0" w:color="auto"/>
        <w:left w:val="none" w:sz="0" w:space="0" w:color="auto"/>
        <w:bottom w:val="none" w:sz="0" w:space="0" w:color="auto"/>
        <w:right w:val="none" w:sz="0" w:space="0" w:color="auto"/>
      </w:divBdr>
    </w:div>
    <w:div w:id="883441055">
      <w:marLeft w:val="0"/>
      <w:marRight w:val="0"/>
      <w:marTop w:val="0"/>
      <w:marBottom w:val="0"/>
      <w:divBdr>
        <w:top w:val="none" w:sz="0" w:space="0" w:color="auto"/>
        <w:left w:val="none" w:sz="0" w:space="0" w:color="auto"/>
        <w:bottom w:val="none" w:sz="0" w:space="0" w:color="auto"/>
        <w:right w:val="none" w:sz="0" w:space="0" w:color="auto"/>
      </w:divBdr>
    </w:div>
    <w:div w:id="883441056">
      <w:marLeft w:val="0"/>
      <w:marRight w:val="0"/>
      <w:marTop w:val="0"/>
      <w:marBottom w:val="0"/>
      <w:divBdr>
        <w:top w:val="none" w:sz="0" w:space="0" w:color="auto"/>
        <w:left w:val="none" w:sz="0" w:space="0" w:color="auto"/>
        <w:bottom w:val="none" w:sz="0" w:space="0" w:color="auto"/>
        <w:right w:val="none" w:sz="0" w:space="0" w:color="auto"/>
      </w:divBdr>
    </w:div>
    <w:div w:id="883441057">
      <w:marLeft w:val="0"/>
      <w:marRight w:val="0"/>
      <w:marTop w:val="0"/>
      <w:marBottom w:val="0"/>
      <w:divBdr>
        <w:top w:val="none" w:sz="0" w:space="0" w:color="auto"/>
        <w:left w:val="none" w:sz="0" w:space="0" w:color="auto"/>
        <w:bottom w:val="none" w:sz="0" w:space="0" w:color="auto"/>
        <w:right w:val="none" w:sz="0" w:space="0" w:color="auto"/>
      </w:divBdr>
    </w:div>
    <w:div w:id="883441058">
      <w:marLeft w:val="0"/>
      <w:marRight w:val="0"/>
      <w:marTop w:val="0"/>
      <w:marBottom w:val="0"/>
      <w:divBdr>
        <w:top w:val="none" w:sz="0" w:space="0" w:color="auto"/>
        <w:left w:val="none" w:sz="0" w:space="0" w:color="auto"/>
        <w:bottom w:val="none" w:sz="0" w:space="0" w:color="auto"/>
        <w:right w:val="none" w:sz="0" w:space="0" w:color="auto"/>
      </w:divBdr>
    </w:div>
    <w:div w:id="883441059">
      <w:marLeft w:val="0"/>
      <w:marRight w:val="0"/>
      <w:marTop w:val="0"/>
      <w:marBottom w:val="0"/>
      <w:divBdr>
        <w:top w:val="none" w:sz="0" w:space="0" w:color="auto"/>
        <w:left w:val="none" w:sz="0" w:space="0" w:color="auto"/>
        <w:bottom w:val="none" w:sz="0" w:space="0" w:color="auto"/>
        <w:right w:val="none" w:sz="0" w:space="0" w:color="auto"/>
      </w:divBdr>
    </w:div>
    <w:div w:id="883441060">
      <w:marLeft w:val="0"/>
      <w:marRight w:val="0"/>
      <w:marTop w:val="0"/>
      <w:marBottom w:val="0"/>
      <w:divBdr>
        <w:top w:val="none" w:sz="0" w:space="0" w:color="auto"/>
        <w:left w:val="none" w:sz="0" w:space="0" w:color="auto"/>
        <w:bottom w:val="none" w:sz="0" w:space="0" w:color="auto"/>
        <w:right w:val="none" w:sz="0" w:space="0" w:color="auto"/>
      </w:divBdr>
    </w:div>
    <w:div w:id="883441061">
      <w:marLeft w:val="0"/>
      <w:marRight w:val="0"/>
      <w:marTop w:val="0"/>
      <w:marBottom w:val="0"/>
      <w:divBdr>
        <w:top w:val="none" w:sz="0" w:space="0" w:color="auto"/>
        <w:left w:val="none" w:sz="0" w:space="0" w:color="auto"/>
        <w:bottom w:val="none" w:sz="0" w:space="0" w:color="auto"/>
        <w:right w:val="none" w:sz="0" w:space="0" w:color="auto"/>
      </w:divBdr>
    </w:div>
    <w:div w:id="883441062">
      <w:marLeft w:val="0"/>
      <w:marRight w:val="0"/>
      <w:marTop w:val="0"/>
      <w:marBottom w:val="0"/>
      <w:divBdr>
        <w:top w:val="none" w:sz="0" w:space="0" w:color="auto"/>
        <w:left w:val="none" w:sz="0" w:space="0" w:color="auto"/>
        <w:bottom w:val="none" w:sz="0" w:space="0" w:color="auto"/>
        <w:right w:val="none" w:sz="0" w:space="0" w:color="auto"/>
      </w:divBdr>
    </w:div>
    <w:div w:id="883441063">
      <w:marLeft w:val="0"/>
      <w:marRight w:val="0"/>
      <w:marTop w:val="0"/>
      <w:marBottom w:val="0"/>
      <w:divBdr>
        <w:top w:val="none" w:sz="0" w:space="0" w:color="auto"/>
        <w:left w:val="none" w:sz="0" w:space="0" w:color="auto"/>
        <w:bottom w:val="none" w:sz="0" w:space="0" w:color="auto"/>
        <w:right w:val="none" w:sz="0" w:space="0" w:color="auto"/>
      </w:divBdr>
    </w:div>
    <w:div w:id="883441064">
      <w:marLeft w:val="0"/>
      <w:marRight w:val="0"/>
      <w:marTop w:val="0"/>
      <w:marBottom w:val="0"/>
      <w:divBdr>
        <w:top w:val="none" w:sz="0" w:space="0" w:color="auto"/>
        <w:left w:val="none" w:sz="0" w:space="0" w:color="auto"/>
        <w:bottom w:val="none" w:sz="0" w:space="0" w:color="auto"/>
        <w:right w:val="none" w:sz="0" w:space="0" w:color="auto"/>
      </w:divBdr>
    </w:div>
    <w:div w:id="883441065">
      <w:marLeft w:val="0"/>
      <w:marRight w:val="0"/>
      <w:marTop w:val="0"/>
      <w:marBottom w:val="0"/>
      <w:divBdr>
        <w:top w:val="none" w:sz="0" w:space="0" w:color="auto"/>
        <w:left w:val="none" w:sz="0" w:space="0" w:color="auto"/>
        <w:bottom w:val="none" w:sz="0" w:space="0" w:color="auto"/>
        <w:right w:val="none" w:sz="0" w:space="0" w:color="auto"/>
      </w:divBdr>
    </w:div>
    <w:div w:id="883441066">
      <w:marLeft w:val="0"/>
      <w:marRight w:val="0"/>
      <w:marTop w:val="0"/>
      <w:marBottom w:val="0"/>
      <w:divBdr>
        <w:top w:val="none" w:sz="0" w:space="0" w:color="auto"/>
        <w:left w:val="none" w:sz="0" w:space="0" w:color="auto"/>
        <w:bottom w:val="none" w:sz="0" w:space="0" w:color="auto"/>
        <w:right w:val="none" w:sz="0" w:space="0" w:color="auto"/>
      </w:divBdr>
    </w:div>
    <w:div w:id="883441067">
      <w:marLeft w:val="0"/>
      <w:marRight w:val="0"/>
      <w:marTop w:val="0"/>
      <w:marBottom w:val="0"/>
      <w:divBdr>
        <w:top w:val="none" w:sz="0" w:space="0" w:color="auto"/>
        <w:left w:val="none" w:sz="0" w:space="0" w:color="auto"/>
        <w:bottom w:val="none" w:sz="0" w:space="0" w:color="auto"/>
        <w:right w:val="none" w:sz="0" w:space="0" w:color="auto"/>
      </w:divBdr>
    </w:div>
    <w:div w:id="883441068">
      <w:marLeft w:val="0"/>
      <w:marRight w:val="0"/>
      <w:marTop w:val="0"/>
      <w:marBottom w:val="0"/>
      <w:divBdr>
        <w:top w:val="none" w:sz="0" w:space="0" w:color="auto"/>
        <w:left w:val="none" w:sz="0" w:space="0" w:color="auto"/>
        <w:bottom w:val="none" w:sz="0" w:space="0" w:color="auto"/>
        <w:right w:val="none" w:sz="0" w:space="0" w:color="auto"/>
      </w:divBdr>
    </w:div>
    <w:div w:id="883441069">
      <w:marLeft w:val="0"/>
      <w:marRight w:val="0"/>
      <w:marTop w:val="0"/>
      <w:marBottom w:val="0"/>
      <w:divBdr>
        <w:top w:val="none" w:sz="0" w:space="0" w:color="auto"/>
        <w:left w:val="none" w:sz="0" w:space="0" w:color="auto"/>
        <w:bottom w:val="none" w:sz="0" w:space="0" w:color="auto"/>
        <w:right w:val="none" w:sz="0" w:space="0" w:color="auto"/>
      </w:divBdr>
    </w:div>
    <w:div w:id="883441070">
      <w:marLeft w:val="0"/>
      <w:marRight w:val="0"/>
      <w:marTop w:val="0"/>
      <w:marBottom w:val="0"/>
      <w:divBdr>
        <w:top w:val="none" w:sz="0" w:space="0" w:color="auto"/>
        <w:left w:val="none" w:sz="0" w:space="0" w:color="auto"/>
        <w:bottom w:val="none" w:sz="0" w:space="0" w:color="auto"/>
        <w:right w:val="none" w:sz="0" w:space="0" w:color="auto"/>
      </w:divBdr>
    </w:div>
    <w:div w:id="883441071">
      <w:marLeft w:val="0"/>
      <w:marRight w:val="0"/>
      <w:marTop w:val="0"/>
      <w:marBottom w:val="0"/>
      <w:divBdr>
        <w:top w:val="none" w:sz="0" w:space="0" w:color="auto"/>
        <w:left w:val="none" w:sz="0" w:space="0" w:color="auto"/>
        <w:bottom w:val="none" w:sz="0" w:space="0" w:color="auto"/>
        <w:right w:val="none" w:sz="0" w:space="0" w:color="auto"/>
      </w:divBdr>
    </w:div>
    <w:div w:id="883441072">
      <w:marLeft w:val="0"/>
      <w:marRight w:val="0"/>
      <w:marTop w:val="0"/>
      <w:marBottom w:val="0"/>
      <w:divBdr>
        <w:top w:val="none" w:sz="0" w:space="0" w:color="auto"/>
        <w:left w:val="none" w:sz="0" w:space="0" w:color="auto"/>
        <w:bottom w:val="none" w:sz="0" w:space="0" w:color="auto"/>
        <w:right w:val="none" w:sz="0" w:space="0" w:color="auto"/>
      </w:divBdr>
    </w:div>
    <w:div w:id="883441073">
      <w:marLeft w:val="0"/>
      <w:marRight w:val="0"/>
      <w:marTop w:val="0"/>
      <w:marBottom w:val="0"/>
      <w:divBdr>
        <w:top w:val="none" w:sz="0" w:space="0" w:color="auto"/>
        <w:left w:val="none" w:sz="0" w:space="0" w:color="auto"/>
        <w:bottom w:val="none" w:sz="0" w:space="0" w:color="auto"/>
        <w:right w:val="none" w:sz="0" w:space="0" w:color="auto"/>
      </w:divBdr>
    </w:div>
    <w:div w:id="883441074">
      <w:marLeft w:val="0"/>
      <w:marRight w:val="0"/>
      <w:marTop w:val="0"/>
      <w:marBottom w:val="0"/>
      <w:divBdr>
        <w:top w:val="none" w:sz="0" w:space="0" w:color="auto"/>
        <w:left w:val="none" w:sz="0" w:space="0" w:color="auto"/>
        <w:bottom w:val="none" w:sz="0" w:space="0" w:color="auto"/>
        <w:right w:val="none" w:sz="0" w:space="0" w:color="auto"/>
      </w:divBdr>
    </w:div>
    <w:div w:id="883441075">
      <w:marLeft w:val="0"/>
      <w:marRight w:val="0"/>
      <w:marTop w:val="0"/>
      <w:marBottom w:val="0"/>
      <w:divBdr>
        <w:top w:val="none" w:sz="0" w:space="0" w:color="auto"/>
        <w:left w:val="none" w:sz="0" w:space="0" w:color="auto"/>
        <w:bottom w:val="none" w:sz="0" w:space="0" w:color="auto"/>
        <w:right w:val="none" w:sz="0" w:space="0" w:color="auto"/>
      </w:divBdr>
    </w:div>
    <w:div w:id="883441076">
      <w:marLeft w:val="0"/>
      <w:marRight w:val="0"/>
      <w:marTop w:val="0"/>
      <w:marBottom w:val="0"/>
      <w:divBdr>
        <w:top w:val="none" w:sz="0" w:space="0" w:color="auto"/>
        <w:left w:val="none" w:sz="0" w:space="0" w:color="auto"/>
        <w:bottom w:val="none" w:sz="0" w:space="0" w:color="auto"/>
        <w:right w:val="none" w:sz="0" w:space="0" w:color="auto"/>
      </w:divBdr>
    </w:div>
    <w:div w:id="883441077">
      <w:marLeft w:val="0"/>
      <w:marRight w:val="0"/>
      <w:marTop w:val="0"/>
      <w:marBottom w:val="0"/>
      <w:divBdr>
        <w:top w:val="none" w:sz="0" w:space="0" w:color="auto"/>
        <w:left w:val="none" w:sz="0" w:space="0" w:color="auto"/>
        <w:bottom w:val="none" w:sz="0" w:space="0" w:color="auto"/>
        <w:right w:val="none" w:sz="0" w:space="0" w:color="auto"/>
      </w:divBdr>
    </w:div>
    <w:div w:id="883441078">
      <w:marLeft w:val="0"/>
      <w:marRight w:val="0"/>
      <w:marTop w:val="0"/>
      <w:marBottom w:val="0"/>
      <w:divBdr>
        <w:top w:val="none" w:sz="0" w:space="0" w:color="auto"/>
        <w:left w:val="none" w:sz="0" w:space="0" w:color="auto"/>
        <w:bottom w:val="none" w:sz="0" w:space="0" w:color="auto"/>
        <w:right w:val="none" w:sz="0" w:space="0" w:color="auto"/>
      </w:divBdr>
    </w:div>
    <w:div w:id="883441079">
      <w:marLeft w:val="0"/>
      <w:marRight w:val="0"/>
      <w:marTop w:val="0"/>
      <w:marBottom w:val="0"/>
      <w:divBdr>
        <w:top w:val="none" w:sz="0" w:space="0" w:color="auto"/>
        <w:left w:val="none" w:sz="0" w:space="0" w:color="auto"/>
        <w:bottom w:val="none" w:sz="0" w:space="0" w:color="auto"/>
        <w:right w:val="none" w:sz="0" w:space="0" w:color="auto"/>
      </w:divBdr>
    </w:div>
    <w:div w:id="883441080">
      <w:marLeft w:val="0"/>
      <w:marRight w:val="0"/>
      <w:marTop w:val="0"/>
      <w:marBottom w:val="0"/>
      <w:divBdr>
        <w:top w:val="none" w:sz="0" w:space="0" w:color="auto"/>
        <w:left w:val="none" w:sz="0" w:space="0" w:color="auto"/>
        <w:bottom w:val="none" w:sz="0" w:space="0" w:color="auto"/>
        <w:right w:val="none" w:sz="0" w:space="0" w:color="auto"/>
      </w:divBdr>
    </w:div>
    <w:div w:id="883441081">
      <w:marLeft w:val="0"/>
      <w:marRight w:val="0"/>
      <w:marTop w:val="0"/>
      <w:marBottom w:val="0"/>
      <w:divBdr>
        <w:top w:val="none" w:sz="0" w:space="0" w:color="auto"/>
        <w:left w:val="none" w:sz="0" w:space="0" w:color="auto"/>
        <w:bottom w:val="none" w:sz="0" w:space="0" w:color="auto"/>
        <w:right w:val="none" w:sz="0" w:space="0" w:color="auto"/>
      </w:divBdr>
    </w:div>
    <w:div w:id="883441084">
      <w:marLeft w:val="0"/>
      <w:marRight w:val="0"/>
      <w:marTop w:val="0"/>
      <w:marBottom w:val="0"/>
      <w:divBdr>
        <w:top w:val="none" w:sz="0" w:space="0" w:color="auto"/>
        <w:left w:val="none" w:sz="0" w:space="0" w:color="auto"/>
        <w:bottom w:val="none" w:sz="0" w:space="0" w:color="auto"/>
        <w:right w:val="none" w:sz="0" w:space="0" w:color="auto"/>
      </w:divBdr>
    </w:div>
    <w:div w:id="883441085">
      <w:marLeft w:val="0"/>
      <w:marRight w:val="0"/>
      <w:marTop w:val="0"/>
      <w:marBottom w:val="0"/>
      <w:divBdr>
        <w:top w:val="none" w:sz="0" w:space="0" w:color="auto"/>
        <w:left w:val="none" w:sz="0" w:space="0" w:color="auto"/>
        <w:bottom w:val="none" w:sz="0" w:space="0" w:color="auto"/>
        <w:right w:val="none" w:sz="0" w:space="0" w:color="auto"/>
      </w:divBdr>
    </w:div>
    <w:div w:id="883441086">
      <w:marLeft w:val="0"/>
      <w:marRight w:val="0"/>
      <w:marTop w:val="0"/>
      <w:marBottom w:val="0"/>
      <w:divBdr>
        <w:top w:val="none" w:sz="0" w:space="0" w:color="auto"/>
        <w:left w:val="none" w:sz="0" w:space="0" w:color="auto"/>
        <w:bottom w:val="none" w:sz="0" w:space="0" w:color="auto"/>
        <w:right w:val="none" w:sz="0" w:space="0" w:color="auto"/>
      </w:divBdr>
    </w:div>
    <w:div w:id="883441087">
      <w:marLeft w:val="0"/>
      <w:marRight w:val="0"/>
      <w:marTop w:val="0"/>
      <w:marBottom w:val="0"/>
      <w:divBdr>
        <w:top w:val="none" w:sz="0" w:space="0" w:color="auto"/>
        <w:left w:val="none" w:sz="0" w:space="0" w:color="auto"/>
        <w:bottom w:val="none" w:sz="0" w:space="0" w:color="auto"/>
        <w:right w:val="none" w:sz="0" w:space="0" w:color="auto"/>
      </w:divBdr>
    </w:div>
    <w:div w:id="883441088">
      <w:marLeft w:val="0"/>
      <w:marRight w:val="0"/>
      <w:marTop w:val="0"/>
      <w:marBottom w:val="0"/>
      <w:divBdr>
        <w:top w:val="none" w:sz="0" w:space="0" w:color="auto"/>
        <w:left w:val="none" w:sz="0" w:space="0" w:color="auto"/>
        <w:bottom w:val="none" w:sz="0" w:space="0" w:color="auto"/>
        <w:right w:val="none" w:sz="0" w:space="0" w:color="auto"/>
      </w:divBdr>
    </w:div>
    <w:div w:id="883441089">
      <w:marLeft w:val="0"/>
      <w:marRight w:val="0"/>
      <w:marTop w:val="0"/>
      <w:marBottom w:val="0"/>
      <w:divBdr>
        <w:top w:val="none" w:sz="0" w:space="0" w:color="auto"/>
        <w:left w:val="none" w:sz="0" w:space="0" w:color="auto"/>
        <w:bottom w:val="none" w:sz="0" w:space="0" w:color="auto"/>
        <w:right w:val="none" w:sz="0" w:space="0" w:color="auto"/>
      </w:divBdr>
      <w:divsChild>
        <w:div w:id="883441083">
          <w:marLeft w:val="547"/>
          <w:marRight w:val="0"/>
          <w:marTop w:val="0"/>
          <w:marBottom w:val="0"/>
          <w:divBdr>
            <w:top w:val="none" w:sz="0" w:space="0" w:color="auto"/>
            <w:left w:val="none" w:sz="0" w:space="0" w:color="auto"/>
            <w:bottom w:val="none" w:sz="0" w:space="0" w:color="auto"/>
            <w:right w:val="none" w:sz="0" w:space="0" w:color="auto"/>
          </w:divBdr>
        </w:div>
        <w:div w:id="883441128">
          <w:marLeft w:val="547"/>
          <w:marRight w:val="0"/>
          <w:marTop w:val="0"/>
          <w:marBottom w:val="0"/>
          <w:divBdr>
            <w:top w:val="none" w:sz="0" w:space="0" w:color="auto"/>
            <w:left w:val="none" w:sz="0" w:space="0" w:color="auto"/>
            <w:bottom w:val="none" w:sz="0" w:space="0" w:color="auto"/>
            <w:right w:val="none" w:sz="0" w:space="0" w:color="auto"/>
          </w:divBdr>
        </w:div>
      </w:divsChild>
    </w:div>
    <w:div w:id="883441090">
      <w:marLeft w:val="0"/>
      <w:marRight w:val="0"/>
      <w:marTop w:val="0"/>
      <w:marBottom w:val="0"/>
      <w:divBdr>
        <w:top w:val="none" w:sz="0" w:space="0" w:color="auto"/>
        <w:left w:val="none" w:sz="0" w:space="0" w:color="auto"/>
        <w:bottom w:val="none" w:sz="0" w:space="0" w:color="auto"/>
        <w:right w:val="none" w:sz="0" w:space="0" w:color="auto"/>
      </w:divBdr>
    </w:div>
    <w:div w:id="883441091">
      <w:marLeft w:val="0"/>
      <w:marRight w:val="0"/>
      <w:marTop w:val="0"/>
      <w:marBottom w:val="0"/>
      <w:divBdr>
        <w:top w:val="none" w:sz="0" w:space="0" w:color="auto"/>
        <w:left w:val="none" w:sz="0" w:space="0" w:color="auto"/>
        <w:bottom w:val="none" w:sz="0" w:space="0" w:color="auto"/>
        <w:right w:val="none" w:sz="0" w:space="0" w:color="auto"/>
      </w:divBdr>
    </w:div>
    <w:div w:id="883441092">
      <w:marLeft w:val="0"/>
      <w:marRight w:val="0"/>
      <w:marTop w:val="0"/>
      <w:marBottom w:val="0"/>
      <w:divBdr>
        <w:top w:val="none" w:sz="0" w:space="0" w:color="auto"/>
        <w:left w:val="none" w:sz="0" w:space="0" w:color="auto"/>
        <w:bottom w:val="none" w:sz="0" w:space="0" w:color="auto"/>
        <w:right w:val="none" w:sz="0" w:space="0" w:color="auto"/>
      </w:divBdr>
    </w:div>
    <w:div w:id="883441093">
      <w:marLeft w:val="0"/>
      <w:marRight w:val="0"/>
      <w:marTop w:val="0"/>
      <w:marBottom w:val="0"/>
      <w:divBdr>
        <w:top w:val="none" w:sz="0" w:space="0" w:color="auto"/>
        <w:left w:val="none" w:sz="0" w:space="0" w:color="auto"/>
        <w:bottom w:val="none" w:sz="0" w:space="0" w:color="auto"/>
        <w:right w:val="none" w:sz="0" w:space="0" w:color="auto"/>
      </w:divBdr>
    </w:div>
    <w:div w:id="883441094">
      <w:marLeft w:val="0"/>
      <w:marRight w:val="0"/>
      <w:marTop w:val="0"/>
      <w:marBottom w:val="0"/>
      <w:divBdr>
        <w:top w:val="none" w:sz="0" w:space="0" w:color="auto"/>
        <w:left w:val="none" w:sz="0" w:space="0" w:color="auto"/>
        <w:bottom w:val="none" w:sz="0" w:space="0" w:color="auto"/>
        <w:right w:val="none" w:sz="0" w:space="0" w:color="auto"/>
      </w:divBdr>
    </w:div>
    <w:div w:id="883441095">
      <w:marLeft w:val="0"/>
      <w:marRight w:val="0"/>
      <w:marTop w:val="0"/>
      <w:marBottom w:val="0"/>
      <w:divBdr>
        <w:top w:val="none" w:sz="0" w:space="0" w:color="auto"/>
        <w:left w:val="none" w:sz="0" w:space="0" w:color="auto"/>
        <w:bottom w:val="none" w:sz="0" w:space="0" w:color="auto"/>
        <w:right w:val="none" w:sz="0" w:space="0" w:color="auto"/>
      </w:divBdr>
    </w:div>
    <w:div w:id="883441096">
      <w:marLeft w:val="0"/>
      <w:marRight w:val="0"/>
      <w:marTop w:val="0"/>
      <w:marBottom w:val="0"/>
      <w:divBdr>
        <w:top w:val="none" w:sz="0" w:space="0" w:color="auto"/>
        <w:left w:val="none" w:sz="0" w:space="0" w:color="auto"/>
        <w:bottom w:val="none" w:sz="0" w:space="0" w:color="auto"/>
        <w:right w:val="none" w:sz="0" w:space="0" w:color="auto"/>
      </w:divBdr>
    </w:div>
    <w:div w:id="883441097">
      <w:marLeft w:val="0"/>
      <w:marRight w:val="0"/>
      <w:marTop w:val="0"/>
      <w:marBottom w:val="0"/>
      <w:divBdr>
        <w:top w:val="none" w:sz="0" w:space="0" w:color="auto"/>
        <w:left w:val="none" w:sz="0" w:space="0" w:color="auto"/>
        <w:bottom w:val="none" w:sz="0" w:space="0" w:color="auto"/>
        <w:right w:val="none" w:sz="0" w:space="0" w:color="auto"/>
      </w:divBdr>
    </w:div>
    <w:div w:id="883441098">
      <w:marLeft w:val="0"/>
      <w:marRight w:val="0"/>
      <w:marTop w:val="0"/>
      <w:marBottom w:val="0"/>
      <w:divBdr>
        <w:top w:val="none" w:sz="0" w:space="0" w:color="auto"/>
        <w:left w:val="none" w:sz="0" w:space="0" w:color="auto"/>
        <w:bottom w:val="none" w:sz="0" w:space="0" w:color="auto"/>
        <w:right w:val="none" w:sz="0" w:space="0" w:color="auto"/>
      </w:divBdr>
    </w:div>
    <w:div w:id="883441099">
      <w:marLeft w:val="0"/>
      <w:marRight w:val="0"/>
      <w:marTop w:val="0"/>
      <w:marBottom w:val="0"/>
      <w:divBdr>
        <w:top w:val="none" w:sz="0" w:space="0" w:color="auto"/>
        <w:left w:val="none" w:sz="0" w:space="0" w:color="auto"/>
        <w:bottom w:val="none" w:sz="0" w:space="0" w:color="auto"/>
        <w:right w:val="none" w:sz="0" w:space="0" w:color="auto"/>
      </w:divBdr>
    </w:div>
    <w:div w:id="883441100">
      <w:marLeft w:val="0"/>
      <w:marRight w:val="0"/>
      <w:marTop w:val="0"/>
      <w:marBottom w:val="0"/>
      <w:divBdr>
        <w:top w:val="none" w:sz="0" w:space="0" w:color="auto"/>
        <w:left w:val="none" w:sz="0" w:space="0" w:color="auto"/>
        <w:bottom w:val="none" w:sz="0" w:space="0" w:color="auto"/>
        <w:right w:val="none" w:sz="0" w:space="0" w:color="auto"/>
      </w:divBdr>
    </w:div>
    <w:div w:id="883441101">
      <w:marLeft w:val="0"/>
      <w:marRight w:val="0"/>
      <w:marTop w:val="0"/>
      <w:marBottom w:val="0"/>
      <w:divBdr>
        <w:top w:val="none" w:sz="0" w:space="0" w:color="auto"/>
        <w:left w:val="none" w:sz="0" w:space="0" w:color="auto"/>
        <w:bottom w:val="none" w:sz="0" w:space="0" w:color="auto"/>
        <w:right w:val="none" w:sz="0" w:space="0" w:color="auto"/>
      </w:divBdr>
    </w:div>
    <w:div w:id="883441102">
      <w:marLeft w:val="0"/>
      <w:marRight w:val="0"/>
      <w:marTop w:val="0"/>
      <w:marBottom w:val="0"/>
      <w:divBdr>
        <w:top w:val="none" w:sz="0" w:space="0" w:color="auto"/>
        <w:left w:val="none" w:sz="0" w:space="0" w:color="auto"/>
        <w:bottom w:val="none" w:sz="0" w:space="0" w:color="auto"/>
        <w:right w:val="none" w:sz="0" w:space="0" w:color="auto"/>
      </w:divBdr>
    </w:div>
    <w:div w:id="883441103">
      <w:marLeft w:val="0"/>
      <w:marRight w:val="0"/>
      <w:marTop w:val="0"/>
      <w:marBottom w:val="0"/>
      <w:divBdr>
        <w:top w:val="none" w:sz="0" w:space="0" w:color="auto"/>
        <w:left w:val="none" w:sz="0" w:space="0" w:color="auto"/>
        <w:bottom w:val="none" w:sz="0" w:space="0" w:color="auto"/>
        <w:right w:val="none" w:sz="0" w:space="0" w:color="auto"/>
      </w:divBdr>
    </w:div>
    <w:div w:id="883441104">
      <w:marLeft w:val="0"/>
      <w:marRight w:val="0"/>
      <w:marTop w:val="0"/>
      <w:marBottom w:val="0"/>
      <w:divBdr>
        <w:top w:val="none" w:sz="0" w:space="0" w:color="auto"/>
        <w:left w:val="none" w:sz="0" w:space="0" w:color="auto"/>
        <w:bottom w:val="none" w:sz="0" w:space="0" w:color="auto"/>
        <w:right w:val="none" w:sz="0" w:space="0" w:color="auto"/>
      </w:divBdr>
    </w:div>
    <w:div w:id="883441105">
      <w:marLeft w:val="0"/>
      <w:marRight w:val="0"/>
      <w:marTop w:val="0"/>
      <w:marBottom w:val="0"/>
      <w:divBdr>
        <w:top w:val="none" w:sz="0" w:space="0" w:color="auto"/>
        <w:left w:val="none" w:sz="0" w:space="0" w:color="auto"/>
        <w:bottom w:val="none" w:sz="0" w:space="0" w:color="auto"/>
        <w:right w:val="none" w:sz="0" w:space="0" w:color="auto"/>
      </w:divBdr>
    </w:div>
    <w:div w:id="883441106">
      <w:marLeft w:val="0"/>
      <w:marRight w:val="0"/>
      <w:marTop w:val="0"/>
      <w:marBottom w:val="0"/>
      <w:divBdr>
        <w:top w:val="none" w:sz="0" w:space="0" w:color="auto"/>
        <w:left w:val="none" w:sz="0" w:space="0" w:color="auto"/>
        <w:bottom w:val="none" w:sz="0" w:space="0" w:color="auto"/>
        <w:right w:val="none" w:sz="0" w:space="0" w:color="auto"/>
      </w:divBdr>
    </w:div>
    <w:div w:id="883441107">
      <w:marLeft w:val="0"/>
      <w:marRight w:val="0"/>
      <w:marTop w:val="0"/>
      <w:marBottom w:val="0"/>
      <w:divBdr>
        <w:top w:val="none" w:sz="0" w:space="0" w:color="auto"/>
        <w:left w:val="none" w:sz="0" w:space="0" w:color="auto"/>
        <w:bottom w:val="none" w:sz="0" w:space="0" w:color="auto"/>
        <w:right w:val="none" w:sz="0" w:space="0" w:color="auto"/>
      </w:divBdr>
    </w:div>
    <w:div w:id="883441108">
      <w:marLeft w:val="0"/>
      <w:marRight w:val="0"/>
      <w:marTop w:val="0"/>
      <w:marBottom w:val="0"/>
      <w:divBdr>
        <w:top w:val="none" w:sz="0" w:space="0" w:color="auto"/>
        <w:left w:val="none" w:sz="0" w:space="0" w:color="auto"/>
        <w:bottom w:val="none" w:sz="0" w:space="0" w:color="auto"/>
        <w:right w:val="none" w:sz="0" w:space="0" w:color="auto"/>
      </w:divBdr>
      <w:divsChild>
        <w:div w:id="883441082">
          <w:marLeft w:val="0"/>
          <w:marRight w:val="0"/>
          <w:marTop w:val="0"/>
          <w:marBottom w:val="0"/>
          <w:divBdr>
            <w:top w:val="none" w:sz="0" w:space="0" w:color="auto"/>
            <w:left w:val="none" w:sz="0" w:space="0" w:color="auto"/>
            <w:bottom w:val="none" w:sz="0" w:space="0" w:color="auto"/>
            <w:right w:val="none" w:sz="0" w:space="0" w:color="auto"/>
          </w:divBdr>
          <w:divsChild>
            <w:div w:id="88344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441109">
      <w:marLeft w:val="0"/>
      <w:marRight w:val="0"/>
      <w:marTop w:val="0"/>
      <w:marBottom w:val="0"/>
      <w:divBdr>
        <w:top w:val="none" w:sz="0" w:space="0" w:color="auto"/>
        <w:left w:val="none" w:sz="0" w:space="0" w:color="auto"/>
        <w:bottom w:val="none" w:sz="0" w:space="0" w:color="auto"/>
        <w:right w:val="none" w:sz="0" w:space="0" w:color="auto"/>
      </w:divBdr>
    </w:div>
    <w:div w:id="883441110">
      <w:marLeft w:val="0"/>
      <w:marRight w:val="0"/>
      <w:marTop w:val="0"/>
      <w:marBottom w:val="0"/>
      <w:divBdr>
        <w:top w:val="none" w:sz="0" w:space="0" w:color="auto"/>
        <w:left w:val="none" w:sz="0" w:space="0" w:color="auto"/>
        <w:bottom w:val="none" w:sz="0" w:space="0" w:color="auto"/>
        <w:right w:val="none" w:sz="0" w:space="0" w:color="auto"/>
      </w:divBdr>
    </w:div>
    <w:div w:id="883441111">
      <w:marLeft w:val="0"/>
      <w:marRight w:val="0"/>
      <w:marTop w:val="0"/>
      <w:marBottom w:val="0"/>
      <w:divBdr>
        <w:top w:val="none" w:sz="0" w:space="0" w:color="auto"/>
        <w:left w:val="none" w:sz="0" w:space="0" w:color="auto"/>
        <w:bottom w:val="none" w:sz="0" w:space="0" w:color="auto"/>
        <w:right w:val="none" w:sz="0" w:space="0" w:color="auto"/>
      </w:divBdr>
    </w:div>
    <w:div w:id="883441112">
      <w:marLeft w:val="0"/>
      <w:marRight w:val="0"/>
      <w:marTop w:val="0"/>
      <w:marBottom w:val="0"/>
      <w:divBdr>
        <w:top w:val="none" w:sz="0" w:space="0" w:color="auto"/>
        <w:left w:val="none" w:sz="0" w:space="0" w:color="auto"/>
        <w:bottom w:val="none" w:sz="0" w:space="0" w:color="auto"/>
        <w:right w:val="none" w:sz="0" w:space="0" w:color="auto"/>
      </w:divBdr>
    </w:div>
    <w:div w:id="883441113">
      <w:marLeft w:val="0"/>
      <w:marRight w:val="0"/>
      <w:marTop w:val="0"/>
      <w:marBottom w:val="0"/>
      <w:divBdr>
        <w:top w:val="none" w:sz="0" w:space="0" w:color="auto"/>
        <w:left w:val="none" w:sz="0" w:space="0" w:color="auto"/>
        <w:bottom w:val="none" w:sz="0" w:space="0" w:color="auto"/>
        <w:right w:val="none" w:sz="0" w:space="0" w:color="auto"/>
      </w:divBdr>
    </w:div>
    <w:div w:id="883441114">
      <w:marLeft w:val="0"/>
      <w:marRight w:val="0"/>
      <w:marTop w:val="0"/>
      <w:marBottom w:val="0"/>
      <w:divBdr>
        <w:top w:val="none" w:sz="0" w:space="0" w:color="auto"/>
        <w:left w:val="none" w:sz="0" w:space="0" w:color="auto"/>
        <w:bottom w:val="none" w:sz="0" w:space="0" w:color="auto"/>
        <w:right w:val="none" w:sz="0" w:space="0" w:color="auto"/>
      </w:divBdr>
    </w:div>
    <w:div w:id="883441115">
      <w:marLeft w:val="0"/>
      <w:marRight w:val="0"/>
      <w:marTop w:val="0"/>
      <w:marBottom w:val="0"/>
      <w:divBdr>
        <w:top w:val="none" w:sz="0" w:space="0" w:color="auto"/>
        <w:left w:val="none" w:sz="0" w:space="0" w:color="auto"/>
        <w:bottom w:val="none" w:sz="0" w:space="0" w:color="auto"/>
        <w:right w:val="none" w:sz="0" w:space="0" w:color="auto"/>
      </w:divBdr>
    </w:div>
    <w:div w:id="883441116">
      <w:marLeft w:val="0"/>
      <w:marRight w:val="0"/>
      <w:marTop w:val="0"/>
      <w:marBottom w:val="0"/>
      <w:divBdr>
        <w:top w:val="none" w:sz="0" w:space="0" w:color="auto"/>
        <w:left w:val="none" w:sz="0" w:space="0" w:color="auto"/>
        <w:bottom w:val="none" w:sz="0" w:space="0" w:color="auto"/>
        <w:right w:val="none" w:sz="0" w:space="0" w:color="auto"/>
      </w:divBdr>
    </w:div>
    <w:div w:id="883441117">
      <w:marLeft w:val="0"/>
      <w:marRight w:val="0"/>
      <w:marTop w:val="0"/>
      <w:marBottom w:val="0"/>
      <w:divBdr>
        <w:top w:val="none" w:sz="0" w:space="0" w:color="auto"/>
        <w:left w:val="none" w:sz="0" w:space="0" w:color="auto"/>
        <w:bottom w:val="none" w:sz="0" w:space="0" w:color="auto"/>
        <w:right w:val="none" w:sz="0" w:space="0" w:color="auto"/>
      </w:divBdr>
    </w:div>
    <w:div w:id="883441118">
      <w:marLeft w:val="0"/>
      <w:marRight w:val="0"/>
      <w:marTop w:val="0"/>
      <w:marBottom w:val="0"/>
      <w:divBdr>
        <w:top w:val="none" w:sz="0" w:space="0" w:color="auto"/>
        <w:left w:val="none" w:sz="0" w:space="0" w:color="auto"/>
        <w:bottom w:val="none" w:sz="0" w:space="0" w:color="auto"/>
        <w:right w:val="none" w:sz="0" w:space="0" w:color="auto"/>
      </w:divBdr>
    </w:div>
    <w:div w:id="883441119">
      <w:marLeft w:val="0"/>
      <w:marRight w:val="0"/>
      <w:marTop w:val="0"/>
      <w:marBottom w:val="0"/>
      <w:divBdr>
        <w:top w:val="none" w:sz="0" w:space="0" w:color="auto"/>
        <w:left w:val="none" w:sz="0" w:space="0" w:color="auto"/>
        <w:bottom w:val="none" w:sz="0" w:space="0" w:color="auto"/>
        <w:right w:val="none" w:sz="0" w:space="0" w:color="auto"/>
      </w:divBdr>
    </w:div>
    <w:div w:id="883441120">
      <w:marLeft w:val="0"/>
      <w:marRight w:val="0"/>
      <w:marTop w:val="0"/>
      <w:marBottom w:val="0"/>
      <w:divBdr>
        <w:top w:val="none" w:sz="0" w:space="0" w:color="auto"/>
        <w:left w:val="none" w:sz="0" w:space="0" w:color="auto"/>
        <w:bottom w:val="none" w:sz="0" w:space="0" w:color="auto"/>
        <w:right w:val="none" w:sz="0" w:space="0" w:color="auto"/>
      </w:divBdr>
    </w:div>
    <w:div w:id="883441121">
      <w:marLeft w:val="0"/>
      <w:marRight w:val="0"/>
      <w:marTop w:val="0"/>
      <w:marBottom w:val="0"/>
      <w:divBdr>
        <w:top w:val="none" w:sz="0" w:space="0" w:color="auto"/>
        <w:left w:val="none" w:sz="0" w:space="0" w:color="auto"/>
        <w:bottom w:val="none" w:sz="0" w:space="0" w:color="auto"/>
        <w:right w:val="none" w:sz="0" w:space="0" w:color="auto"/>
      </w:divBdr>
    </w:div>
    <w:div w:id="883441122">
      <w:marLeft w:val="0"/>
      <w:marRight w:val="0"/>
      <w:marTop w:val="0"/>
      <w:marBottom w:val="0"/>
      <w:divBdr>
        <w:top w:val="none" w:sz="0" w:space="0" w:color="auto"/>
        <w:left w:val="none" w:sz="0" w:space="0" w:color="auto"/>
        <w:bottom w:val="none" w:sz="0" w:space="0" w:color="auto"/>
        <w:right w:val="none" w:sz="0" w:space="0" w:color="auto"/>
      </w:divBdr>
    </w:div>
    <w:div w:id="883441124">
      <w:marLeft w:val="0"/>
      <w:marRight w:val="0"/>
      <w:marTop w:val="0"/>
      <w:marBottom w:val="0"/>
      <w:divBdr>
        <w:top w:val="none" w:sz="0" w:space="0" w:color="auto"/>
        <w:left w:val="none" w:sz="0" w:space="0" w:color="auto"/>
        <w:bottom w:val="none" w:sz="0" w:space="0" w:color="auto"/>
        <w:right w:val="none" w:sz="0" w:space="0" w:color="auto"/>
      </w:divBdr>
    </w:div>
    <w:div w:id="883441125">
      <w:marLeft w:val="0"/>
      <w:marRight w:val="0"/>
      <w:marTop w:val="0"/>
      <w:marBottom w:val="0"/>
      <w:divBdr>
        <w:top w:val="none" w:sz="0" w:space="0" w:color="auto"/>
        <w:left w:val="none" w:sz="0" w:space="0" w:color="auto"/>
        <w:bottom w:val="none" w:sz="0" w:space="0" w:color="auto"/>
        <w:right w:val="none" w:sz="0" w:space="0" w:color="auto"/>
      </w:divBdr>
    </w:div>
    <w:div w:id="883441126">
      <w:marLeft w:val="0"/>
      <w:marRight w:val="0"/>
      <w:marTop w:val="0"/>
      <w:marBottom w:val="0"/>
      <w:divBdr>
        <w:top w:val="none" w:sz="0" w:space="0" w:color="auto"/>
        <w:left w:val="none" w:sz="0" w:space="0" w:color="auto"/>
        <w:bottom w:val="none" w:sz="0" w:space="0" w:color="auto"/>
        <w:right w:val="none" w:sz="0" w:space="0" w:color="auto"/>
      </w:divBdr>
    </w:div>
    <w:div w:id="883441127">
      <w:marLeft w:val="0"/>
      <w:marRight w:val="0"/>
      <w:marTop w:val="0"/>
      <w:marBottom w:val="0"/>
      <w:divBdr>
        <w:top w:val="none" w:sz="0" w:space="0" w:color="auto"/>
        <w:left w:val="none" w:sz="0" w:space="0" w:color="auto"/>
        <w:bottom w:val="none" w:sz="0" w:space="0" w:color="auto"/>
        <w:right w:val="none" w:sz="0" w:space="0" w:color="auto"/>
      </w:divBdr>
    </w:div>
    <w:div w:id="883441129">
      <w:marLeft w:val="0"/>
      <w:marRight w:val="0"/>
      <w:marTop w:val="0"/>
      <w:marBottom w:val="0"/>
      <w:divBdr>
        <w:top w:val="none" w:sz="0" w:space="0" w:color="auto"/>
        <w:left w:val="none" w:sz="0" w:space="0" w:color="auto"/>
        <w:bottom w:val="none" w:sz="0" w:space="0" w:color="auto"/>
        <w:right w:val="none" w:sz="0" w:space="0" w:color="auto"/>
      </w:divBdr>
    </w:div>
    <w:div w:id="883441130">
      <w:marLeft w:val="0"/>
      <w:marRight w:val="0"/>
      <w:marTop w:val="0"/>
      <w:marBottom w:val="0"/>
      <w:divBdr>
        <w:top w:val="none" w:sz="0" w:space="0" w:color="auto"/>
        <w:left w:val="none" w:sz="0" w:space="0" w:color="auto"/>
        <w:bottom w:val="none" w:sz="0" w:space="0" w:color="auto"/>
        <w:right w:val="none" w:sz="0" w:space="0" w:color="auto"/>
      </w:divBdr>
    </w:div>
    <w:div w:id="883441131">
      <w:marLeft w:val="0"/>
      <w:marRight w:val="0"/>
      <w:marTop w:val="0"/>
      <w:marBottom w:val="0"/>
      <w:divBdr>
        <w:top w:val="none" w:sz="0" w:space="0" w:color="auto"/>
        <w:left w:val="none" w:sz="0" w:space="0" w:color="auto"/>
        <w:bottom w:val="none" w:sz="0" w:space="0" w:color="auto"/>
        <w:right w:val="none" w:sz="0" w:space="0" w:color="auto"/>
      </w:divBdr>
    </w:div>
    <w:div w:id="883441132">
      <w:marLeft w:val="0"/>
      <w:marRight w:val="0"/>
      <w:marTop w:val="0"/>
      <w:marBottom w:val="0"/>
      <w:divBdr>
        <w:top w:val="none" w:sz="0" w:space="0" w:color="auto"/>
        <w:left w:val="none" w:sz="0" w:space="0" w:color="auto"/>
        <w:bottom w:val="none" w:sz="0" w:space="0" w:color="auto"/>
        <w:right w:val="none" w:sz="0" w:space="0" w:color="auto"/>
      </w:divBdr>
    </w:div>
    <w:div w:id="883441133">
      <w:marLeft w:val="0"/>
      <w:marRight w:val="0"/>
      <w:marTop w:val="0"/>
      <w:marBottom w:val="0"/>
      <w:divBdr>
        <w:top w:val="none" w:sz="0" w:space="0" w:color="auto"/>
        <w:left w:val="none" w:sz="0" w:space="0" w:color="auto"/>
        <w:bottom w:val="none" w:sz="0" w:space="0" w:color="auto"/>
        <w:right w:val="none" w:sz="0" w:space="0" w:color="auto"/>
      </w:divBdr>
    </w:div>
    <w:div w:id="883441134">
      <w:marLeft w:val="0"/>
      <w:marRight w:val="0"/>
      <w:marTop w:val="0"/>
      <w:marBottom w:val="0"/>
      <w:divBdr>
        <w:top w:val="none" w:sz="0" w:space="0" w:color="auto"/>
        <w:left w:val="none" w:sz="0" w:space="0" w:color="auto"/>
        <w:bottom w:val="none" w:sz="0" w:space="0" w:color="auto"/>
        <w:right w:val="none" w:sz="0" w:space="0" w:color="auto"/>
      </w:divBdr>
    </w:div>
    <w:div w:id="883441135">
      <w:marLeft w:val="0"/>
      <w:marRight w:val="0"/>
      <w:marTop w:val="0"/>
      <w:marBottom w:val="0"/>
      <w:divBdr>
        <w:top w:val="none" w:sz="0" w:space="0" w:color="auto"/>
        <w:left w:val="none" w:sz="0" w:space="0" w:color="auto"/>
        <w:bottom w:val="none" w:sz="0" w:space="0" w:color="auto"/>
        <w:right w:val="none" w:sz="0" w:space="0" w:color="auto"/>
      </w:divBdr>
    </w:div>
    <w:div w:id="883441136">
      <w:marLeft w:val="0"/>
      <w:marRight w:val="0"/>
      <w:marTop w:val="0"/>
      <w:marBottom w:val="0"/>
      <w:divBdr>
        <w:top w:val="none" w:sz="0" w:space="0" w:color="auto"/>
        <w:left w:val="none" w:sz="0" w:space="0" w:color="auto"/>
        <w:bottom w:val="none" w:sz="0" w:space="0" w:color="auto"/>
        <w:right w:val="none" w:sz="0" w:space="0" w:color="auto"/>
      </w:divBdr>
    </w:div>
    <w:div w:id="883441137">
      <w:marLeft w:val="0"/>
      <w:marRight w:val="0"/>
      <w:marTop w:val="0"/>
      <w:marBottom w:val="0"/>
      <w:divBdr>
        <w:top w:val="none" w:sz="0" w:space="0" w:color="auto"/>
        <w:left w:val="none" w:sz="0" w:space="0" w:color="auto"/>
        <w:bottom w:val="none" w:sz="0" w:space="0" w:color="auto"/>
        <w:right w:val="none" w:sz="0" w:space="0" w:color="auto"/>
      </w:divBdr>
    </w:div>
    <w:div w:id="883441138">
      <w:marLeft w:val="0"/>
      <w:marRight w:val="0"/>
      <w:marTop w:val="0"/>
      <w:marBottom w:val="0"/>
      <w:divBdr>
        <w:top w:val="none" w:sz="0" w:space="0" w:color="auto"/>
        <w:left w:val="none" w:sz="0" w:space="0" w:color="auto"/>
        <w:bottom w:val="none" w:sz="0" w:space="0" w:color="auto"/>
        <w:right w:val="none" w:sz="0" w:space="0" w:color="auto"/>
      </w:divBdr>
    </w:div>
    <w:div w:id="883441139">
      <w:marLeft w:val="0"/>
      <w:marRight w:val="0"/>
      <w:marTop w:val="0"/>
      <w:marBottom w:val="0"/>
      <w:divBdr>
        <w:top w:val="none" w:sz="0" w:space="0" w:color="auto"/>
        <w:left w:val="none" w:sz="0" w:space="0" w:color="auto"/>
        <w:bottom w:val="none" w:sz="0" w:space="0" w:color="auto"/>
        <w:right w:val="none" w:sz="0" w:space="0" w:color="auto"/>
      </w:divBdr>
    </w:div>
    <w:div w:id="883441140">
      <w:marLeft w:val="0"/>
      <w:marRight w:val="0"/>
      <w:marTop w:val="0"/>
      <w:marBottom w:val="0"/>
      <w:divBdr>
        <w:top w:val="none" w:sz="0" w:space="0" w:color="auto"/>
        <w:left w:val="none" w:sz="0" w:space="0" w:color="auto"/>
        <w:bottom w:val="none" w:sz="0" w:space="0" w:color="auto"/>
        <w:right w:val="none" w:sz="0" w:space="0" w:color="auto"/>
      </w:divBdr>
    </w:div>
    <w:div w:id="883441141">
      <w:marLeft w:val="0"/>
      <w:marRight w:val="0"/>
      <w:marTop w:val="0"/>
      <w:marBottom w:val="0"/>
      <w:divBdr>
        <w:top w:val="none" w:sz="0" w:space="0" w:color="auto"/>
        <w:left w:val="none" w:sz="0" w:space="0" w:color="auto"/>
        <w:bottom w:val="none" w:sz="0" w:space="0" w:color="auto"/>
        <w:right w:val="none" w:sz="0" w:space="0" w:color="auto"/>
      </w:divBdr>
    </w:div>
    <w:div w:id="883441142">
      <w:marLeft w:val="0"/>
      <w:marRight w:val="0"/>
      <w:marTop w:val="0"/>
      <w:marBottom w:val="0"/>
      <w:divBdr>
        <w:top w:val="none" w:sz="0" w:space="0" w:color="auto"/>
        <w:left w:val="none" w:sz="0" w:space="0" w:color="auto"/>
        <w:bottom w:val="none" w:sz="0" w:space="0" w:color="auto"/>
        <w:right w:val="none" w:sz="0" w:space="0" w:color="auto"/>
      </w:divBdr>
    </w:div>
    <w:div w:id="883441143">
      <w:marLeft w:val="0"/>
      <w:marRight w:val="0"/>
      <w:marTop w:val="0"/>
      <w:marBottom w:val="0"/>
      <w:divBdr>
        <w:top w:val="none" w:sz="0" w:space="0" w:color="auto"/>
        <w:left w:val="none" w:sz="0" w:space="0" w:color="auto"/>
        <w:bottom w:val="none" w:sz="0" w:space="0" w:color="auto"/>
        <w:right w:val="none" w:sz="0" w:space="0" w:color="auto"/>
      </w:divBdr>
    </w:div>
    <w:div w:id="883441144">
      <w:marLeft w:val="0"/>
      <w:marRight w:val="0"/>
      <w:marTop w:val="0"/>
      <w:marBottom w:val="0"/>
      <w:divBdr>
        <w:top w:val="none" w:sz="0" w:space="0" w:color="auto"/>
        <w:left w:val="none" w:sz="0" w:space="0" w:color="auto"/>
        <w:bottom w:val="none" w:sz="0" w:space="0" w:color="auto"/>
        <w:right w:val="none" w:sz="0" w:space="0" w:color="auto"/>
      </w:divBdr>
    </w:div>
    <w:div w:id="883441145">
      <w:marLeft w:val="0"/>
      <w:marRight w:val="0"/>
      <w:marTop w:val="0"/>
      <w:marBottom w:val="0"/>
      <w:divBdr>
        <w:top w:val="none" w:sz="0" w:space="0" w:color="auto"/>
        <w:left w:val="none" w:sz="0" w:space="0" w:color="auto"/>
        <w:bottom w:val="none" w:sz="0" w:space="0" w:color="auto"/>
        <w:right w:val="none" w:sz="0" w:space="0" w:color="auto"/>
      </w:divBdr>
    </w:div>
    <w:div w:id="883441146">
      <w:marLeft w:val="0"/>
      <w:marRight w:val="0"/>
      <w:marTop w:val="0"/>
      <w:marBottom w:val="0"/>
      <w:divBdr>
        <w:top w:val="none" w:sz="0" w:space="0" w:color="auto"/>
        <w:left w:val="none" w:sz="0" w:space="0" w:color="auto"/>
        <w:bottom w:val="none" w:sz="0" w:space="0" w:color="auto"/>
        <w:right w:val="none" w:sz="0" w:space="0" w:color="auto"/>
      </w:divBdr>
    </w:div>
    <w:div w:id="883441147">
      <w:marLeft w:val="0"/>
      <w:marRight w:val="0"/>
      <w:marTop w:val="0"/>
      <w:marBottom w:val="0"/>
      <w:divBdr>
        <w:top w:val="none" w:sz="0" w:space="0" w:color="auto"/>
        <w:left w:val="none" w:sz="0" w:space="0" w:color="auto"/>
        <w:bottom w:val="none" w:sz="0" w:space="0" w:color="auto"/>
        <w:right w:val="none" w:sz="0" w:space="0" w:color="auto"/>
      </w:divBdr>
    </w:div>
    <w:div w:id="883441148">
      <w:marLeft w:val="0"/>
      <w:marRight w:val="0"/>
      <w:marTop w:val="0"/>
      <w:marBottom w:val="0"/>
      <w:divBdr>
        <w:top w:val="none" w:sz="0" w:space="0" w:color="auto"/>
        <w:left w:val="none" w:sz="0" w:space="0" w:color="auto"/>
        <w:bottom w:val="none" w:sz="0" w:space="0" w:color="auto"/>
        <w:right w:val="none" w:sz="0" w:space="0" w:color="auto"/>
      </w:divBdr>
    </w:div>
    <w:div w:id="883441149">
      <w:marLeft w:val="0"/>
      <w:marRight w:val="0"/>
      <w:marTop w:val="0"/>
      <w:marBottom w:val="0"/>
      <w:divBdr>
        <w:top w:val="none" w:sz="0" w:space="0" w:color="auto"/>
        <w:left w:val="none" w:sz="0" w:space="0" w:color="auto"/>
        <w:bottom w:val="none" w:sz="0" w:space="0" w:color="auto"/>
        <w:right w:val="none" w:sz="0" w:space="0" w:color="auto"/>
      </w:divBdr>
    </w:div>
    <w:div w:id="883441150">
      <w:marLeft w:val="0"/>
      <w:marRight w:val="0"/>
      <w:marTop w:val="0"/>
      <w:marBottom w:val="0"/>
      <w:divBdr>
        <w:top w:val="none" w:sz="0" w:space="0" w:color="auto"/>
        <w:left w:val="none" w:sz="0" w:space="0" w:color="auto"/>
        <w:bottom w:val="none" w:sz="0" w:space="0" w:color="auto"/>
        <w:right w:val="none" w:sz="0" w:space="0" w:color="auto"/>
      </w:divBdr>
    </w:div>
    <w:div w:id="883441151">
      <w:marLeft w:val="0"/>
      <w:marRight w:val="0"/>
      <w:marTop w:val="0"/>
      <w:marBottom w:val="0"/>
      <w:divBdr>
        <w:top w:val="none" w:sz="0" w:space="0" w:color="auto"/>
        <w:left w:val="none" w:sz="0" w:space="0" w:color="auto"/>
        <w:bottom w:val="none" w:sz="0" w:space="0" w:color="auto"/>
        <w:right w:val="none" w:sz="0" w:space="0" w:color="auto"/>
      </w:divBdr>
    </w:div>
    <w:div w:id="883441152">
      <w:marLeft w:val="0"/>
      <w:marRight w:val="0"/>
      <w:marTop w:val="0"/>
      <w:marBottom w:val="0"/>
      <w:divBdr>
        <w:top w:val="none" w:sz="0" w:space="0" w:color="auto"/>
        <w:left w:val="none" w:sz="0" w:space="0" w:color="auto"/>
        <w:bottom w:val="none" w:sz="0" w:space="0" w:color="auto"/>
        <w:right w:val="none" w:sz="0" w:space="0" w:color="auto"/>
      </w:divBdr>
    </w:div>
    <w:div w:id="883441153">
      <w:marLeft w:val="0"/>
      <w:marRight w:val="0"/>
      <w:marTop w:val="0"/>
      <w:marBottom w:val="0"/>
      <w:divBdr>
        <w:top w:val="none" w:sz="0" w:space="0" w:color="auto"/>
        <w:left w:val="none" w:sz="0" w:space="0" w:color="auto"/>
        <w:bottom w:val="none" w:sz="0" w:space="0" w:color="auto"/>
        <w:right w:val="none" w:sz="0" w:space="0" w:color="auto"/>
      </w:divBdr>
    </w:div>
    <w:div w:id="883441154">
      <w:marLeft w:val="0"/>
      <w:marRight w:val="0"/>
      <w:marTop w:val="0"/>
      <w:marBottom w:val="0"/>
      <w:divBdr>
        <w:top w:val="none" w:sz="0" w:space="0" w:color="auto"/>
        <w:left w:val="none" w:sz="0" w:space="0" w:color="auto"/>
        <w:bottom w:val="none" w:sz="0" w:space="0" w:color="auto"/>
        <w:right w:val="none" w:sz="0" w:space="0" w:color="auto"/>
      </w:divBdr>
    </w:div>
    <w:div w:id="883441155">
      <w:marLeft w:val="0"/>
      <w:marRight w:val="0"/>
      <w:marTop w:val="0"/>
      <w:marBottom w:val="0"/>
      <w:divBdr>
        <w:top w:val="none" w:sz="0" w:space="0" w:color="auto"/>
        <w:left w:val="none" w:sz="0" w:space="0" w:color="auto"/>
        <w:bottom w:val="none" w:sz="0" w:space="0" w:color="auto"/>
        <w:right w:val="none" w:sz="0" w:space="0" w:color="auto"/>
      </w:divBdr>
    </w:div>
    <w:div w:id="883441156">
      <w:marLeft w:val="0"/>
      <w:marRight w:val="0"/>
      <w:marTop w:val="0"/>
      <w:marBottom w:val="0"/>
      <w:divBdr>
        <w:top w:val="none" w:sz="0" w:space="0" w:color="auto"/>
        <w:left w:val="none" w:sz="0" w:space="0" w:color="auto"/>
        <w:bottom w:val="none" w:sz="0" w:space="0" w:color="auto"/>
        <w:right w:val="none" w:sz="0" w:space="0" w:color="auto"/>
      </w:divBdr>
    </w:div>
    <w:div w:id="883441157">
      <w:marLeft w:val="0"/>
      <w:marRight w:val="0"/>
      <w:marTop w:val="0"/>
      <w:marBottom w:val="0"/>
      <w:divBdr>
        <w:top w:val="none" w:sz="0" w:space="0" w:color="auto"/>
        <w:left w:val="none" w:sz="0" w:space="0" w:color="auto"/>
        <w:bottom w:val="none" w:sz="0" w:space="0" w:color="auto"/>
        <w:right w:val="none" w:sz="0" w:space="0" w:color="auto"/>
      </w:divBdr>
    </w:div>
    <w:div w:id="883441158">
      <w:marLeft w:val="0"/>
      <w:marRight w:val="0"/>
      <w:marTop w:val="0"/>
      <w:marBottom w:val="0"/>
      <w:divBdr>
        <w:top w:val="none" w:sz="0" w:space="0" w:color="auto"/>
        <w:left w:val="none" w:sz="0" w:space="0" w:color="auto"/>
        <w:bottom w:val="none" w:sz="0" w:space="0" w:color="auto"/>
        <w:right w:val="none" w:sz="0" w:space="0" w:color="auto"/>
      </w:divBdr>
    </w:div>
    <w:div w:id="883441159">
      <w:marLeft w:val="0"/>
      <w:marRight w:val="0"/>
      <w:marTop w:val="0"/>
      <w:marBottom w:val="0"/>
      <w:divBdr>
        <w:top w:val="none" w:sz="0" w:space="0" w:color="auto"/>
        <w:left w:val="none" w:sz="0" w:space="0" w:color="auto"/>
        <w:bottom w:val="none" w:sz="0" w:space="0" w:color="auto"/>
        <w:right w:val="none" w:sz="0" w:space="0" w:color="auto"/>
      </w:divBdr>
    </w:div>
    <w:div w:id="883441160">
      <w:marLeft w:val="0"/>
      <w:marRight w:val="0"/>
      <w:marTop w:val="0"/>
      <w:marBottom w:val="0"/>
      <w:divBdr>
        <w:top w:val="none" w:sz="0" w:space="0" w:color="auto"/>
        <w:left w:val="none" w:sz="0" w:space="0" w:color="auto"/>
        <w:bottom w:val="none" w:sz="0" w:space="0" w:color="auto"/>
        <w:right w:val="none" w:sz="0" w:space="0" w:color="auto"/>
      </w:divBdr>
    </w:div>
    <w:div w:id="883441161">
      <w:marLeft w:val="0"/>
      <w:marRight w:val="0"/>
      <w:marTop w:val="0"/>
      <w:marBottom w:val="0"/>
      <w:divBdr>
        <w:top w:val="none" w:sz="0" w:space="0" w:color="auto"/>
        <w:left w:val="none" w:sz="0" w:space="0" w:color="auto"/>
        <w:bottom w:val="none" w:sz="0" w:space="0" w:color="auto"/>
        <w:right w:val="none" w:sz="0" w:space="0" w:color="auto"/>
      </w:divBdr>
    </w:div>
    <w:div w:id="883441162">
      <w:marLeft w:val="0"/>
      <w:marRight w:val="0"/>
      <w:marTop w:val="0"/>
      <w:marBottom w:val="0"/>
      <w:divBdr>
        <w:top w:val="none" w:sz="0" w:space="0" w:color="auto"/>
        <w:left w:val="none" w:sz="0" w:space="0" w:color="auto"/>
        <w:bottom w:val="none" w:sz="0" w:space="0" w:color="auto"/>
        <w:right w:val="none" w:sz="0" w:space="0" w:color="auto"/>
      </w:divBdr>
    </w:div>
    <w:div w:id="883441163">
      <w:marLeft w:val="0"/>
      <w:marRight w:val="0"/>
      <w:marTop w:val="0"/>
      <w:marBottom w:val="0"/>
      <w:divBdr>
        <w:top w:val="none" w:sz="0" w:space="0" w:color="auto"/>
        <w:left w:val="none" w:sz="0" w:space="0" w:color="auto"/>
        <w:bottom w:val="none" w:sz="0" w:space="0" w:color="auto"/>
        <w:right w:val="none" w:sz="0" w:space="0" w:color="auto"/>
      </w:divBdr>
    </w:div>
    <w:div w:id="883441164">
      <w:marLeft w:val="0"/>
      <w:marRight w:val="0"/>
      <w:marTop w:val="0"/>
      <w:marBottom w:val="0"/>
      <w:divBdr>
        <w:top w:val="none" w:sz="0" w:space="0" w:color="auto"/>
        <w:left w:val="none" w:sz="0" w:space="0" w:color="auto"/>
        <w:bottom w:val="none" w:sz="0" w:space="0" w:color="auto"/>
        <w:right w:val="none" w:sz="0" w:space="0" w:color="auto"/>
      </w:divBdr>
    </w:div>
    <w:div w:id="883441165">
      <w:marLeft w:val="0"/>
      <w:marRight w:val="0"/>
      <w:marTop w:val="0"/>
      <w:marBottom w:val="0"/>
      <w:divBdr>
        <w:top w:val="none" w:sz="0" w:space="0" w:color="auto"/>
        <w:left w:val="none" w:sz="0" w:space="0" w:color="auto"/>
        <w:bottom w:val="none" w:sz="0" w:space="0" w:color="auto"/>
        <w:right w:val="none" w:sz="0" w:space="0" w:color="auto"/>
      </w:divBdr>
    </w:div>
    <w:div w:id="883441166">
      <w:marLeft w:val="0"/>
      <w:marRight w:val="0"/>
      <w:marTop w:val="0"/>
      <w:marBottom w:val="0"/>
      <w:divBdr>
        <w:top w:val="none" w:sz="0" w:space="0" w:color="auto"/>
        <w:left w:val="none" w:sz="0" w:space="0" w:color="auto"/>
        <w:bottom w:val="none" w:sz="0" w:space="0" w:color="auto"/>
        <w:right w:val="none" w:sz="0" w:space="0" w:color="auto"/>
      </w:divBdr>
    </w:div>
    <w:div w:id="883441167">
      <w:marLeft w:val="0"/>
      <w:marRight w:val="0"/>
      <w:marTop w:val="0"/>
      <w:marBottom w:val="0"/>
      <w:divBdr>
        <w:top w:val="none" w:sz="0" w:space="0" w:color="auto"/>
        <w:left w:val="none" w:sz="0" w:space="0" w:color="auto"/>
        <w:bottom w:val="none" w:sz="0" w:space="0" w:color="auto"/>
        <w:right w:val="none" w:sz="0" w:space="0" w:color="auto"/>
      </w:divBdr>
    </w:div>
    <w:div w:id="883441168">
      <w:marLeft w:val="0"/>
      <w:marRight w:val="0"/>
      <w:marTop w:val="0"/>
      <w:marBottom w:val="0"/>
      <w:divBdr>
        <w:top w:val="none" w:sz="0" w:space="0" w:color="auto"/>
        <w:left w:val="none" w:sz="0" w:space="0" w:color="auto"/>
        <w:bottom w:val="none" w:sz="0" w:space="0" w:color="auto"/>
        <w:right w:val="none" w:sz="0" w:space="0" w:color="auto"/>
      </w:divBdr>
    </w:div>
    <w:div w:id="883441169">
      <w:marLeft w:val="0"/>
      <w:marRight w:val="0"/>
      <w:marTop w:val="0"/>
      <w:marBottom w:val="0"/>
      <w:divBdr>
        <w:top w:val="none" w:sz="0" w:space="0" w:color="auto"/>
        <w:left w:val="none" w:sz="0" w:space="0" w:color="auto"/>
        <w:bottom w:val="none" w:sz="0" w:space="0" w:color="auto"/>
        <w:right w:val="none" w:sz="0" w:space="0" w:color="auto"/>
      </w:divBdr>
    </w:div>
    <w:div w:id="883441170">
      <w:marLeft w:val="0"/>
      <w:marRight w:val="0"/>
      <w:marTop w:val="0"/>
      <w:marBottom w:val="0"/>
      <w:divBdr>
        <w:top w:val="none" w:sz="0" w:space="0" w:color="auto"/>
        <w:left w:val="none" w:sz="0" w:space="0" w:color="auto"/>
        <w:bottom w:val="none" w:sz="0" w:space="0" w:color="auto"/>
        <w:right w:val="none" w:sz="0" w:space="0" w:color="auto"/>
      </w:divBdr>
    </w:div>
    <w:div w:id="883441171">
      <w:marLeft w:val="0"/>
      <w:marRight w:val="0"/>
      <w:marTop w:val="0"/>
      <w:marBottom w:val="0"/>
      <w:divBdr>
        <w:top w:val="none" w:sz="0" w:space="0" w:color="auto"/>
        <w:left w:val="none" w:sz="0" w:space="0" w:color="auto"/>
        <w:bottom w:val="none" w:sz="0" w:space="0" w:color="auto"/>
        <w:right w:val="none" w:sz="0" w:space="0" w:color="auto"/>
      </w:divBdr>
    </w:div>
    <w:div w:id="883441172">
      <w:marLeft w:val="0"/>
      <w:marRight w:val="0"/>
      <w:marTop w:val="0"/>
      <w:marBottom w:val="0"/>
      <w:divBdr>
        <w:top w:val="none" w:sz="0" w:space="0" w:color="auto"/>
        <w:left w:val="none" w:sz="0" w:space="0" w:color="auto"/>
        <w:bottom w:val="none" w:sz="0" w:space="0" w:color="auto"/>
        <w:right w:val="none" w:sz="0" w:space="0" w:color="auto"/>
      </w:divBdr>
    </w:div>
    <w:div w:id="883441173">
      <w:marLeft w:val="0"/>
      <w:marRight w:val="0"/>
      <w:marTop w:val="0"/>
      <w:marBottom w:val="0"/>
      <w:divBdr>
        <w:top w:val="none" w:sz="0" w:space="0" w:color="auto"/>
        <w:left w:val="none" w:sz="0" w:space="0" w:color="auto"/>
        <w:bottom w:val="none" w:sz="0" w:space="0" w:color="auto"/>
        <w:right w:val="none" w:sz="0" w:space="0" w:color="auto"/>
      </w:divBdr>
    </w:div>
    <w:div w:id="883441174">
      <w:marLeft w:val="0"/>
      <w:marRight w:val="0"/>
      <w:marTop w:val="0"/>
      <w:marBottom w:val="0"/>
      <w:divBdr>
        <w:top w:val="none" w:sz="0" w:space="0" w:color="auto"/>
        <w:left w:val="none" w:sz="0" w:space="0" w:color="auto"/>
        <w:bottom w:val="none" w:sz="0" w:space="0" w:color="auto"/>
        <w:right w:val="none" w:sz="0" w:space="0" w:color="auto"/>
      </w:divBdr>
    </w:div>
    <w:div w:id="883441175">
      <w:marLeft w:val="0"/>
      <w:marRight w:val="0"/>
      <w:marTop w:val="0"/>
      <w:marBottom w:val="0"/>
      <w:divBdr>
        <w:top w:val="none" w:sz="0" w:space="0" w:color="auto"/>
        <w:left w:val="none" w:sz="0" w:space="0" w:color="auto"/>
        <w:bottom w:val="none" w:sz="0" w:space="0" w:color="auto"/>
        <w:right w:val="none" w:sz="0" w:space="0" w:color="auto"/>
      </w:divBdr>
    </w:div>
    <w:div w:id="883441176">
      <w:marLeft w:val="0"/>
      <w:marRight w:val="0"/>
      <w:marTop w:val="0"/>
      <w:marBottom w:val="0"/>
      <w:divBdr>
        <w:top w:val="none" w:sz="0" w:space="0" w:color="auto"/>
        <w:left w:val="none" w:sz="0" w:space="0" w:color="auto"/>
        <w:bottom w:val="none" w:sz="0" w:space="0" w:color="auto"/>
        <w:right w:val="none" w:sz="0" w:space="0" w:color="auto"/>
      </w:divBdr>
    </w:div>
    <w:div w:id="883441177">
      <w:marLeft w:val="0"/>
      <w:marRight w:val="0"/>
      <w:marTop w:val="0"/>
      <w:marBottom w:val="0"/>
      <w:divBdr>
        <w:top w:val="none" w:sz="0" w:space="0" w:color="auto"/>
        <w:left w:val="none" w:sz="0" w:space="0" w:color="auto"/>
        <w:bottom w:val="none" w:sz="0" w:space="0" w:color="auto"/>
        <w:right w:val="none" w:sz="0" w:space="0" w:color="auto"/>
      </w:divBdr>
    </w:div>
    <w:div w:id="883441178">
      <w:marLeft w:val="0"/>
      <w:marRight w:val="0"/>
      <w:marTop w:val="0"/>
      <w:marBottom w:val="0"/>
      <w:divBdr>
        <w:top w:val="none" w:sz="0" w:space="0" w:color="auto"/>
        <w:left w:val="none" w:sz="0" w:space="0" w:color="auto"/>
        <w:bottom w:val="none" w:sz="0" w:space="0" w:color="auto"/>
        <w:right w:val="none" w:sz="0" w:space="0" w:color="auto"/>
      </w:divBdr>
    </w:div>
    <w:div w:id="8834411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neconomy.am/page/2082%20" TargetMode="External"/><Relationship Id="rId18" Type="http://schemas.openxmlformats.org/officeDocument/2006/relationships/hyperlink" Target="https://int-heritage.am/" TargetMode="External"/><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chart" Target="charts/chart28.xml"/><Relationship Id="rId50" Type="http://schemas.openxmlformats.org/officeDocument/2006/relationships/chart" Target="charts/chart31.xml"/><Relationship Id="rId55" Type="http://schemas.openxmlformats.org/officeDocument/2006/relationships/chart" Target="charts/chart36.xml"/><Relationship Id="rId63" Type="http://schemas.openxmlformats.org/officeDocument/2006/relationships/chart" Target="charts/chart44.xml"/><Relationship Id="rId68" Type="http://schemas.openxmlformats.org/officeDocument/2006/relationships/chart" Target="charts/chart49.xml"/><Relationship Id="rId76" Type="http://schemas.openxmlformats.org/officeDocument/2006/relationships/chart" Target="charts/chart57.xml"/><Relationship Id="rId84" Type="http://schemas.openxmlformats.org/officeDocument/2006/relationships/chart" Target="charts/chart63.xml"/><Relationship Id="rId89" Type="http://schemas.openxmlformats.org/officeDocument/2006/relationships/chart" Target="charts/chart66.xml"/><Relationship Id="rId7" Type="http://schemas.openxmlformats.org/officeDocument/2006/relationships/endnotes" Target="endnotes.xml"/><Relationship Id="rId71" Type="http://schemas.openxmlformats.org/officeDocument/2006/relationships/chart" Target="charts/chart52.xml"/><Relationship Id="rId92"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azdarar.am" TargetMode="External"/><Relationship Id="rId29" Type="http://schemas.openxmlformats.org/officeDocument/2006/relationships/chart" Target="charts/chart10.xml"/><Relationship Id="rId11" Type="http://schemas.openxmlformats.org/officeDocument/2006/relationships/header" Target="header3.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9.xml"/><Relationship Id="rId66" Type="http://schemas.openxmlformats.org/officeDocument/2006/relationships/chart" Target="charts/chart47.xml"/><Relationship Id="rId74" Type="http://schemas.openxmlformats.org/officeDocument/2006/relationships/chart" Target="charts/chart55.xml"/><Relationship Id="rId79" Type="http://schemas.openxmlformats.org/officeDocument/2006/relationships/header" Target="header6.xml"/><Relationship Id="rId87"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chart" Target="charts/chart42.xml"/><Relationship Id="rId82" Type="http://schemas.openxmlformats.org/officeDocument/2006/relationships/chart" Target="charts/chart61.xml"/><Relationship Id="rId90" Type="http://schemas.openxmlformats.org/officeDocument/2006/relationships/header" Target="header9.xml"/><Relationship Id="rId19" Type="http://schemas.openxmlformats.org/officeDocument/2006/relationships/header" Target="header4.xml"/><Relationship Id="rId14" Type="http://schemas.openxmlformats.org/officeDocument/2006/relationships/hyperlink" Target="http://www.e-register.am" TargetMode="Externa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5.xml"/><Relationship Id="rId69" Type="http://schemas.openxmlformats.org/officeDocument/2006/relationships/chart" Target="charts/chart50.xml"/><Relationship Id="rId77" Type="http://schemas.openxmlformats.org/officeDocument/2006/relationships/chart" Target="charts/chart58.xml"/><Relationship Id="rId8" Type="http://schemas.openxmlformats.org/officeDocument/2006/relationships/header" Target="header1.xml"/><Relationship Id="rId51" Type="http://schemas.openxmlformats.org/officeDocument/2006/relationships/chart" Target="charts/chart32.xml"/><Relationship Id="rId72" Type="http://schemas.openxmlformats.org/officeDocument/2006/relationships/chart" Target="charts/chart53.xml"/><Relationship Id="rId80" Type="http://schemas.openxmlformats.org/officeDocument/2006/relationships/chart" Target="charts/chart59.xml"/><Relationship Id="rId85" Type="http://schemas.openxmlformats.org/officeDocument/2006/relationships/header" Target="header7.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ineconomy.am/page/1948" TargetMode="External"/><Relationship Id="rId17" Type="http://schemas.openxmlformats.org/officeDocument/2006/relationships/hyperlink" Target="http://scs.am/am/20-04-2022-2" TargetMode="External"/><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8.xml"/><Relationship Id="rId20" Type="http://schemas.openxmlformats.org/officeDocument/2006/relationships/chart" Target="charts/chart1.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3.xml"/><Relationship Id="rId70" Type="http://schemas.openxmlformats.org/officeDocument/2006/relationships/chart" Target="charts/chart51.xml"/><Relationship Id="rId75" Type="http://schemas.openxmlformats.org/officeDocument/2006/relationships/chart" Target="charts/chart56.xml"/><Relationship Id="rId83" Type="http://schemas.openxmlformats.org/officeDocument/2006/relationships/chart" Target="charts/chart62.xml"/><Relationship Id="rId88" Type="http://schemas.openxmlformats.org/officeDocument/2006/relationships/chart" Target="charts/chart65.xml"/><Relationship Id="rId91" Type="http://schemas.openxmlformats.org/officeDocument/2006/relationships/chart" Target="charts/chart6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registration.am"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 Type="http://schemas.openxmlformats.org/officeDocument/2006/relationships/header" Target="header2.xml"/><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6.xml"/><Relationship Id="rId73" Type="http://schemas.openxmlformats.org/officeDocument/2006/relationships/chart" Target="charts/chart54.xml"/><Relationship Id="rId78" Type="http://schemas.openxmlformats.org/officeDocument/2006/relationships/header" Target="header5.xml"/><Relationship Id="rId81" Type="http://schemas.openxmlformats.org/officeDocument/2006/relationships/chart" Target="charts/chart60.xml"/><Relationship Id="rId86" Type="http://schemas.openxmlformats.org/officeDocument/2006/relationships/chart" Target="charts/chart6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worldbank.org/en/research/commodity-markets" TargetMode="External"/><Relationship Id="rId13" Type="http://schemas.openxmlformats.org/officeDocument/2006/relationships/hyperlink" Target="5.&#1359;&#1381;&#1394;&#1381;&#1391;&#1377;&#1398;&#1412;&#1398;&#1381;&#1408;/20.&#1344;&#1377;&#1408;&#1391;&#1377;&#1397;&#1387;&#1398;%20&#1413;&#1408;&#1381;&#1398;&#1405;&#1380;&#1408;&#1400;&#1410;&#1385;&#1397;&#1377;&#1398;%20&#1411;&#1400;&#1411;&#1400;&#1389;&#1400;&#1410;&#1385;&#1397;&#1400;&#1410;&#1398;&#1398;&#1381;&#1408;.docx" TargetMode="External"/><Relationship Id="rId18" Type="http://schemas.openxmlformats.org/officeDocument/2006/relationships/hyperlink" Target="5.&#1359;&#1381;&#1394;&#1381;&#1391;&#1377;&#1398;&#1412;&#1398;&#1381;&#1408;/11.&#1332;&#1408;&#1377;&#1396;&#1377;&#1399;&#1398;&#1400;&#1408;&#1392;&#1377;&#1397;&#1387;&#1398;%20&#1396;&#1400;&#1410;&#1407;&#1412;&#1381;&#1408;.xls" TargetMode="External"/><Relationship Id="rId26" Type="http://schemas.openxmlformats.org/officeDocument/2006/relationships/hyperlink" Target="6.&#1329;&#1408;&#1380;&#1397;&#1400;&#1410;&#1398;&#1412;&#1377;&#1397;&#1387;&#1398;%20&#1409;&#1400;&#1410;&#1409;&#1377;&#1398;&#1387;&#1399;&#1398;&#1381;&#1408;-&#1392;&#1377;&#1406;&#1381;&#1388;&#1406;&#1377;&#1390;%209/2.&#1329;&#1408;&#1380;&#1397;&#1400;&#1410;&#1398;&#1412;&#1377;&#1397;&#1387;&#1398;%20&#1409;&#1400;&#1410;&#1409;&#1377;&#1398;&#1387;&#1399;&#1398;&#1381;&#1408;_&#1384;&#1405;&#1407;%20&#1402;&#1377;&#1407;&#1377;&#1405;&#1389;&#1377;&#1398;&#1377;&#1407;&#1400;&#1410;&#1398;&#1381;&#1408;&#1387;.xls" TargetMode="External"/><Relationship Id="rId3" Type="http://schemas.openxmlformats.org/officeDocument/2006/relationships/hyperlink" Target="5.&#1359;&#1381;&#1394;&#1381;&#1391;&#1377;&#1398;&#1412;&#1398;&#1381;&#1408;/18.&#1334;&#1378;&#1400;&#1405;&#1377;&#1399;&#1408;&#1403;&#1400;&#1410;&#1385;&#1397;&#1400;&#1410;&#1398;.doc" TargetMode="External"/><Relationship Id="rId21" Type="http://schemas.openxmlformats.org/officeDocument/2006/relationships/hyperlink" Target="4.&#1344;&#1377;&#1406;&#1381;&#1388;&#1406;&#1377;&#1390;&#1398;&#1381;&#1408;/6.%20%20&#1344;&#1377;&#1406;&#1381;&#1388;&#1406;&#1377;&#1390;%20N1%20&#1377;&#1394;&#1397;&#1400;&#1410;&#1405;&#1377;&#1391;%20N5%20&#1332;&#1408;&#1377;&#1396;&#1377;&#1399;&#1398;&#1400;&#1408;&#1392;&#1377;&#1397;&#1387;&#1398;%20&#1390;&#1408;&#1377;&#1379;&#1408;&#1381;&#1408;.xls" TargetMode="External"/><Relationship Id="rId7" Type="http://schemas.openxmlformats.org/officeDocument/2006/relationships/hyperlink" Target="https://rosstat.gov.ru/" TargetMode="External"/><Relationship Id="rId12" Type="http://schemas.openxmlformats.org/officeDocument/2006/relationships/hyperlink" Target="5.&#1359;&#1381;&#1394;&#1381;&#1391;&#1377;&#1398;&#1412;&#1398;&#1381;&#1408;/17.&#1340;&#1346;-&#1387;&#1409;%20&#1378;&#1404;&#1398;&#1387;%20&#1407;&#1381;&#1394;&#1377;&#1392;&#1377;&#1398;&#1406;&#1377;&#1390;_&#1377;&#1408;&#1380;&#1397;&#1400;&#1410;&#1398;&#1412;&#1377;&#1397;&#1387;&#1398;%20&#1409;&#1400;&#1410;&#1409;&#1377;&#1398;&#1387;&#1399;&#1398;&#1381;&#1408;.xls" TargetMode="External"/><Relationship Id="rId17" Type="http://schemas.openxmlformats.org/officeDocument/2006/relationships/hyperlink" Target="5.&#1359;&#1381;&#1394;&#1381;&#1391;&#1377;&#1398;&#1412;&#1398;&#1381;&#1408;/20.&#1344;&#1377;&#1408;&#1391;&#1377;&#1397;&#1387;&#1398;%20&#1413;&#1408;&#1381;&#1398;&#1405;&#1380;&#1408;&#1400;&#1410;&#1385;&#1397;&#1377;&#1398;%20&#1411;&#1400;&#1411;&#1400;&#1389;&#1400;&#1410;&#1385;&#1397;&#1400;&#1410;&#1398;&#1398;&#1381;&#1408;.docx" TargetMode="External"/><Relationship Id="rId25" Type="http://schemas.openxmlformats.org/officeDocument/2006/relationships/hyperlink" Target="5.&#1359;&#1381;&#1394;&#1381;&#1391;&#1377;&#1398;&#1412;&#1398;&#1381;&#1408;/3.&#1342;&#1377;&#1389;&#1405;&#1381;&#1408;_&#1384;&#1405;&#1407;%20&#1354;&#1342;&#1348;&#1343;&#1344;.xls" TargetMode="External"/><Relationship Id="rId2" Type="http://schemas.openxmlformats.org/officeDocument/2006/relationships/hyperlink" Target="4.&#1344;&#1377;&#1406;&#1381;&#1388;&#1406;&#1377;&#1390;&#1398;&#1381;&#1408;/16.&#1344;&#1377;&#1406;&#1381;&#1388;&#1406;&#1377;&#1390;%20N11_&#1363;&#1348;&#1345;.doc" TargetMode="External"/><Relationship Id="rId16" Type="http://schemas.openxmlformats.org/officeDocument/2006/relationships/hyperlink" Target="5.&#1359;&#1381;&#1394;&#1381;&#1391;&#1377;&#1398;&#1412;&#1398;&#1381;&#1408;/20.&#1344;&#1377;&#1408;&#1391;&#1377;&#1397;&#1387;&#1398;%20&#1413;&#1408;&#1381;&#1398;&#1405;&#1380;&#1408;&#1400;&#1410;&#1385;&#1397;&#1377;&#1398;%20&#1411;&#1400;&#1411;&#1400;&#1389;&#1400;&#1410;&#1385;&#1397;&#1400;&#1410;&#1398;&#1398;&#1381;&#1408;.docx" TargetMode="External"/><Relationship Id="rId20" Type="http://schemas.openxmlformats.org/officeDocument/2006/relationships/hyperlink" Target="4.&#1344;&#1377;&#1406;&#1381;&#1388;&#1406;&#1377;&#1390;&#1398;&#1381;&#1408;/5.%20&#1344;&#1377;&#1406;&#1381;&#1388;&#1406;&#1377;&#1390;%20N1&#1377;&#1394;&#1397;&#1400;&#1410;&#1405;&#1377;&#1391;%20N4%20&#1406;&#1377;&#1408;&#1391;&#1377;&#1397;&#1387;&#1398;%20&#1390;&#1408;&#1377;&#1379;&#1408;&#1381;&#1408;.xls" TargetMode="External"/><Relationship Id="rId29" Type="http://schemas.openxmlformats.org/officeDocument/2006/relationships/hyperlink" Target="5.&#1359;&#1381;&#1394;&#1381;&#1391;&#1377;&#1398;&#1412;&#1398;&#1381;&#1408;/15.%20&#1354;&#1377;&#1392;&#1400;&#1410;&#1405;&#1407;&#1377;&#1397;&#1387;&#1398;%20&#1414;&#1400;&#1398;&#1380;_&#1352;&#1354;&#1342;&#1348;&#1343;&#1344;.xls" TargetMode="External"/><Relationship Id="rId1" Type="http://schemas.openxmlformats.org/officeDocument/2006/relationships/hyperlink" Target="5.&#1359;&#1381;&#1394;&#1381;&#1391;&#1377;&#1398;&#1412;&#1398;&#1381;&#1408;/21.&#1348;&#1377;&#1391;&#1408;&#1400;&#1407;&#1398;&#1407;&#1381;&#1405;&#1377;&#1391;&#1377;&#1398;%20&#1415;%20&#1392;&#1377;&#1408;&#1391;&#1377;&#1378;&#1397;&#1400;&#1410;&#1403;&#1381;&#1407;&#1377;&#1397;&#1387;&#1398;%20&#1409;&#1400;&#1410;&#1409;&#1377;&#1398;&#1387;&#1399;&#1398;&#1381;&#1408;.docx" TargetMode="External"/><Relationship Id="rId6" Type="http://schemas.openxmlformats.org/officeDocument/2006/relationships/hyperlink" Target="http://www.stats.gov.cn/" TargetMode="External"/><Relationship Id="rId11" Type="http://schemas.openxmlformats.org/officeDocument/2006/relationships/hyperlink" Target="5.&#1359;&#1381;&#1394;&#1381;&#1391;&#1377;&#1398;&#1412;&#1398;&#1381;&#1408;/16.&#1340;&#1346;-&#1387;&#1409;%20&#1378;&#1404;&#1398;&#1387;%20&#1407;&#1381;&#1394;&#1377;&#1392;&#1377;&#1398;&#1406;&#1377;&#1390;_&#1384;&#1405;&#1407;%20&#1354;&#1342;&#1348;&#1343;.xls" TargetMode="External"/><Relationship Id="rId24" Type="http://schemas.openxmlformats.org/officeDocument/2006/relationships/hyperlink" Target="5.&#1359;&#1381;&#1394;&#1381;&#1391;&#1377;&#1398;&#1412;&#1398;&#1381;&#1408;/2.&#1342;&#1377;&#1389;&#1405;&#1381;&#1408;_&#1384;&#1405;&#1407;%20&#1402;&#1377;&#1407;&#1377;&#1405;&#1389;&#1377;&#1398;&#1377;&#1407;&#1400;&#1410;&#1398;&#1381;&#1408;&#1387;.xls" TargetMode="External"/><Relationship Id="rId5" Type="http://schemas.openxmlformats.org/officeDocument/2006/relationships/hyperlink" Target="https://ec.europa.eu/eurostat/" TargetMode="External"/><Relationship Id="rId15" Type="http://schemas.openxmlformats.org/officeDocument/2006/relationships/hyperlink" Target="5.&#1359;&#1381;&#1394;&#1381;&#1391;&#1377;&#1398;&#1412;&#1398;&#1381;&#1408;/20.&#1344;&#1377;&#1408;&#1391;&#1377;&#1397;&#1387;&#1398;%20&#1413;&#1408;&#1381;&#1398;&#1405;&#1380;&#1408;&#1400;&#1410;&#1385;&#1397;&#1377;&#1398;%20&#1411;&#1400;&#1411;&#1400;&#1389;&#1400;&#1410;&#1385;&#1397;&#1400;&#1410;&#1398;&#1398;&#1381;&#1408;.docx" TargetMode="External"/><Relationship Id="rId23" Type="http://schemas.openxmlformats.org/officeDocument/2006/relationships/hyperlink" Target="4.&#1344;&#1377;&#1406;&#1381;&#1388;&#1406;&#1377;&#1390;&#1398;&#1381;&#1408;/3.&#1344;&#1377;&#1406;&#1381;&#1388;&#1406;&#1377;&#1390;%20N1%20&#1377;&#1394;&#1397;&#1400;&#1410;&#1405;&#1377;&#1391;%20N2_&#1390;&#1377;&#1389;&#1405;&#1381;&#1408;&#1398;%20&#1384;&#1405;&#1407;%20&#1390;&#1408;&#1377;&#1379;&#1408;&#1381;&#1408;&#1387;%20&#1415;%20&#1396;&#1387;&#1403;&#1400;&#1409;&#1377;&#1404;&#1400;&#1410;&#1396;&#1398;&#1381;&#1408;&#1387;.xls" TargetMode="External"/><Relationship Id="rId28" Type="http://schemas.openxmlformats.org/officeDocument/2006/relationships/hyperlink" Target="5.&#1359;&#1381;&#1394;&#1381;&#1391;&#1377;&#1398;&#1412;&#1398;&#1381;&#1408;/14.%20&#1354;&#1377;&#1392;&#1400;&#1410;&#1405;&#1407;&#1377;&#1397;&#1387;&#1398;%20&#1414;&#1400;&#1398;&#1380;_&#1354;&#1352;&#1342;&#1348;&#1343;.xls" TargetMode="External"/><Relationship Id="rId10" Type="http://schemas.openxmlformats.org/officeDocument/2006/relationships/hyperlink" Target="https://www.fao.org/worldfoodsituation/foodpricesindex/en/" TargetMode="External"/><Relationship Id="rId19" Type="http://schemas.openxmlformats.org/officeDocument/2006/relationships/hyperlink" Target="5.&#1359;&#1381;&#1394;&#1381;&#1391;&#1377;&#1398;&#1412;&#1398;&#1381;&#1408;/6.&#1342;&#1377;&#1389;&#1405;&#1381;&#1408;_&#1407;&#1398;&#1407;&#1381;&#1405;&#1377;&#1379;&#1387;&#1407;&#1377;&#1391;&#1377;&#1398;%20&#1380;&#1377;&#1405;..xls" TargetMode="External"/><Relationship Id="rId4" Type="http://schemas.openxmlformats.org/officeDocument/2006/relationships/hyperlink" Target="https://www.bea.gov/" TargetMode="External"/><Relationship Id="rId9" Type="http://schemas.openxmlformats.org/officeDocument/2006/relationships/hyperlink" Target="https://www.worldbank.org/en/research/commodity-markets" TargetMode="External"/><Relationship Id="rId14" Type="http://schemas.openxmlformats.org/officeDocument/2006/relationships/hyperlink" Target="5.&#1359;&#1381;&#1394;&#1381;&#1391;&#1377;&#1398;&#1412;&#1398;&#1381;&#1408;/19.&#1348;&#1377;&#1412;&#1405;&#1377;&#1407;&#1400;&#1410;&#1408;&#1412;.doc" TargetMode="External"/><Relationship Id="rId22" Type="http://schemas.openxmlformats.org/officeDocument/2006/relationships/hyperlink" Target="4.&#1344;&#1377;&#1406;&#1381;&#1388;&#1406;&#1377;&#1390;&#1398;&#1381;&#1408;/2.&#1344;&#1377;&#1406;&#1381;&#1388;&#1406;&#1377;&#1390;%20N1%20&#1377;&#1394;&#1397;&#1400;&#1410;&#1405;&#1377;&#1391;%20N1_&#1390;&#1377;&#1389;&#1405;&#1381;&#1408;&#1398;%20&#1384;&#1405;&#1407;%20&#1390;&#1408;&#1377;&#1379;&#1408;&#1381;&#1408;&#1387;.xls" TargetMode="External"/><Relationship Id="rId27" Type="http://schemas.openxmlformats.org/officeDocument/2006/relationships/hyperlink" Target="7.&#1329;&#1408;&#1380;&#1397;&#1400;&#1410;&#1398;&#1412;&#1377;&#1397;&#1387;&#1398;%20&#1409;&#1400;&#1410;&#1409;&#1377;&#1398;&#1387;&#1399;&#1398;&#1381;&#1408;-&#1392;&#1377;&#1406;&#1381;&#1388;&#1406;&#1377;&#1390;%209.1/2.&#1329;&#1408;&#1380;&#1397;&#1400;&#1410;&#1398;&#1412;&#1377;&#1397;&#1387;&#1398;%20&#1409;&#1400;&#1410;&#1409;&#1377;&#1398;&#1387;&#1399;&#1398;&#1381;&#1408;_&#1384;&#1405;&#1407;%20&#1391;&#1377;&#1407;&#1377;&#1408;&#1400;&#1394;&#1398;&#1381;&#1408;&#1387;.xls" TargetMode="External"/><Relationship Id="rId30" Type="http://schemas.openxmlformats.org/officeDocument/2006/relationships/hyperlink" Target="5.&#1359;&#1381;&#1394;&#1381;&#1391;&#1377;&#1398;&#1412;&#1398;&#1381;&#1408;/9.&#1354;&#1381;&#1407;&#1377;&#1391;&#1377;&#1398;%20&#1402;&#1377;&#1408;&#1407;&#1412;.xls"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26.xlsx"/><Relationship Id="rId1" Type="http://schemas.openxmlformats.org/officeDocument/2006/relationships/themeOverride" Target="../theme/themeOverride25.xml"/></Relationships>
</file>

<file path=word/charts/_rels/chart28.xml.rels><?xml version="1.0" encoding="UTF-8" standalone="yes"?>
<Relationships xmlns="http://schemas.openxmlformats.org/package/2006/relationships"><Relationship Id="rId2" Type="http://schemas.openxmlformats.org/officeDocument/2006/relationships/package" Target="../embeddings/Microsoft_Excel_Worksheet27.xlsx"/><Relationship Id="rId1" Type="http://schemas.openxmlformats.org/officeDocument/2006/relationships/themeOverride" Target="../theme/themeOverride26.xml"/></Relationships>
</file>

<file path=word/charts/_rels/chart29.xml.rels><?xml version="1.0" encoding="UTF-8" standalone="yes"?>
<Relationships xmlns="http://schemas.openxmlformats.org/package/2006/relationships"><Relationship Id="rId2" Type="http://schemas.openxmlformats.org/officeDocument/2006/relationships/package" Target="../embeddings/Microsoft_Excel_Worksheet28.xlsx"/><Relationship Id="rId1" Type="http://schemas.openxmlformats.org/officeDocument/2006/relationships/themeOverride" Target="../theme/themeOverride27.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Microsoft_Excel_Worksheet29.xlsx"/><Relationship Id="rId1" Type="http://schemas.openxmlformats.org/officeDocument/2006/relationships/themeOverride" Target="../theme/themeOverride28.xml"/></Relationships>
</file>

<file path=word/charts/_rels/chart31.xml.rels><?xml version="1.0" encoding="UTF-8" standalone="yes"?>
<Relationships xmlns="http://schemas.openxmlformats.org/package/2006/relationships"><Relationship Id="rId2" Type="http://schemas.openxmlformats.org/officeDocument/2006/relationships/package" Target="../embeddings/Microsoft_Excel_Worksheet30.xlsx"/><Relationship Id="rId1" Type="http://schemas.openxmlformats.org/officeDocument/2006/relationships/themeOverride" Target="../theme/themeOverride29.xml"/></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31.xlsx"/><Relationship Id="rId1" Type="http://schemas.openxmlformats.org/officeDocument/2006/relationships/themeOverride" Target="../theme/themeOverride30.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32.xlsx"/><Relationship Id="rId1" Type="http://schemas.openxmlformats.org/officeDocument/2006/relationships/themeOverride" Target="../theme/themeOverride31.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33.xlsx"/><Relationship Id="rId1" Type="http://schemas.openxmlformats.org/officeDocument/2006/relationships/themeOverride" Target="../theme/themeOverride32.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xml"/><Relationship Id="rId1" Type="http://schemas.microsoft.com/office/2011/relationships/chartStyle" Target="style3.xm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37.xlsx"/><Relationship Id="rId1" Type="http://schemas.openxmlformats.org/officeDocument/2006/relationships/themeOverride" Target="../theme/themeOverride35.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8.xlsx"/><Relationship Id="rId1" Type="http://schemas.openxmlformats.org/officeDocument/2006/relationships/themeOverride" Target="../theme/themeOverride36.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2" Type="http://schemas.openxmlformats.org/officeDocument/2006/relationships/package" Target="../embeddings/Microsoft_Excel_Worksheet45.xlsx"/><Relationship Id="rId1" Type="http://schemas.openxmlformats.org/officeDocument/2006/relationships/themeOverride" Target="../theme/themeOverride43.xml"/></Relationships>
</file>

<file path=word/charts/_rels/chart47.xml.rels><?xml version="1.0" encoding="UTF-8" standalone="yes"?>
<Relationships xmlns="http://schemas.openxmlformats.org/package/2006/relationships"><Relationship Id="rId2" Type="http://schemas.openxmlformats.org/officeDocument/2006/relationships/package" Target="../embeddings/Microsoft_Excel_Worksheet46.xlsx"/><Relationship Id="rId1" Type="http://schemas.openxmlformats.org/officeDocument/2006/relationships/themeOverride" Target="../theme/themeOverride44.xml"/></Relationships>
</file>

<file path=word/charts/_rels/chart48.xml.rels><?xml version="1.0" encoding="UTF-8" standalone="yes"?>
<Relationships xmlns="http://schemas.openxmlformats.org/package/2006/relationships"><Relationship Id="rId2" Type="http://schemas.openxmlformats.org/officeDocument/2006/relationships/package" Target="../embeddings/Microsoft_Excel_Worksheet47.xlsx"/><Relationship Id="rId1" Type="http://schemas.openxmlformats.org/officeDocument/2006/relationships/themeOverride" Target="../theme/themeOverride45.xml"/></Relationships>
</file>

<file path=word/charts/_rels/chart49.xml.rels><?xml version="1.0" encoding="UTF-8" standalone="yes"?>
<Relationships xmlns="http://schemas.openxmlformats.org/package/2006/relationships"><Relationship Id="rId2" Type="http://schemas.openxmlformats.org/officeDocument/2006/relationships/package" Target="../embeddings/Microsoft_Excel_Worksheet48.xlsx"/><Relationship Id="rId1" Type="http://schemas.openxmlformats.org/officeDocument/2006/relationships/themeOverride" Target="../theme/themeOverride46.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50.xml.rels><?xml version="1.0" encoding="UTF-8" standalone="yes"?>
<Relationships xmlns="http://schemas.openxmlformats.org/package/2006/relationships"><Relationship Id="rId2" Type="http://schemas.openxmlformats.org/officeDocument/2006/relationships/package" Target="../embeddings/Microsoft_Excel_Worksheet49.xlsx"/><Relationship Id="rId1" Type="http://schemas.openxmlformats.org/officeDocument/2006/relationships/themeOverride" Target="../theme/themeOverride47.xml"/></Relationships>
</file>

<file path=word/charts/_rels/chart51.xml.rels><?xml version="1.0" encoding="UTF-8" standalone="yes"?>
<Relationships xmlns="http://schemas.openxmlformats.org/package/2006/relationships"><Relationship Id="rId2" Type="http://schemas.openxmlformats.org/officeDocument/2006/relationships/package" Target="../embeddings/Microsoft_Excel_Worksheet50.xlsx"/><Relationship Id="rId1" Type="http://schemas.openxmlformats.org/officeDocument/2006/relationships/themeOverride" Target="../theme/themeOverride48.xml"/></Relationships>
</file>

<file path=word/charts/_rels/chart52.xml.rels><?xml version="1.0" encoding="UTF-8" standalone="yes"?>
<Relationships xmlns="http://schemas.openxmlformats.org/package/2006/relationships"><Relationship Id="rId2" Type="http://schemas.openxmlformats.org/officeDocument/2006/relationships/package" Target="../embeddings/Microsoft_Excel_Worksheet51.xlsx"/><Relationship Id="rId1" Type="http://schemas.openxmlformats.org/officeDocument/2006/relationships/themeOverride" Target="../theme/themeOverride49.xml"/></Relationships>
</file>

<file path=word/charts/_rels/chart53.xml.rels><?xml version="1.0" encoding="UTF-8" standalone="yes"?>
<Relationships xmlns="http://schemas.openxmlformats.org/package/2006/relationships"><Relationship Id="rId2" Type="http://schemas.openxmlformats.org/officeDocument/2006/relationships/package" Target="../embeddings/Microsoft_Excel_Worksheet52.xlsx"/><Relationship Id="rId1" Type="http://schemas.openxmlformats.org/officeDocument/2006/relationships/themeOverride" Target="../theme/themeOverride50.xml"/></Relationships>
</file>

<file path=word/charts/_rels/chart54.xml.rels><?xml version="1.0" encoding="UTF-8" standalone="yes"?>
<Relationships xmlns="http://schemas.openxmlformats.org/package/2006/relationships"><Relationship Id="rId2" Type="http://schemas.openxmlformats.org/officeDocument/2006/relationships/package" Target="../embeddings/Microsoft_Excel_Worksheet53.xlsx"/><Relationship Id="rId1" Type="http://schemas.openxmlformats.org/officeDocument/2006/relationships/themeOverride" Target="../theme/themeOverride51.xml"/></Relationships>
</file>

<file path=word/charts/_rels/chart55.xml.rels><?xml version="1.0" encoding="UTF-8" standalone="yes"?>
<Relationships xmlns="http://schemas.openxmlformats.org/package/2006/relationships"><Relationship Id="rId2" Type="http://schemas.openxmlformats.org/officeDocument/2006/relationships/package" Target="../embeddings/Microsoft_Excel_Worksheet54.xlsx"/><Relationship Id="rId1" Type="http://schemas.openxmlformats.org/officeDocument/2006/relationships/themeOverride" Target="../theme/themeOverride52.xml"/></Relationships>
</file>

<file path=word/charts/_rels/chart56.xml.rels><?xml version="1.0" encoding="UTF-8" standalone="yes"?>
<Relationships xmlns="http://schemas.openxmlformats.org/package/2006/relationships"><Relationship Id="rId2" Type="http://schemas.openxmlformats.org/officeDocument/2006/relationships/package" Target="../embeddings/Microsoft_Excel_Worksheet55.xlsx"/><Relationship Id="rId1" Type="http://schemas.openxmlformats.org/officeDocument/2006/relationships/themeOverride" Target="../theme/themeOverride53.xml"/></Relationships>
</file>

<file path=word/charts/_rels/chart57.xml.rels><?xml version="1.0" encoding="UTF-8" standalone="yes"?>
<Relationships xmlns="http://schemas.openxmlformats.org/package/2006/relationships"><Relationship Id="rId2" Type="http://schemas.openxmlformats.org/officeDocument/2006/relationships/package" Target="../embeddings/Microsoft_Excel_Worksheet56.xlsx"/><Relationship Id="rId1" Type="http://schemas.openxmlformats.org/officeDocument/2006/relationships/themeOverride" Target="../theme/themeOverride54.xml"/></Relationships>
</file>

<file path=word/charts/_rels/chart58.xml.rels><?xml version="1.0" encoding="UTF-8" standalone="yes"?>
<Relationships xmlns="http://schemas.openxmlformats.org/package/2006/relationships"><Relationship Id="rId2" Type="http://schemas.openxmlformats.org/officeDocument/2006/relationships/package" Target="../embeddings/Microsoft_Excel_Worksheet57.xlsx"/><Relationship Id="rId1" Type="http://schemas.openxmlformats.org/officeDocument/2006/relationships/themeOverride" Target="../theme/themeOverride55.xml"/></Relationships>
</file>

<file path=word/charts/_rels/chart59.xml.rels><?xml version="1.0" encoding="UTF-8" standalone="yes"?>
<Relationships xmlns="http://schemas.openxmlformats.org/package/2006/relationships"><Relationship Id="rId2" Type="http://schemas.openxmlformats.org/officeDocument/2006/relationships/package" Target="../embeddings/Microsoft_Excel_Worksheet58.xlsx"/><Relationship Id="rId1" Type="http://schemas.openxmlformats.org/officeDocument/2006/relationships/themeOverride" Target="../theme/themeOverride56.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60.xml.rels><?xml version="1.0" encoding="UTF-8" standalone="yes"?>
<Relationships xmlns="http://schemas.openxmlformats.org/package/2006/relationships"><Relationship Id="rId2" Type="http://schemas.openxmlformats.org/officeDocument/2006/relationships/package" Target="../embeddings/Microsoft_Excel_Worksheet59.xlsx"/><Relationship Id="rId1" Type="http://schemas.openxmlformats.org/officeDocument/2006/relationships/themeOverride" Target="../theme/themeOverride57.xml"/></Relationships>
</file>

<file path=word/charts/_rels/chart61.xml.rels><?xml version="1.0" encoding="UTF-8" standalone="yes"?>
<Relationships xmlns="http://schemas.openxmlformats.org/package/2006/relationships"><Relationship Id="rId2" Type="http://schemas.openxmlformats.org/officeDocument/2006/relationships/package" Target="../embeddings/Microsoft_Excel_Worksheet60.xlsx"/><Relationship Id="rId1" Type="http://schemas.openxmlformats.org/officeDocument/2006/relationships/themeOverride" Target="../theme/themeOverride58.xml"/></Relationships>
</file>

<file path=word/charts/_rels/chart62.xml.rels><?xml version="1.0" encoding="UTF-8" standalone="yes"?>
<Relationships xmlns="http://schemas.openxmlformats.org/package/2006/relationships"><Relationship Id="rId2" Type="http://schemas.openxmlformats.org/officeDocument/2006/relationships/package" Target="../embeddings/Microsoft_Excel_Worksheet61.xlsx"/><Relationship Id="rId1" Type="http://schemas.openxmlformats.org/officeDocument/2006/relationships/themeOverride" Target="../theme/themeOverride59.xml"/></Relationships>
</file>

<file path=word/charts/_rels/chart63.xml.rels><?xml version="1.0" encoding="UTF-8" standalone="yes"?>
<Relationships xmlns="http://schemas.openxmlformats.org/package/2006/relationships"><Relationship Id="rId2" Type="http://schemas.openxmlformats.org/officeDocument/2006/relationships/package" Target="../embeddings/Microsoft_Excel_Worksheet62.xlsx"/><Relationship Id="rId1" Type="http://schemas.openxmlformats.org/officeDocument/2006/relationships/themeOverride" Target="../theme/themeOverride60.xml"/></Relationships>
</file>

<file path=word/charts/_rels/chart64.xml.rels><?xml version="1.0" encoding="UTF-8" standalone="yes"?>
<Relationships xmlns="http://schemas.openxmlformats.org/package/2006/relationships"><Relationship Id="rId2" Type="http://schemas.openxmlformats.org/officeDocument/2006/relationships/package" Target="../embeddings/Microsoft_Excel_Worksheet63.xlsx"/><Relationship Id="rId1" Type="http://schemas.openxmlformats.org/officeDocument/2006/relationships/themeOverride" Target="../theme/themeOverride61.xml"/></Relationships>
</file>

<file path=word/charts/_rels/chart65.xml.rels><?xml version="1.0" encoding="UTF-8" standalone="yes"?>
<Relationships xmlns="http://schemas.openxmlformats.org/package/2006/relationships"><Relationship Id="rId2" Type="http://schemas.openxmlformats.org/officeDocument/2006/relationships/package" Target="../embeddings/Microsoft_Excel_Worksheet64.xlsx"/><Relationship Id="rId1" Type="http://schemas.openxmlformats.org/officeDocument/2006/relationships/themeOverride" Target="../theme/themeOverride62.xml"/></Relationships>
</file>

<file path=word/charts/_rels/chart66.xml.rels><?xml version="1.0" encoding="UTF-8" standalone="yes"?>
<Relationships xmlns="http://schemas.openxmlformats.org/package/2006/relationships"><Relationship Id="rId2" Type="http://schemas.openxmlformats.org/officeDocument/2006/relationships/package" Target="../embeddings/Microsoft_Excel_Worksheet65.xlsx"/><Relationship Id="rId1" Type="http://schemas.openxmlformats.org/officeDocument/2006/relationships/themeOverride" Target="../theme/themeOverride63.xml"/></Relationships>
</file>

<file path=word/charts/_rels/chart67.xml.rels><?xml version="1.0" encoding="UTF-8" standalone="yes"?>
<Relationships xmlns="http://schemas.openxmlformats.org/package/2006/relationships"><Relationship Id="rId2" Type="http://schemas.openxmlformats.org/officeDocument/2006/relationships/package" Target="../embeddings/Microsoft_Excel_Worksheet66.xlsx"/><Relationship Id="rId1" Type="http://schemas.openxmlformats.org/officeDocument/2006/relationships/themeOverride" Target="../theme/themeOverride6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499309150838173E-2"/>
          <c:y val="3.6763853313516531E-2"/>
          <c:w val="0.92024487689567347"/>
          <c:h val="0.67258655482135088"/>
        </c:manualLayout>
      </c:layout>
      <c:barChart>
        <c:barDir val="col"/>
        <c:grouping val="clustered"/>
        <c:varyColors val="0"/>
        <c:ser>
          <c:idx val="0"/>
          <c:order val="0"/>
          <c:tx>
            <c:strRef>
              <c:f>Sheet1!$B$1</c:f>
              <c:strCache>
                <c:ptCount val="1"/>
                <c:pt idx="0">
                  <c:v>ԱՄՆ</c:v>
                </c:pt>
              </c:strCache>
            </c:strRef>
          </c:tx>
          <c:spPr>
            <a:solidFill>
              <a:srgbClr val="5B9BD5"/>
            </a:solidFill>
            <a:ln w="25393">
              <a:noFill/>
            </a:ln>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Sheet1!$B$2:$B$7</c:f>
              <c:numCache>
                <c:formatCode>General</c:formatCode>
                <c:ptCount val="5"/>
                <c:pt idx="0">
                  <c:v>2.2999999999999998</c:v>
                </c:pt>
                <c:pt idx="1">
                  <c:v>-2.8</c:v>
                </c:pt>
                <c:pt idx="2">
                  <c:v>5.9</c:v>
                </c:pt>
                <c:pt idx="3">
                  <c:v>1.9</c:v>
                </c:pt>
                <c:pt idx="4">
                  <c:v>2.5</c:v>
                </c:pt>
              </c:numCache>
            </c:numRef>
          </c:val>
          <c:extLst>
            <c:ext xmlns:c16="http://schemas.microsoft.com/office/drawing/2014/chart" uri="{C3380CC4-5D6E-409C-BE32-E72D297353CC}">
              <c16:uniqueId val="{00000000-AEA2-4781-8DA3-C1B342D0591A}"/>
            </c:ext>
          </c:extLst>
        </c:ser>
        <c:ser>
          <c:idx val="1"/>
          <c:order val="1"/>
          <c:tx>
            <c:strRef>
              <c:f>Sheet1!$C$1</c:f>
              <c:strCache>
                <c:ptCount val="1"/>
                <c:pt idx="0">
                  <c:v>ԵԳ</c:v>
                </c:pt>
              </c:strCache>
            </c:strRef>
          </c:tx>
          <c:spPr>
            <a:solidFill>
              <a:srgbClr val="1F497D"/>
            </a:solidFill>
            <a:ln w="25393">
              <a:noFill/>
            </a:ln>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Sheet1!$C$2:$C$7</c:f>
              <c:numCache>
                <c:formatCode>General</c:formatCode>
                <c:ptCount val="5"/>
                <c:pt idx="0">
                  <c:v>1.6</c:v>
                </c:pt>
                <c:pt idx="1">
                  <c:v>-6.1</c:v>
                </c:pt>
                <c:pt idx="2">
                  <c:v>5.3</c:v>
                </c:pt>
                <c:pt idx="3">
                  <c:v>3.4</c:v>
                </c:pt>
                <c:pt idx="4">
                  <c:v>0.4</c:v>
                </c:pt>
              </c:numCache>
            </c:numRef>
          </c:val>
          <c:extLst>
            <c:ext xmlns:c16="http://schemas.microsoft.com/office/drawing/2014/chart" uri="{C3380CC4-5D6E-409C-BE32-E72D297353CC}">
              <c16:uniqueId val="{00000001-AEA2-4781-8DA3-C1B342D0591A}"/>
            </c:ext>
          </c:extLst>
        </c:ser>
        <c:ser>
          <c:idx val="2"/>
          <c:order val="2"/>
          <c:tx>
            <c:strRef>
              <c:f>Sheet1!$D$1</c:f>
              <c:strCache>
                <c:ptCount val="1"/>
                <c:pt idx="0">
                  <c:v>Չինաստան</c:v>
                </c:pt>
              </c:strCache>
            </c:strRef>
          </c:tx>
          <c:spPr>
            <a:solidFill>
              <a:srgbClr val="A5A5A5"/>
            </a:solidFill>
            <a:ln w="25393">
              <a:noFill/>
            </a:ln>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Sheet1!$D$2:$D$7</c:f>
              <c:numCache>
                <c:formatCode>General</c:formatCode>
                <c:ptCount val="5"/>
                <c:pt idx="0" formatCode="0.0">
                  <c:v>6</c:v>
                </c:pt>
                <c:pt idx="1">
                  <c:v>2.2000000000000002</c:v>
                </c:pt>
                <c:pt idx="2">
                  <c:v>8.1</c:v>
                </c:pt>
                <c:pt idx="3" formatCode="0.0">
                  <c:v>3</c:v>
                </c:pt>
                <c:pt idx="4">
                  <c:v>5.2</c:v>
                </c:pt>
              </c:numCache>
            </c:numRef>
          </c:val>
          <c:extLst>
            <c:ext xmlns:c16="http://schemas.microsoft.com/office/drawing/2014/chart" uri="{C3380CC4-5D6E-409C-BE32-E72D297353CC}">
              <c16:uniqueId val="{00000002-AEA2-4781-8DA3-C1B342D0591A}"/>
            </c:ext>
          </c:extLst>
        </c:ser>
        <c:ser>
          <c:idx val="3"/>
          <c:order val="3"/>
          <c:tx>
            <c:strRef>
              <c:f>Sheet1!$E$1</c:f>
              <c:strCache>
                <c:ptCount val="1"/>
                <c:pt idx="0">
                  <c:v>ՌԴ</c:v>
                </c:pt>
              </c:strCache>
            </c:strRef>
          </c:tx>
          <c:spPr>
            <a:solidFill>
              <a:srgbClr val="F79646">
                <a:lumMod val="60000"/>
                <a:lumOff val="40000"/>
              </a:srgbClr>
            </a:solidFill>
            <a:ln>
              <a:noFill/>
            </a:ln>
            <a:effectLst/>
          </c:spPr>
          <c:invertIfNegative val="0"/>
          <c:dLbls>
            <c:spPr>
              <a:noFill/>
              <a:ln w="25393">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Sheet1!$E$2:$E$7</c:f>
              <c:numCache>
                <c:formatCode>General</c:formatCode>
                <c:ptCount val="5"/>
                <c:pt idx="0">
                  <c:v>2.2000000000000002</c:v>
                </c:pt>
                <c:pt idx="1">
                  <c:v>-2.7</c:v>
                </c:pt>
                <c:pt idx="2">
                  <c:v>5.6</c:v>
                </c:pt>
                <c:pt idx="3">
                  <c:v>-1.2</c:v>
                </c:pt>
                <c:pt idx="4">
                  <c:v>3.6</c:v>
                </c:pt>
              </c:numCache>
            </c:numRef>
          </c:val>
          <c:extLst>
            <c:ext xmlns:c16="http://schemas.microsoft.com/office/drawing/2014/chart" uri="{C3380CC4-5D6E-409C-BE32-E72D297353CC}">
              <c16:uniqueId val="{00000003-AEA2-4781-8DA3-C1B342D0591A}"/>
            </c:ext>
          </c:extLst>
        </c:ser>
        <c:dLbls>
          <c:showLegendKey val="0"/>
          <c:showVal val="0"/>
          <c:showCatName val="0"/>
          <c:showSerName val="0"/>
          <c:showPercent val="0"/>
          <c:showBubbleSize val="0"/>
        </c:dLbls>
        <c:gapWidth val="219"/>
        <c:overlap val="-27"/>
        <c:axId val="126139872"/>
        <c:axId val="126146944"/>
      </c:barChart>
      <c:catAx>
        <c:axId val="126139872"/>
        <c:scaling>
          <c:orientation val="minMax"/>
        </c:scaling>
        <c:delete val="0"/>
        <c:axPos val="b"/>
        <c:numFmt formatCode="General" sourceLinked="1"/>
        <c:majorTickMark val="none"/>
        <c:minorTickMark val="none"/>
        <c:tickLblPos val="low"/>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26146944"/>
        <c:crosses val="autoZero"/>
        <c:auto val="1"/>
        <c:lblAlgn val="ctr"/>
        <c:lblOffset val="100"/>
        <c:noMultiLvlLbl val="0"/>
      </c:catAx>
      <c:valAx>
        <c:axId val="126146944"/>
        <c:scaling>
          <c:orientation val="minMax"/>
        </c:scaling>
        <c:delete val="0"/>
        <c:axPos val="l"/>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ln w="6348">
            <a:noFill/>
          </a:ln>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26139872"/>
        <c:crosses val="autoZero"/>
        <c:crossBetween val="between"/>
      </c:valAx>
      <c:spPr>
        <a:noFill/>
        <a:ln w="25393">
          <a:noFill/>
        </a:ln>
      </c:spPr>
    </c:plotArea>
    <c:legend>
      <c:legendPos val="b"/>
      <c:layout>
        <c:manualLayout>
          <c:xMode val="edge"/>
          <c:yMode val="edge"/>
          <c:x val="0.32334262181984963"/>
          <c:y val="0.87321271011336354"/>
          <c:w val="0.35331491052605213"/>
          <c:h val="0.12017535042162286"/>
        </c:manualLayout>
      </c:layout>
      <c:overlay val="0"/>
      <c:spPr>
        <a:noFill/>
        <a:ln w="25393">
          <a:noFill/>
        </a:ln>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sz="1100">
          <a:latin typeface="GHEA Grapalat" panose="02000506050000020003" pitchFamily="50"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5.3764966023082734E-2"/>
          <c:w val="0.87658476118247253"/>
          <c:h val="0.67565654669577846"/>
        </c:manualLayout>
      </c:layout>
      <c:barChart>
        <c:barDir val="col"/>
        <c:grouping val="clustered"/>
        <c:varyColors val="0"/>
        <c:ser>
          <c:idx val="1"/>
          <c:order val="1"/>
          <c:tx>
            <c:strRef>
              <c:f>Sheet1!$A$3</c:f>
              <c:strCache>
                <c:ptCount val="1"/>
                <c:pt idx="0">
                  <c:v>Արդյունաբերություն</c:v>
                </c:pt>
              </c:strCache>
            </c:strRef>
          </c:tx>
          <c:spPr>
            <a:solidFill>
              <a:srgbClr val="1F497D"/>
            </a:solidFill>
            <a:ln>
              <a:noFill/>
            </a:ln>
            <a:effectLst/>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0.0</c:formatCode>
                <c:ptCount val="12"/>
                <c:pt idx="0">
                  <c:v>1.4000000000000057</c:v>
                </c:pt>
                <c:pt idx="1">
                  <c:v>0.70000000000000284</c:v>
                </c:pt>
                <c:pt idx="2">
                  <c:v>8.5999999999999943</c:v>
                </c:pt>
                <c:pt idx="3">
                  <c:v>-0.79999999999999716</c:v>
                </c:pt>
                <c:pt idx="4">
                  <c:v>5.2999999999999972</c:v>
                </c:pt>
                <c:pt idx="5">
                  <c:v>-7.4000000000000057</c:v>
                </c:pt>
                <c:pt idx="6">
                  <c:v>-2.4000000000000057</c:v>
                </c:pt>
                <c:pt idx="7">
                  <c:v>-3.7000000000000028</c:v>
                </c:pt>
                <c:pt idx="8">
                  <c:v>-4.2999999999999972</c:v>
                </c:pt>
                <c:pt idx="9">
                  <c:v>0.59999999999999432</c:v>
                </c:pt>
                <c:pt idx="10">
                  <c:v>23.799999999999997</c:v>
                </c:pt>
                <c:pt idx="11">
                  <c:v>20</c:v>
                </c:pt>
              </c:numCache>
            </c:numRef>
          </c:val>
          <c:extLst>
            <c:ext xmlns:c16="http://schemas.microsoft.com/office/drawing/2014/chart" uri="{C3380CC4-5D6E-409C-BE32-E72D297353CC}">
              <c16:uniqueId val="{00000000-0CC1-4D51-BD24-6DA64F3217D5}"/>
            </c:ext>
          </c:extLst>
        </c:ser>
        <c:ser>
          <c:idx val="2"/>
          <c:order val="2"/>
          <c:tx>
            <c:strRef>
              <c:f>Sheet1!$A$4</c:f>
              <c:strCache>
                <c:ptCount val="1"/>
                <c:pt idx="0">
                  <c:v>Շինարարություն</c:v>
                </c:pt>
              </c:strCache>
            </c:strRef>
          </c:tx>
          <c:spPr>
            <a:solidFill>
              <a:srgbClr val="8064A2"/>
            </a:solidFill>
            <a:ln>
              <a:noFill/>
            </a:ln>
            <a:effectLst/>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Sheet1!$B$4:$M$4</c:f>
              <c:numCache>
                <c:formatCode>0.0</c:formatCode>
                <c:ptCount val="12"/>
                <c:pt idx="0">
                  <c:v>12.200000000000003</c:v>
                </c:pt>
                <c:pt idx="1">
                  <c:v>13.900000000000006</c:v>
                </c:pt>
                <c:pt idx="2">
                  <c:v>16.599999999999994</c:v>
                </c:pt>
                <c:pt idx="3">
                  <c:v>19.299999999999997</c:v>
                </c:pt>
                <c:pt idx="4">
                  <c:v>18.400000000000006</c:v>
                </c:pt>
                <c:pt idx="5">
                  <c:v>18.099999999999994</c:v>
                </c:pt>
                <c:pt idx="6">
                  <c:v>17.799999999999997</c:v>
                </c:pt>
                <c:pt idx="7">
                  <c:v>17.5</c:v>
                </c:pt>
                <c:pt idx="8">
                  <c:v>15.700000000000003</c:v>
                </c:pt>
                <c:pt idx="9">
                  <c:v>13.599999999999994</c:v>
                </c:pt>
                <c:pt idx="10">
                  <c:v>11.400000000000006</c:v>
                </c:pt>
                <c:pt idx="11">
                  <c:v>11.5</c:v>
                </c:pt>
              </c:numCache>
            </c:numRef>
          </c:val>
          <c:extLst>
            <c:ext xmlns:c16="http://schemas.microsoft.com/office/drawing/2014/chart" uri="{C3380CC4-5D6E-409C-BE32-E72D297353CC}">
              <c16:uniqueId val="{00000001-0CC1-4D51-BD24-6DA64F3217D5}"/>
            </c:ext>
          </c:extLst>
        </c:ser>
        <c:ser>
          <c:idx val="3"/>
          <c:order val="3"/>
          <c:tx>
            <c:strRef>
              <c:f>Sheet1!$A$5</c:f>
              <c:strCache>
                <c:ptCount val="1"/>
                <c:pt idx="0">
                  <c:v>Ծառայություններ</c:v>
                </c:pt>
              </c:strCache>
            </c:strRef>
          </c:tx>
          <c:spPr>
            <a:solidFill>
              <a:srgbClr val="4198AF"/>
            </a:solidFill>
            <a:ln>
              <a:noFill/>
            </a:ln>
            <a:effectLst/>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Sheet1!$B$5:$M$5</c:f>
              <c:numCache>
                <c:formatCode>0.0</c:formatCode>
                <c:ptCount val="12"/>
                <c:pt idx="0">
                  <c:v>25.900000000000006</c:v>
                </c:pt>
                <c:pt idx="1">
                  <c:v>21.200000000000003</c:v>
                </c:pt>
                <c:pt idx="2">
                  <c:v>21.900000000000006</c:v>
                </c:pt>
                <c:pt idx="3">
                  <c:v>20.400000000000006</c:v>
                </c:pt>
                <c:pt idx="4">
                  <c:v>12.299999999999997</c:v>
                </c:pt>
                <c:pt idx="5">
                  <c:v>4</c:v>
                </c:pt>
                <c:pt idx="6">
                  <c:v>5.7999999999999972</c:v>
                </c:pt>
                <c:pt idx="7">
                  <c:v>13.799999999999997</c:v>
                </c:pt>
                <c:pt idx="8">
                  <c:v>4.5999999999999943</c:v>
                </c:pt>
                <c:pt idx="9">
                  <c:v>2.0999999999999943</c:v>
                </c:pt>
                <c:pt idx="10">
                  <c:v>2.4000000000000057</c:v>
                </c:pt>
                <c:pt idx="11">
                  <c:v>3.4000000000000057</c:v>
                </c:pt>
              </c:numCache>
            </c:numRef>
          </c:val>
          <c:extLst>
            <c:ext xmlns:c16="http://schemas.microsoft.com/office/drawing/2014/chart" uri="{C3380CC4-5D6E-409C-BE32-E72D297353CC}">
              <c16:uniqueId val="{00000002-0CC1-4D51-BD24-6DA64F3217D5}"/>
            </c:ext>
          </c:extLst>
        </c:ser>
        <c:ser>
          <c:idx val="4"/>
          <c:order val="4"/>
          <c:tx>
            <c:strRef>
              <c:f>Sheet1!$A$6</c:f>
              <c:strCache>
                <c:ptCount val="1"/>
                <c:pt idx="0">
                  <c:v>Առևտուր</c:v>
                </c:pt>
              </c:strCache>
            </c:strRef>
          </c:tx>
          <c:spPr>
            <a:solidFill>
              <a:srgbClr val="FAC090"/>
            </a:solidFill>
            <a:ln>
              <a:noFill/>
            </a:ln>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Sheet1!$B$6:$M$6</c:f>
              <c:numCache>
                <c:formatCode>0.0</c:formatCode>
                <c:ptCount val="12"/>
                <c:pt idx="0">
                  <c:v>17.700000000000003</c:v>
                </c:pt>
                <c:pt idx="1">
                  <c:v>18.200000000000003</c:v>
                </c:pt>
                <c:pt idx="2">
                  <c:v>26.099999999999994</c:v>
                </c:pt>
                <c:pt idx="3">
                  <c:v>28.900000000000006</c:v>
                </c:pt>
                <c:pt idx="4">
                  <c:v>28.599999999999994</c:v>
                </c:pt>
                <c:pt idx="5">
                  <c:v>20.299999999999997</c:v>
                </c:pt>
                <c:pt idx="6">
                  <c:v>20.400000000000006</c:v>
                </c:pt>
                <c:pt idx="7">
                  <c:v>23.5</c:v>
                </c:pt>
                <c:pt idx="8">
                  <c:v>21.799999999999997</c:v>
                </c:pt>
                <c:pt idx="9">
                  <c:v>26.299999999999997</c:v>
                </c:pt>
                <c:pt idx="10">
                  <c:v>32.099999999999994</c:v>
                </c:pt>
                <c:pt idx="11">
                  <c:v>35.900000000000006</c:v>
                </c:pt>
              </c:numCache>
            </c:numRef>
          </c:val>
          <c:extLst>
            <c:ext xmlns:c16="http://schemas.microsoft.com/office/drawing/2014/chart" uri="{C3380CC4-5D6E-409C-BE32-E72D297353CC}">
              <c16:uniqueId val="{00000003-0CC1-4D51-BD24-6DA64F3217D5}"/>
            </c:ext>
          </c:extLst>
        </c:ser>
        <c:dLbls>
          <c:showLegendKey val="0"/>
          <c:showVal val="0"/>
          <c:showCatName val="0"/>
          <c:showSerName val="0"/>
          <c:showPercent val="0"/>
          <c:showBubbleSize val="0"/>
        </c:dLbls>
        <c:gapWidth val="146"/>
        <c:overlap val="16"/>
        <c:axId val="392517632"/>
        <c:axId val="405202624"/>
      </c:barChart>
      <c:lineChart>
        <c:grouping val="standard"/>
        <c:varyColors val="0"/>
        <c:ser>
          <c:idx val="0"/>
          <c:order val="0"/>
          <c:tx>
            <c:strRef>
              <c:f>Sheet1!$A$2</c:f>
              <c:strCache>
                <c:ptCount val="1"/>
                <c:pt idx="0">
                  <c:v>ՏԱՑ, աջ առանցք</c:v>
                </c:pt>
              </c:strCache>
            </c:strRef>
          </c:tx>
          <c:spPr>
            <a:effectLst/>
          </c:spPr>
          <c:marker>
            <c:spPr>
              <a:solidFill>
                <a:srgbClr val="1F497D"/>
              </a:solidFill>
              <a:ln>
                <a:noFill/>
              </a:ln>
            </c:spPr>
          </c:marker>
          <c:dLbls>
            <c:dLbl>
              <c:idx val="0"/>
              <c:layout>
                <c:manualLayout>
                  <c:x val="-6.2028109425148865E-2"/>
                  <c:y val="-4.3207852443102178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CC1-4D51-BD24-6DA64F3217D5}"/>
                </c:ext>
              </c:extLst>
            </c:dLbl>
            <c:dLbl>
              <c:idx val="1"/>
              <c:layout>
                <c:manualLayout>
                  <c:x val="-5.7743996000920318E-2"/>
                  <c:y val="4.5833243447308811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CC1-4D51-BD24-6DA64F3217D5}"/>
                </c:ext>
              </c:extLst>
            </c:dLbl>
            <c:dLbl>
              <c:idx val="2"/>
              <c:layout>
                <c:manualLayout>
                  <c:x val="-6.5993090993960002E-2"/>
                  <c:y val="-5.2682558515801961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CC1-4D51-BD24-6DA64F3217D5}"/>
                </c:ext>
              </c:extLst>
            </c:dLbl>
            <c:dLbl>
              <c:idx val="3"/>
              <c:layout>
                <c:manualLayout>
                  <c:x val="-6.6072873957814346E-2"/>
                  <c:y val="-4.3215942185309025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CC1-4D51-BD24-6DA64F3217D5}"/>
                </c:ext>
              </c:extLst>
            </c:dLbl>
            <c:dLbl>
              <c:idx val="4"/>
              <c:layout>
                <c:manualLayout>
                  <c:x val="-8.7017310914352691E-2"/>
                  <c:y val="-5.0790963529771679E-2"/>
                </c:manualLayout>
              </c:layout>
              <c:spPr>
                <a:noFill/>
                <a:ln>
                  <a:noFill/>
                </a:ln>
                <a:effectLst/>
              </c:spPr>
              <c:txPr>
                <a:bodyPr wrap="square" lIns="38100" tIns="19050" rIns="38100" bIns="19050" anchor="ctr">
                  <a:no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276146831519902"/>
                      <c:h val="6.2866828980065625E-2"/>
                    </c:manualLayout>
                  </c15:layout>
                </c:ext>
                <c:ext xmlns:c16="http://schemas.microsoft.com/office/drawing/2014/chart" uri="{C3380CC4-5D6E-409C-BE32-E72D297353CC}">
                  <c16:uniqueId val="{00000008-0CC1-4D51-BD24-6DA64F3217D5}"/>
                </c:ext>
              </c:extLst>
            </c:dLbl>
            <c:dLbl>
              <c:idx val="5"/>
              <c:layout>
                <c:manualLayout>
                  <c:x val="-0.10073211628449744"/>
                  <c:y val="-2.1713946715564664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CC1-4D51-BD24-6DA64F3217D5}"/>
                </c:ext>
              </c:extLst>
            </c:dLbl>
            <c:dLbl>
              <c:idx val="6"/>
              <c:layout>
                <c:manualLayout>
                  <c:x val="-7.1255787161563819E-2"/>
                  <c:y val="-4.7508359400280448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CC1-4D51-BD24-6DA64F3217D5}"/>
                </c:ext>
              </c:extLst>
            </c:dLbl>
            <c:dLbl>
              <c:idx val="7"/>
              <c:layout>
                <c:manualLayout>
                  <c:x val="-5.8677224943266444E-2"/>
                  <c:y val="-4.8309783194908855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CC1-4D51-BD24-6DA64F3217D5}"/>
                </c:ext>
              </c:extLst>
            </c:dLbl>
            <c:dLbl>
              <c:idx val="8"/>
              <c:layout>
                <c:manualLayout>
                  <c:x val="-5.4495736908228072E-2"/>
                  <c:y val="-5.3555711357998061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CC1-4D51-BD24-6DA64F3217D5}"/>
                </c:ext>
              </c:extLst>
            </c:dLbl>
            <c:dLbl>
              <c:idx val="9"/>
              <c:layout>
                <c:manualLayout>
                  <c:x val="-2.1021652301870926E-2"/>
                  <c:y val="-1.97880487541797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CC1-4D51-BD24-6DA64F3217D5}"/>
                </c:ext>
              </c:extLst>
            </c:dLbl>
            <c:dLbl>
              <c:idx val="10"/>
              <c:layout>
                <c:manualLayout>
                  <c:x val="-5.8860626445238748E-2"/>
                  <c:y val="-4.7945205479452052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CC1-4D51-BD24-6DA64F3217D5}"/>
                </c:ext>
              </c:extLst>
            </c:dLbl>
            <c:dLbl>
              <c:idx val="11"/>
              <c:layout>
                <c:manualLayout>
                  <c:x val="-5.4656295984864413E-2"/>
                  <c:y val="-4.1095890410958964E-2"/>
                </c:manualLayout>
              </c:layout>
              <c:spPr>
                <a:noFill/>
                <a:ln>
                  <a:noFill/>
                </a:ln>
                <a:effectLst/>
              </c:spPr>
              <c:txPr>
                <a:bodyPr wrap="square" lIns="38100" tIns="19050" rIns="38100" bIns="19050" anchor="ctr">
                  <a:spAutoFit/>
                </a:bodyPr>
                <a:lstStyle/>
                <a:p>
                  <a:pPr>
                    <a:defRPr sz="800"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CC1-4D51-BD24-6DA64F3217D5}"/>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0.0</c:formatCode>
                <c:ptCount val="12"/>
                <c:pt idx="0">
                  <c:v>11.082558667182113</c:v>
                </c:pt>
                <c:pt idx="1">
                  <c:v>11.326720183465838</c:v>
                </c:pt>
                <c:pt idx="2">
                  <c:v>13.995446267327168</c:v>
                </c:pt>
                <c:pt idx="3">
                  <c:v>12.299999999999997</c:v>
                </c:pt>
                <c:pt idx="4">
                  <c:v>13.599999999999994</c:v>
                </c:pt>
                <c:pt idx="5">
                  <c:v>6.7999999999999972</c:v>
                </c:pt>
                <c:pt idx="6">
                  <c:v>6</c:v>
                </c:pt>
                <c:pt idx="7">
                  <c:v>10.900000000000006</c:v>
                </c:pt>
                <c:pt idx="8">
                  <c:v>5.2999999999999972</c:v>
                </c:pt>
                <c:pt idx="9">
                  <c:v>6</c:v>
                </c:pt>
                <c:pt idx="10">
                  <c:v>11.200000000000003</c:v>
                </c:pt>
                <c:pt idx="11">
                  <c:v>9.5</c:v>
                </c:pt>
              </c:numCache>
            </c:numRef>
          </c:val>
          <c:smooth val="0"/>
          <c:extLst>
            <c:ext xmlns:c16="http://schemas.microsoft.com/office/drawing/2014/chart" uri="{C3380CC4-5D6E-409C-BE32-E72D297353CC}">
              <c16:uniqueId val="{00000010-0CC1-4D51-BD24-6DA64F3217D5}"/>
            </c:ext>
          </c:extLst>
        </c:ser>
        <c:dLbls>
          <c:showLegendKey val="0"/>
          <c:showVal val="0"/>
          <c:showCatName val="0"/>
          <c:showSerName val="0"/>
          <c:showPercent val="0"/>
          <c:showBubbleSize val="0"/>
        </c:dLbls>
        <c:marker val="1"/>
        <c:smooth val="0"/>
        <c:axId val="392518656"/>
        <c:axId val="405203200"/>
      </c:lineChart>
      <c:catAx>
        <c:axId val="39251763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crossAx val="405202624"/>
        <c:crosses val="autoZero"/>
        <c:auto val="1"/>
        <c:lblAlgn val="ctr"/>
        <c:lblOffset val="100"/>
        <c:noMultiLvlLbl val="0"/>
      </c:catAx>
      <c:valAx>
        <c:axId val="405202624"/>
        <c:scaling>
          <c:orientation val="minMax"/>
          <c:max val="65"/>
          <c:min val="-8"/>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92517632"/>
        <c:crosses val="autoZero"/>
        <c:crossBetween val="between"/>
        <c:majorUnit val="16"/>
      </c:valAx>
      <c:valAx>
        <c:axId val="405203200"/>
        <c:scaling>
          <c:orientation val="minMax"/>
          <c:max val="20"/>
          <c:min val="0"/>
        </c:scaling>
        <c:delete val="0"/>
        <c:axPos val="r"/>
        <c:numFmt formatCode="0.0" sourceLinked="1"/>
        <c:majorTickMark val="out"/>
        <c:minorTickMark val="none"/>
        <c:tickLblPos val="nextTo"/>
        <c:spPr>
          <a:ln>
            <a:noFill/>
          </a:ln>
        </c:spPr>
        <c:txPr>
          <a:bodyPr/>
          <a:lstStyle/>
          <a:p>
            <a:pPr>
              <a:defRPr>
                <a:solidFill>
                  <a:sysClr val="windowText" lastClr="000000"/>
                </a:solidFill>
              </a:defRPr>
            </a:pPr>
            <a:endParaRPr lang="en-US"/>
          </a:p>
        </c:txPr>
        <c:crossAx val="392518656"/>
        <c:crosses val="max"/>
        <c:crossBetween val="between"/>
        <c:majorUnit val="5"/>
      </c:valAx>
      <c:catAx>
        <c:axId val="392518656"/>
        <c:scaling>
          <c:orientation val="minMax"/>
        </c:scaling>
        <c:delete val="1"/>
        <c:axPos val="b"/>
        <c:numFmt formatCode="General" sourceLinked="1"/>
        <c:majorTickMark val="out"/>
        <c:minorTickMark val="none"/>
        <c:tickLblPos val="none"/>
        <c:crossAx val="405203200"/>
        <c:crosses val="autoZero"/>
        <c:auto val="1"/>
        <c:lblAlgn val="ctr"/>
        <c:lblOffset val="100"/>
        <c:noMultiLvlLbl val="0"/>
      </c:catAx>
      <c:spPr>
        <a:solidFill>
          <a:sysClr val="window" lastClr="FFFFFF"/>
        </a:solidFill>
        <a:ln>
          <a:noFill/>
        </a:ln>
        <a:effectLst/>
      </c:spPr>
    </c:plotArea>
    <c:legend>
      <c:legendPos val="b"/>
      <c:layout>
        <c:manualLayout>
          <c:xMode val="edge"/>
          <c:yMode val="edge"/>
          <c:x val="3.9212598425196851E-2"/>
          <c:y val="0.80816416783518497"/>
          <c:w val="0.92687606666201161"/>
          <c:h val="0.185351094811778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7.1054857812194963E-2"/>
          <c:w val="0.87658476118247253"/>
          <c:h val="0.59872481377615816"/>
        </c:manualLayout>
      </c:layout>
      <c:barChart>
        <c:barDir val="col"/>
        <c:grouping val="stacked"/>
        <c:varyColors val="0"/>
        <c:ser>
          <c:idx val="1"/>
          <c:order val="1"/>
          <c:tx>
            <c:strRef>
              <c:f>Sheet1!$A$3</c:f>
              <c:strCache>
                <c:ptCount val="1"/>
                <c:pt idx="0">
                  <c:v>արդյունաբերություն</c:v>
                </c:pt>
              </c:strCache>
            </c:strRef>
          </c:tx>
          <c:spPr>
            <a:solidFill>
              <a:schemeClr val="accent2"/>
            </a:solidFill>
            <a:ln>
              <a:noFill/>
            </a:ln>
            <a:effectLst/>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Sheet1!$B$3:$M$3</c:f>
              <c:numCache>
                <c:formatCode>0.0</c:formatCode>
                <c:ptCount val="12"/>
                <c:pt idx="0">
                  <c:v>0.55899941466061953</c:v>
                </c:pt>
                <c:pt idx="1">
                  <c:v>0.46032920358570445</c:v>
                </c:pt>
                <c:pt idx="2">
                  <c:v>0.88938641381965733</c:v>
                </c:pt>
                <c:pt idx="3">
                  <c:v>0.61084507284757272</c:v>
                </c:pt>
                <c:pt idx="4">
                  <c:v>0.74256835080226735</c:v>
                </c:pt>
                <c:pt idx="5">
                  <c:v>0.29039788052589316</c:v>
                </c:pt>
                <c:pt idx="6">
                  <c:v>0.13736217327606154</c:v>
                </c:pt>
                <c:pt idx="7">
                  <c:v>2.1657747931079496E-2</c:v>
                </c:pt>
                <c:pt idx="8">
                  <c:v>-7.3882275527636376E-2</c:v>
                </c:pt>
                <c:pt idx="9">
                  <c:v>-4.6222034439004231E-2</c:v>
                </c:pt>
                <c:pt idx="10">
                  <c:v>0.43527462747569023</c:v>
                </c:pt>
                <c:pt idx="11">
                  <c:v>0.79874374445541341</c:v>
                </c:pt>
              </c:numCache>
            </c:numRef>
          </c:val>
          <c:extLst>
            <c:ext xmlns:c16="http://schemas.microsoft.com/office/drawing/2014/chart" uri="{C3380CC4-5D6E-409C-BE32-E72D297353CC}">
              <c16:uniqueId val="{00000000-84F3-455B-8247-0BE6C4F07733}"/>
            </c:ext>
          </c:extLst>
        </c:ser>
        <c:ser>
          <c:idx val="2"/>
          <c:order val="2"/>
          <c:tx>
            <c:strRef>
              <c:f>Sheet1!$A$4</c:f>
              <c:strCache>
                <c:ptCount val="1"/>
                <c:pt idx="0">
                  <c:v>գյուղատնտեսություն</c:v>
                </c:pt>
              </c:strCache>
            </c:strRef>
          </c:tx>
          <c:spPr>
            <a:solidFill>
              <a:schemeClr val="accent3"/>
            </a:solidFill>
            <a:ln>
              <a:noFill/>
            </a:ln>
            <a:effectLst/>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Sheet1!$B$4:$M$4</c:f>
              <c:numCache>
                <c:formatCode>General</c:formatCode>
                <c:ptCount val="12"/>
                <c:pt idx="2" formatCode="0.0">
                  <c:v>9.0988759252692092E-2</c:v>
                </c:pt>
                <c:pt idx="5" formatCode="0.0">
                  <c:v>0.18197751850538418</c:v>
                </c:pt>
                <c:pt idx="8" formatCode="0.0">
                  <c:v>0.18197751850538418</c:v>
                </c:pt>
                <c:pt idx="11" formatCode="0.0">
                  <c:v>0</c:v>
                </c:pt>
              </c:numCache>
            </c:numRef>
          </c:val>
          <c:extLst>
            <c:ext xmlns:c16="http://schemas.microsoft.com/office/drawing/2014/chart" uri="{C3380CC4-5D6E-409C-BE32-E72D297353CC}">
              <c16:uniqueId val="{00000001-84F3-455B-8247-0BE6C4F07733}"/>
            </c:ext>
          </c:extLst>
        </c:ser>
        <c:ser>
          <c:idx val="3"/>
          <c:order val="3"/>
          <c:tx>
            <c:strRef>
              <c:f>Sheet1!$A$5</c:f>
              <c:strCache>
                <c:ptCount val="1"/>
                <c:pt idx="0">
                  <c:v>շինարարություն</c:v>
                </c:pt>
              </c:strCache>
            </c:strRef>
          </c:tx>
          <c:spPr>
            <a:solidFill>
              <a:srgbClr val="8064A2">
                <a:lumMod val="60000"/>
                <a:lumOff val="40000"/>
              </a:srgbClr>
            </a:solidFill>
            <a:ln>
              <a:noFill/>
            </a:ln>
            <a:effectLst/>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Sheet1!$B$5:$M$5</c:f>
              <c:numCache>
                <c:formatCode>0.0</c:formatCode>
                <c:ptCount val="12"/>
                <c:pt idx="0">
                  <c:v>0.91037338358597975</c:v>
                </c:pt>
                <c:pt idx="1">
                  <c:v>1.0372286911348458</c:v>
                </c:pt>
                <c:pt idx="2">
                  <c:v>1.2387047678301029</c:v>
                </c:pt>
                <c:pt idx="3">
                  <c:v>1.4401808445253608</c:v>
                </c:pt>
                <c:pt idx="4">
                  <c:v>1.2461668447447427</c:v>
                </c:pt>
                <c:pt idx="5">
                  <c:v>1.26855307548866</c:v>
                </c:pt>
                <c:pt idx="6">
                  <c:v>1.2834772293179386</c:v>
                </c:pt>
                <c:pt idx="7">
                  <c:v>1.2909393062325774</c:v>
                </c:pt>
                <c:pt idx="8">
                  <c:v>1.26855307548866</c:v>
                </c:pt>
                <c:pt idx="9">
                  <c:v>1.2237806140008254</c:v>
                </c:pt>
                <c:pt idx="10">
                  <c:v>1.164083998683711</c:v>
                </c:pt>
                <c:pt idx="11">
                  <c:v>1.1043873833665978</c:v>
                </c:pt>
              </c:numCache>
            </c:numRef>
          </c:val>
          <c:extLst>
            <c:ext xmlns:c16="http://schemas.microsoft.com/office/drawing/2014/chart" uri="{C3380CC4-5D6E-409C-BE32-E72D297353CC}">
              <c16:uniqueId val="{00000002-84F3-455B-8247-0BE6C4F07733}"/>
            </c:ext>
          </c:extLst>
        </c:ser>
        <c:ser>
          <c:idx val="4"/>
          <c:order val="4"/>
          <c:tx>
            <c:strRef>
              <c:f>Sheet1!$A$6</c:f>
              <c:strCache>
                <c:ptCount val="1"/>
                <c:pt idx="0">
                  <c:v>ծառայություններ</c:v>
                </c:pt>
              </c:strCache>
            </c:strRef>
          </c:tx>
          <c:spPr>
            <a:solidFill>
              <a:srgbClr val="4F81BD">
                <a:lumMod val="75000"/>
              </a:srgbClr>
            </a:solidFill>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Sheet1!$B$6:$M$6</c:f>
              <c:numCache>
                <c:formatCode>0.0</c:formatCode>
                <c:ptCount val="12"/>
                <c:pt idx="0">
                  <c:v>7.5847386656673885</c:v>
                </c:pt>
                <c:pt idx="1">
                  <c:v>6.9080753812911793</c:v>
                </c:pt>
                <c:pt idx="2">
                  <c:v>6.6588939529741014</c:v>
                </c:pt>
                <c:pt idx="3">
                  <c:v>6.6093493292134493</c:v>
                </c:pt>
                <c:pt idx="4">
                  <c:v>6.1625650400912644</c:v>
                </c:pt>
                <c:pt idx="5">
                  <c:v>5.419110356367022</c:v>
                </c:pt>
                <c:pt idx="6">
                  <c:v>4.8957357874639582</c:v>
                </c:pt>
                <c:pt idx="7">
                  <c:v>4.7622638724368977</c:v>
                </c:pt>
                <c:pt idx="8">
                  <c:v>4.4244807797233827</c:v>
                </c:pt>
                <c:pt idx="9">
                  <c:v>4.1523864996505182</c:v>
                </c:pt>
                <c:pt idx="10">
                  <c:v>3.9577507426690852</c:v>
                </c:pt>
                <c:pt idx="11">
                  <c:v>3.8289769703099372</c:v>
                </c:pt>
              </c:numCache>
            </c:numRef>
          </c:val>
          <c:extLst>
            <c:ext xmlns:c16="http://schemas.microsoft.com/office/drawing/2014/chart" uri="{C3380CC4-5D6E-409C-BE32-E72D297353CC}">
              <c16:uniqueId val="{00000003-84F3-455B-8247-0BE6C4F07733}"/>
            </c:ext>
          </c:extLst>
        </c:ser>
        <c:ser>
          <c:idx val="5"/>
          <c:order val="5"/>
          <c:tx>
            <c:strRef>
              <c:f>Sheet1!$A$7</c:f>
              <c:strCache>
                <c:ptCount val="1"/>
                <c:pt idx="0">
                  <c:v>առևտուր</c:v>
                </c:pt>
              </c:strCache>
            </c:strRef>
          </c:tx>
          <c:spPr>
            <a:solidFill>
              <a:srgbClr val="FAC090"/>
            </a:solidFill>
          </c:spPr>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Sheet1!$B$7:$M$7</c:f>
              <c:numCache>
                <c:formatCode>0.0</c:formatCode>
                <c:ptCount val="12"/>
                <c:pt idx="0">
                  <c:v>2.2494476716460814</c:v>
                </c:pt>
                <c:pt idx="1">
                  <c:v>2.2875739033688958</c:v>
                </c:pt>
                <c:pt idx="2">
                  <c:v>2.6688362205970453</c:v>
                </c:pt>
                <c:pt idx="3">
                  <c:v>2.9484285865643551</c:v>
                </c:pt>
                <c:pt idx="4">
                  <c:v>3.1136422573632196</c:v>
                </c:pt>
                <c:pt idx="5">
                  <c:v>2.9992635621947739</c:v>
                </c:pt>
                <c:pt idx="6">
                  <c:v>2.9230110987491447</c:v>
                </c:pt>
                <c:pt idx="7">
                  <c:v>2.935719842656749</c:v>
                </c:pt>
                <c:pt idx="8">
                  <c:v>2.9103023548415408</c:v>
                </c:pt>
                <c:pt idx="9">
                  <c:v>2.9611373304719595</c:v>
                </c:pt>
                <c:pt idx="10">
                  <c:v>3.0882247695480092</c:v>
                </c:pt>
                <c:pt idx="11">
                  <c:v>3.2661471842544794</c:v>
                </c:pt>
              </c:numCache>
            </c:numRef>
          </c:val>
          <c:extLst>
            <c:ext xmlns:c16="http://schemas.microsoft.com/office/drawing/2014/chart" uri="{C3380CC4-5D6E-409C-BE32-E72D297353CC}">
              <c16:uniqueId val="{00000004-84F3-455B-8247-0BE6C4F07733}"/>
            </c:ext>
          </c:extLst>
        </c:ser>
        <c:ser>
          <c:idx val="6"/>
          <c:order val="6"/>
          <c:tx>
            <c:strRef>
              <c:f>Sheet1!$A$8</c:f>
              <c:strCache>
                <c:ptCount val="1"/>
                <c:pt idx="0">
                  <c:v>այլ </c:v>
                </c:pt>
              </c:strCache>
            </c:strRef>
          </c:tx>
          <c:invertIfNegative val="0"/>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Sheet1!$B$8:$M$8</c:f>
              <c:numCache>
                <c:formatCode>0.0</c:formatCode>
                <c:ptCount val="12"/>
                <c:pt idx="0">
                  <c:v>-0.2210004683779565</c:v>
                </c:pt>
                <c:pt idx="1">
                  <c:v>0.51482083269976497</c:v>
                </c:pt>
                <c:pt idx="2">
                  <c:v>0.65800444906901223</c:v>
                </c:pt>
                <c:pt idx="3">
                  <c:v>0.62203169700244754</c:v>
                </c:pt>
                <c:pt idx="4">
                  <c:v>1.2738280590830917</c:v>
                </c:pt>
                <c:pt idx="5">
                  <c:v>1.2406976069182734</c:v>
                </c:pt>
                <c:pt idx="6">
                  <c:v>1.1604137111929029</c:v>
                </c:pt>
                <c:pt idx="7">
                  <c:v>1.389419230742702</c:v>
                </c:pt>
                <c:pt idx="8">
                  <c:v>0.98856854696867114</c:v>
                </c:pt>
                <c:pt idx="9">
                  <c:v>0.90891759031570496</c:v>
                </c:pt>
                <c:pt idx="10">
                  <c:v>0.75466586162350913</c:v>
                </c:pt>
                <c:pt idx="11">
                  <c:v>0.40174471761357822</c:v>
                </c:pt>
              </c:numCache>
            </c:numRef>
          </c:val>
          <c:extLst>
            <c:ext xmlns:c16="http://schemas.microsoft.com/office/drawing/2014/chart" uri="{C3380CC4-5D6E-409C-BE32-E72D297353CC}">
              <c16:uniqueId val="{00000005-84F3-455B-8247-0BE6C4F07733}"/>
            </c:ext>
          </c:extLst>
        </c:ser>
        <c:dLbls>
          <c:showLegendKey val="0"/>
          <c:showVal val="0"/>
          <c:showCatName val="0"/>
          <c:showSerName val="0"/>
          <c:showPercent val="0"/>
          <c:showBubbleSize val="0"/>
        </c:dLbls>
        <c:gapWidth val="150"/>
        <c:overlap val="100"/>
        <c:axId val="404682240"/>
        <c:axId val="405205504"/>
      </c:barChart>
      <c:lineChart>
        <c:grouping val="standard"/>
        <c:varyColors val="0"/>
        <c:ser>
          <c:idx val="0"/>
          <c:order val="0"/>
          <c:tx>
            <c:strRef>
              <c:f>Sheet1!$A$2</c:f>
              <c:strCache>
                <c:ptCount val="1"/>
                <c:pt idx="0">
                  <c:v>ՏԱՑ</c:v>
                </c:pt>
              </c:strCache>
            </c:strRef>
          </c:tx>
          <c:spPr>
            <a:effectLst/>
          </c:spPr>
          <c:marker>
            <c:spPr>
              <a:solidFill>
                <a:srgbClr val="1F497D"/>
              </a:solidFill>
              <a:ln>
                <a:noFill/>
              </a:ln>
            </c:spPr>
          </c:marker>
          <c:dLbls>
            <c:dLbl>
              <c:idx val="0"/>
              <c:layout>
                <c:manualLayout>
                  <c:x val="-6.1780415909549767E-2"/>
                  <c:y val="-3.8917024772825055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F3-455B-8247-0BE6C4F07733}"/>
                </c:ext>
              </c:extLst>
            </c:dLbl>
            <c:dLbl>
              <c:idx val="1"/>
              <c:layout>
                <c:manualLayout>
                  <c:x val="-6.18463153644256E-2"/>
                  <c:y val="-5.2083581718183843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F3-455B-8247-0BE6C4F07733}"/>
                </c:ext>
              </c:extLst>
            </c:dLbl>
            <c:dLbl>
              <c:idx val="2"/>
              <c:layout>
                <c:manualLayout>
                  <c:x val="-6.1538461538461577E-2"/>
                  <c:y val="-4.3785540632305754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4F3-455B-8247-0BE6C4F07733}"/>
                </c:ext>
              </c:extLst>
            </c:dLbl>
            <c:dLbl>
              <c:idx val="3"/>
              <c:layout>
                <c:manualLayout>
                  <c:x val="-6.1802382394508339E-2"/>
                  <c:y val="-5.3797825962998876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F3-455B-8247-0BE6C4F07733}"/>
                </c:ext>
              </c:extLst>
            </c:dLbl>
            <c:dLbl>
              <c:idx val="4"/>
              <c:layout>
                <c:manualLayout>
                  <c:x val="-5.3355299818292019E-2"/>
                  <c:y val="-4.195932881661682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4F3-455B-8247-0BE6C4F07733}"/>
                </c:ext>
              </c:extLst>
            </c:dLbl>
            <c:dLbl>
              <c:idx val="5"/>
              <c:layout>
                <c:manualLayout>
                  <c:x val="-5.3333333333333337E-2"/>
                  <c:y val="-4.6082949308755769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4F3-455B-8247-0BE6C4F07733}"/>
                </c:ext>
              </c:extLst>
            </c:dLbl>
            <c:dLbl>
              <c:idx val="6"/>
              <c:layout>
                <c:manualLayout>
                  <c:x val="-6.564102564102571E-2"/>
                  <c:y val="-4.6082949308755776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4F3-455B-8247-0BE6C4F07733}"/>
                </c:ext>
              </c:extLst>
            </c:dLbl>
            <c:dLbl>
              <c:idx val="7"/>
              <c:layout>
                <c:manualLayout>
                  <c:x val="-5.7435897435897436E-2"/>
                  <c:y val="-4.6082949308755762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4F3-455B-8247-0BE6C4F07733}"/>
                </c:ext>
              </c:extLst>
            </c:dLbl>
            <c:dLbl>
              <c:idx val="8"/>
              <c:layout>
                <c:manualLayout>
                  <c:x val="-5.3333333333333482E-2"/>
                  <c:y val="-4.6082949308755762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4F3-455B-8247-0BE6C4F07733}"/>
                </c:ext>
              </c:extLst>
            </c:dLbl>
            <c:dLbl>
              <c:idx val="9"/>
              <c:layout>
                <c:manualLayout>
                  <c:x val="-5.7435897435897436E-2"/>
                  <c:y val="-5.2666227781435156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4F3-455B-8247-0BE6C4F07733}"/>
                </c:ext>
              </c:extLst>
            </c:dLbl>
            <c:dLbl>
              <c:idx val="10"/>
              <c:layout>
                <c:manualLayout>
                  <c:x val="-6.1538461538461542E-2"/>
                  <c:y val="-5.2666227781435156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4F3-455B-8247-0BE6C4F07733}"/>
                </c:ext>
              </c:extLst>
            </c:dLbl>
            <c:dLbl>
              <c:idx val="11"/>
              <c:layout>
                <c:manualLayout>
                  <c:x val="-2.0512820512820662E-2"/>
                  <c:y val="-4.6082949308755769E-2"/>
                </c:manualLayout>
              </c:layout>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4F3-455B-8247-0BE6C4F0773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12"/>
                <c:pt idx="0">
                  <c:v>I</c:v>
                </c:pt>
                <c:pt idx="1">
                  <c:v>I-II</c:v>
                </c:pt>
                <c:pt idx="2">
                  <c:v>I-III</c:v>
                </c:pt>
                <c:pt idx="3">
                  <c:v>I-IV</c:v>
                </c:pt>
                <c:pt idx="4">
                  <c:v>I-V </c:v>
                </c:pt>
                <c:pt idx="5">
                  <c:v>I-VI</c:v>
                </c:pt>
                <c:pt idx="6">
                  <c:v>I-VII</c:v>
                </c:pt>
                <c:pt idx="7">
                  <c:v>I-VIII</c:v>
                </c:pt>
                <c:pt idx="8">
                  <c:v>I-IX</c:v>
                </c:pt>
                <c:pt idx="9">
                  <c:v>I-X</c:v>
                </c:pt>
                <c:pt idx="10">
                  <c:v>I-XI</c:v>
                </c:pt>
                <c:pt idx="11">
                  <c:v>I-XII</c:v>
                </c:pt>
              </c:strCache>
            </c:strRef>
          </c:cat>
          <c:val>
            <c:numRef>
              <c:f>Sheet1!$B$2:$M$2</c:f>
              <c:numCache>
                <c:formatCode>0.0</c:formatCode>
                <c:ptCount val="12"/>
                <c:pt idx="0">
                  <c:v>11.082558667182113</c:v>
                </c:pt>
                <c:pt idx="1">
                  <c:v>11.208028012080391</c:v>
                </c:pt>
                <c:pt idx="2">
                  <c:v>12.204814563542612</c:v>
                </c:pt>
                <c:pt idx="3">
                  <c:v>12.230835530153186</c:v>
                </c:pt>
                <c:pt idx="4">
                  <c:v>12.538770552084586</c:v>
                </c:pt>
                <c:pt idx="5">
                  <c:v>11.400000000000006</c:v>
                </c:pt>
                <c:pt idx="6">
                  <c:v>10.400000000000006</c:v>
                </c:pt>
                <c:pt idx="7">
                  <c:v>10.400000000000006</c:v>
                </c:pt>
                <c:pt idx="8">
                  <c:v>9.7000000000000028</c:v>
                </c:pt>
                <c:pt idx="9">
                  <c:v>9.2000000000000028</c:v>
                </c:pt>
                <c:pt idx="10">
                  <c:v>9.4000000000000057</c:v>
                </c:pt>
                <c:pt idx="11">
                  <c:v>9.4000000000000057</c:v>
                </c:pt>
              </c:numCache>
            </c:numRef>
          </c:val>
          <c:smooth val="0"/>
          <c:extLst>
            <c:ext xmlns:c16="http://schemas.microsoft.com/office/drawing/2014/chart" uri="{C3380CC4-5D6E-409C-BE32-E72D297353CC}">
              <c16:uniqueId val="{00000012-84F3-455B-8247-0BE6C4F07733}"/>
            </c:ext>
          </c:extLst>
        </c:ser>
        <c:dLbls>
          <c:showLegendKey val="0"/>
          <c:showVal val="0"/>
          <c:showCatName val="0"/>
          <c:showSerName val="0"/>
          <c:showPercent val="0"/>
          <c:showBubbleSize val="0"/>
        </c:dLbls>
        <c:marker val="1"/>
        <c:smooth val="0"/>
        <c:axId val="404682240"/>
        <c:axId val="405205504"/>
      </c:lineChart>
      <c:catAx>
        <c:axId val="4046822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05205504"/>
        <c:crosses val="autoZero"/>
        <c:auto val="1"/>
        <c:lblAlgn val="ctr"/>
        <c:lblOffset val="100"/>
        <c:noMultiLvlLbl val="0"/>
      </c:catAx>
      <c:valAx>
        <c:axId val="405205504"/>
        <c:scaling>
          <c:orientation val="minMax"/>
          <c:max val="15"/>
          <c:min val="-2"/>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04682240"/>
        <c:crosses val="autoZero"/>
        <c:crossBetween val="between"/>
        <c:majorUnit val="2"/>
      </c:valAx>
      <c:spPr>
        <a:solidFill>
          <a:sysClr val="window" lastClr="FFFFFF"/>
        </a:solidFill>
        <a:ln>
          <a:noFill/>
        </a:ln>
        <a:effectLst/>
      </c:spPr>
    </c:plotArea>
    <c:legend>
      <c:legendPos val="b"/>
      <c:layout>
        <c:manualLayout>
          <c:xMode val="edge"/>
          <c:yMode val="edge"/>
          <c:x val="3.9212662156607202E-2"/>
          <c:y val="0.78380617169397593"/>
          <c:w val="0.93458477517078753"/>
          <c:h val="0.21619382830602396"/>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8.7809486715230117E-2"/>
          <c:w val="0.87658476118247253"/>
          <c:h val="0.60671870394542926"/>
        </c:manualLayout>
      </c:layout>
      <c:barChart>
        <c:barDir val="col"/>
        <c:grouping val="stacked"/>
        <c:varyColors val="0"/>
        <c:ser>
          <c:idx val="1"/>
          <c:order val="1"/>
          <c:tx>
            <c:strRef>
              <c:f>Sheet1!$A$3</c:f>
              <c:strCache>
                <c:ptCount val="1"/>
                <c:pt idx="0">
                  <c:v>արդյունաբերություն</c:v>
                </c:pt>
              </c:strCache>
            </c:strRef>
          </c:tx>
          <c:spPr>
            <a:solidFill>
              <a:schemeClr val="accent2"/>
            </a:solidFill>
            <a:ln>
              <a:noFill/>
            </a:ln>
            <a:effectLst/>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0.0</c:formatCode>
                <c:ptCount val="12"/>
                <c:pt idx="0">
                  <c:v>0.28361096295453792</c:v>
                </c:pt>
                <c:pt idx="1">
                  <c:v>0.14180548147726896</c:v>
                </c:pt>
                <c:pt idx="2">
                  <c:v>1.7421816295778676</c:v>
                </c:pt>
                <c:pt idx="3">
                  <c:v>-0.16206340740259187</c:v>
                </c:pt>
                <c:pt idx="4">
                  <c:v>1.0736700740421743</c:v>
                </c:pt>
                <c:pt idx="5">
                  <c:v>-1.4990865184739812</c:v>
                </c:pt>
                <c:pt idx="6">
                  <c:v>-0.48619022220777847</c:v>
                </c:pt>
                <c:pt idx="7">
                  <c:v>-0.74954325923699061</c:v>
                </c:pt>
                <c:pt idx="8">
                  <c:v>-0.8710908147889338</c:v>
                </c:pt>
                <c:pt idx="9">
                  <c:v>0.12154755555194317</c:v>
                </c:pt>
                <c:pt idx="10">
                  <c:v>4.8213863702271249</c:v>
                </c:pt>
                <c:pt idx="11">
                  <c:v>4.0515851850648108</c:v>
                </c:pt>
              </c:numCache>
            </c:numRef>
          </c:val>
          <c:extLst>
            <c:ext xmlns:c16="http://schemas.microsoft.com/office/drawing/2014/chart" uri="{C3380CC4-5D6E-409C-BE32-E72D297353CC}">
              <c16:uniqueId val="{00000000-A603-48B1-A66C-888D2292E950}"/>
            </c:ext>
          </c:extLst>
        </c:ser>
        <c:ser>
          <c:idx val="2"/>
          <c:order val="2"/>
          <c:tx>
            <c:strRef>
              <c:f>Sheet1!$A$4</c:f>
              <c:strCache>
                <c:ptCount val="1"/>
                <c:pt idx="0">
                  <c:v>շինարարություն</c:v>
                </c:pt>
              </c:strCache>
            </c:strRef>
          </c:tx>
          <c:spPr>
            <a:solidFill>
              <a:srgbClr val="8064A2">
                <a:lumMod val="60000"/>
                <a:lumOff val="40000"/>
              </a:srgbClr>
            </a:solidFill>
            <a:ln>
              <a:noFill/>
            </a:ln>
            <a:effectLst/>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Sheet1!$B$4:$M$4</c:f>
              <c:numCache>
                <c:formatCode>0.0</c:formatCode>
                <c:ptCount val="12"/>
                <c:pt idx="0">
                  <c:v>0.91037338358597975</c:v>
                </c:pt>
                <c:pt idx="1">
                  <c:v>1.0372286911348458</c:v>
                </c:pt>
                <c:pt idx="2">
                  <c:v>1.2387047678301029</c:v>
                </c:pt>
                <c:pt idx="3">
                  <c:v>1.4401808445253608</c:v>
                </c:pt>
                <c:pt idx="4">
                  <c:v>1.3730221522936088</c:v>
                </c:pt>
                <c:pt idx="5">
                  <c:v>1.3506359215496906</c:v>
                </c:pt>
                <c:pt idx="6">
                  <c:v>1.3282496908057733</c:v>
                </c:pt>
                <c:pt idx="7">
                  <c:v>1.3058634600618559</c:v>
                </c:pt>
                <c:pt idx="8">
                  <c:v>1.1715460755983509</c:v>
                </c:pt>
                <c:pt idx="9">
                  <c:v>1.0148424603909276</c:v>
                </c:pt>
                <c:pt idx="10">
                  <c:v>0.85067676826886651</c:v>
                </c:pt>
                <c:pt idx="11">
                  <c:v>0.85813884518350525</c:v>
                </c:pt>
              </c:numCache>
            </c:numRef>
          </c:val>
          <c:extLst>
            <c:ext xmlns:c16="http://schemas.microsoft.com/office/drawing/2014/chart" uri="{C3380CC4-5D6E-409C-BE32-E72D297353CC}">
              <c16:uniqueId val="{00000001-A603-48B1-A66C-888D2292E950}"/>
            </c:ext>
          </c:extLst>
        </c:ser>
        <c:ser>
          <c:idx val="3"/>
          <c:order val="3"/>
          <c:tx>
            <c:strRef>
              <c:f>Sheet1!$A$5</c:f>
              <c:strCache>
                <c:ptCount val="1"/>
                <c:pt idx="0">
                  <c:v>ծառայություններ</c:v>
                </c:pt>
              </c:strCache>
            </c:strRef>
          </c:tx>
          <c:spPr>
            <a:solidFill>
              <a:srgbClr val="4F81BD">
                <a:lumMod val="75000"/>
              </a:srgbClr>
            </a:solidFill>
            <a:ln>
              <a:noFill/>
            </a:ln>
            <a:effectLst/>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Sheet1!$B$5:$M$5</c:f>
              <c:numCache>
                <c:formatCode>0.0</c:formatCode>
                <c:ptCount val="12"/>
                <c:pt idx="0">
                  <c:v>12.483193511573912</c:v>
                </c:pt>
                <c:pt idx="1">
                  <c:v>10.217903569319187</c:v>
                </c:pt>
                <c:pt idx="2">
                  <c:v>10.555287177740103</c:v>
                </c:pt>
                <c:pt idx="3">
                  <c:v>9.8323223025524253</c:v>
                </c:pt>
                <c:pt idx="4">
                  <c:v>5.9283119765389598</c:v>
                </c:pt>
                <c:pt idx="5">
                  <c:v>1.9279063338338085</c:v>
                </c:pt>
                <c:pt idx="6">
                  <c:v>2.7954641840590209</c:v>
                </c:pt>
                <c:pt idx="7">
                  <c:v>6.6512768517266379</c:v>
                </c:pt>
                <c:pt idx="8">
                  <c:v>2.2170922839088769</c:v>
                </c:pt>
                <c:pt idx="9">
                  <c:v>1.0121508252627467</c:v>
                </c:pt>
                <c:pt idx="10">
                  <c:v>1.1567438003002879</c:v>
                </c:pt>
                <c:pt idx="11">
                  <c:v>1.6387203837587399</c:v>
                </c:pt>
              </c:numCache>
            </c:numRef>
          </c:val>
          <c:extLst>
            <c:ext xmlns:c16="http://schemas.microsoft.com/office/drawing/2014/chart" uri="{C3380CC4-5D6E-409C-BE32-E72D297353CC}">
              <c16:uniqueId val="{00000002-A603-48B1-A66C-888D2292E950}"/>
            </c:ext>
          </c:extLst>
        </c:ser>
        <c:ser>
          <c:idx val="4"/>
          <c:order val="4"/>
          <c:tx>
            <c:strRef>
              <c:f>Sheet1!$A$6</c:f>
              <c:strCache>
                <c:ptCount val="1"/>
                <c:pt idx="0">
                  <c:v>առևտուր</c:v>
                </c:pt>
              </c:strCache>
            </c:strRef>
          </c:tx>
          <c:spPr>
            <a:solidFill>
              <a:srgbClr val="FAC090"/>
            </a:solidFill>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Sheet1!$B$6:$M$6</c:f>
              <c:numCache>
                <c:formatCode>0.0</c:formatCode>
                <c:ptCount val="12"/>
                <c:pt idx="0">
                  <c:v>2.2494476716460814</c:v>
                </c:pt>
                <c:pt idx="1">
                  <c:v>2.3129913911841062</c:v>
                </c:pt>
                <c:pt idx="2">
                  <c:v>3.3169821598848985</c:v>
                </c:pt>
                <c:pt idx="3">
                  <c:v>3.6728269892978394</c:v>
                </c:pt>
                <c:pt idx="4">
                  <c:v>3.6347007575750228</c:v>
                </c:pt>
                <c:pt idx="5">
                  <c:v>2.57987501324381</c:v>
                </c:pt>
                <c:pt idx="6">
                  <c:v>2.5925837571514161</c:v>
                </c:pt>
                <c:pt idx="7">
                  <c:v>2.9865548182871695</c:v>
                </c:pt>
                <c:pt idx="8">
                  <c:v>2.7705061718578845</c:v>
                </c:pt>
                <c:pt idx="9">
                  <c:v>3.3423996477001086</c:v>
                </c:pt>
                <c:pt idx="10">
                  <c:v>4.0795067943411967</c:v>
                </c:pt>
                <c:pt idx="11">
                  <c:v>4.5624390628301876</c:v>
                </c:pt>
              </c:numCache>
            </c:numRef>
          </c:val>
          <c:extLst>
            <c:ext xmlns:c16="http://schemas.microsoft.com/office/drawing/2014/chart" uri="{C3380CC4-5D6E-409C-BE32-E72D297353CC}">
              <c16:uniqueId val="{00000003-A603-48B1-A66C-888D2292E950}"/>
            </c:ext>
          </c:extLst>
        </c:ser>
        <c:ser>
          <c:idx val="5"/>
          <c:order val="5"/>
          <c:tx>
            <c:strRef>
              <c:f>Sheet1!$A$7</c:f>
              <c:strCache>
                <c:ptCount val="1"/>
                <c:pt idx="0">
                  <c:v>այլ </c:v>
                </c:pt>
              </c:strCache>
            </c:strRef>
          </c:tx>
          <c:spPr>
            <a:solidFill>
              <a:srgbClr val="4F81BD">
                <a:lumMod val="60000"/>
                <a:lumOff val="40000"/>
              </a:srgbClr>
            </a:solidFill>
          </c:spPr>
          <c:invertIfNegative val="0"/>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Sheet1!$B$7:$M$7</c:f>
              <c:numCache>
                <c:formatCode>0.0</c:formatCode>
                <c:ptCount val="12"/>
                <c:pt idx="0">
                  <c:v>-4.8440668625783978</c:v>
                </c:pt>
                <c:pt idx="1">
                  <c:v>-2.3832089496495694</c:v>
                </c:pt>
                <c:pt idx="2">
                  <c:v>-2.8577094677058028</c:v>
                </c:pt>
                <c:pt idx="3">
                  <c:v>-2.4832667289730352</c:v>
                </c:pt>
                <c:pt idx="4">
                  <c:v>1.5902950395502273</c:v>
                </c:pt>
                <c:pt idx="5">
                  <c:v>2.4406692498466693</c:v>
                </c:pt>
                <c:pt idx="6">
                  <c:v>-0.23010740980843103</c:v>
                </c:pt>
                <c:pt idx="7">
                  <c:v>0.70584812916133188</c:v>
                </c:pt>
                <c:pt idx="8">
                  <c:v>1.1946283423818649E-2</c:v>
                </c:pt>
                <c:pt idx="9">
                  <c:v>0.50905951109427328</c:v>
                </c:pt>
                <c:pt idx="10">
                  <c:v>0.29168626686252708</c:v>
                </c:pt>
                <c:pt idx="11">
                  <c:v>-1.6108834768372446</c:v>
                </c:pt>
              </c:numCache>
            </c:numRef>
          </c:val>
          <c:extLst>
            <c:ext xmlns:c16="http://schemas.microsoft.com/office/drawing/2014/chart" uri="{C3380CC4-5D6E-409C-BE32-E72D297353CC}">
              <c16:uniqueId val="{00000004-A603-48B1-A66C-888D2292E950}"/>
            </c:ext>
          </c:extLst>
        </c:ser>
        <c:dLbls>
          <c:showLegendKey val="0"/>
          <c:showVal val="0"/>
          <c:showCatName val="0"/>
          <c:showSerName val="0"/>
          <c:showPercent val="0"/>
          <c:showBubbleSize val="0"/>
        </c:dLbls>
        <c:gapWidth val="219"/>
        <c:overlap val="100"/>
        <c:axId val="404684288"/>
        <c:axId val="405204928"/>
      </c:barChart>
      <c:lineChart>
        <c:grouping val="standard"/>
        <c:varyColors val="0"/>
        <c:ser>
          <c:idx val="0"/>
          <c:order val="0"/>
          <c:tx>
            <c:strRef>
              <c:f>Sheet1!$A$2</c:f>
              <c:strCache>
                <c:ptCount val="1"/>
                <c:pt idx="0">
                  <c:v>ՏԱՑ</c:v>
                </c:pt>
              </c:strCache>
            </c:strRef>
          </c:tx>
          <c:spPr>
            <a:effectLst/>
          </c:spPr>
          <c:marker>
            <c:spPr>
              <a:solidFill>
                <a:srgbClr val="1F497D"/>
              </a:solidFill>
              <a:ln>
                <a:noFill/>
              </a:ln>
            </c:spPr>
          </c:marker>
          <c:dLbls>
            <c:dLbl>
              <c:idx val="0"/>
              <c:layout>
                <c:manualLayout>
                  <c:x val="-7.0443544714639372E-2"/>
                  <c:y val="3.86783904848198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603-48B1-A66C-888D2292E950}"/>
                </c:ext>
              </c:extLst>
            </c:dLbl>
            <c:dLbl>
              <c:idx val="1"/>
              <c:layout>
                <c:manualLayout>
                  <c:x val="-6.6155973405532545E-2"/>
                  <c:y val="4.5161372656618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603-48B1-A66C-888D2292E950}"/>
                </c:ext>
              </c:extLst>
            </c:dLbl>
            <c:dLbl>
              <c:idx val="2"/>
              <c:layout>
                <c:manualLayout>
                  <c:x val="-7.4325849615916109E-2"/>
                  <c:y val="-4.516137521579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603-48B1-A66C-888D2292E950}"/>
                </c:ext>
              </c:extLst>
            </c:dLbl>
            <c:dLbl>
              <c:idx val="3"/>
              <c:layout>
                <c:manualLayout>
                  <c:x val="-7.0122100389904657E-2"/>
                  <c:y val="-5.75729504400185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603-48B1-A66C-888D2292E950}"/>
                </c:ext>
              </c:extLst>
            </c:dLbl>
            <c:dLbl>
              <c:idx val="4"/>
              <c:layout>
                <c:manualLayout>
                  <c:x val="-6.6230814784320885E-2"/>
                  <c:y val="-3.04318076550591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603-48B1-A66C-888D2292E950}"/>
                </c:ext>
              </c:extLst>
            </c:dLbl>
            <c:dLbl>
              <c:idx val="5"/>
              <c:layout>
                <c:manualLayout>
                  <c:x val="-6.745603660480945E-2"/>
                  <c:y val="-4.5179270706134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603-48B1-A66C-888D2292E950}"/>
                </c:ext>
              </c:extLst>
            </c:dLbl>
            <c:dLbl>
              <c:idx val="6"/>
              <c:layout>
                <c:manualLayout>
                  <c:x val="-5.8885383806519455E-2"/>
                  <c:y val="-5.1863857374392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603-48B1-A66C-888D2292E950}"/>
                </c:ext>
              </c:extLst>
            </c:dLbl>
            <c:dLbl>
              <c:idx val="7"/>
              <c:layout>
                <c:manualLayout>
                  <c:x val="-6.3170628419679728E-2"/>
                  <c:y val="-5.1662175249484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603-48B1-A66C-888D2292E950}"/>
                </c:ext>
              </c:extLst>
            </c:dLbl>
            <c:dLbl>
              <c:idx val="8"/>
              <c:layout>
                <c:manualLayout>
                  <c:x val="-5.0790522836670349E-2"/>
                  <c:y val="-4.51792707061349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603-48B1-A66C-888D2292E950}"/>
                </c:ext>
              </c:extLst>
            </c:dLbl>
            <c:dLbl>
              <c:idx val="9"/>
              <c:layout>
                <c:manualLayout>
                  <c:x val="-6.3963935084501836E-2"/>
                  <c:y val="-6.1369426081098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603-48B1-A66C-888D2292E950}"/>
                </c:ext>
              </c:extLst>
            </c:dLbl>
            <c:dLbl>
              <c:idx val="10"/>
              <c:layout>
                <c:manualLayout>
                  <c:x val="-6.8566530962074296E-2"/>
                  <c:y val="-4.6791443850267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603-48B1-A66C-888D2292E950}"/>
                </c:ext>
              </c:extLst>
            </c:dLbl>
            <c:dLbl>
              <c:idx val="11"/>
              <c:layout>
                <c:manualLayout>
                  <c:x val="-8.5708163702592679E-3"/>
                  <c:y val="-4.0106951871657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603-48B1-A66C-888D2292E950}"/>
                </c:ext>
              </c:extLst>
            </c:dLbl>
            <c:spPr>
              <a:noFill/>
              <a:ln>
                <a:noFill/>
              </a:ln>
              <a:effectLst/>
            </c:spPr>
            <c:txPr>
              <a:bodyPr wrap="square" lIns="38100" tIns="19050" rIns="38100" bIns="19050" anchor="ctr">
                <a:spAutoFit/>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0.0</c:formatCode>
                <c:ptCount val="12"/>
                <c:pt idx="0">
                  <c:v>11.082558667182113</c:v>
                </c:pt>
                <c:pt idx="1">
                  <c:v>11.326720183465838</c:v>
                </c:pt>
                <c:pt idx="2">
                  <c:v>13.995446267327168</c:v>
                </c:pt>
                <c:pt idx="3">
                  <c:v>12.299999999999997</c:v>
                </c:pt>
                <c:pt idx="4">
                  <c:v>13.599999999999994</c:v>
                </c:pt>
                <c:pt idx="5">
                  <c:v>6.7999999999999972</c:v>
                </c:pt>
                <c:pt idx="6">
                  <c:v>6</c:v>
                </c:pt>
                <c:pt idx="7">
                  <c:v>10.900000000000006</c:v>
                </c:pt>
                <c:pt idx="8">
                  <c:v>5.2999999999999972</c:v>
                </c:pt>
                <c:pt idx="9">
                  <c:v>6</c:v>
                </c:pt>
                <c:pt idx="10">
                  <c:v>11.200000000000003</c:v>
                </c:pt>
                <c:pt idx="11">
                  <c:v>9.5</c:v>
                </c:pt>
              </c:numCache>
            </c:numRef>
          </c:val>
          <c:smooth val="0"/>
          <c:extLst>
            <c:ext xmlns:c16="http://schemas.microsoft.com/office/drawing/2014/chart" uri="{C3380CC4-5D6E-409C-BE32-E72D297353CC}">
              <c16:uniqueId val="{00000011-A603-48B1-A66C-888D2292E950}"/>
            </c:ext>
          </c:extLst>
        </c:ser>
        <c:dLbls>
          <c:showLegendKey val="0"/>
          <c:showVal val="0"/>
          <c:showCatName val="0"/>
          <c:showSerName val="0"/>
          <c:showPercent val="0"/>
          <c:showBubbleSize val="0"/>
        </c:dLbls>
        <c:marker val="1"/>
        <c:smooth val="0"/>
        <c:axId val="404684288"/>
        <c:axId val="405204928"/>
      </c:lineChart>
      <c:catAx>
        <c:axId val="4046842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05204928"/>
        <c:crosses val="autoZero"/>
        <c:auto val="1"/>
        <c:lblAlgn val="ctr"/>
        <c:lblOffset val="100"/>
        <c:noMultiLvlLbl val="0"/>
      </c:catAx>
      <c:valAx>
        <c:axId val="405204928"/>
        <c:scaling>
          <c:orientation val="minMax"/>
          <c:max val="18"/>
          <c:min val="-6"/>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04684288"/>
        <c:crosses val="autoZero"/>
        <c:crossBetween val="between"/>
        <c:majorUnit val="3"/>
      </c:valAx>
      <c:spPr>
        <a:solidFill>
          <a:sysClr val="window" lastClr="FFFFFF"/>
        </a:solidFill>
        <a:ln>
          <a:noFill/>
        </a:ln>
        <a:effectLst/>
      </c:spPr>
    </c:plotArea>
    <c:legend>
      <c:legendPos val="b"/>
      <c:layout>
        <c:manualLayout>
          <c:xMode val="edge"/>
          <c:yMode val="edge"/>
          <c:x val="4.7624630517399839E-2"/>
          <c:y val="0.81048201227682859"/>
          <c:w val="0.89929391995059982"/>
          <c:h val="0.18303500555137253"/>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71697287839014E-2"/>
          <c:y val="6.2195054565547726E-2"/>
          <c:w val="0.84915654061760815"/>
          <c:h val="0.56678147946515134"/>
        </c:manualLayout>
      </c:layout>
      <c:barChart>
        <c:barDir val="col"/>
        <c:grouping val="clustered"/>
        <c:varyColors val="0"/>
        <c:ser>
          <c:idx val="1"/>
          <c:order val="1"/>
          <c:tx>
            <c:strRef>
              <c:f>Sheet1!$C$1</c:f>
              <c:strCache>
                <c:ptCount val="1"/>
                <c:pt idx="0">
                  <c:v>Պետական սպառում</c:v>
                </c:pt>
              </c:strCache>
            </c:strRef>
          </c:tx>
          <c:spPr>
            <a:solidFill>
              <a:schemeClr val="accent2"/>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1.4817830515600112</c:v>
                </c:pt>
                <c:pt idx="1">
                  <c:v>1.1559395290630521</c:v>
                </c:pt>
                <c:pt idx="2">
                  <c:v>-0.92805433071689014</c:v>
                </c:pt>
                <c:pt idx="3">
                  <c:v>0.85994056618904524</c:v>
                </c:pt>
                <c:pt idx="4">
                  <c:v>2.2731466997544127</c:v>
                </c:pt>
              </c:numCache>
            </c:numRef>
          </c:val>
          <c:extLst>
            <c:ext xmlns:c16="http://schemas.microsoft.com/office/drawing/2014/chart" uri="{C3380CC4-5D6E-409C-BE32-E72D297353CC}">
              <c16:uniqueId val="{00000000-7DD1-466A-A1AD-B245AB9E5A87}"/>
            </c:ext>
          </c:extLst>
        </c:ser>
        <c:ser>
          <c:idx val="2"/>
          <c:order val="2"/>
          <c:tx>
            <c:strRef>
              <c:f>Sheet1!$D$1</c:f>
              <c:strCache>
                <c:ptCount val="1"/>
                <c:pt idx="0">
                  <c:v>Մասնավոր սպառում</c:v>
                </c:pt>
              </c:strCache>
            </c:strRef>
          </c:tx>
          <c:spPr>
            <a:solidFill>
              <a:srgbClr val="4F81BD">
                <a:lumMod val="75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Sheet1!$D$2:$D$7</c:f>
              <c:numCache>
                <c:formatCode>0.0</c:formatCode>
                <c:ptCount val="5"/>
                <c:pt idx="0">
                  <c:v>9.1988637659955863</c:v>
                </c:pt>
                <c:pt idx="1">
                  <c:v>-11.620377926392074</c:v>
                </c:pt>
                <c:pt idx="2">
                  <c:v>2.1018893406699726</c:v>
                </c:pt>
                <c:pt idx="3">
                  <c:v>3.8940748603309401</c:v>
                </c:pt>
                <c:pt idx="4">
                  <c:v>4.312478930175967</c:v>
                </c:pt>
              </c:numCache>
            </c:numRef>
          </c:val>
          <c:extLst>
            <c:ext xmlns:c16="http://schemas.microsoft.com/office/drawing/2014/chart" uri="{C3380CC4-5D6E-409C-BE32-E72D297353CC}">
              <c16:uniqueId val="{00000001-7DD1-466A-A1AD-B245AB9E5A87}"/>
            </c:ext>
          </c:extLst>
        </c:ser>
        <c:ser>
          <c:idx val="3"/>
          <c:order val="3"/>
          <c:tx>
            <c:strRef>
              <c:f>Sheet1!$E$1</c:f>
              <c:strCache>
                <c:ptCount val="1"/>
                <c:pt idx="0">
                  <c:v>Պետական ներդրումներ</c:v>
                </c:pt>
              </c:strCache>
            </c:strRef>
          </c:tx>
          <c:invertIfNegative val="0"/>
          <c:cat>
            <c:numRef>
              <c:f>Sheet1!$A$2:$A$7</c:f>
              <c:numCache>
                <c:formatCode>General</c:formatCode>
                <c:ptCount val="5"/>
                <c:pt idx="0">
                  <c:v>2019</c:v>
                </c:pt>
                <c:pt idx="1">
                  <c:v>2020</c:v>
                </c:pt>
                <c:pt idx="2">
                  <c:v>2021</c:v>
                </c:pt>
                <c:pt idx="3">
                  <c:v>2022</c:v>
                </c:pt>
                <c:pt idx="4">
                  <c:v>2023</c:v>
                </c:pt>
              </c:numCache>
            </c:numRef>
          </c:cat>
          <c:val>
            <c:numRef>
              <c:f>Sheet1!$E$2:$E$7</c:f>
              <c:numCache>
                <c:formatCode>0.0</c:formatCode>
                <c:ptCount val="5"/>
                <c:pt idx="0">
                  <c:v>0.36656976294286703</c:v>
                </c:pt>
                <c:pt idx="1">
                  <c:v>0.16924568784789706</c:v>
                </c:pt>
                <c:pt idx="2">
                  <c:v>0.86921882584711141</c:v>
                </c:pt>
                <c:pt idx="3">
                  <c:v>0.34413027709912214</c:v>
                </c:pt>
                <c:pt idx="4">
                  <c:v>0.39069925497071706</c:v>
                </c:pt>
              </c:numCache>
            </c:numRef>
          </c:val>
          <c:extLst>
            <c:ext xmlns:c16="http://schemas.microsoft.com/office/drawing/2014/chart" uri="{C3380CC4-5D6E-409C-BE32-E72D297353CC}">
              <c16:uniqueId val="{00000002-7DD1-466A-A1AD-B245AB9E5A87}"/>
            </c:ext>
          </c:extLst>
        </c:ser>
        <c:ser>
          <c:idx val="4"/>
          <c:order val="4"/>
          <c:tx>
            <c:strRef>
              <c:f>Sheet1!$F$1</c:f>
              <c:strCache>
                <c:ptCount val="1"/>
                <c:pt idx="0">
                  <c:v>Մասնավոր ներդրումներ</c:v>
                </c:pt>
              </c:strCache>
            </c:strRef>
          </c:tx>
          <c:invertIfNegative val="0"/>
          <c:cat>
            <c:numRef>
              <c:f>Sheet1!$A$2:$A$7</c:f>
              <c:numCache>
                <c:formatCode>General</c:formatCode>
                <c:ptCount val="5"/>
                <c:pt idx="0">
                  <c:v>2019</c:v>
                </c:pt>
                <c:pt idx="1">
                  <c:v>2020</c:v>
                </c:pt>
                <c:pt idx="2">
                  <c:v>2021</c:v>
                </c:pt>
                <c:pt idx="3">
                  <c:v>2022</c:v>
                </c:pt>
                <c:pt idx="4">
                  <c:v>2023</c:v>
                </c:pt>
              </c:numCache>
            </c:numRef>
          </c:cat>
          <c:val>
            <c:numRef>
              <c:f>Sheet1!$F$2:$F$7</c:f>
              <c:numCache>
                <c:formatCode>0.0</c:formatCode>
                <c:ptCount val="5"/>
                <c:pt idx="0">
                  <c:v>0.3700303154479001</c:v>
                </c:pt>
                <c:pt idx="1">
                  <c:v>-0.40647966432754995</c:v>
                </c:pt>
                <c:pt idx="2">
                  <c:v>3.3254265896274049</c:v>
                </c:pt>
                <c:pt idx="3">
                  <c:v>1.5642244906968452</c:v>
                </c:pt>
                <c:pt idx="4">
                  <c:v>2.5275845572160609</c:v>
                </c:pt>
              </c:numCache>
            </c:numRef>
          </c:val>
          <c:extLst>
            <c:ext xmlns:c16="http://schemas.microsoft.com/office/drawing/2014/chart" uri="{C3380CC4-5D6E-409C-BE32-E72D297353CC}">
              <c16:uniqueId val="{00000003-7DD1-466A-A1AD-B245AB9E5A87}"/>
            </c:ext>
          </c:extLst>
        </c:ser>
        <c:ser>
          <c:idx val="5"/>
          <c:order val="5"/>
          <c:tx>
            <c:strRef>
              <c:f>Sheet1!$G$1</c:f>
              <c:strCache>
                <c:ptCount val="1"/>
                <c:pt idx="0">
                  <c:v>Արտահանում</c:v>
                </c:pt>
              </c:strCache>
            </c:strRef>
          </c:tx>
          <c:spPr>
            <a:solidFill>
              <a:srgbClr val="FAC090"/>
            </a:solidFill>
          </c:spPr>
          <c:invertIfNegative val="0"/>
          <c:cat>
            <c:numRef>
              <c:f>Sheet1!$A$2:$A$7</c:f>
              <c:numCache>
                <c:formatCode>General</c:formatCode>
                <c:ptCount val="5"/>
                <c:pt idx="0">
                  <c:v>2019</c:v>
                </c:pt>
                <c:pt idx="1">
                  <c:v>2020</c:v>
                </c:pt>
                <c:pt idx="2">
                  <c:v>2021</c:v>
                </c:pt>
                <c:pt idx="3">
                  <c:v>2022</c:v>
                </c:pt>
                <c:pt idx="4">
                  <c:v>2023</c:v>
                </c:pt>
              </c:numCache>
            </c:numRef>
          </c:cat>
          <c:val>
            <c:numRef>
              <c:f>Sheet1!$G$2:$G$7</c:f>
              <c:numCache>
                <c:formatCode>0.0</c:formatCode>
                <c:ptCount val="5"/>
                <c:pt idx="0">
                  <c:v>6.3028630445771689</c:v>
                </c:pt>
                <c:pt idx="1">
                  <c:v>-13.852518456298451</c:v>
                </c:pt>
                <c:pt idx="2">
                  <c:v>5.536287566225969</c:v>
                </c:pt>
                <c:pt idx="3">
                  <c:v>21.292518914145131</c:v>
                </c:pt>
                <c:pt idx="4">
                  <c:v>14.353916888506649</c:v>
                </c:pt>
              </c:numCache>
            </c:numRef>
          </c:val>
          <c:extLst>
            <c:ext xmlns:c16="http://schemas.microsoft.com/office/drawing/2014/chart" uri="{C3380CC4-5D6E-409C-BE32-E72D297353CC}">
              <c16:uniqueId val="{00000004-7DD1-466A-A1AD-B245AB9E5A87}"/>
            </c:ext>
          </c:extLst>
        </c:ser>
        <c:ser>
          <c:idx val="6"/>
          <c:order val="6"/>
          <c:tx>
            <c:strRef>
              <c:f>Sheet1!$H$1</c:f>
              <c:strCache>
                <c:ptCount val="1"/>
                <c:pt idx="0">
                  <c:v>Ներմուծում</c:v>
                </c:pt>
              </c:strCache>
            </c:strRef>
          </c:tx>
          <c:spPr>
            <a:solidFill>
              <a:srgbClr val="93A9CF"/>
            </a:solidFill>
          </c:spPr>
          <c:invertIfNegative val="0"/>
          <c:cat>
            <c:numRef>
              <c:f>Sheet1!$A$2:$A$7</c:f>
              <c:numCache>
                <c:formatCode>General</c:formatCode>
                <c:ptCount val="5"/>
                <c:pt idx="0">
                  <c:v>2019</c:v>
                </c:pt>
                <c:pt idx="1">
                  <c:v>2020</c:v>
                </c:pt>
                <c:pt idx="2">
                  <c:v>2021</c:v>
                </c:pt>
                <c:pt idx="3">
                  <c:v>2022</c:v>
                </c:pt>
                <c:pt idx="4">
                  <c:v>2023</c:v>
                </c:pt>
              </c:numCache>
            </c:numRef>
          </c:cat>
          <c:val>
            <c:numRef>
              <c:f>Sheet1!$H$2:$H$7</c:f>
              <c:numCache>
                <c:formatCode>0.0</c:formatCode>
                <c:ptCount val="5"/>
                <c:pt idx="0">
                  <c:v>-6.1573047071421456</c:v>
                </c:pt>
                <c:pt idx="1">
                  <c:v>17.250456121537535</c:v>
                </c:pt>
                <c:pt idx="2">
                  <c:v>-5.1243728605494399</c:v>
                </c:pt>
                <c:pt idx="3">
                  <c:v>-15.098389847286052</c:v>
                </c:pt>
                <c:pt idx="4">
                  <c:v>-14.430975044155785</c:v>
                </c:pt>
              </c:numCache>
            </c:numRef>
          </c:val>
          <c:extLst>
            <c:ext xmlns:c16="http://schemas.microsoft.com/office/drawing/2014/chart" uri="{C3380CC4-5D6E-409C-BE32-E72D297353CC}">
              <c16:uniqueId val="{00000005-7DD1-466A-A1AD-B245AB9E5A87}"/>
            </c:ext>
          </c:extLst>
        </c:ser>
        <c:dLbls>
          <c:showLegendKey val="0"/>
          <c:showVal val="0"/>
          <c:showCatName val="0"/>
          <c:showSerName val="0"/>
          <c:showPercent val="0"/>
          <c:showBubbleSize val="0"/>
        </c:dLbls>
        <c:gapWidth val="150"/>
        <c:axId val="406844928"/>
        <c:axId val="345393408"/>
      </c:barChart>
      <c:lineChart>
        <c:grouping val="standard"/>
        <c:varyColors val="0"/>
        <c:ser>
          <c:idx val="0"/>
          <c:order val="0"/>
          <c:tx>
            <c:strRef>
              <c:f>Sheet1!$B$1</c:f>
              <c:strCache>
                <c:ptCount val="1"/>
                <c:pt idx="0">
                  <c:v>ՀՆԱ</c:v>
                </c:pt>
              </c:strCache>
            </c:strRef>
          </c:tx>
          <c:spPr>
            <a:ln w="28575" cap="rnd">
              <a:solidFill>
                <a:srgbClr val="4F81BD"/>
              </a:solidFill>
              <a:round/>
            </a:ln>
            <a:effectLst/>
          </c:spPr>
          <c:marker>
            <c:symbol val="diamond"/>
            <c:size val="7"/>
            <c:spPr>
              <a:solidFill>
                <a:srgbClr val="1F497D"/>
              </a:solidFill>
              <a:ln>
                <a:noFill/>
              </a:ln>
            </c:spPr>
          </c:marker>
          <c:dLbls>
            <c:dLbl>
              <c:idx val="0"/>
              <c:layout>
                <c:manualLayout>
                  <c:x val="-4.5524772366417159E-2"/>
                  <c:y val="-4.1268340614252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D1-466A-A1AD-B245AB9E5A87}"/>
                </c:ext>
              </c:extLst>
            </c:dLbl>
            <c:dLbl>
              <c:idx val="1"/>
              <c:layout>
                <c:manualLayout>
                  <c:x val="-5.7191487084503369E-2"/>
                  <c:y val="-6.5071503498824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D1-466A-A1AD-B245AB9E5A87}"/>
                </c:ext>
              </c:extLst>
            </c:dLbl>
            <c:dLbl>
              <c:idx val="2"/>
              <c:layout>
                <c:manualLayout>
                  <c:x val="-6.1471112407245468E-2"/>
                  <c:y val="5.8727675903918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DD1-466A-A1AD-B245AB9E5A87}"/>
                </c:ext>
              </c:extLst>
            </c:dLbl>
            <c:dLbl>
              <c:idx val="3"/>
              <c:layout>
                <c:manualLayout>
                  <c:x val="-7.157401530208013E-2"/>
                  <c:y val="-6.5466133765319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D1-466A-A1AD-B245AB9E5A87}"/>
                </c:ext>
              </c:extLst>
            </c:dLbl>
            <c:dLbl>
              <c:idx val="4"/>
              <c:layout>
                <c:manualLayout>
                  <c:x val="-6.5504021738645848E-2"/>
                  <c:y val="-5.3962900505902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D1-466A-A1AD-B245AB9E5A87}"/>
                </c:ext>
              </c:extLst>
            </c:dLbl>
            <c:dLbl>
              <c:idx val="5"/>
              <c:layout>
                <c:manualLayout>
                  <c:x val="-4.5308665282235226E-2"/>
                  <c:y val="-6.0708263069139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D1-466A-A1AD-B245AB9E5A87}"/>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5"/>
                <c:pt idx="0">
                  <c:v>2019</c:v>
                </c:pt>
                <c:pt idx="1">
                  <c:v>2020</c:v>
                </c:pt>
                <c:pt idx="2">
                  <c:v>2021</c:v>
                </c:pt>
                <c:pt idx="3">
                  <c:v>2022</c:v>
                </c:pt>
                <c:pt idx="4">
                  <c:v>2023</c:v>
                </c:pt>
              </c:numCache>
            </c:numRef>
          </c:cat>
          <c:val>
            <c:numRef>
              <c:f>Sheet1!$B$2:$B$7</c:f>
              <c:numCache>
                <c:formatCode>0.0</c:formatCode>
                <c:ptCount val="5"/>
                <c:pt idx="0">
                  <c:v>7.5999999999999943</c:v>
                </c:pt>
                <c:pt idx="1">
                  <c:v>-7.200000000000002</c:v>
                </c:pt>
                <c:pt idx="2">
                  <c:v>5.799999999999998</c:v>
                </c:pt>
                <c:pt idx="3">
                  <c:v>12.599999999999996</c:v>
                </c:pt>
                <c:pt idx="4">
                  <c:v>8.7000000000000028</c:v>
                </c:pt>
              </c:numCache>
            </c:numRef>
          </c:val>
          <c:smooth val="0"/>
          <c:extLst>
            <c:ext xmlns:c16="http://schemas.microsoft.com/office/drawing/2014/chart" uri="{C3380CC4-5D6E-409C-BE32-E72D297353CC}">
              <c16:uniqueId val="{0000000C-7DD1-466A-A1AD-B245AB9E5A87}"/>
            </c:ext>
          </c:extLst>
        </c:ser>
        <c:dLbls>
          <c:showLegendKey val="0"/>
          <c:showVal val="0"/>
          <c:showCatName val="0"/>
          <c:showSerName val="0"/>
          <c:showPercent val="0"/>
          <c:showBubbleSize val="0"/>
        </c:dLbls>
        <c:marker val="1"/>
        <c:smooth val="0"/>
        <c:axId val="406844928"/>
        <c:axId val="345393408"/>
      </c:lineChart>
      <c:catAx>
        <c:axId val="4068449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45393408"/>
        <c:crosses val="autoZero"/>
        <c:auto val="1"/>
        <c:lblAlgn val="ctr"/>
        <c:lblOffset val="100"/>
        <c:noMultiLvlLbl val="0"/>
      </c:catAx>
      <c:valAx>
        <c:axId val="345393408"/>
        <c:scaling>
          <c:orientation val="minMax"/>
          <c:max val="22"/>
          <c:min val="-18"/>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06844928"/>
        <c:crosses val="autoZero"/>
        <c:crossBetween val="between"/>
        <c:majorUnit val="6"/>
      </c:valAx>
      <c:spPr>
        <a:solidFill>
          <a:schemeClr val="bg1"/>
        </a:solidFill>
        <a:ln>
          <a:noFill/>
        </a:ln>
        <a:effectLst/>
      </c:spPr>
    </c:plotArea>
    <c:legend>
      <c:legendPos val="b"/>
      <c:layout>
        <c:manualLayout>
          <c:xMode val="edge"/>
          <c:yMode val="edge"/>
          <c:x val="1.1162973997619665E-2"/>
          <c:y val="0.75835243191565638"/>
          <c:w val="0.96880880880880882"/>
          <c:h val="0.2416475680843435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71697287839014E-2"/>
          <c:y val="6.2195054565547726E-2"/>
          <c:w val="0.87384789864229939"/>
          <c:h val="0.52630930408572452"/>
        </c:manualLayout>
      </c:layout>
      <c:barChart>
        <c:barDir val="col"/>
        <c:grouping val="stacked"/>
        <c:varyColors val="0"/>
        <c:ser>
          <c:idx val="1"/>
          <c:order val="1"/>
          <c:tx>
            <c:strRef>
              <c:f>Sheet1!$C$1</c:f>
              <c:strCache>
                <c:ptCount val="1"/>
                <c:pt idx="0">
                  <c:v>Պետական սպառում</c:v>
                </c:pt>
              </c:strCache>
            </c:strRef>
          </c:tx>
          <c:spPr>
            <a:solidFill>
              <a:sysClr val="window" lastClr="FFFFFF">
                <a:lumMod val="65000"/>
              </a:sysClr>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12.564560098511432</c:v>
                </c:pt>
                <c:pt idx="1">
                  <c:v>14.968618237369189</c:v>
                </c:pt>
                <c:pt idx="2">
                  <c:v>13.649850256968978</c:v>
                </c:pt>
                <c:pt idx="3">
                  <c:v>12.699143574046994</c:v>
                </c:pt>
                <c:pt idx="4">
                  <c:v>14.072735526007099</c:v>
                </c:pt>
              </c:numCache>
            </c:numRef>
          </c:val>
          <c:extLst>
            <c:ext xmlns:c16="http://schemas.microsoft.com/office/drawing/2014/chart" uri="{C3380CC4-5D6E-409C-BE32-E72D297353CC}">
              <c16:uniqueId val="{00000000-85E7-4171-B958-D8C4A08166BD}"/>
            </c:ext>
          </c:extLst>
        </c:ser>
        <c:ser>
          <c:idx val="2"/>
          <c:order val="2"/>
          <c:tx>
            <c:strRef>
              <c:f>Sheet1!$D$1</c:f>
              <c:strCache>
                <c:ptCount val="1"/>
                <c:pt idx="0">
                  <c:v>Մասնավոր սպառում</c:v>
                </c:pt>
              </c:strCache>
            </c:strRef>
          </c:tx>
          <c:spPr>
            <a:solidFill>
              <a:srgbClr val="F79646">
                <a:lumMod val="60000"/>
                <a:lumOff val="40000"/>
              </a:srgbClr>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Sheet1!$D$2:$D$7</c:f>
              <c:numCache>
                <c:formatCode>0.0</c:formatCode>
                <c:ptCount val="5"/>
                <c:pt idx="0">
                  <c:v>83.439461895332727</c:v>
                </c:pt>
                <c:pt idx="1">
                  <c:v>75.326382528252708</c:v>
                </c:pt>
                <c:pt idx="2">
                  <c:v>71.243282359459428</c:v>
                </c:pt>
                <c:pt idx="3">
                  <c:v>66.645743533547957</c:v>
                </c:pt>
                <c:pt idx="4">
                  <c:v>65.277979853176845</c:v>
                </c:pt>
              </c:numCache>
            </c:numRef>
          </c:val>
          <c:extLst>
            <c:ext xmlns:c16="http://schemas.microsoft.com/office/drawing/2014/chart" uri="{C3380CC4-5D6E-409C-BE32-E72D297353CC}">
              <c16:uniqueId val="{00000001-85E7-4171-B958-D8C4A08166BD}"/>
            </c:ext>
          </c:extLst>
        </c:ser>
        <c:ser>
          <c:idx val="3"/>
          <c:order val="3"/>
          <c:tx>
            <c:strRef>
              <c:f>Sheet1!$E$1</c:f>
              <c:strCache>
                <c:ptCount val="1"/>
                <c:pt idx="0">
                  <c:v>Պետական ներդրումներ</c:v>
                </c:pt>
              </c:strCache>
            </c:strRef>
          </c:tx>
          <c:invertIfNegative val="0"/>
          <c:dLbls>
            <c:delete val="1"/>
          </c:dLbls>
          <c:cat>
            <c:numRef>
              <c:f>Sheet1!$A$2:$A$7</c:f>
              <c:numCache>
                <c:formatCode>General</c:formatCode>
                <c:ptCount val="5"/>
                <c:pt idx="0">
                  <c:v>2019</c:v>
                </c:pt>
                <c:pt idx="1">
                  <c:v>2020</c:v>
                </c:pt>
                <c:pt idx="2">
                  <c:v>2021</c:v>
                </c:pt>
                <c:pt idx="3">
                  <c:v>2022</c:v>
                </c:pt>
                <c:pt idx="4">
                  <c:v>2023</c:v>
                </c:pt>
              </c:numCache>
            </c:numRef>
          </c:cat>
          <c:val>
            <c:numRef>
              <c:f>Sheet1!$E$2:$E$7</c:f>
              <c:numCache>
                <c:formatCode>0.0</c:formatCode>
                <c:ptCount val="5"/>
                <c:pt idx="0">
                  <c:v>2.7607445502680306</c:v>
                </c:pt>
                <c:pt idx="1">
                  <c:v>3.3429321743115143</c:v>
                </c:pt>
                <c:pt idx="2">
                  <c:v>4.0655453896146412</c:v>
                </c:pt>
                <c:pt idx="3">
                  <c:v>3.8665940593209229</c:v>
                </c:pt>
                <c:pt idx="4">
                  <c:v>3.8127208808968782</c:v>
                </c:pt>
              </c:numCache>
            </c:numRef>
          </c:val>
          <c:extLst>
            <c:ext xmlns:c16="http://schemas.microsoft.com/office/drawing/2014/chart" uri="{C3380CC4-5D6E-409C-BE32-E72D297353CC}">
              <c16:uniqueId val="{00000002-85E7-4171-B958-D8C4A08166BD}"/>
            </c:ext>
          </c:extLst>
        </c:ser>
        <c:ser>
          <c:idx val="4"/>
          <c:order val="4"/>
          <c:tx>
            <c:strRef>
              <c:f>Sheet1!$F$1</c:f>
              <c:strCache>
                <c:ptCount val="1"/>
                <c:pt idx="0">
                  <c:v>Մասնավոր ներդրումներ</c:v>
                </c:pt>
              </c:strCache>
            </c:strRef>
          </c:tx>
          <c:spPr>
            <a:solidFill>
              <a:srgbClr val="1F497D">
                <a:lumMod val="60000"/>
                <a:lumOff val="40000"/>
              </a:srgb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Sheet1!$F$2:$F$7</c:f>
              <c:numCache>
                <c:formatCode>0.0</c:formatCode>
                <c:ptCount val="5"/>
                <c:pt idx="0">
                  <c:v>13.054853881708828</c:v>
                </c:pt>
                <c:pt idx="1">
                  <c:v>14.430989077699156</c:v>
                </c:pt>
                <c:pt idx="2">
                  <c:v>17.138396474784997</c:v>
                </c:pt>
                <c:pt idx="3">
                  <c:v>16.399265747531697</c:v>
                </c:pt>
                <c:pt idx="4">
                  <c:v>16.950393604375886</c:v>
                </c:pt>
              </c:numCache>
            </c:numRef>
          </c:val>
          <c:extLst>
            <c:ext xmlns:c16="http://schemas.microsoft.com/office/drawing/2014/chart" uri="{C3380CC4-5D6E-409C-BE32-E72D297353CC}">
              <c16:uniqueId val="{00000003-85E7-4171-B958-D8C4A08166BD}"/>
            </c:ext>
          </c:extLst>
        </c:ser>
        <c:ser>
          <c:idx val="0"/>
          <c:order val="0"/>
          <c:tx>
            <c:strRef>
              <c:f>Sheet1!$B$1</c:f>
              <c:strCache>
                <c:ptCount val="1"/>
                <c:pt idx="0">
                  <c:v>ՀՆԱ</c:v>
                </c:pt>
              </c:strCache>
            </c:strRef>
          </c:tx>
          <c:spPr>
            <a:ln w="28575" cap="rnd">
              <a:solidFill>
                <a:schemeClr val="accent1"/>
              </a:solidFill>
              <a:round/>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5"/>
                <c:pt idx="0">
                  <c:v>2019</c:v>
                </c:pt>
                <c:pt idx="1">
                  <c:v>2020</c:v>
                </c:pt>
                <c:pt idx="2">
                  <c:v>2021</c:v>
                </c:pt>
                <c:pt idx="3">
                  <c:v>2022</c:v>
                </c:pt>
                <c:pt idx="4">
                  <c:v>2023</c:v>
                </c:pt>
              </c:numCache>
            </c:numRef>
          </c:cat>
          <c:val>
            <c:numRef>
              <c:f>Sheet1!$B$2:$B$7</c:f>
            </c:numRef>
          </c:val>
          <c:extLst>
            <c:ext xmlns:c16="http://schemas.microsoft.com/office/drawing/2014/chart" uri="{C3380CC4-5D6E-409C-BE32-E72D297353CC}">
              <c16:uniqueId val="{00000004-85E7-4171-B958-D8C4A08166BD}"/>
            </c:ext>
          </c:extLst>
        </c:ser>
        <c:ser>
          <c:idx val="5"/>
          <c:order val="5"/>
          <c:tx>
            <c:strRef>
              <c:f>Sheet1!$G$1</c:f>
              <c:strCache>
                <c:ptCount val="1"/>
                <c:pt idx="0">
                  <c:v>Արտահանում</c:v>
                </c:pt>
              </c:strCache>
            </c:strRef>
          </c:tx>
          <c:spPr>
            <a:solidFill>
              <a:srgbClr val="4F81BD">
                <a:lumMod val="40000"/>
                <a:lumOff val="60000"/>
              </a:srgb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Sheet1!$G$2:$G$7</c:f>
              <c:numCache>
                <c:formatCode>0.0</c:formatCode>
                <c:ptCount val="5"/>
                <c:pt idx="0">
                  <c:v>41.35080136208493</c:v>
                </c:pt>
                <c:pt idx="1">
                  <c:v>29.764986915193393</c:v>
                </c:pt>
                <c:pt idx="2">
                  <c:v>35.906439990126685</c:v>
                </c:pt>
                <c:pt idx="3">
                  <c:v>50.013647695145139</c:v>
                </c:pt>
                <c:pt idx="4">
                  <c:v>58.181455474507217</c:v>
                </c:pt>
              </c:numCache>
            </c:numRef>
          </c:val>
          <c:extLst>
            <c:ext xmlns:c16="http://schemas.microsoft.com/office/drawing/2014/chart" uri="{C3380CC4-5D6E-409C-BE32-E72D297353CC}">
              <c16:uniqueId val="{00000005-85E7-4171-B958-D8C4A08166BD}"/>
            </c:ext>
          </c:extLst>
        </c:ser>
        <c:ser>
          <c:idx val="6"/>
          <c:order val="6"/>
          <c:tx>
            <c:strRef>
              <c:f>Sheet1!$H$1</c:f>
              <c:strCache>
                <c:ptCount val="1"/>
                <c:pt idx="0">
                  <c:v>Ներմուծում</c:v>
                </c:pt>
              </c:strCache>
            </c:strRef>
          </c:tx>
          <c:spPr>
            <a:solidFill>
              <a:srgbClr val="4F81BD">
                <a:lumMod val="75000"/>
              </a:srgb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Sheet1!$H$2:$H$7</c:f>
              <c:numCache>
                <c:formatCode>0.0</c:formatCode>
                <c:ptCount val="5"/>
                <c:pt idx="0">
                  <c:v>-54.763352766785822</c:v>
                </c:pt>
                <c:pt idx="1">
                  <c:v>-39.723820624414245</c:v>
                </c:pt>
                <c:pt idx="2">
                  <c:v>-43.763448832713195</c:v>
                </c:pt>
                <c:pt idx="3">
                  <c:v>-50.992844678995688</c:v>
                </c:pt>
                <c:pt idx="4">
                  <c:v>-58.861504991813661</c:v>
                </c:pt>
              </c:numCache>
            </c:numRef>
          </c:val>
          <c:extLst>
            <c:ext xmlns:c16="http://schemas.microsoft.com/office/drawing/2014/chart" uri="{C3380CC4-5D6E-409C-BE32-E72D297353CC}">
              <c16:uniqueId val="{00000006-85E7-4171-B958-D8C4A08166BD}"/>
            </c:ext>
          </c:extLst>
        </c:ser>
        <c:ser>
          <c:idx val="7"/>
          <c:order val="7"/>
          <c:tx>
            <c:strRef>
              <c:f>Sheet1!$I$1</c:f>
              <c:strCache>
                <c:ptCount val="1"/>
                <c:pt idx="0">
                  <c:v>Վիճակագրական շեղում</c:v>
                </c:pt>
              </c:strCache>
            </c:strRef>
          </c:tx>
          <c:invertIfNegative val="0"/>
          <c:dLbls>
            <c:delete val="1"/>
          </c:dLbls>
          <c:cat>
            <c:numRef>
              <c:f>Sheet1!$A$2:$A$7</c:f>
              <c:numCache>
                <c:formatCode>General</c:formatCode>
                <c:ptCount val="5"/>
                <c:pt idx="0">
                  <c:v>2019</c:v>
                </c:pt>
                <c:pt idx="1">
                  <c:v>2020</c:v>
                </c:pt>
                <c:pt idx="2">
                  <c:v>2021</c:v>
                </c:pt>
                <c:pt idx="3">
                  <c:v>2022</c:v>
                </c:pt>
                <c:pt idx="4">
                  <c:v>2023</c:v>
                </c:pt>
              </c:numCache>
            </c:numRef>
          </c:cat>
          <c:val>
            <c:numRef>
              <c:f>Sheet1!$I$2:$I$7</c:f>
              <c:numCache>
                <c:formatCode>0.0</c:formatCode>
                <c:ptCount val="5"/>
                <c:pt idx="0">
                  <c:v>1.5929309788798727</c:v>
                </c:pt>
                <c:pt idx="1">
                  <c:v>1.8899116915882748</c:v>
                </c:pt>
                <c:pt idx="2">
                  <c:v>1.7599343617584604</c:v>
                </c:pt>
                <c:pt idx="3">
                  <c:v>1.3684500694029784</c:v>
                </c:pt>
                <c:pt idx="4">
                  <c:v>0.56621965284974018</c:v>
                </c:pt>
              </c:numCache>
            </c:numRef>
          </c:val>
          <c:extLst>
            <c:ext xmlns:c16="http://schemas.microsoft.com/office/drawing/2014/chart" uri="{C3380CC4-5D6E-409C-BE32-E72D297353CC}">
              <c16:uniqueId val="{00000007-85E7-4171-B958-D8C4A08166BD}"/>
            </c:ext>
          </c:extLst>
        </c:ser>
        <c:dLbls>
          <c:dLblPos val="ctr"/>
          <c:showLegendKey val="0"/>
          <c:showVal val="1"/>
          <c:showCatName val="0"/>
          <c:showSerName val="0"/>
          <c:showPercent val="0"/>
          <c:showBubbleSize val="0"/>
        </c:dLbls>
        <c:gapWidth val="100"/>
        <c:overlap val="100"/>
        <c:axId val="406846976"/>
        <c:axId val="345395136"/>
      </c:barChart>
      <c:catAx>
        <c:axId val="40684697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en-US"/>
          </a:p>
        </c:txPr>
        <c:crossAx val="345395136"/>
        <c:crosses val="autoZero"/>
        <c:auto val="1"/>
        <c:lblAlgn val="ctr"/>
        <c:lblOffset val="300"/>
        <c:noMultiLvlLbl val="0"/>
      </c:catAx>
      <c:valAx>
        <c:axId val="345395136"/>
        <c:scaling>
          <c:orientation val="minMax"/>
          <c:max val="160"/>
          <c:min val="-60"/>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vert="horz"/>
          <a:lstStyle/>
          <a:p>
            <a:pPr>
              <a:defRPr/>
            </a:pPr>
            <a:endParaRPr lang="en-US"/>
          </a:p>
        </c:txPr>
        <c:crossAx val="406846976"/>
        <c:crosses val="autoZero"/>
        <c:crossBetween val="between"/>
        <c:majorUnit val="30"/>
      </c:valAx>
      <c:spPr>
        <a:solidFill>
          <a:schemeClr val="bg1"/>
        </a:solidFill>
        <a:ln>
          <a:noFill/>
        </a:ln>
        <a:effectLst/>
      </c:spPr>
    </c:plotArea>
    <c:legend>
      <c:legendPos val="b"/>
      <c:layout>
        <c:manualLayout>
          <c:xMode val="edge"/>
          <c:yMode val="edge"/>
          <c:x val="5.1314280159424519E-2"/>
          <c:y val="0.75835243191565638"/>
          <c:w val="0.8996668934901656"/>
          <c:h val="0.24164756808434359"/>
        </c:manualLayout>
      </c:layout>
      <c:overlay val="0"/>
      <c:spPr>
        <a:noFill/>
        <a:ln>
          <a:noFill/>
        </a:ln>
        <a:effectLst/>
      </c:spPr>
      <c:txPr>
        <a:bodyPr rot="0" vert="horz"/>
        <a:lstStyle/>
        <a:p>
          <a:pPr>
            <a:defRPr sz="700"/>
          </a:pPr>
          <a:endParaRPr lang="en-US"/>
        </a:p>
      </c:txPr>
    </c:legend>
    <c:plotVisOnly val="1"/>
    <c:dispBlanksAs val="gap"/>
    <c:showDLblsOverMax val="0"/>
  </c:chart>
  <c:spPr>
    <a:noFill/>
    <a:ln w="9525" cap="flat" cmpd="sng" algn="ctr">
      <a:solidFill>
        <a:schemeClr val="bg2"/>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71697287839014E-2"/>
          <c:y val="6.2195054565547726E-2"/>
          <c:w val="0.84915654061760815"/>
          <c:h val="0.56352616637206066"/>
        </c:manualLayout>
      </c:layout>
      <c:barChart>
        <c:barDir val="col"/>
        <c:grouping val="clustered"/>
        <c:varyColors val="0"/>
        <c:ser>
          <c:idx val="1"/>
          <c:order val="0"/>
          <c:tx>
            <c:strRef>
              <c:f>Sheet1!$C$1</c:f>
              <c:strCache>
                <c:ptCount val="1"/>
                <c:pt idx="0">
                  <c:v>Գործազուրկներ, հազ. մարդ</c:v>
                </c:pt>
              </c:strCache>
            </c:strRef>
          </c:tx>
          <c:spPr>
            <a:solidFill>
              <a:srgbClr val="FAC090"/>
            </a:solidFill>
            <a:ln>
              <a:noFill/>
            </a:ln>
            <a:effectLst/>
          </c:spPr>
          <c:invertIfNegative val="0"/>
          <c:cat>
            <c:numRef>
              <c:f>Sheet1!$A$2:$A$6</c:f>
              <c:numCache>
                <c:formatCode>General</c:formatCode>
                <c:ptCount val="5"/>
                <c:pt idx="0">
                  <c:v>2019</c:v>
                </c:pt>
                <c:pt idx="1">
                  <c:v>2020</c:v>
                </c:pt>
                <c:pt idx="2">
                  <c:v>2021</c:v>
                </c:pt>
                <c:pt idx="3">
                  <c:v>2022</c:v>
                </c:pt>
                <c:pt idx="4">
                  <c:v>2023</c:v>
                </c:pt>
              </c:numCache>
            </c:numRef>
          </c:cat>
          <c:val>
            <c:numRef>
              <c:f>Sheet1!$C$2:$C$6</c:f>
              <c:numCache>
                <c:formatCode>0.0</c:formatCode>
                <c:ptCount val="5"/>
                <c:pt idx="0">
                  <c:v>240.8</c:v>
                </c:pt>
                <c:pt idx="1">
                  <c:v>234.4</c:v>
                </c:pt>
                <c:pt idx="2">
                  <c:v>199</c:v>
                </c:pt>
                <c:pt idx="3">
                  <c:v>176.6</c:v>
                </c:pt>
                <c:pt idx="4">
                  <c:v>171.2</c:v>
                </c:pt>
              </c:numCache>
            </c:numRef>
          </c:val>
          <c:extLst>
            <c:ext xmlns:c16="http://schemas.microsoft.com/office/drawing/2014/chart" uri="{C3380CC4-5D6E-409C-BE32-E72D297353CC}">
              <c16:uniqueId val="{00000000-010A-4EF9-A3D9-FBA43F20C3C9}"/>
            </c:ext>
          </c:extLst>
        </c:ser>
        <c:ser>
          <c:idx val="0"/>
          <c:order val="2"/>
          <c:tx>
            <c:strRef>
              <c:f>Sheet1!$B$1</c:f>
              <c:strCache>
                <c:ptCount val="1"/>
                <c:pt idx="0">
                  <c:v>Զբաղվածներ, հազ. մարդ</c:v>
                </c:pt>
              </c:strCache>
            </c:strRef>
          </c:tx>
          <c:spPr>
            <a:solidFill>
              <a:srgbClr val="4F81BD"/>
            </a:solidFill>
          </c:spPr>
          <c:invertIfNegative val="0"/>
          <c:cat>
            <c:numRef>
              <c:f>Sheet1!$A$2:$A$6</c:f>
              <c:numCache>
                <c:formatCode>General</c:formatCode>
                <c:ptCount val="5"/>
                <c:pt idx="0">
                  <c:v>2019</c:v>
                </c:pt>
                <c:pt idx="1">
                  <c:v>2020</c:v>
                </c:pt>
                <c:pt idx="2">
                  <c:v>2021</c:v>
                </c:pt>
                <c:pt idx="3">
                  <c:v>2022</c:v>
                </c:pt>
                <c:pt idx="4">
                  <c:v>2023</c:v>
                </c:pt>
              </c:numCache>
            </c:numRef>
          </c:cat>
          <c:val>
            <c:numRef>
              <c:f>Sheet1!$B$2:$B$6</c:f>
              <c:numCache>
                <c:formatCode>0.0</c:formatCode>
                <c:ptCount val="5"/>
                <c:pt idx="0">
                  <c:v>1077.4000000000001</c:v>
                </c:pt>
                <c:pt idx="1">
                  <c:v>1052.4000000000001</c:v>
                </c:pt>
                <c:pt idx="2">
                  <c:v>1088.3</c:v>
                </c:pt>
                <c:pt idx="3">
                  <c:v>1134.8</c:v>
                </c:pt>
                <c:pt idx="4">
                  <c:v>1184.7</c:v>
                </c:pt>
              </c:numCache>
            </c:numRef>
          </c:val>
          <c:extLst>
            <c:ext xmlns:c16="http://schemas.microsoft.com/office/drawing/2014/chart" uri="{C3380CC4-5D6E-409C-BE32-E72D297353CC}">
              <c16:uniqueId val="{00000001-010A-4EF9-A3D9-FBA43F20C3C9}"/>
            </c:ext>
          </c:extLst>
        </c:ser>
        <c:dLbls>
          <c:showLegendKey val="0"/>
          <c:showVal val="0"/>
          <c:showCatName val="0"/>
          <c:showSerName val="0"/>
          <c:showPercent val="0"/>
          <c:showBubbleSize val="0"/>
        </c:dLbls>
        <c:gapWidth val="150"/>
        <c:axId val="413054464"/>
        <c:axId val="405208384"/>
      </c:barChart>
      <c:lineChart>
        <c:grouping val="standard"/>
        <c:varyColors val="0"/>
        <c:ser>
          <c:idx val="2"/>
          <c:order val="1"/>
          <c:tx>
            <c:strRef>
              <c:f>Sheet1!$D$1</c:f>
              <c:strCache>
                <c:ptCount val="1"/>
                <c:pt idx="0">
                  <c:v>Գործազրկության մակարդակ, %, աջ առանցք</c:v>
                </c:pt>
              </c:strCache>
            </c:strRef>
          </c:tx>
          <c:spPr>
            <a:ln>
              <a:solidFill>
                <a:srgbClr val="1F497D"/>
              </a:solidFill>
            </a:ln>
            <a:effectLst/>
          </c:spPr>
          <c:marker>
            <c:symbol val="diamond"/>
            <c:size val="7"/>
            <c:spPr>
              <a:solidFill>
                <a:srgbClr val="1F497D"/>
              </a:solidFill>
              <a:ln>
                <a:noFill/>
              </a:ln>
            </c:spPr>
          </c:marker>
          <c:dLbls>
            <c:dLbl>
              <c:idx val="0"/>
              <c:layout>
                <c:manualLayout>
                  <c:x val="-7.0110552763819112E-2"/>
                  <c:y val="-5.9213438320209977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0A-4EF9-A3D9-FBA43F20C3C9}"/>
                </c:ext>
              </c:extLst>
            </c:dLbl>
            <c:dLbl>
              <c:idx val="1"/>
              <c:layout>
                <c:manualLayout>
                  <c:x val="-6.6090452261306568E-2"/>
                  <c:y val="-5.9213438320209984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0A-4EF9-A3D9-FBA43F20C3C9}"/>
                </c:ext>
              </c:extLst>
            </c:dLbl>
            <c:dLbl>
              <c:idx val="2"/>
              <c:layout>
                <c:manualLayout>
                  <c:x val="-7.4130653266331656E-2"/>
                  <c:y val="-4.8546771653543305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0A-4EF9-A3D9-FBA43F20C3C9}"/>
                </c:ext>
              </c:extLst>
            </c:dLbl>
            <c:dLbl>
              <c:idx val="3"/>
              <c:layout>
                <c:manualLayout>
                  <c:x val="-6.6090452261306679E-2"/>
                  <c:y val="-5.3880104986876641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0A-4EF9-A3D9-FBA43F20C3C9}"/>
                </c:ext>
              </c:extLst>
            </c:dLbl>
            <c:dLbl>
              <c:idx val="4"/>
              <c:layout>
                <c:manualLayout>
                  <c:x val="-0.1295431698488671"/>
                  <c:y val="-6.3252450586533823E-2"/>
                </c:manualLayout>
              </c:layout>
              <c:spPr>
                <a:noFill/>
                <a:ln>
                  <a:noFill/>
                </a:ln>
                <a:effectLst/>
              </c:spPr>
              <c:txPr>
                <a:bodyPr wrap="square" lIns="38100" tIns="19050" rIns="38100" bIns="19050" anchor="ctr">
                  <a:spAutoFit/>
                </a:bodyPr>
                <a:lstStyle/>
                <a:p>
                  <a:pPr>
                    <a:defRPr b="1"/>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0A-4EF9-A3D9-FBA43F20C3C9}"/>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Sheet1!$A$2:$A$6</c:f>
              <c:numCache>
                <c:formatCode>General</c:formatCode>
                <c:ptCount val="5"/>
                <c:pt idx="0">
                  <c:v>2019</c:v>
                </c:pt>
                <c:pt idx="1">
                  <c:v>2020</c:v>
                </c:pt>
                <c:pt idx="2">
                  <c:v>2021</c:v>
                </c:pt>
                <c:pt idx="3">
                  <c:v>2022</c:v>
                </c:pt>
                <c:pt idx="4">
                  <c:v>2023</c:v>
                </c:pt>
              </c:numCache>
            </c:numRef>
          </c:cat>
          <c:val>
            <c:numRef>
              <c:f>Sheet1!$D$2:$D$6</c:f>
              <c:numCache>
                <c:formatCode>0.0</c:formatCode>
                <c:ptCount val="5"/>
                <c:pt idx="0">
                  <c:v>18.3</c:v>
                </c:pt>
                <c:pt idx="1">
                  <c:v>18.2</c:v>
                </c:pt>
                <c:pt idx="2">
                  <c:v>15.5</c:v>
                </c:pt>
                <c:pt idx="3">
                  <c:v>13.5</c:v>
                </c:pt>
                <c:pt idx="4">
                  <c:v>12.6</c:v>
                </c:pt>
              </c:numCache>
            </c:numRef>
          </c:val>
          <c:smooth val="0"/>
          <c:extLst>
            <c:ext xmlns:c16="http://schemas.microsoft.com/office/drawing/2014/chart" uri="{C3380CC4-5D6E-409C-BE32-E72D297353CC}">
              <c16:uniqueId val="{00000007-010A-4EF9-A3D9-FBA43F20C3C9}"/>
            </c:ext>
          </c:extLst>
        </c:ser>
        <c:dLbls>
          <c:showLegendKey val="0"/>
          <c:showVal val="0"/>
          <c:showCatName val="0"/>
          <c:showSerName val="0"/>
          <c:showPercent val="0"/>
          <c:showBubbleSize val="0"/>
        </c:dLbls>
        <c:marker val="1"/>
        <c:smooth val="0"/>
        <c:axId val="413055488"/>
        <c:axId val="345397440"/>
      </c:lineChart>
      <c:catAx>
        <c:axId val="41305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05208384"/>
        <c:crosses val="autoZero"/>
        <c:auto val="1"/>
        <c:lblAlgn val="ctr"/>
        <c:lblOffset val="0"/>
        <c:noMultiLvlLbl val="0"/>
      </c:catAx>
      <c:valAx>
        <c:axId val="405208384"/>
        <c:scaling>
          <c:orientation val="minMax"/>
          <c:max val="1400"/>
          <c:min val="0"/>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13054464"/>
        <c:crosses val="autoZero"/>
        <c:crossBetween val="between"/>
        <c:majorUnit val="300"/>
      </c:valAx>
      <c:valAx>
        <c:axId val="345397440"/>
        <c:scaling>
          <c:orientation val="minMax"/>
          <c:max val="22"/>
        </c:scaling>
        <c:delete val="0"/>
        <c:axPos val="r"/>
        <c:numFmt formatCode="0.0" sourceLinked="1"/>
        <c:majorTickMark val="out"/>
        <c:minorTickMark val="none"/>
        <c:tickLblPos val="nextTo"/>
        <c:spPr>
          <a:ln>
            <a:noFill/>
          </a:ln>
        </c:spPr>
        <c:txPr>
          <a:bodyPr/>
          <a:lstStyle/>
          <a:p>
            <a:pPr>
              <a:defRPr sz="700">
                <a:latin typeface="GHEA Grapalat" panose="02000506050000020003" pitchFamily="50" charset="0"/>
              </a:defRPr>
            </a:pPr>
            <a:endParaRPr lang="en-US"/>
          </a:p>
        </c:txPr>
        <c:crossAx val="413055488"/>
        <c:crosses val="max"/>
        <c:crossBetween val="between"/>
      </c:valAx>
      <c:catAx>
        <c:axId val="413055488"/>
        <c:scaling>
          <c:orientation val="minMax"/>
        </c:scaling>
        <c:delete val="1"/>
        <c:axPos val="b"/>
        <c:numFmt formatCode="General" sourceLinked="1"/>
        <c:majorTickMark val="out"/>
        <c:minorTickMark val="none"/>
        <c:tickLblPos val="nextTo"/>
        <c:crossAx val="345397440"/>
        <c:crosses val="autoZero"/>
        <c:auto val="1"/>
        <c:lblAlgn val="ctr"/>
        <c:lblOffset val="100"/>
        <c:noMultiLvlLbl val="0"/>
      </c:catAx>
      <c:spPr>
        <a:solidFill>
          <a:schemeClr val="bg1"/>
        </a:solidFill>
        <a:ln>
          <a:noFill/>
        </a:ln>
        <a:effectLst/>
      </c:spPr>
    </c:plotArea>
    <c:legend>
      <c:legendPos val="b"/>
      <c:layout>
        <c:manualLayout>
          <c:xMode val="edge"/>
          <c:yMode val="edge"/>
          <c:x val="3.0738148472181714E-2"/>
          <c:y val="0.68776688628207183"/>
          <c:w val="0.94024691358024692"/>
          <c:h val="0.2962327923295302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71697287839014E-2"/>
          <c:y val="6.2195054565547726E-2"/>
          <c:w val="0.84915654061760815"/>
          <c:h val="0.73196178477690288"/>
        </c:manualLayout>
      </c:layout>
      <c:barChart>
        <c:barDir val="col"/>
        <c:grouping val="clustered"/>
        <c:varyColors val="0"/>
        <c:ser>
          <c:idx val="1"/>
          <c:order val="1"/>
          <c:tx>
            <c:strRef>
              <c:f>Sheet1!$D$1</c:f>
              <c:strCache>
                <c:ptCount val="1"/>
                <c:pt idx="0">
                  <c:v>Պետական հատված</c:v>
                </c:pt>
              </c:strCache>
            </c:strRef>
          </c:tx>
          <c:spPr>
            <a:solidFill>
              <a:srgbClr val="FAC090"/>
            </a:solidFill>
            <a:effectLst/>
          </c:spPr>
          <c:invertIfNegative val="0"/>
          <c:cat>
            <c:numRef>
              <c:f>Sheet1!$A$2:$A$7</c:f>
              <c:numCache>
                <c:formatCode>General</c:formatCode>
                <c:ptCount val="6"/>
                <c:pt idx="0">
                  <c:v>2018</c:v>
                </c:pt>
                <c:pt idx="1">
                  <c:v>2019</c:v>
                </c:pt>
                <c:pt idx="2">
                  <c:v>2020</c:v>
                </c:pt>
                <c:pt idx="3">
                  <c:v>2021</c:v>
                </c:pt>
                <c:pt idx="4">
                  <c:v>2022</c:v>
                </c:pt>
                <c:pt idx="5">
                  <c:v>2023</c:v>
                </c:pt>
              </c:numCache>
            </c:numRef>
          </c:cat>
          <c:val>
            <c:numRef>
              <c:f>Sheet1!$D$2:$D$7</c:f>
              <c:numCache>
                <c:formatCode>0.0</c:formatCode>
                <c:ptCount val="6"/>
                <c:pt idx="0">
                  <c:v>2.9</c:v>
                </c:pt>
                <c:pt idx="1">
                  <c:v>8.4</c:v>
                </c:pt>
                <c:pt idx="2">
                  <c:v>5.2999999999999972</c:v>
                </c:pt>
                <c:pt idx="3">
                  <c:v>5.2330498519945507</c:v>
                </c:pt>
                <c:pt idx="4">
                  <c:v>4.2999999999999972</c:v>
                </c:pt>
                <c:pt idx="5" formatCode="General">
                  <c:v>11.4</c:v>
                </c:pt>
              </c:numCache>
            </c:numRef>
          </c:val>
          <c:extLst>
            <c:ext xmlns:c16="http://schemas.microsoft.com/office/drawing/2014/chart" uri="{C3380CC4-5D6E-409C-BE32-E72D297353CC}">
              <c16:uniqueId val="{00000000-2547-496C-9006-116F6D9F27C8}"/>
            </c:ext>
          </c:extLst>
        </c:ser>
        <c:ser>
          <c:idx val="2"/>
          <c:order val="2"/>
          <c:tx>
            <c:strRef>
              <c:f>Sheet1!$E$1</c:f>
              <c:strCache>
                <c:ptCount val="1"/>
                <c:pt idx="0">
                  <c:v>Մասնավոր հատված</c:v>
                </c:pt>
              </c:strCache>
            </c:strRef>
          </c:tx>
          <c:spPr>
            <a:solidFill>
              <a:srgbClr val="4F81BD"/>
            </a:solidFill>
          </c:spPr>
          <c:invertIfNegative val="0"/>
          <c:cat>
            <c:numRef>
              <c:f>Sheet1!$A$2:$A$7</c:f>
              <c:numCache>
                <c:formatCode>General</c:formatCode>
                <c:ptCount val="6"/>
                <c:pt idx="0">
                  <c:v>2018</c:v>
                </c:pt>
                <c:pt idx="1">
                  <c:v>2019</c:v>
                </c:pt>
                <c:pt idx="2">
                  <c:v>2020</c:v>
                </c:pt>
                <c:pt idx="3">
                  <c:v>2021</c:v>
                </c:pt>
                <c:pt idx="4">
                  <c:v>2022</c:v>
                </c:pt>
                <c:pt idx="5">
                  <c:v>2023</c:v>
                </c:pt>
              </c:numCache>
            </c:numRef>
          </c:cat>
          <c:val>
            <c:numRef>
              <c:f>Sheet1!$E$2:$E$7</c:f>
              <c:numCache>
                <c:formatCode>0.0</c:formatCode>
                <c:ptCount val="6"/>
                <c:pt idx="0">
                  <c:v>3.7</c:v>
                </c:pt>
                <c:pt idx="1">
                  <c:v>3.8</c:v>
                </c:pt>
                <c:pt idx="2">
                  <c:v>3</c:v>
                </c:pt>
                <c:pt idx="3">
                  <c:v>8.3985042520254893</c:v>
                </c:pt>
                <c:pt idx="4">
                  <c:v>19</c:v>
                </c:pt>
                <c:pt idx="5">
                  <c:v>15</c:v>
                </c:pt>
              </c:numCache>
            </c:numRef>
          </c:val>
          <c:extLst>
            <c:ext xmlns:c16="http://schemas.microsoft.com/office/drawing/2014/chart" uri="{C3380CC4-5D6E-409C-BE32-E72D297353CC}">
              <c16:uniqueId val="{00000001-2547-496C-9006-116F6D9F27C8}"/>
            </c:ext>
          </c:extLst>
        </c:ser>
        <c:dLbls>
          <c:showLegendKey val="0"/>
          <c:showVal val="0"/>
          <c:showCatName val="0"/>
          <c:showSerName val="0"/>
          <c:showPercent val="0"/>
          <c:showBubbleSize val="0"/>
        </c:dLbls>
        <c:gapWidth val="150"/>
        <c:axId val="414470144"/>
        <c:axId val="345396288"/>
      </c:barChart>
      <c:lineChart>
        <c:grouping val="standard"/>
        <c:varyColors val="0"/>
        <c:ser>
          <c:idx val="0"/>
          <c:order val="0"/>
          <c:tx>
            <c:strRef>
              <c:f>Sheet1!$C$1</c:f>
              <c:strCache>
                <c:ptCount val="1"/>
                <c:pt idx="0">
                  <c:v>Ընդամենը</c:v>
                </c:pt>
              </c:strCache>
            </c:strRef>
          </c:tx>
          <c:spPr>
            <a:ln w="28575" cap="rnd">
              <a:solidFill>
                <a:srgbClr val="1F497D"/>
              </a:solidFill>
              <a:round/>
            </a:ln>
            <a:effectLst/>
          </c:spPr>
          <c:marker>
            <c:spPr>
              <a:solidFill>
                <a:srgbClr val="1F497D"/>
              </a:solidFill>
              <a:ln>
                <a:noFill/>
              </a:ln>
            </c:spPr>
          </c:marker>
          <c:dLbls>
            <c:dLbl>
              <c:idx val="4"/>
              <c:layout>
                <c:manualLayout>
                  <c:x val="-0.10735005950343171"/>
                  <c:y val="-8.23475291395027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47-496C-9006-116F6D9F27C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2018</c:v>
                </c:pt>
                <c:pt idx="1">
                  <c:v>2019</c:v>
                </c:pt>
                <c:pt idx="2">
                  <c:v>2020</c:v>
                </c:pt>
                <c:pt idx="3">
                  <c:v>2021</c:v>
                </c:pt>
                <c:pt idx="4">
                  <c:v>2022</c:v>
                </c:pt>
                <c:pt idx="5">
                  <c:v>2023</c:v>
                </c:pt>
              </c:numCache>
            </c:numRef>
          </c:cat>
          <c:val>
            <c:numRef>
              <c:f>Sheet1!$C$2:$C$7</c:f>
              <c:numCache>
                <c:formatCode>0.0</c:formatCode>
                <c:ptCount val="6"/>
                <c:pt idx="0">
                  <c:v>4</c:v>
                </c:pt>
                <c:pt idx="1">
                  <c:v>5.8</c:v>
                </c:pt>
                <c:pt idx="2">
                  <c:v>3.9000000000000057</c:v>
                </c:pt>
                <c:pt idx="3">
                  <c:v>7.5545996646914091</c:v>
                </c:pt>
                <c:pt idx="4">
                  <c:v>15.5</c:v>
                </c:pt>
                <c:pt idx="5">
                  <c:v>14.6</c:v>
                </c:pt>
              </c:numCache>
            </c:numRef>
          </c:val>
          <c:smooth val="0"/>
          <c:extLst>
            <c:ext xmlns:c16="http://schemas.microsoft.com/office/drawing/2014/chart" uri="{C3380CC4-5D6E-409C-BE32-E72D297353CC}">
              <c16:uniqueId val="{00000003-2547-496C-9006-116F6D9F27C8}"/>
            </c:ext>
          </c:extLst>
        </c:ser>
        <c:dLbls>
          <c:showLegendKey val="0"/>
          <c:showVal val="0"/>
          <c:showCatName val="0"/>
          <c:showSerName val="0"/>
          <c:showPercent val="0"/>
          <c:showBubbleSize val="0"/>
        </c:dLbls>
        <c:marker val="1"/>
        <c:smooth val="0"/>
        <c:axId val="414470144"/>
        <c:axId val="345396288"/>
      </c:lineChart>
      <c:catAx>
        <c:axId val="41447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45396288"/>
        <c:crosses val="autoZero"/>
        <c:auto val="1"/>
        <c:lblAlgn val="ctr"/>
        <c:lblOffset val="0"/>
        <c:noMultiLvlLbl val="0"/>
      </c:catAx>
      <c:valAx>
        <c:axId val="345396288"/>
        <c:scaling>
          <c:orientation val="minMax"/>
          <c:max val="20"/>
          <c:min val="0"/>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14470144"/>
        <c:crosses val="autoZero"/>
        <c:crossBetween val="between"/>
        <c:majorUnit val="3"/>
      </c:valAx>
      <c:spPr>
        <a:solidFill>
          <a:schemeClr val="bg1"/>
        </a:solidFill>
        <a:ln>
          <a:noFill/>
        </a:ln>
        <a:effectLst/>
      </c:spPr>
    </c:plotArea>
    <c:legend>
      <c:legendPos val="b"/>
      <c:layout>
        <c:manualLayout>
          <c:xMode val="edge"/>
          <c:yMode val="edge"/>
          <c:x val="6.3659868603381103E-2"/>
          <c:y val="0.91686168261225409"/>
          <c:w val="0.9"/>
          <c:h val="7.453018372703412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71697287839014E-2"/>
          <c:y val="5.5187083744875277E-2"/>
          <c:w val="0.84915654061760815"/>
          <c:h val="0.5227053140096618"/>
        </c:manualLayout>
      </c:layout>
      <c:barChart>
        <c:barDir val="col"/>
        <c:grouping val="clustered"/>
        <c:varyColors val="0"/>
        <c:ser>
          <c:idx val="0"/>
          <c:order val="0"/>
          <c:tx>
            <c:strRef>
              <c:f>Sheet1!$C$1</c:f>
              <c:strCache>
                <c:ptCount val="1"/>
                <c:pt idx="0">
                  <c:v>Զբաղվածներ, հազ. մարդ</c:v>
                </c:pt>
              </c:strCache>
            </c:strRef>
          </c:tx>
          <c:spPr>
            <a:solidFill>
              <a:srgbClr val="4F81BD"/>
            </a:solidFill>
          </c:spPr>
          <c:invertIfNegative val="0"/>
          <c:cat>
            <c:multiLvlStrRef>
              <c:f>Sheet1!$A$2:$B$13</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2021</c:v>
                  </c:pt>
                  <c:pt idx="4">
                    <c:v>2022</c:v>
                  </c:pt>
                  <c:pt idx="8">
                    <c:v>2023</c:v>
                  </c:pt>
                </c:lvl>
              </c:multiLvlStrCache>
            </c:multiLvlStrRef>
          </c:cat>
          <c:val>
            <c:numRef>
              <c:f>Sheet1!$C$2:$C$13</c:f>
              <c:numCache>
                <c:formatCode>0.0</c:formatCode>
                <c:ptCount val="12"/>
                <c:pt idx="0">
                  <c:v>1036.5</c:v>
                </c:pt>
                <c:pt idx="1">
                  <c:v>1099.5999999999999</c:v>
                </c:pt>
                <c:pt idx="2">
                  <c:v>1126.5999999999999</c:v>
                </c:pt>
                <c:pt idx="3">
                  <c:v>1089.0999999999999</c:v>
                </c:pt>
                <c:pt idx="4">
                  <c:v>1070.5</c:v>
                </c:pt>
                <c:pt idx="5">
                  <c:v>1142.4000000000001</c:v>
                </c:pt>
                <c:pt idx="6">
                  <c:v>1202.4000000000001</c:v>
                </c:pt>
                <c:pt idx="7">
                  <c:v>1141.2</c:v>
                </c:pt>
                <c:pt idx="8">
                  <c:v>1129.7</c:v>
                </c:pt>
                <c:pt idx="9">
                  <c:v>1211.4000000000001</c:v>
                </c:pt>
                <c:pt idx="10">
                  <c:v>1220.5999999999999</c:v>
                </c:pt>
                <c:pt idx="11">
                  <c:v>1177.0999999999999</c:v>
                </c:pt>
              </c:numCache>
            </c:numRef>
          </c:val>
          <c:extLst>
            <c:ext xmlns:c16="http://schemas.microsoft.com/office/drawing/2014/chart" uri="{C3380CC4-5D6E-409C-BE32-E72D297353CC}">
              <c16:uniqueId val="{00000000-4FD3-4160-9854-7176E380AA64}"/>
            </c:ext>
          </c:extLst>
        </c:ser>
        <c:ser>
          <c:idx val="1"/>
          <c:order val="1"/>
          <c:tx>
            <c:strRef>
              <c:f>Sheet1!$D$1</c:f>
              <c:strCache>
                <c:ptCount val="1"/>
                <c:pt idx="0">
                  <c:v>Գործազուրկներ, հազ. մարդ</c:v>
                </c:pt>
              </c:strCache>
            </c:strRef>
          </c:tx>
          <c:spPr>
            <a:solidFill>
              <a:srgbClr val="FAC090"/>
            </a:solidFill>
            <a:ln>
              <a:noFill/>
            </a:ln>
            <a:effectLst/>
          </c:spPr>
          <c:invertIfNegative val="0"/>
          <c:cat>
            <c:multiLvlStrRef>
              <c:f>Sheet1!$A$2:$B$13</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2021</c:v>
                  </c:pt>
                  <c:pt idx="4">
                    <c:v>2022</c:v>
                  </c:pt>
                  <c:pt idx="8">
                    <c:v>2023</c:v>
                  </c:pt>
                </c:lvl>
              </c:multiLvlStrCache>
            </c:multiLvlStrRef>
          </c:cat>
          <c:val>
            <c:numRef>
              <c:f>Sheet1!$D$2:$D$13</c:f>
              <c:numCache>
                <c:formatCode>0.0</c:formatCode>
                <c:ptCount val="12"/>
                <c:pt idx="0">
                  <c:v>207.5</c:v>
                </c:pt>
                <c:pt idx="1">
                  <c:v>197.4</c:v>
                </c:pt>
                <c:pt idx="2">
                  <c:v>198.6</c:v>
                </c:pt>
                <c:pt idx="3">
                  <c:v>187.8</c:v>
                </c:pt>
                <c:pt idx="4">
                  <c:v>186.4</c:v>
                </c:pt>
                <c:pt idx="5">
                  <c:v>170</c:v>
                </c:pt>
                <c:pt idx="6">
                  <c:v>158</c:v>
                </c:pt>
                <c:pt idx="7">
                  <c:v>165.8</c:v>
                </c:pt>
                <c:pt idx="8">
                  <c:v>179.6</c:v>
                </c:pt>
                <c:pt idx="9">
                  <c:v>160.69999999999999</c:v>
                </c:pt>
                <c:pt idx="10">
                  <c:v>167.2</c:v>
                </c:pt>
                <c:pt idx="11">
                  <c:v>177.4</c:v>
                </c:pt>
              </c:numCache>
            </c:numRef>
          </c:val>
          <c:extLst>
            <c:ext xmlns:c16="http://schemas.microsoft.com/office/drawing/2014/chart" uri="{C3380CC4-5D6E-409C-BE32-E72D297353CC}">
              <c16:uniqueId val="{00000001-4FD3-4160-9854-7176E380AA64}"/>
            </c:ext>
          </c:extLst>
        </c:ser>
        <c:dLbls>
          <c:showLegendKey val="0"/>
          <c:showVal val="0"/>
          <c:showCatName val="0"/>
          <c:showSerName val="0"/>
          <c:showPercent val="0"/>
          <c:showBubbleSize val="0"/>
        </c:dLbls>
        <c:gapWidth val="150"/>
        <c:axId val="391028736"/>
        <c:axId val="345398592"/>
      </c:barChart>
      <c:lineChart>
        <c:grouping val="standard"/>
        <c:varyColors val="0"/>
        <c:ser>
          <c:idx val="2"/>
          <c:order val="2"/>
          <c:tx>
            <c:strRef>
              <c:f>Sheet1!$E$1</c:f>
              <c:strCache>
                <c:ptCount val="1"/>
                <c:pt idx="0">
                  <c:v>Գործազրկության մակարդակ, %, աջ առանցք</c:v>
                </c:pt>
              </c:strCache>
            </c:strRef>
          </c:tx>
          <c:spPr>
            <a:ln cap="sq">
              <a:solidFill>
                <a:srgbClr val="1F497D"/>
              </a:solidFill>
            </a:ln>
            <a:effectLst/>
          </c:spPr>
          <c:marker>
            <c:symbol val="diamond"/>
            <c:size val="7"/>
            <c:spPr>
              <a:solidFill>
                <a:srgbClr val="1F497D"/>
              </a:solidFill>
              <a:ln>
                <a:noFill/>
                <a:round/>
              </a:ln>
            </c:spPr>
          </c:marker>
          <c:cat>
            <c:multiLvlStrRef>
              <c:f>Sheet1!$A$2:$B$13</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0">
                    <c:v>2021</c:v>
                  </c:pt>
                  <c:pt idx="4">
                    <c:v>2022</c:v>
                  </c:pt>
                  <c:pt idx="8">
                    <c:v>2023</c:v>
                  </c:pt>
                </c:lvl>
              </c:multiLvlStrCache>
            </c:multiLvlStrRef>
          </c:cat>
          <c:val>
            <c:numRef>
              <c:f>Sheet1!$E$2:$E$13</c:f>
              <c:numCache>
                <c:formatCode>0.0</c:formatCode>
                <c:ptCount val="12"/>
                <c:pt idx="0">
                  <c:v>16.7</c:v>
                </c:pt>
                <c:pt idx="1">
                  <c:v>15.2</c:v>
                </c:pt>
                <c:pt idx="2">
                  <c:v>15</c:v>
                </c:pt>
                <c:pt idx="3">
                  <c:v>14.7</c:v>
                </c:pt>
                <c:pt idx="4">
                  <c:v>14.8</c:v>
                </c:pt>
                <c:pt idx="5">
                  <c:v>13</c:v>
                </c:pt>
                <c:pt idx="6">
                  <c:v>11.6</c:v>
                </c:pt>
                <c:pt idx="7">
                  <c:v>12.7</c:v>
                </c:pt>
                <c:pt idx="8">
                  <c:v>13.7</c:v>
                </c:pt>
                <c:pt idx="9">
                  <c:v>11.7</c:v>
                </c:pt>
                <c:pt idx="10">
                  <c:v>12</c:v>
                </c:pt>
                <c:pt idx="11">
                  <c:v>13.1</c:v>
                </c:pt>
              </c:numCache>
            </c:numRef>
          </c:val>
          <c:smooth val="0"/>
          <c:extLst>
            <c:ext xmlns:c16="http://schemas.microsoft.com/office/drawing/2014/chart" uri="{C3380CC4-5D6E-409C-BE32-E72D297353CC}">
              <c16:uniqueId val="{00000002-4FD3-4160-9854-7176E380AA64}"/>
            </c:ext>
          </c:extLst>
        </c:ser>
        <c:dLbls>
          <c:showLegendKey val="0"/>
          <c:showVal val="0"/>
          <c:showCatName val="0"/>
          <c:showSerName val="0"/>
          <c:showPercent val="0"/>
          <c:showBubbleSize val="0"/>
        </c:dLbls>
        <c:marker val="1"/>
        <c:smooth val="0"/>
        <c:axId val="404680704"/>
        <c:axId val="389914624"/>
      </c:lineChart>
      <c:catAx>
        <c:axId val="39102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45398592"/>
        <c:crosses val="autoZero"/>
        <c:auto val="1"/>
        <c:lblAlgn val="ctr"/>
        <c:lblOffset val="0"/>
        <c:noMultiLvlLbl val="0"/>
      </c:catAx>
      <c:valAx>
        <c:axId val="345398592"/>
        <c:scaling>
          <c:orientation val="minMax"/>
          <c:max val="1400"/>
          <c:min val="0"/>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91028736"/>
        <c:crosses val="autoZero"/>
        <c:crossBetween val="between"/>
        <c:majorUnit val="300"/>
      </c:valAx>
      <c:valAx>
        <c:axId val="389914624"/>
        <c:scaling>
          <c:orientation val="minMax"/>
        </c:scaling>
        <c:delete val="0"/>
        <c:axPos val="r"/>
        <c:numFmt formatCode="0.0" sourceLinked="1"/>
        <c:majorTickMark val="out"/>
        <c:minorTickMark val="none"/>
        <c:tickLblPos val="nextTo"/>
        <c:spPr>
          <a:ln>
            <a:noFill/>
          </a:ln>
        </c:spPr>
        <c:txPr>
          <a:bodyPr/>
          <a:lstStyle/>
          <a:p>
            <a:pPr>
              <a:defRPr sz="600">
                <a:latin typeface="GHEA Grapalat" panose="02000506050000020003" pitchFamily="50" charset="0"/>
              </a:defRPr>
            </a:pPr>
            <a:endParaRPr lang="en-US"/>
          </a:p>
        </c:txPr>
        <c:crossAx val="404680704"/>
        <c:crosses val="max"/>
        <c:crossBetween val="between"/>
      </c:valAx>
      <c:catAx>
        <c:axId val="404680704"/>
        <c:scaling>
          <c:orientation val="minMax"/>
        </c:scaling>
        <c:delete val="1"/>
        <c:axPos val="b"/>
        <c:numFmt formatCode="General" sourceLinked="1"/>
        <c:majorTickMark val="out"/>
        <c:minorTickMark val="none"/>
        <c:tickLblPos val="nextTo"/>
        <c:crossAx val="389914624"/>
        <c:crosses val="autoZero"/>
        <c:auto val="1"/>
        <c:lblAlgn val="ctr"/>
        <c:lblOffset val="100"/>
        <c:noMultiLvlLbl val="0"/>
      </c:catAx>
      <c:spPr>
        <a:solidFill>
          <a:schemeClr val="bg1"/>
        </a:solidFill>
        <a:ln>
          <a:noFill/>
        </a:ln>
        <a:effectLst/>
      </c:spPr>
    </c:plotArea>
    <c:legend>
      <c:legendPos val="b"/>
      <c:layout>
        <c:manualLayout>
          <c:xMode val="edge"/>
          <c:yMode val="edge"/>
          <c:x val="1.4277284638372661E-2"/>
          <c:y val="0.7737598017639099"/>
          <c:w val="0.96889605157131342"/>
          <c:h val="0.2152904799943485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671697287839014E-2"/>
          <c:y val="6.2195054565547726E-2"/>
          <c:w val="0.84915654061760815"/>
          <c:h val="0.59851706036745389"/>
        </c:manualLayout>
      </c:layout>
      <c:barChart>
        <c:barDir val="col"/>
        <c:grouping val="clustered"/>
        <c:varyColors val="0"/>
        <c:ser>
          <c:idx val="1"/>
          <c:order val="1"/>
          <c:tx>
            <c:strRef>
              <c:f>Sheet1!$E$1</c:f>
              <c:strCache>
                <c:ptCount val="1"/>
                <c:pt idx="0">
                  <c:v>Պետական հատված</c:v>
                </c:pt>
              </c:strCache>
            </c:strRef>
          </c:tx>
          <c:spPr>
            <a:solidFill>
              <a:srgbClr val="FAC090"/>
            </a:solidFill>
            <a:effectLst/>
          </c:spPr>
          <c:invertIfNegative val="0"/>
          <c:cat>
            <c:multiLvlStrRef>
              <c:f>Sheet1!$A$2:$B$9</c:f>
            </c:multiLvlStrRef>
          </c:cat>
          <c:val>
            <c:numRef>
              <c:f>Sheet1!$E$2:$E$13</c:f>
              <c:numCache>
                <c:formatCode>General</c:formatCode>
                <c:ptCount val="4"/>
                <c:pt idx="0">
                  <c:v>9.0999999999999943</c:v>
                </c:pt>
                <c:pt idx="1">
                  <c:v>9.2000000000000028</c:v>
                </c:pt>
                <c:pt idx="2">
                  <c:v>10</c:v>
                </c:pt>
                <c:pt idx="3">
                  <c:v>11.4</c:v>
                </c:pt>
              </c:numCache>
            </c:numRef>
          </c:val>
          <c:extLst>
            <c:ext xmlns:c16="http://schemas.microsoft.com/office/drawing/2014/chart" uri="{C3380CC4-5D6E-409C-BE32-E72D297353CC}">
              <c16:uniqueId val="{00000000-D654-48EB-A353-BE0C3F8EB7D4}"/>
            </c:ext>
          </c:extLst>
        </c:ser>
        <c:ser>
          <c:idx val="2"/>
          <c:order val="2"/>
          <c:tx>
            <c:strRef>
              <c:f>Sheet1!$F$1</c:f>
              <c:strCache>
                <c:ptCount val="1"/>
                <c:pt idx="0">
                  <c:v>Մասնավոր հատված</c:v>
                </c:pt>
              </c:strCache>
            </c:strRef>
          </c:tx>
          <c:spPr>
            <a:solidFill>
              <a:srgbClr val="4F81BD"/>
            </a:solidFill>
          </c:spPr>
          <c:invertIfNegative val="0"/>
          <c:cat>
            <c:multiLvlStrRef>
              <c:f>Sheet1!$A$2:$B$9</c:f>
            </c:multiLvlStrRef>
          </c:cat>
          <c:val>
            <c:numRef>
              <c:f>Sheet1!$F$2:$F$13</c:f>
              <c:numCache>
                <c:formatCode>General</c:formatCode>
                <c:ptCount val="4"/>
                <c:pt idx="0">
                  <c:v>26.700000000000003</c:v>
                </c:pt>
                <c:pt idx="1">
                  <c:v>22.099999999999994</c:v>
                </c:pt>
                <c:pt idx="2">
                  <c:v>17.900000000000006</c:v>
                </c:pt>
                <c:pt idx="3" formatCode="0.0">
                  <c:v>15</c:v>
                </c:pt>
              </c:numCache>
            </c:numRef>
          </c:val>
          <c:extLst>
            <c:ext xmlns:c16="http://schemas.microsoft.com/office/drawing/2014/chart" uri="{C3380CC4-5D6E-409C-BE32-E72D297353CC}">
              <c16:uniqueId val="{00000001-D654-48EB-A353-BE0C3F8EB7D4}"/>
            </c:ext>
          </c:extLst>
        </c:ser>
        <c:dLbls>
          <c:showLegendKey val="0"/>
          <c:showVal val="0"/>
          <c:showCatName val="0"/>
          <c:showSerName val="0"/>
          <c:showPercent val="0"/>
          <c:showBubbleSize val="0"/>
        </c:dLbls>
        <c:gapWidth val="150"/>
        <c:axId val="414471168"/>
        <c:axId val="389916352"/>
      </c:barChart>
      <c:lineChart>
        <c:grouping val="standard"/>
        <c:varyColors val="0"/>
        <c:ser>
          <c:idx val="0"/>
          <c:order val="0"/>
          <c:tx>
            <c:strRef>
              <c:f>Sheet1!$D$1</c:f>
              <c:strCache>
                <c:ptCount val="1"/>
                <c:pt idx="0">
                  <c:v>Ընդամենը</c:v>
                </c:pt>
              </c:strCache>
            </c:strRef>
          </c:tx>
          <c:spPr>
            <a:ln w="28575" cap="rnd">
              <a:solidFill>
                <a:srgbClr val="1F497D"/>
              </a:solidFill>
              <a:round/>
            </a:ln>
            <a:effectLst/>
          </c:spPr>
          <c:marker>
            <c:spPr>
              <a:solidFill>
                <a:srgbClr val="1F497D"/>
              </a:solidFill>
              <a:ln>
                <a:noFill/>
              </a:ln>
            </c:spPr>
          </c:marker>
          <c:dLbls>
            <c:dLbl>
              <c:idx val="0"/>
              <c:layout>
                <c:manualLayout>
                  <c:x val="-8.357499405752318E-2"/>
                  <c:y val="-6.46702755905511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54-48EB-A353-BE0C3F8EB7D4}"/>
                </c:ext>
              </c:extLst>
            </c:dLbl>
            <c:dLbl>
              <c:idx val="1"/>
              <c:layout>
                <c:manualLayout>
                  <c:x val="-8.2065698526452915E-2"/>
                  <c:y val="-7.1614720034995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54-48EB-A353-BE0C3F8EB7D4}"/>
                </c:ext>
              </c:extLst>
            </c:dLbl>
            <c:dLbl>
              <c:idx val="2"/>
              <c:layout>
                <c:manualLayout>
                  <c:x val="-7.7810697955600805E-2"/>
                  <c:y val="-7.1614720034995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54-48EB-A353-BE0C3F8EB7D4}"/>
                </c:ext>
              </c:extLst>
            </c:dLbl>
            <c:dLbl>
              <c:idx val="3"/>
              <c:layout>
                <c:manualLayout>
                  <c:x val="-7.7537437603993342E-2"/>
                  <c:y val="-7.1614720034995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654-48EB-A353-BE0C3F8EB7D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Sheet1!$A$10:$B$13</c:f>
              <c:multiLvlStrCache>
                <c:ptCount val="4"/>
                <c:lvl>
                  <c:pt idx="0">
                    <c:v>I</c:v>
                  </c:pt>
                  <c:pt idx="1">
                    <c:v>I-II</c:v>
                  </c:pt>
                  <c:pt idx="2">
                    <c:v>I-III</c:v>
                  </c:pt>
                  <c:pt idx="3">
                    <c:v>I-IV</c:v>
                  </c:pt>
                </c:lvl>
                <c:lvl>
                  <c:pt idx="0">
                    <c:v>2023</c:v>
                  </c:pt>
                </c:lvl>
              </c:multiLvlStrCache>
            </c:multiLvlStrRef>
          </c:cat>
          <c:val>
            <c:numRef>
              <c:f>Sheet1!$D$2:$D$13</c:f>
              <c:numCache>
                <c:formatCode>0.0</c:formatCode>
                <c:ptCount val="4"/>
                <c:pt idx="0">
                  <c:v>22.900000000000006</c:v>
                </c:pt>
                <c:pt idx="1">
                  <c:v>19.5</c:v>
                </c:pt>
                <c:pt idx="2">
                  <c:v>16.599999999999994</c:v>
                </c:pt>
                <c:pt idx="3">
                  <c:v>14.6</c:v>
                </c:pt>
              </c:numCache>
            </c:numRef>
          </c:val>
          <c:smooth val="0"/>
          <c:extLst>
            <c:ext xmlns:c16="http://schemas.microsoft.com/office/drawing/2014/chart" uri="{C3380CC4-5D6E-409C-BE32-E72D297353CC}">
              <c16:uniqueId val="{00000006-D654-48EB-A353-BE0C3F8EB7D4}"/>
            </c:ext>
          </c:extLst>
        </c:ser>
        <c:dLbls>
          <c:showLegendKey val="0"/>
          <c:showVal val="0"/>
          <c:showCatName val="0"/>
          <c:showSerName val="0"/>
          <c:showPercent val="0"/>
          <c:showBubbleSize val="0"/>
        </c:dLbls>
        <c:marker val="1"/>
        <c:smooth val="0"/>
        <c:axId val="414471168"/>
        <c:axId val="389916352"/>
      </c:lineChart>
      <c:catAx>
        <c:axId val="41447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89916352"/>
        <c:crosses val="autoZero"/>
        <c:auto val="1"/>
        <c:lblAlgn val="ctr"/>
        <c:lblOffset val="0"/>
        <c:noMultiLvlLbl val="0"/>
      </c:catAx>
      <c:valAx>
        <c:axId val="389916352"/>
        <c:scaling>
          <c:orientation val="minMax"/>
          <c:max val="28"/>
          <c:min val="0"/>
        </c:scaling>
        <c:delete val="0"/>
        <c:axPos val="l"/>
        <c:majorGridlines>
          <c:spPr>
            <a:ln w="6350" cap="flat" cmpd="sng" algn="ctr">
              <a:solidFill>
                <a:sysClr val="windowText" lastClr="000000">
                  <a:lumMod val="15000"/>
                  <a:lumOff val="85000"/>
                </a:sys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414471168"/>
        <c:crosses val="autoZero"/>
        <c:crossBetween val="between"/>
        <c:majorUnit val="6"/>
      </c:valAx>
      <c:spPr>
        <a:solidFill>
          <a:schemeClr val="bg1"/>
        </a:solidFill>
        <a:ln>
          <a:noFill/>
        </a:ln>
        <a:effectLst/>
      </c:spPr>
    </c:plotArea>
    <c:legend>
      <c:legendPos val="b"/>
      <c:layout>
        <c:manualLayout>
          <c:xMode val="edge"/>
          <c:yMode val="edge"/>
          <c:x val="7.3167892283015373E-2"/>
          <c:y val="0.84629702537182849"/>
          <c:w val="0.9"/>
          <c:h val="0.130085848643919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235874707278361E-2"/>
          <c:y val="4.9886916677788155E-2"/>
          <c:w val="0.91180803746837036"/>
          <c:h val="0.66540504470839446"/>
        </c:manualLayout>
      </c:layout>
      <c:lineChart>
        <c:grouping val="standard"/>
        <c:varyColors val="0"/>
        <c:ser>
          <c:idx val="0"/>
          <c:order val="0"/>
          <c:tx>
            <c:strRef>
              <c:f>Sheet1!$D$1</c:f>
              <c:strCache>
                <c:ptCount val="1"/>
                <c:pt idx="0">
                  <c:v>12-ամսյա գնաճ, %</c:v>
                </c:pt>
              </c:strCache>
            </c:strRef>
          </c:tx>
          <c:spPr>
            <a:ln w="28564" cap="rnd">
              <a:solidFill>
                <a:srgbClr val="ED7D31">
                  <a:lumMod val="60000"/>
                  <a:lumOff val="40000"/>
                </a:srgbClr>
              </a:solidFill>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Sheet1!$D$2:$D$73</c:f>
              <c:numCache>
                <c:formatCode>0.0</c:formatCode>
                <c:ptCount val="60"/>
                <c:pt idx="0">
                  <c:v>0.79097636655596659</c:v>
                </c:pt>
                <c:pt idx="1">
                  <c:v>1.8976618564860388</c:v>
                </c:pt>
                <c:pt idx="2">
                  <c:v>1.8811658309777073</c:v>
                </c:pt>
                <c:pt idx="3">
                  <c:v>2.1504850922056562</c:v>
                </c:pt>
                <c:pt idx="4">
                  <c:v>2.7652597181532172</c:v>
                </c:pt>
                <c:pt idx="5">
                  <c:v>2.5</c:v>
                </c:pt>
                <c:pt idx="6">
                  <c:v>1.6569795204561331</c:v>
                </c:pt>
                <c:pt idx="7">
                  <c:v>0.62771323268484025</c:v>
                </c:pt>
                <c:pt idx="8">
                  <c:v>0.5</c:v>
                </c:pt>
                <c:pt idx="9">
                  <c:v>0.90000000000000568</c:v>
                </c:pt>
                <c:pt idx="10">
                  <c:v>1</c:v>
                </c:pt>
                <c:pt idx="11">
                  <c:v>0.72816647656999578</c:v>
                </c:pt>
                <c:pt idx="12">
                  <c:v>0.27658563406973258</c:v>
                </c:pt>
                <c:pt idx="13">
                  <c:v>-0.54084569473241118</c:v>
                </c:pt>
                <c:pt idx="14">
                  <c:v>-0.11022336893752538</c:v>
                </c:pt>
                <c:pt idx="15">
                  <c:v>0.85542195074623351</c:v>
                </c:pt>
                <c:pt idx="16">
                  <c:v>1.1580085630596528</c:v>
                </c:pt>
                <c:pt idx="17">
                  <c:v>1.6775261712177212</c:v>
                </c:pt>
                <c:pt idx="18">
                  <c:v>1.5187898303232146</c:v>
                </c:pt>
                <c:pt idx="19">
                  <c:v>1.8167405331190878</c:v>
                </c:pt>
                <c:pt idx="20">
                  <c:v>1.4326844717312213</c:v>
                </c:pt>
                <c:pt idx="21">
                  <c:v>1.3441364663858479</c:v>
                </c:pt>
                <c:pt idx="22">
                  <c:v>1.5585891969706438</c:v>
                </c:pt>
                <c:pt idx="23">
                  <c:v>3.6638246566360237</c:v>
                </c:pt>
                <c:pt idx="24">
                  <c:v>4.5148886220006261</c:v>
                </c:pt>
                <c:pt idx="25">
                  <c:v>5.3267515218621924</c:v>
                </c:pt>
                <c:pt idx="26">
                  <c:v>5.7810093225161552</c:v>
                </c:pt>
                <c:pt idx="27">
                  <c:v>6.1569193415054002</c:v>
                </c:pt>
                <c:pt idx="28">
                  <c:v>5.9006948589342016</c:v>
                </c:pt>
                <c:pt idx="29">
                  <c:v>6.5046445234588646</c:v>
                </c:pt>
                <c:pt idx="30">
                  <c:v>8.2227275731544154</c:v>
                </c:pt>
                <c:pt idx="31">
                  <c:v>8.7823860822581139</c:v>
                </c:pt>
                <c:pt idx="32">
                  <c:v>8.8886539553763413</c:v>
                </c:pt>
                <c:pt idx="33">
                  <c:v>9.1040943851299545</c:v>
                </c:pt>
                <c:pt idx="34">
                  <c:v>9.5566762184085832</c:v>
                </c:pt>
                <c:pt idx="35">
                  <c:v>7.6754534627573037</c:v>
                </c:pt>
                <c:pt idx="36">
                  <c:v>7.0769205766379315</c:v>
                </c:pt>
                <c:pt idx="37">
                  <c:v>6.5432090002156116</c:v>
                </c:pt>
                <c:pt idx="38">
                  <c:v>7.3617969746003382</c:v>
                </c:pt>
                <c:pt idx="39">
                  <c:v>8.4252580519207356</c:v>
                </c:pt>
                <c:pt idx="40">
                  <c:v>8.9862917816955417</c:v>
                </c:pt>
                <c:pt idx="41">
                  <c:v>10.274467693331786</c:v>
                </c:pt>
                <c:pt idx="42">
                  <c:v>9.3216627279495867</c:v>
                </c:pt>
                <c:pt idx="43">
                  <c:v>9.1287829914562479</c:v>
                </c:pt>
                <c:pt idx="44">
                  <c:v>9.9151144159470022</c:v>
                </c:pt>
                <c:pt idx="45">
                  <c:v>9.5</c:v>
                </c:pt>
                <c:pt idx="46">
                  <c:v>8.8446621147540014</c:v>
                </c:pt>
                <c:pt idx="47">
                  <c:v>8.3026886372339987</c:v>
                </c:pt>
                <c:pt idx="48">
                  <c:v>8.0513101873760036</c:v>
                </c:pt>
                <c:pt idx="49">
                  <c:v>8.0504413480060038</c:v>
                </c:pt>
                <c:pt idx="50">
                  <c:v>5.4496798492630063</c:v>
                </c:pt>
                <c:pt idx="51">
                  <c:v>3.2368670906421926</c:v>
                </c:pt>
                <c:pt idx="52">
                  <c:v>1.3</c:v>
                </c:pt>
                <c:pt idx="53">
                  <c:v>-0.5</c:v>
                </c:pt>
                <c:pt idx="54">
                  <c:v>-0.10059999999999999</c:v>
                </c:pt>
                <c:pt idx="55">
                  <c:v>-0.16830000000000001</c:v>
                </c:pt>
                <c:pt idx="56">
                  <c:v>0.1</c:v>
                </c:pt>
                <c:pt idx="57">
                  <c:v>0.1</c:v>
                </c:pt>
                <c:pt idx="58">
                  <c:v>-0.5</c:v>
                </c:pt>
                <c:pt idx="59">
                  <c:v>-0.6</c:v>
                </c:pt>
              </c:numCache>
            </c:numRef>
          </c:val>
          <c:smooth val="0"/>
          <c:extLst>
            <c:ext xmlns:c16="http://schemas.microsoft.com/office/drawing/2014/chart" uri="{C3380CC4-5D6E-409C-BE32-E72D297353CC}">
              <c16:uniqueId val="{00000000-8C35-42D1-AB6C-DD26846AC8C0}"/>
            </c:ext>
          </c:extLst>
        </c:ser>
        <c:ser>
          <c:idx val="1"/>
          <c:order val="1"/>
          <c:tx>
            <c:strRef>
              <c:f>Sheet1!$E$1</c:f>
              <c:strCache>
                <c:ptCount val="1"/>
                <c:pt idx="0">
                  <c:v>Վերաֆինանսավորման տոկոսադրույք, %</c:v>
                </c:pt>
              </c:strCache>
            </c:strRef>
          </c:tx>
          <c:spPr>
            <a:ln w="28564" cap="rnd">
              <a:solidFill>
                <a:srgbClr val="4472C4">
                  <a:lumMod val="50000"/>
                </a:srgbClr>
              </a:solidFill>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Sheet1!$E$2:$E$73</c:f>
              <c:numCache>
                <c:formatCode>0.00</c:formatCode>
                <c:ptCount val="60"/>
                <c:pt idx="0">
                  <c:v>5.75</c:v>
                </c:pt>
                <c:pt idx="1">
                  <c:v>5.75</c:v>
                </c:pt>
                <c:pt idx="2">
                  <c:v>5.75</c:v>
                </c:pt>
                <c:pt idx="3">
                  <c:v>5.75</c:v>
                </c:pt>
                <c:pt idx="4">
                  <c:v>5.75</c:v>
                </c:pt>
                <c:pt idx="5">
                  <c:v>5.75</c:v>
                </c:pt>
                <c:pt idx="6">
                  <c:v>5.75</c:v>
                </c:pt>
                <c:pt idx="7">
                  <c:v>5.75</c:v>
                </c:pt>
                <c:pt idx="8">
                  <c:v>5.5</c:v>
                </c:pt>
                <c:pt idx="9">
                  <c:v>5.5</c:v>
                </c:pt>
                <c:pt idx="10">
                  <c:v>5.5</c:v>
                </c:pt>
                <c:pt idx="11">
                  <c:v>5.5</c:v>
                </c:pt>
                <c:pt idx="12">
                  <c:v>5.5</c:v>
                </c:pt>
                <c:pt idx="13">
                  <c:v>5.5</c:v>
                </c:pt>
                <c:pt idx="14">
                  <c:v>5.25</c:v>
                </c:pt>
                <c:pt idx="15">
                  <c:v>5</c:v>
                </c:pt>
                <c:pt idx="16">
                  <c:v>5</c:v>
                </c:pt>
                <c:pt idx="17">
                  <c:v>4.5</c:v>
                </c:pt>
                <c:pt idx="18">
                  <c:v>4.5</c:v>
                </c:pt>
                <c:pt idx="19">
                  <c:v>4.5</c:v>
                </c:pt>
                <c:pt idx="20">
                  <c:v>4.25</c:v>
                </c:pt>
                <c:pt idx="21">
                  <c:v>4.25</c:v>
                </c:pt>
                <c:pt idx="22">
                  <c:v>4.25</c:v>
                </c:pt>
                <c:pt idx="23">
                  <c:v>5.25</c:v>
                </c:pt>
                <c:pt idx="24">
                  <c:v>5.25</c:v>
                </c:pt>
                <c:pt idx="25">
                  <c:v>5.5</c:v>
                </c:pt>
                <c:pt idx="26">
                  <c:v>5.5</c:v>
                </c:pt>
                <c:pt idx="27">
                  <c:v>5.5</c:v>
                </c:pt>
                <c:pt idx="28">
                  <c:v>6</c:v>
                </c:pt>
                <c:pt idx="29">
                  <c:v>6.5</c:v>
                </c:pt>
                <c:pt idx="30">
                  <c:v>6.5</c:v>
                </c:pt>
                <c:pt idx="31">
                  <c:v>7</c:v>
                </c:pt>
                <c:pt idx="32">
                  <c:v>7.25</c:v>
                </c:pt>
                <c:pt idx="33">
                  <c:v>7.25</c:v>
                </c:pt>
                <c:pt idx="34">
                  <c:v>7.25</c:v>
                </c:pt>
                <c:pt idx="35">
                  <c:v>7.75</c:v>
                </c:pt>
                <c:pt idx="36">
                  <c:v>7.75</c:v>
                </c:pt>
                <c:pt idx="37">
                  <c:v>8</c:v>
                </c:pt>
                <c:pt idx="38">
                  <c:v>9.25</c:v>
                </c:pt>
                <c:pt idx="39">
                  <c:v>9.25</c:v>
                </c:pt>
                <c:pt idx="40">
                  <c:v>9.25</c:v>
                </c:pt>
                <c:pt idx="41">
                  <c:v>9.25</c:v>
                </c:pt>
                <c:pt idx="42">
                  <c:v>9.25</c:v>
                </c:pt>
                <c:pt idx="43">
                  <c:v>9.5</c:v>
                </c:pt>
                <c:pt idx="44">
                  <c:v>10</c:v>
                </c:pt>
                <c:pt idx="45">
                  <c:v>10</c:v>
                </c:pt>
                <c:pt idx="46">
                  <c:v>10.5</c:v>
                </c:pt>
                <c:pt idx="47">
                  <c:v>10.75</c:v>
                </c:pt>
                <c:pt idx="48">
                  <c:v>10.75</c:v>
                </c:pt>
                <c:pt idx="49">
                  <c:v>10.75</c:v>
                </c:pt>
                <c:pt idx="50">
                  <c:v>10.75</c:v>
                </c:pt>
                <c:pt idx="51">
                  <c:v>10.75</c:v>
                </c:pt>
                <c:pt idx="52">
                  <c:v>10.75</c:v>
                </c:pt>
                <c:pt idx="53">
                  <c:v>10.5</c:v>
                </c:pt>
                <c:pt idx="54">
                  <c:v>10.5</c:v>
                </c:pt>
                <c:pt idx="55">
                  <c:v>10.25</c:v>
                </c:pt>
                <c:pt idx="56">
                  <c:v>9.75</c:v>
                </c:pt>
                <c:pt idx="57">
                  <c:v>9.75</c:v>
                </c:pt>
                <c:pt idx="58">
                  <c:v>9.5</c:v>
                </c:pt>
                <c:pt idx="59">
                  <c:v>9.25</c:v>
                </c:pt>
              </c:numCache>
            </c:numRef>
          </c:val>
          <c:smooth val="0"/>
          <c:extLst>
            <c:ext xmlns:c16="http://schemas.microsoft.com/office/drawing/2014/chart" uri="{C3380CC4-5D6E-409C-BE32-E72D297353CC}">
              <c16:uniqueId val="{00000001-8C35-42D1-AB6C-DD26846AC8C0}"/>
            </c:ext>
          </c:extLst>
        </c:ser>
        <c:ser>
          <c:idx val="2"/>
          <c:order val="2"/>
          <c:tx>
            <c:strRef>
              <c:f>Sheet1!$C$1</c:f>
              <c:strCache>
                <c:ptCount val="1"/>
                <c:pt idx="0">
                  <c:v>Բնականոն գնաճ, %</c:v>
                </c:pt>
              </c:strCache>
            </c:strRef>
          </c:tx>
          <c:spPr>
            <a:ln>
              <a:solidFill>
                <a:sysClr val="window" lastClr="FFFFFF">
                  <a:lumMod val="50000"/>
                </a:sysClr>
              </a:solidFill>
            </a:ln>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Sheet1!$C$14:$C$73</c:f>
              <c:numCache>
                <c:formatCode>0.0</c:formatCode>
                <c:ptCount val="60"/>
                <c:pt idx="0">
                  <c:v>1.4563896873120115</c:v>
                </c:pt>
                <c:pt idx="1">
                  <c:v>1.3360206114939643</c:v>
                </c:pt>
                <c:pt idx="2">
                  <c:v>1.2771887180059309</c:v>
                </c:pt>
                <c:pt idx="3">
                  <c:v>1.1877620101242883</c:v>
                </c:pt>
                <c:pt idx="4">
                  <c:v>1.3884989506365031</c:v>
                </c:pt>
                <c:pt idx="5">
                  <c:v>1.4765728279502213</c:v>
                </c:pt>
                <c:pt idx="6">
                  <c:v>1.4806012555558254</c:v>
                </c:pt>
                <c:pt idx="7">
                  <c:v>1.2974576939890596</c:v>
                </c:pt>
                <c:pt idx="8">
                  <c:v>1.1059473147374064</c:v>
                </c:pt>
                <c:pt idx="9">
                  <c:v>0.70910691439891593</c:v>
                </c:pt>
                <c:pt idx="10">
                  <c:v>0.63481763451314066</c:v>
                </c:pt>
                <c:pt idx="11">
                  <c:v>0.66237483910065009</c:v>
                </c:pt>
                <c:pt idx="12">
                  <c:v>0.86538957196520983</c:v>
                </c:pt>
                <c:pt idx="13">
                  <c:v>0.77184062474053405</c:v>
                </c:pt>
                <c:pt idx="14">
                  <c:v>0.54227164049494547</c:v>
                </c:pt>
                <c:pt idx="15">
                  <c:v>1.1321822131247927</c:v>
                </c:pt>
                <c:pt idx="16">
                  <c:v>0.86253079378988673</c:v>
                </c:pt>
                <c:pt idx="17">
                  <c:v>0.77684596156544217</c:v>
                </c:pt>
                <c:pt idx="18">
                  <c:v>0.8340682821257559</c:v>
                </c:pt>
                <c:pt idx="19">
                  <c:v>1.0666176019744</c:v>
                </c:pt>
                <c:pt idx="20">
                  <c:v>1.3397678509690962</c:v>
                </c:pt>
                <c:pt idx="21">
                  <c:v>1.677154081686254</c:v>
                </c:pt>
                <c:pt idx="22">
                  <c:v>1.9837670848593518</c:v>
                </c:pt>
                <c:pt idx="23">
                  <c:v>3.6204833935339735</c:v>
                </c:pt>
                <c:pt idx="24">
                  <c:v>4.6779235852640682</c:v>
                </c:pt>
                <c:pt idx="25">
                  <c:v>5.4846481634119186</c:v>
                </c:pt>
                <c:pt idx="26">
                  <c:v>6.6300845552899972</c:v>
                </c:pt>
                <c:pt idx="27">
                  <c:v>6.7626395686116751</c:v>
                </c:pt>
                <c:pt idx="28">
                  <c:v>7.4114337608134804</c:v>
                </c:pt>
                <c:pt idx="29">
                  <c:v>7.8323845176300608</c:v>
                </c:pt>
                <c:pt idx="30">
                  <c:v>8.1093537485616309</c:v>
                </c:pt>
                <c:pt idx="31">
                  <c:v>8.0379242186285609</c:v>
                </c:pt>
                <c:pt idx="32">
                  <c:v>7.9880734583744442</c:v>
                </c:pt>
                <c:pt idx="33">
                  <c:v>7.8765202676341914</c:v>
                </c:pt>
                <c:pt idx="34">
                  <c:v>8.3772656385054063</c:v>
                </c:pt>
                <c:pt idx="35">
                  <c:v>7.2509011281681808</c:v>
                </c:pt>
                <c:pt idx="36">
                  <c:v>6.60162670741569</c:v>
                </c:pt>
                <c:pt idx="37">
                  <c:v>6.3614506423955959</c:v>
                </c:pt>
                <c:pt idx="38">
                  <c:v>6.9671454857929405</c:v>
                </c:pt>
                <c:pt idx="39">
                  <c:v>7.9799047833968757</c:v>
                </c:pt>
                <c:pt idx="40">
                  <c:v>8.3564098161367042</c:v>
                </c:pt>
                <c:pt idx="41">
                  <c:v>9.4404331247470736</c:v>
                </c:pt>
                <c:pt idx="42">
                  <c:v>10.10041008820204</c:v>
                </c:pt>
                <c:pt idx="43">
                  <c:v>10.230227924035546</c:v>
                </c:pt>
                <c:pt idx="44">
                  <c:v>10.540276376631112</c:v>
                </c:pt>
                <c:pt idx="45">
                  <c:v>10.488322377082326</c:v>
                </c:pt>
                <c:pt idx="46">
                  <c:v>9.8756503499295007</c:v>
                </c:pt>
                <c:pt idx="47">
                  <c:v>9.4793414473783173</c:v>
                </c:pt>
                <c:pt idx="48">
                  <c:v>9.0991561824239966</c:v>
                </c:pt>
                <c:pt idx="49">
                  <c:v>8.3569861398929959</c:v>
                </c:pt>
                <c:pt idx="50">
                  <c:v>6.4066571555730008</c:v>
                </c:pt>
                <c:pt idx="51">
                  <c:v>4.3045803295163267</c:v>
                </c:pt>
                <c:pt idx="52">
                  <c:v>3.0865032447455718</c:v>
                </c:pt>
                <c:pt idx="53">
                  <c:v>1.4518285160379776</c:v>
                </c:pt>
                <c:pt idx="54">
                  <c:v>0.59949055114458361</c:v>
                </c:pt>
                <c:pt idx="55">
                  <c:v>0.35313145780541788</c:v>
                </c:pt>
                <c:pt idx="56">
                  <c:v>-8.0847536483943827E-2</c:v>
                </c:pt>
                <c:pt idx="57">
                  <c:v>-4.6504096578033227E-2</c:v>
                </c:pt>
                <c:pt idx="58">
                  <c:v>-0.24390438070011555</c:v>
                </c:pt>
                <c:pt idx="59">
                  <c:v>-0.39353895237825043</c:v>
                </c:pt>
              </c:numCache>
            </c:numRef>
          </c:val>
          <c:smooth val="0"/>
          <c:extLst>
            <c:ext xmlns:c16="http://schemas.microsoft.com/office/drawing/2014/chart" uri="{C3380CC4-5D6E-409C-BE32-E72D297353CC}">
              <c16:uniqueId val="{00000002-8C35-42D1-AB6C-DD26846AC8C0}"/>
            </c:ext>
          </c:extLst>
        </c:ser>
        <c:dLbls>
          <c:showLegendKey val="0"/>
          <c:showVal val="0"/>
          <c:showCatName val="0"/>
          <c:showSerName val="0"/>
          <c:showPercent val="0"/>
          <c:showBubbleSize val="0"/>
        </c:dLbls>
        <c:smooth val="0"/>
        <c:axId val="806867600"/>
        <c:axId val="1"/>
      </c:lineChart>
      <c:catAx>
        <c:axId val="806867600"/>
        <c:scaling>
          <c:orientation val="minMax"/>
        </c:scaling>
        <c:delete val="0"/>
        <c:axPos val="b"/>
        <c:numFmt formatCode="General" sourceLinked="1"/>
        <c:majorTickMark val="none"/>
        <c:minorTickMark val="none"/>
        <c:tickLblPos val="low"/>
        <c:spPr>
          <a:noFill/>
          <a:ln w="952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1" cap="flat" cmpd="sng" algn="ctr">
              <a:solidFill>
                <a:schemeClr val="tx1">
                  <a:lumMod val="15000"/>
                  <a:lumOff val="85000"/>
                </a:schemeClr>
              </a:solidFill>
              <a:round/>
            </a:ln>
            <a:effectLst/>
          </c:spPr>
        </c:majorGridlines>
        <c:numFmt formatCode="0" sourceLinked="0"/>
        <c:majorTickMark val="none"/>
        <c:minorTickMark val="none"/>
        <c:tickLblPos val="nextTo"/>
        <c:spPr>
          <a:ln w="9521">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806867600"/>
        <c:crosses val="autoZero"/>
        <c:crossBetween val="between"/>
      </c:valAx>
      <c:spPr>
        <a:noFill/>
        <a:ln w="25390">
          <a:noFill/>
        </a:ln>
      </c:spPr>
    </c:plotArea>
    <c:legend>
      <c:legendPos val="b"/>
      <c:overlay val="0"/>
      <c:spPr>
        <a:noFill/>
        <a:ln w="25390">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00"/>
              <a:t>Գնաճը գործընկեր երկրներում, 12 ամսյա գնաճ, </a:t>
            </a:r>
            <a:r>
              <a:rPr lang="en-US" sz="1000"/>
              <a:t>%</a:t>
            </a:r>
          </a:p>
        </c:rich>
      </c:tx>
      <c:layout>
        <c:manualLayout>
          <c:xMode val="edge"/>
          <c:yMode val="edge"/>
          <c:x val="0.21730170549715694"/>
          <c:y val="3.1644062113381204E-3"/>
        </c:manualLayout>
      </c:layout>
      <c:overlay val="0"/>
      <c:spPr>
        <a:noFill/>
        <a:ln w="25400">
          <a:noFill/>
        </a:ln>
      </c:spPr>
    </c:title>
    <c:autoTitleDeleted val="0"/>
    <c:plotArea>
      <c:layout>
        <c:manualLayout>
          <c:layoutTarget val="inner"/>
          <c:xMode val="edge"/>
          <c:yMode val="edge"/>
          <c:x val="0.10738889071920403"/>
          <c:y val="0.12980099502487563"/>
          <c:w val="0.85425685544537056"/>
          <c:h val="0.56600305558820074"/>
        </c:manualLayout>
      </c:layout>
      <c:lineChart>
        <c:grouping val="standard"/>
        <c:varyColors val="0"/>
        <c:ser>
          <c:idx val="0"/>
          <c:order val="0"/>
          <c:tx>
            <c:strRef>
              <c:f>Sheet1!$C$1</c:f>
              <c:strCache>
                <c:ptCount val="1"/>
                <c:pt idx="0">
                  <c:v>ԱՄՆ</c:v>
                </c:pt>
              </c:strCache>
            </c:strRef>
          </c:tx>
          <c:spPr>
            <a:ln w="28575" cap="rnd">
              <a:solidFill>
                <a:schemeClr val="tx2"/>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Sheet1!$C$2:$C$73</c:f>
              <c:numCache>
                <c:formatCode>0.0</c:formatCode>
                <c:ptCount val="60"/>
                <c:pt idx="0">
                  <c:v>1.55</c:v>
                </c:pt>
                <c:pt idx="1">
                  <c:v>1.52</c:v>
                </c:pt>
                <c:pt idx="2">
                  <c:v>1.86</c:v>
                </c:pt>
                <c:pt idx="3">
                  <c:v>2</c:v>
                </c:pt>
                <c:pt idx="4">
                  <c:v>1.79</c:v>
                </c:pt>
                <c:pt idx="5">
                  <c:v>1.65</c:v>
                </c:pt>
                <c:pt idx="6">
                  <c:v>1.81</c:v>
                </c:pt>
                <c:pt idx="7">
                  <c:v>1.75</c:v>
                </c:pt>
                <c:pt idx="8">
                  <c:v>1.71</c:v>
                </c:pt>
                <c:pt idx="9">
                  <c:v>1.76</c:v>
                </c:pt>
                <c:pt idx="10">
                  <c:v>2.0499999999999998</c:v>
                </c:pt>
                <c:pt idx="11">
                  <c:v>2.29</c:v>
                </c:pt>
                <c:pt idx="12">
                  <c:v>2.4900000000000002</c:v>
                </c:pt>
                <c:pt idx="13">
                  <c:v>2.33</c:v>
                </c:pt>
                <c:pt idx="14">
                  <c:v>1.54</c:v>
                </c:pt>
                <c:pt idx="15">
                  <c:v>0.33</c:v>
                </c:pt>
                <c:pt idx="16">
                  <c:v>0.1</c:v>
                </c:pt>
                <c:pt idx="17">
                  <c:v>0.6</c:v>
                </c:pt>
                <c:pt idx="18">
                  <c:v>0.6</c:v>
                </c:pt>
                <c:pt idx="19">
                  <c:v>1.3</c:v>
                </c:pt>
                <c:pt idx="20">
                  <c:v>1.4</c:v>
                </c:pt>
                <c:pt idx="21">
                  <c:v>1.2</c:v>
                </c:pt>
                <c:pt idx="22">
                  <c:v>1.2</c:v>
                </c:pt>
                <c:pt idx="23">
                  <c:v>1.4</c:v>
                </c:pt>
                <c:pt idx="24">
                  <c:v>1.4</c:v>
                </c:pt>
                <c:pt idx="25">
                  <c:v>1.7</c:v>
                </c:pt>
                <c:pt idx="26">
                  <c:v>2.6</c:v>
                </c:pt>
                <c:pt idx="27">
                  <c:v>4.2</c:v>
                </c:pt>
                <c:pt idx="28">
                  <c:v>5</c:v>
                </c:pt>
                <c:pt idx="29">
                  <c:v>5.4</c:v>
                </c:pt>
                <c:pt idx="30">
                  <c:v>5.4</c:v>
                </c:pt>
                <c:pt idx="31">
                  <c:v>5.3</c:v>
                </c:pt>
                <c:pt idx="32">
                  <c:v>5.4</c:v>
                </c:pt>
                <c:pt idx="33">
                  <c:v>6.2</c:v>
                </c:pt>
                <c:pt idx="34">
                  <c:v>6.8</c:v>
                </c:pt>
                <c:pt idx="35">
                  <c:v>7</c:v>
                </c:pt>
                <c:pt idx="36">
                  <c:v>7.5</c:v>
                </c:pt>
                <c:pt idx="37">
                  <c:v>7.9</c:v>
                </c:pt>
                <c:pt idx="38">
                  <c:v>8.5</c:v>
                </c:pt>
                <c:pt idx="39">
                  <c:v>8.3000000000000007</c:v>
                </c:pt>
                <c:pt idx="40">
                  <c:v>8.6</c:v>
                </c:pt>
                <c:pt idx="41">
                  <c:v>9.1</c:v>
                </c:pt>
                <c:pt idx="42">
                  <c:v>8.5</c:v>
                </c:pt>
                <c:pt idx="43">
                  <c:v>8.3000000000000007</c:v>
                </c:pt>
                <c:pt idx="44">
                  <c:v>8.1999999999999993</c:v>
                </c:pt>
                <c:pt idx="45">
                  <c:v>7.7</c:v>
                </c:pt>
                <c:pt idx="46">
                  <c:v>7.1</c:v>
                </c:pt>
                <c:pt idx="47">
                  <c:v>6.5</c:v>
                </c:pt>
                <c:pt idx="48">
                  <c:v>6.4</c:v>
                </c:pt>
                <c:pt idx="49">
                  <c:v>6</c:v>
                </c:pt>
                <c:pt idx="50">
                  <c:v>5</c:v>
                </c:pt>
                <c:pt idx="51">
                  <c:v>4.9000000000000004</c:v>
                </c:pt>
                <c:pt idx="52">
                  <c:v>4.05</c:v>
                </c:pt>
                <c:pt idx="53">
                  <c:v>2.97</c:v>
                </c:pt>
                <c:pt idx="54">
                  <c:v>3.2</c:v>
                </c:pt>
                <c:pt idx="55">
                  <c:v>3.7</c:v>
                </c:pt>
                <c:pt idx="56">
                  <c:v>3.7</c:v>
                </c:pt>
                <c:pt idx="57">
                  <c:v>3.2</c:v>
                </c:pt>
                <c:pt idx="58">
                  <c:v>3.1</c:v>
                </c:pt>
                <c:pt idx="59">
                  <c:v>3.4</c:v>
                </c:pt>
              </c:numCache>
            </c:numRef>
          </c:val>
          <c:smooth val="0"/>
          <c:extLst>
            <c:ext xmlns:c16="http://schemas.microsoft.com/office/drawing/2014/chart" uri="{C3380CC4-5D6E-409C-BE32-E72D297353CC}">
              <c16:uniqueId val="{00000000-1550-46CC-9FB3-C2FAA4C1AD81}"/>
            </c:ext>
          </c:extLst>
        </c:ser>
        <c:ser>
          <c:idx val="1"/>
          <c:order val="1"/>
          <c:tx>
            <c:strRef>
              <c:f>Sheet1!$D$1</c:f>
              <c:strCache>
                <c:ptCount val="1"/>
                <c:pt idx="0">
                  <c:v>ԵԳ</c:v>
                </c:pt>
              </c:strCache>
            </c:strRef>
          </c:tx>
          <c:spPr>
            <a:ln w="28575" cap="rnd">
              <a:solidFill>
                <a:schemeClr val="accent1"/>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Sheet1!$D$2:$D$73</c:f>
              <c:numCache>
                <c:formatCode>General</c:formatCode>
                <c:ptCount val="60"/>
                <c:pt idx="0">
                  <c:v>1.4</c:v>
                </c:pt>
                <c:pt idx="1">
                  <c:v>1.5</c:v>
                </c:pt>
                <c:pt idx="2">
                  <c:v>1.4</c:v>
                </c:pt>
                <c:pt idx="3">
                  <c:v>1.7</c:v>
                </c:pt>
                <c:pt idx="4">
                  <c:v>1.2</c:v>
                </c:pt>
                <c:pt idx="5">
                  <c:v>1.3</c:v>
                </c:pt>
                <c:pt idx="6">
                  <c:v>1</c:v>
                </c:pt>
                <c:pt idx="7">
                  <c:v>1</c:v>
                </c:pt>
                <c:pt idx="8">
                  <c:v>0.8</c:v>
                </c:pt>
                <c:pt idx="9">
                  <c:v>0.7</c:v>
                </c:pt>
                <c:pt idx="10">
                  <c:v>1</c:v>
                </c:pt>
                <c:pt idx="11">
                  <c:v>1.3</c:v>
                </c:pt>
                <c:pt idx="12">
                  <c:v>1.4</c:v>
                </c:pt>
                <c:pt idx="13">
                  <c:v>1.2</c:v>
                </c:pt>
                <c:pt idx="14">
                  <c:v>0.7</c:v>
                </c:pt>
                <c:pt idx="15">
                  <c:v>0.3</c:v>
                </c:pt>
                <c:pt idx="16">
                  <c:v>0.1</c:v>
                </c:pt>
                <c:pt idx="17">
                  <c:v>0.3</c:v>
                </c:pt>
                <c:pt idx="18">
                  <c:v>0.4</c:v>
                </c:pt>
                <c:pt idx="19">
                  <c:v>-0.2</c:v>
                </c:pt>
                <c:pt idx="20">
                  <c:v>-0.3</c:v>
                </c:pt>
                <c:pt idx="21">
                  <c:v>-0.3</c:v>
                </c:pt>
                <c:pt idx="22">
                  <c:v>-0.3</c:v>
                </c:pt>
                <c:pt idx="23">
                  <c:v>-0.3</c:v>
                </c:pt>
                <c:pt idx="24">
                  <c:v>0.9</c:v>
                </c:pt>
                <c:pt idx="25">
                  <c:v>0.9</c:v>
                </c:pt>
                <c:pt idx="26">
                  <c:v>1.3</c:v>
                </c:pt>
                <c:pt idx="27">
                  <c:v>1.6</c:v>
                </c:pt>
                <c:pt idx="28">
                  <c:v>2</c:v>
                </c:pt>
                <c:pt idx="29">
                  <c:v>1.9</c:v>
                </c:pt>
                <c:pt idx="30">
                  <c:v>2.2000000000000002</c:v>
                </c:pt>
                <c:pt idx="31">
                  <c:v>3</c:v>
                </c:pt>
                <c:pt idx="32">
                  <c:v>3.4</c:v>
                </c:pt>
                <c:pt idx="33">
                  <c:v>4.0999999999999996</c:v>
                </c:pt>
                <c:pt idx="34">
                  <c:v>4.9000000000000004</c:v>
                </c:pt>
                <c:pt idx="35">
                  <c:v>5</c:v>
                </c:pt>
                <c:pt idx="36">
                  <c:v>5.0999999999999996</c:v>
                </c:pt>
                <c:pt idx="37">
                  <c:v>5.9</c:v>
                </c:pt>
                <c:pt idx="38">
                  <c:v>7.4</c:v>
                </c:pt>
                <c:pt idx="39">
                  <c:v>7.4</c:v>
                </c:pt>
                <c:pt idx="40">
                  <c:v>8.1</c:v>
                </c:pt>
                <c:pt idx="41">
                  <c:v>8.6</c:v>
                </c:pt>
                <c:pt idx="42">
                  <c:v>8.9</c:v>
                </c:pt>
                <c:pt idx="43">
                  <c:v>9.1</c:v>
                </c:pt>
                <c:pt idx="44">
                  <c:v>9.9</c:v>
                </c:pt>
                <c:pt idx="45">
                  <c:v>10.6</c:v>
                </c:pt>
                <c:pt idx="46">
                  <c:v>10.1</c:v>
                </c:pt>
                <c:pt idx="47">
                  <c:v>9.1999999999999993</c:v>
                </c:pt>
                <c:pt idx="48" formatCode="0.0">
                  <c:v>8.6</c:v>
                </c:pt>
                <c:pt idx="49" formatCode="0.0">
                  <c:v>8.5</c:v>
                </c:pt>
                <c:pt idx="50" formatCode="0.0">
                  <c:v>6.9</c:v>
                </c:pt>
                <c:pt idx="51" formatCode="0.0">
                  <c:v>7</c:v>
                </c:pt>
                <c:pt idx="52" formatCode="0.0">
                  <c:v>6.1</c:v>
                </c:pt>
                <c:pt idx="53" formatCode="0.0">
                  <c:v>5.5</c:v>
                </c:pt>
                <c:pt idx="54" formatCode="0.0">
                  <c:v>5.3</c:v>
                </c:pt>
                <c:pt idx="55" formatCode="0.0">
                  <c:v>5.3</c:v>
                </c:pt>
                <c:pt idx="56" formatCode="0.0">
                  <c:v>4.3</c:v>
                </c:pt>
                <c:pt idx="57" formatCode="0.0">
                  <c:v>2.9</c:v>
                </c:pt>
                <c:pt idx="58" formatCode="0.0">
                  <c:v>2.4</c:v>
                </c:pt>
                <c:pt idx="59" formatCode="0.0">
                  <c:v>2.9</c:v>
                </c:pt>
              </c:numCache>
            </c:numRef>
          </c:val>
          <c:smooth val="0"/>
          <c:extLst>
            <c:ext xmlns:c16="http://schemas.microsoft.com/office/drawing/2014/chart" uri="{C3380CC4-5D6E-409C-BE32-E72D297353CC}">
              <c16:uniqueId val="{00000001-1550-46CC-9FB3-C2FAA4C1AD81}"/>
            </c:ext>
          </c:extLst>
        </c:ser>
        <c:ser>
          <c:idx val="2"/>
          <c:order val="2"/>
          <c:tx>
            <c:strRef>
              <c:f>Sheet1!$E$1</c:f>
              <c:strCache>
                <c:ptCount val="1"/>
                <c:pt idx="0">
                  <c:v>Չինաստան</c:v>
                </c:pt>
              </c:strCache>
            </c:strRef>
          </c:tx>
          <c:spPr>
            <a:ln w="28575" cap="rnd">
              <a:solidFill>
                <a:schemeClr val="bg1">
                  <a:lumMod val="50000"/>
                </a:schemeClr>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Sheet1!$E$2:$E$73</c:f>
              <c:numCache>
                <c:formatCode>General</c:formatCode>
                <c:ptCount val="60"/>
                <c:pt idx="0">
                  <c:v>1.7</c:v>
                </c:pt>
                <c:pt idx="1">
                  <c:v>1.5</c:v>
                </c:pt>
                <c:pt idx="2">
                  <c:v>2.2999999999999998</c:v>
                </c:pt>
                <c:pt idx="3">
                  <c:v>2.5</c:v>
                </c:pt>
                <c:pt idx="4">
                  <c:v>2.7</c:v>
                </c:pt>
                <c:pt idx="5">
                  <c:v>2.7</c:v>
                </c:pt>
                <c:pt idx="6">
                  <c:v>2.8</c:v>
                </c:pt>
                <c:pt idx="7">
                  <c:v>2.8</c:v>
                </c:pt>
                <c:pt idx="8">
                  <c:v>3</c:v>
                </c:pt>
                <c:pt idx="9">
                  <c:v>3.8</c:v>
                </c:pt>
                <c:pt idx="10">
                  <c:v>4.5</c:v>
                </c:pt>
                <c:pt idx="11">
                  <c:v>4.5</c:v>
                </c:pt>
                <c:pt idx="12">
                  <c:v>5.4</c:v>
                </c:pt>
                <c:pt idx="13">
                  <c:v>5.2</c:v>
                </c:pt>
                <c:pt idx="14">
                  <c:v>4.3</c:v>
                </c:pt>
                <c:pt idx="15">
                  <c:v>3.3</c:v>
                </c:pt>
                <c:pt idx="16">
                  <c:v>2.4</c:v>
                </c:pt>
                <c:pt idx="17">
                  <c:v>2.5</c:v>
                </c:pt>
                <c:pt idx="18">
                  <c:v>2.7</c:v>
                </c:pt>
                <c:pt idx="19">
                  <c:v>2.4</c:v>
                </c:pt>
                <c:pt idx="20">
                  <c:v>1.7</c:v>
                </c:pt>
                <c:pt idx="21">
                  <c:v>0.5</c:v>
                </c:pt>
                <c:pt idx="22">
                  <c:v>-0.5</c:v>
                </c:pt>
                <c:pt idx="23">
                  <c:v>0.2</c:v>
                </c:pt>
                <c:pt idx="24">
                  <c:v>-0.3</c:v>
                </c:pt>
                <c:pt idx="25">
                  <c:v>-0.2</c:v>
                </c:pt>
                <c:pt idx="26">
                  <c:v>0.4</c:v>
                </c:pt>
                <c:pt idx="27">
                  <c:v>0.9</c:v>
                </c:pt>
                <c:pt idx="28">
                  <c:v>1.3</c:v>
                </c:pt>
                <c:pt idx="29">
                  <c:v>1.1000000000000001</c:v>
                </c:pt>
                <c:pt idx="30">
                  <c:v>1</c:v>
                </c:pt>
                <c:pt idx="31">
                  <c:v>0.8</c:v>
                </c:pt>
                <c:pt idx="32">
                  <c:v>0.7</c:v>
                </c:pt>
                <c:pt idx="33">
                  <c:v>1.5</c:v>
                </c:pt>
                <c:pt idx="34">
                  <c:v>2.2999999999999998</c:v>
                </c:pt>
                <c:pt idx="35">
                  <c:v>1.5</c:v>
                </c:pt>
                <c:pt idx="36">
                  <c:v>0.9</c:v>
                </c:pt>
                <c:pt idx="37">
                  <c:v>0.9</c:v>
                </c:pt>
                <c:pt idx="38">
                  <c:v>1.5</c:v>
                </c:pt>
                <c:pt idx="39">
                  <c:v>2.1</c:v>
                </c:pt>
                <c:pt idx="40">
                  <c:v>2.1</c:v>
                </c:pt>
                <c:pt idx="41">
                  <c:v>2.5</c:v>
                </c:pt>
                <c:pt idx="42">
                  <c:v>2.7</c:v>
                </c:pt>
                <c:pt idx="43">
                  <c:v>2.5</c:v>
                </c:pt>
                <c:pt idx="44">
                  <c:v>2.8</c:v>
                </c:pt>
                <c:pt idx="45">
                  <c:v>2.1</c:v>
                </c:pt>
                <c:pt idx="46">
                  <c:v>1.6</c:v>
                </c:pt>
                <c:pt idx="47">
                  <c:v>1.8</c:v>
                </c:pt>
                <c:pt idx="48" formatCode="0.0">
                  <c:v>2.1</c:v>
                </c:pt>
                <c:pt idx="49" formatCode="0.0">
                  <c:v>1</c:v>
                </c:pt>
                <c:pt idx="50" formatCode="0.0">
                  <c:v>0.7</c:v>
                </c:pt>
                <c:pt idx="51" formatCode="0.0">
                  <c:v>0.1</c:v>
                </c:pt>
                <c:pt idx="52" formatCode="0.0">
                  <c:v>0.2</c:v>
                </c:pt>
                <c:pt idx="53" formatCode="0.0">
                  <c:v>0</c:v>
                </c:pt>
                <c:pt idx="54" formatCode="0.0">
                  <c:v>-0.3</c:v>
                </c:pt>
                <c:pt idx="55" formatCode="0.0">
                  <c:v>0.1</c:v>
                </c:pt>
                <c:pt idx="56" formatCode="0.0">
                  <c:v>0</c:v>
                </c:pt>
                <c:pt idx="57" formatCode="0.0">
                  <c:v>-0.2</c:v>
                </c:pt>
                <c:pt idx="58" formatCode="0.0">
                  <c:v>-0.5</c:v>
                </c:pt>
                <c:pt idx="59" formatCode="0.0">
                  <c:v>-0.3</c:v>
                </c:pt>
              </c:numCache>
            </c:numRef>
          </c:val>
          <c:smooth val="0"/>
          <c:extLst>
            <c:ext xmlns:c16="http://schemas.microsoft.com/office/drawing/2014/chart" uri="{C3380CC4-5D6E-409C-BE32-E72D297353CC}">
              <c16:uniqueId val="{00000002-1550-46CC-9FB3-C2FAA4C1AD81}"/>
            </c:ext>
          </c:extLst>
        </c:ser>
        <c:ser>
          <c:idx val="3"/>
          <c:order val="3"/>
          <c:tx>
            <c:strRef>
              <c:f>Sheet1!$F$1</c:f>
              <c:strCache>
                <c:ptCount val="1"/>
                <c:pt idx="0">
                  <c:v>ՌԴ</c:v>
                </c:pt>
              </c:strCache>
            </c:strRef>
          </c:tx>
          <c:spPr>
            <a:ln w="25400" cap="rnd">
              <a:solidFill>
                <a:srgbClr val="ED7D31">
                  <a:lumMod val="60000"/>
                  <a:lumOff val="40000"/>
                </a:srgbClr>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Sheet1!$F$2:$F$73</c:f>
              <c:numCache>
                <c:formatCode>0.0</c:formatCode>
                <c:ptCount val="60"/>
                <c:pt idx="0">
                  <c:v>4.9966220000000003</c:v>
                </c:pt>
                <c:pt idx="1">
                  <c:v>5.2376079999999998</c:v>
                </c:pt>
                <c:pt idx="2">
                  <c:v>5.269088</c:v>
                </c:pt>
                <c:pt idx="3">
                  <c:v>5.1747050000000003</c:v>
                </c:pt>
                <c:pt idx="4">
                  <c:v>5.1327939999999996</c:v>
                </c:pt>
                <c:pt idx="5">
                  <c:v>4.6620039999999996</c:v>
                </c:pt>
                <c:pt idx="6">
                  <c:v>4.5889369999999996</c:v>
                </c:pt>
                <c:pt idx="7">
                  <c:v>4.3274910000000002</c:v>
                </c:pt>
                <c:pt idx="8">
                  <c:v>3.9941759999999999</c:v>
                </c:pt>
                <c:pt idx="9">
                  <c:v>3.766187</c:v>
                </c:pt>
                <c:pt idx="10">
                  <c:v>3.539037</c:v>
                </c:pt>
                <c:pt idx="11">
                  <c:v>3.0461900000000002</c:v>
                </c:pt>
                <c:pt idx="12">
                  <c:v>2.4238930000000001</c:v>
                </c:pt>
                <c:pt idx="13">
                  <c:v>2.3117209999999999</c:v>
                </c:pt>
                <c:pt idx="14">
                  <c:v>2.546287</c:v>
                </c:pt>
                <c:pt idx="15">
                  <c:v>3.098436</c:v>
                </c:pt>
                <c:pt idx="16">
                  <c:v>3.0265110000000002</c:v>
                </c:pt>
                <c:pt idx="17">
                  <c:v>3.2118850000000001</c:v>
                </c:pt>
                <c:pt idx="18">
                  <c:v>3.3663940000000001</c:v>
                </c:pt>
                <c:pt idx="19">
                  <c:v>3.5736240000000001</c:v>
                </c:pt>
                <c:pt idx="20">
                  <c:v>3.6669890000000001</c:v>
                </c:pt>
                <c:pt idx="21">
                  <c:v>3.9775870000000002</c:v>
                </c:pt>
                <c:pt idx="22">
                  <c:v>4.4234419999999997</c:v>
                </c:pt>
                <c:pt idx="23">
                  <c:v>4.912471</c:v>
                </c:pt>
                <c:pt idx="24">
                  <c:v>5.1946070000000004</c:v>
                </c:pt>
                <c:pt idx="25">
                  <c:v>5.6664250000000003</c:v>
                </c:pt>
                <c:pt idx="26">
                  <c:v>5.7820220000000004</c:v>
                </c:pt>
                <c:pt idx="27">
                  <c:v>5.5197440000000002</c:v>
                </c:pt>
                <c:pt idx="28">
                  <c:v>6.0143519999999997</c:v>
                </c:pt>
                <c:pt idx="29">
                  <c:v>6.5115259999999999</c:v>
                </c:pt>
                <c:pt idx="30">
                  <c:v>6.4690690000000002</c:v>
                </c:pt>
                <c:pt idx="31">
                  <c:v>6.6927440000000002</c:v>
                </c:pt>
                <c:pt idx="32">
                  <c:v>7.4080859999999999</c:v>
                </c:pt>
                <c:pt idx="33">
                  <c:v>8.1353340000000003</c:v>
                </c:pt>
                <c:pt idx="34">
                  <c:v>8.4037670000000002</c:v>
                </c:pt>
                <c:pt idx="35">
                  <c:v>8.3930150000000001</c:v>
                </c:pt>
                <c:pt idx="36">
                  <c:v>8.73</c:v>
                </c:pt>
                <c:pt idx="37" formatCode="General">
                  <c:v>9.1999999999999993</c:v>
                </c:pt>
                <c:pt idx="38" formatCode="General">
                  <c:v>16.7</c:v>
                </c:pt>
                <c:pt idx="39" formatCode="General">
                  <c:v>17.8</c:v>
                </c:pt>
                <c:pt idx="40" formatCode="General">
                  <c:v>17.100000000000001</c:v>
                </c:pt>
                <c:pt idx="41" formatCode="General">
                  <c:v>15.9</c:v>
                </c:pt>
                <c:pt idx="42" formatCode="General">
                  <c:v>15.1</c:v>
                </c:pt>
                <c:pt idx="43" formatCode="General">
                  <c:v>14.3</c:v>
                </c:pt>
                <c:pt idx="44" formatCode="General">
                  <c:v>13.7</c:v>
                </c:pt>
                <c:pt idx="45" formatCode="General">
                  <c:v>12.6</c:v>
                </c:pt>
                <c:pt idx="46">
                  <c:v>12</c:v>
                </c:pt>
                <c:pt idx="47" formatCode="General">
                  <c:v>11.9</c:v>
                </c:pt>
                <c:pt idx="48">
                  <c:v>11.8</c:v>
                </c:pt>
                <c:pt idx="49">
                  <c:v>11</c:v>
                </c:pt>
                <c:pt idx="50">
                  <c:v>3.5</c:v>
                </c:pt>
                <c:pt idx="51">
                  <c:v>2.2999999999999998</c:v>
                </c:pt>
                <c:pt idx="52">
                  <c:v>2.5</c:v>
                </c:pt>
                <c:pt idx="53">
                  <c:v>3.2</c:v>
                </c:pt>
                <c:pt idx="54">
                  <c:v>4.3</c:v>
                </c:pt>
                <c:pt idx="55">
                  <c:v>5.2</c:v>
                </c:pt>
                <c:pt idx="56">
                  <c:v>6</c:v>
                </c:pt>
                <c:pt idx="57">
                  <c:v>6.7</c:v>
                </c:pt>
                <c:pt idx="58">
                  <c:v>7.5</c:v>
                </c:pt>
                <c:pt idx="59">
                  <c:v>7.4</c:v>
                </c:pt>
              </c:numCache>
            </c:numRef>
          </c:val>
          <c:smooth val="0"/>
          <c:extLst>
            <c:ext xmlns:c16="http://schemas.microsoft.com/office/drawing/2014/chart" uri="{C3380CC4-5D6E-409C-BE32-E72D297353CC}">
              <c16:uniqueId val="{00000003-1550-46CC-9FB3-C2FAA4C1AD81}"/>
            </c:ext>
          </c:extLst>
        </c:ser>
        <c:dLbls>
          <c:showLegendKey val="0"/>
          <c:showVal val="0"/>
          <c:showCatName val="0"/>
          <c:showSerName val="0"/>
          <c:showPercent val="0"/>
          <c:showBubbleSize val="0"/>
        </c:dLbls>
        <c:smooth val="0"/>
        <c:axId val="126158912"/>
        <c:axId val="126155104"/>
      </c:lineChart>
      <c:catAx>
        <c:axId val="1261589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26155104"/>
        <c:crosses val="autoZero"/>
        <c:auto val="1"/>
        <c:lblAlgn val="ctr"/>
        <c:lblOffset val="100"/>
        <c:noMultiLvlLbl val="0"/>
      </c:catAx>
      <c:valAx>
        <c:axId val="126155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2615891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cap="none" spc="0" normalizeH="0" baseline="0">
                <a:solidFill>
                  <a:sysClr val="windowText" lastClr="000000"/>
                </a:solidFill>
                <a:latin typeface="GHEA Grapalat" panose="02000506050000020003" pitchFamily="50" charset="0"/>
                <a:ea typeface="+mj-ea"/>
                <a:cs typeface="+mj-cs"/>
              </a:defRPr>
            </a:pPr>
            <a:r>
              <a:rPr lang="en-US" sz="1080" b="0"/>
              <a:t>12-</a:t>
            </a:r>
            <a:r>
              <a:rPr lang="hy-AM" sz="1080" b="0"/>
              <a:t>ամսյա գնաճը</a:t>
            </a:r>
            <a:r>
              <a:rPr lang="en-US" sz="1080" b="0"/>
              <a:t>,</a:t>
            </a:r>
            <a:r>
              <a:rPr lang="en-US" sz="1080" b="0" baseline="0"/>
              <a:t> %</a:t>
            </a:r>
            <a:endParaRPr lang="en-US" sz="1080" b="0"/>
          </a:p>
        </c:rich>
      </c:tx>
      <c:layout>
        <c:manualLayout>
          <c:xMode val="edge"/>
          <c:yMode val="edge"/>
          <c:x val="0.2866320901504078"/>
          <c:y val="5.5555555555555558E-3"/>
        </c:manualLayout>
      </c:layout>
      <c:overlay val="0"/>
      <c:spPr>
        <a:noFill/>
        <a:ln>
          <a:noFill/>
        </a:ln>
        <a:effectLst/>
      </c:spPr>
    </c:title>
    <c:autoTitleDeleted val="0"/>
    <c:plotArea>
      <c:layout>
        <c:manualLayout>
          <c:layoutTarget val="inner"/>
          <c:xMode val="edge"/>
          <c:yMode val="edge"/>
          <c:x val="0.11270836908098351"/>
          <c:y val="0.1312423813132145"/>
          <c:w val="0.84290099330803991"/>
          <c:h val="0.51905995014221551"/>
        </c:manualLayout>
      </c:layout>
      <c:barChart>
        <c:barDir val="col"/>
        <c:grouping val="stacked"/>
        <c:varyColors val="0"/>
        <c:ser>
          <c:idx val="1"/>
          <c:order val="1"/>
          <c:tx>
            <c:strRef>
              <c:f>Sheet1!$D$1</c:f>
              <c:strCache>
                <c:ptCount val="1"/>
                <c:pt idx="0">
                  <c:v>Սննդամթերք և ոչ ալկոհոլային խմիչքներ</c:v>
                </c:pt>
              </c:strCache>
            </c:strRef>
          </c:tx>
          <c:spPr>
            <a:solidFill>
              <a:srgbClr val="4472C4">
                <a:lumMod val="50000"/>
              </a:srgbClr>
            </a:solidFill>
            <a:ln>
              <a:noFill/>
            </a:ln>
            <a:effectLst/>
          </c:spPr>
          <c:invertIfNegative val="0"/>
          <c:cat>
            <c:strRef>
              <c:f>Sheet1!$B$28:$B$67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Sheet1!$D$28:$D$67</c:f>
              <c:numCache>
                <c:formatCode>0.0</c:formatCode>
                <c:ptCount val="20"/>
                <c:pt idx="0">
                  <c:v>1.4224399999999999</c:v>
                </c:pt>
                <c:pt idx="1">
                  <c:v>1.9020999999999999</c:v>
                </c:pt>
                <c:pt idx="2">
                  <c:v>-0.57889999999999997</c:v>
                </c:pt>
                <c:pt idx="3">
                  <c:v>-0.13645500000000002</c:v>
                </c:pt>
                <c:pt idx="4">
                  <c:v>-1.1761594</c:v>
                </c:pt>
                <c:pt idx="5">
                  <c:v>0.78459999999999996</c:v>
                </c:pt>
                <c:pt idx="6">
                  <c:v>0.34734000000000004</c:v>
                </c:pt>
                <c:pt idx="7">
                  <c:v>1.937962</c:v>
                </c:pt>
                <c:pt idx="8">
                  <c:v>2.7530960000000007</c:v>
                </c:pt>
                <c:pt idx="9">
                  <c:v>3.2739520000000004</c:v>
                </c:pt>
                <c:pt idx="10">
                  <c:v>5.7294159999999996</c:v>
                </c:pt>
                <c:pt idx="11">
                  <c:v>4.7993160000000001</c:v>
                </c:pt>
                <c:pt idx="12">
                  <c:v>4.7621120000000001</c:v>
                </c:pt>
                <c:pt idx="13">
                  <c:v>6.3618840000000008</c:v>
                </c:pt>
                <c:pt idx="14">
                  <c:v>5.0969480000000003</c:v>
                </c:pt>
                <c:pt idx="15">
                  <c:v>3.7204000000000002</c:v>
                </c:pt>
                <c:pt idx="16">
                  <c:v>1.9252499999999997</c:v>
                </c:pt>
                <c:pt idx="17">
                  <c:v>-2.0762499999999999</c:v>
                </c:pt>
                <c:pt idx="18">
                  <c:v>-1.17025</c:v>
                </c:pt>
                <c:pt idx="19">
                  <c:v>-1.8119999999999998</c:v>
                </c:pt>
              </c:numCache>
            </c:numRef>
          </c:val>
          <c:extLst>
            <c:ext xmlns:c16="http://schemas.microsoft.com/office/drawing/2014/chart" uri="{C3380CC4-5D6E-409C-BE32-E72D297353CC}">
              <c16:uniqueId val="{00000000-57A8-43B2-83C1-76CCA0252705}"/>
            </c:ext>
          </c:extLst>
        </c:ser>
        <c:ser>
          <c:idx val="2"/>
          <c:order val="2"/>
          <c:tx>
            <c:strRef>
              <c:f>Sheet1!$E$1</c:f>
              <c:strCache>
                <c:ptCount val="1"/>
                <c:pt idx="0">
                  <c:v>Ալկոհոլային խմիչքներ, ծխախոտ</c:v>
                </c:pt>
              </c:strCache>
            </c:strRef>
          </c:tx>
          <c:spPr>
            <a:solidFill>
              <a:srgbClr val="ED7D31">
                <a:lumMod val="60000"/>
                <a:lumOff val="40000"/>
              </a:srgbClr>
            </a:solidFill>
            <a:ln>
              <a:noFill/>
            </a:ln>
            <a:effectLst/>
          </c:spPr>
          <c:invertIfNegative val="0"/>
          <c:cat>
            <c:strRef>
              <c:f>Sheet1!$B$28:$B$67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Sheet1!$E$28:$E$67</c:f>
              <c:numCache>
                <c:formatCode>0.0</c:formatCode>
                <c:ptCount val="20"/>
                <c:pt idx="0">
                  <c:v>0.19976000000000002</c:v>
                </c:pt>
                <c:pt idx="1">
                  <c:v>0.18160000000000001</c:v>
                </c:pt>
                <c:pt idx="2">
                  <c:v>0.21338000000000001</c:v>
                </c:pt>
                <c:pt idx="3">
                  <c:v>0.20702399999999999</c:v>
                </c:pt>
                <c:pt idx="4">
                  <c:v>0.45172999999999996</c:v>
                </c:pt>
                <c:pt idx="5">
                  <c:v>0.46287</c:v>
                </c:pt>
                <c:pt idx="6">
                  <c:v>0.44492000000000004</c:v>
                </c:pt>
                <c:pt idx="7">
                  <c:v>0.43368000000000001</c:v>
                </c:pt>
                <c:pt idx="8">
                  <c:v>0.41001639999999995</c:v>
                </c:pt>
                <c:pt idx="9">
                  <c:v>0.39218960000000003</c:v>
                </c:pt>
                <c:pt idx="10">
                  <c:v>0.41447310000000004</c:v>
                </c:pt>
                <c:pt idx="11">
                  <c:v>0.41001639999999995</c:v>
                </c:pt>
                <c:pt idx="12">
                  <c:v>0.32533909999999999</c:v>
                </c:pt>
                <c:pt idx="13">
                  <c:v>0.36099269999999994</c:v>
                </c:pt>
                <c:pt idx="14">
                  <c:v>0.39664629999999995</c:v>
                </c:pt>
                <c:pt idx="15">
                  <c:v>0.39664629999999995</c:v>
                </c:pt>
                <c:pt idx="16">
                  <c:v>0.31872</c:v>
                </c:pt>
                <c:pt idx="17">
                  <c:v>0.33024000000000003</c:v>
                </c:pt>
                <c:pt idx="18">
                  <c:v>0.31872</c:v>
                </c:pt>
                <c:pt idx="19">
                  <c:v>0.32256000000000001</c:v>
                </c:pt>
              </c:numCache>
            </c:numRef>
          </c:val>
          <c:extLst>
            <c:ext xmlns:c16="http://schemas.microsoft.com/office/drawing/2014/chart" uri="{C3380CC4-5D6E-409C-BE32-E72D297353CC}">
              <c16:uniqueId val="{00000001-57A8-43B2-83C1-76CCA0252705}"/>
            </c:ext>
          </c:extLst>
        </c:ser>
        <c:ser>
          <c:idx val="3"/>
          <c:order val="3"/>
          <c:tx>
            <c:strRef>
              <c:f>Sheet1!$F$1</c:f>
              <c:strCache>
                <c:ptCount val="1"/>
                <c:pt idx="0">
                  <c:v>Ոչ պարենային ապրանքներ</c:v>
                </c:pt>
              </c:strCache>
            </c:strRef>
          </c:tx>
          <c:spPr>
            <a:solidFill>
              <a:sysClr val="window" lastClr="FFFFFF">
                <a:lumMod val="65000"/>
              </a:sysClr>
            </a:solidFill>
            <a:ln>
              <a:noFill/>
            </a:ln>
            <a:effectLst/>
          </c:spPr>
          <c:invertIfNegative val="0"/>
          <c:cat>
            <c:strRef>
              <c:f>Sheet1!$B$28:$B$67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Sheet1!$F$28:$F$67</c:f>
              <c:numCache>
                <c:formatCode>0.0</c:formatCode>
                <c:ptCount val="20"/>
                <c:pt idx="0">
                  <c:v>0.20015999999999998</c:v>
                </c:pt>
                <c:pt idx="1">
                  <c:v>0.42255999999999994</c:v>
                </c:pt>
                <c:pt idx="2">
                  <c:v>0.53376000000000001</c:v>
                </c:pt>
                <c:pt idx="3">
                  <c:v>0.31135999999999997</c:v>
                </c:pt>
                <c:pt idx="4">
                  <c:v>0.27799999999999997</c:v>
                </c:pt>
                <c:pt idx="5">
                  <c:v>-4.2020000000000009E-2</c:v>
                </c:pt>
                <c:pt idx="6">
                  <c:v>0.11119999999999999</c:v>
                </c:pt>
                <c:pt idx="7">
                  <c:v>0.71433999999999997</c:v>
                </c:pt>
                <c:pt idx="8">
                  <c:v>1.8656400000000002</c:v>
                </c:pt>
                <c:pt idx="9">
                  <c:v>2.10995</c:v>
                </c:pt>
                <c:pt idx="10">
                  <c:v>2.1987900000000002</c:v>
                </c:pt>
                <c:pt idx="11">
                  <c:v>1.7768000000000002</c:v>
                </c:pt>
                <c:pt idx="12">
                  <c:v>1.0660800000000001</c:v>
                </c:pt>
                <c:pt idx="13">
                  <c:v>1.6657500000000001</c:v>
                </c:pt>
                <c:pt idx="14">
                  <c:v>1.79901</c:v>
                </c:pt>
                <c:pt idx="15">
                  <c:v>1.57691</c:v>
                </c:pt>
                <c:pt idx="16">
                  <c:v>1.06996</c:v>
                </c:pt>
                <c:pt idx="17">
                  <c:v>6.9780000000000009E-2</c:v>
                </c:pt>
                <c:pt idx="18">
                  <c:v>0</c:v>
                </c:pt>
                <c:pt idx="19">
                  <c:v>2.3259999999999999E-2</c:v>
                </c:pt>
              </c:numCache>
            </c:numRef>
          </c:val>
          <c:extLst>
            <c:ext xmlns:c16="http://schemas.microsoft.com/office/drawing/2014/chart" uri="{C3380CC4-5D6E-409C-BE32-E72D297353CC}">
              <c16:uniqueId val="{00000002-57A8-43B2-83C1-76CCA0252705}"/>
            </c:ext>
          </c:extLst>
        </c:ser>
        <c:ser>
          <c:idx val="4"/>
          <c:order val="4"/>
          <c:tx>
            <c:strRef>
              <c:f>Sheet1!$G$1</c:f>
              <c:strCache>
                <c:ptCount val="1"/>
                <c:pt idx="0">
                  <c:v>Ծառայություններ </c:v>
                </c:pt>
              </c:strCache>
            </c:strRef>
          </c:tx>
          <c:spPr>
            <a:solidFill>
              <a:srgbClr val="B4C7E7"/>
            </a:solidFill>
            <a:ln>
              <a:noFill/>
            </a:ln>
            <a:effectLst/>
          </c:spPr>
          <c:invertIfNegative val="0"/>
          <c:cat>
            <c:strRef>
              <c:f>Sheet1!$B$28:$B$67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Sheet1!$G$28:$G$67</c:f>
              <c:numCache>
                <c:formatCode>0.0</c:formatCode>
                <c:ptCount val="20"/>
                <c:pt idx="0">
                  <c:v>3.1870000000000002E-2</c:v>
                </c:pt>
                <c:pt idx="1">
                  <c:v>3.1870000000000002E-2</c:v>
                </c:pt>
                <c:pt idx="2">
                  <c:v>0.35057000000000005</c:v>
                </c:pt>
                <c:pt idx="3">
                  <c:v>0.33782200000000001</c:v>
                </c:pt>
                <c:pt idx="4">
                  <c:v>0.39837499999999998</c:v>
                </c:pt>
                <c:pt idx="5">
                  <c:v>0.46240999999999999</c:v>
                </c:pt>
                <c:pt idx="6">
                  <c:v>0.44618000000000002</c:v>
                </c:pt>
                <c:pt idx="7">
                  <c:v>0.56912000000000007</c:v>
                </c:pt>
                <c:pt idx="8">
                  <c:v>0.79486000000000023</c:v>
                </c:pt>
                <c:pt idx="9">
                  <c:v>0.75873000000000002</c:v>
                </c:pt>
                <c:pt idx="10">
                  <c:v>0.57808000000000004</c:v>
                </c:pt>
                <c:pt idx="11">
                  <c:v>0.68647000000000002</c:v>
                </c:pt>
                <c:pt idx="12">
                  <c:v>1.1922900000000001</c:v>
                </c:pt>
                <c:pt idx="13">
                  <c:v>1.91489</c:v>
                </c:pt>
                <c:pt idx="14">
                  <c:v>2.6013600000000001</c:v>
                </c:pt>
                <c:pt idx="15">
                  <c:v>2.6013600000000001</c:v>
                </c:pt>
                <c:pt idx="16">
                  <c:v>2.109</c:v>
                </c:pt>
                <c:pt idx="17">
                  <c:v>1.3708499999999999</c:v>
                </c:pt>
                <c:pt idx="18">
                  <c:v>1.1248</c:v>
                </c:pt>
                <c:pt idx="19">
                  <c:v>1.0545</c:v>
                </c:pt>
              </c:numCache>
            </c:numRef>
          </c:val>
          <c:extLst>
            <c:ext xmlns:c16="http://schemas.microsoft.com/office/drawing/2014/chart" uri="{C3380CC4-5D6E-409C-BE32-E72D297353CC}">
              <c16:uniqueId val="{00000003-57A8-43B2-83C1-76CCA0252705}"/>
            </c:ext>
          </c:extLst>
        </c:ser>
        <c:dLbls>
          <c:showLegendKey val="0"/>
          <c:showVal val="0"/>
          <c:showCatName val="0"/>
          <c:showSerName val="0"/>
          <c:showPercent val="0"/>
          <c:showBubbleSize val="0"/>
        </c:dLbls>
        <c:gapWidth val="100"/>
        <c:overlap val="100"/>
        <c:axId val="339256064"/>
        <c:axId val="339257600"/>
      </c:barChart>
      <c:lineChart>
        <c:grouping val="standard"/>
        <c:varyColors val="0"/>
        <c:ser>
          <c:idx val="0"/>
          <c:order val="0"/>
          <c:tx>
            <c:strRef>
              <c:f>Sheet1!$C$1</c:f>
              <c:strCache>
                <c:ptCount val="1"/>
                <c:pt idx="0">
                  <c:v>12-ամսյա գնաճ</c:v>
                </c:pt>
              </c:strCache>
            </c:strRef>
          </c:tx>
          <c:spPr>
            <a:ln w="25400" cap="rnd">
              <a:solidFill>
                <a:srgbClr val="4472C4">
                  <a:lumMod val="75000"/>
                </a:srgbClr>
              </a:solidFill>
              <a:round/>
            </a:ln>
            <a:effectLst/>
          </c:spPr>
          <c:marker>
            <c:symbol val="none"/>
          </c:marker>
          <c:dPt>
            <c:idx val="6"/>
            <c:bubble3D val="0"/>
            <c:extLst>
              <c:ext xmlns:c16="http://schemas.microsoft.com/office/drawing/2014/chart" uri="{C3380CC4-5D6E-409C-BE32-E72D297353CC}">
                <c16:uniqueId val="{00000004-57A8-43B2-83C1-76CCA0252705}"/>
              </c:ext>
            </c:extLst>
          </c:dPt>
          <c:dPt>
            <c:idx val="7"/>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5-57A8-43B2-83C1-76CCA0252705}"/>
              </c:ext>
            </c:extLst>
          </c:dPt>
          <c:dLbls>
            <c:dLbl>
              <c:idx val="13"/>
              <c:layout>
                <c:manualLayout>
                  <c:x val="-7.2285664890691201E-2"/>
                  <c:y val="-5.7597112860892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A8-43B2-83C1-76CCA0252705}"/>
                </c:ext>
              </c:extLst>
            </c:dLbl>
            <c:dLbl>
              <c:idx val="14"/>
              <c:layout>
                <c:manualLayout>
                  <c:x val="-2.6127901676961184E-2"/>
                  <c:y val="-6.8708223972003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A8-43B2-83C1-76CCA0252705}"/>
                </c:ext>
              </c:extLst>
            </c:dLbl>
            <c:spPr>
              <a:noFill/>
              <a:ln>
                <a:noFill/>
              </a:ln>
              <a:effectLst/>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Sheet1!$A$28:$B$67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Sheet1!$C$28:$C$67</c:f>
              <c:numCache>
                <c:formatCode>0.0</c:formatCode>
                <c:ptCount val="20"/>
                <c:pt idx="0">
                  <c:v>1.8542299999999998</c:v>
                </c:pt>
                <c:pt idx="1">
                  <c:v>2.5381299999999998</c:v>
                </c:pt>
                <c:pt idx="2">
                  <c:v>0.5188100000000001</c:v>
                </c:pt>
                <c:pt idx="3">
                  <c:v>0.71975100000000003</c:v>
                </c:pt>
                <c:pt idx="4">
                  <c:v>-5.8054400000000055E-2</c:v>
                </c:pt>
                <c:pt idx="5">
                  <c:v>1.6578599999999999</c:v>
                </c:pt>
                <c:pt idx="6">
                  <c:v>1.3506399999999998</c:v>
                </c:pt>
                <c:pt idx="7">
                  <c:v>3.6551020000000003</c:v>
                </c:pt>
                <c:pt idx="8">
                  <c:v>5.8236124000000009</c:v>
                </c:pt>
                <c:pt idx="9">
                  <c:v>6.5348216000000008</c:v>
                </c:pt>
                <c:pt idx="10">
                  <c:v>8.9207590999999997</c:v>
                </c:pt>
                <c:pt idx="11">
                  <c:v>7.6726024000000006</c:v>
                </c:pt>
                <c:pt idx="12">
                  <c:v>7.4</c:v>
                </c:pt>
                <c:pt idx="13">
                  <c:v>10.303516699999999</c:v>
                </c:pt>
                <c:pt idx="14">
                  <c:v>9.8939643000000004</c:v>
                </c:pt>
                <c:pt idx="15">
                  <c:v>8.2953162999999996</c:v>
                </c:pt>
                <c:pt idx="16">
                  <c:v>5.4</c:v>
                </c:pt>
                <c:pt idx="17">
                  <c:v>-0.5</c:v>
                </c:pt>
                <c:pt idx="18">
                  <c:v>0.1</c:v>
                </c:pt>
                <c:pt idx="19">
                  <c:v>-0.6</c:v>
                </c:pt>
              </c:numCache>
            </c:numRef>
          </c:val>
          <c:smooth val="0"/>
          <c:extLst>
            <c:ext xmlns:c16="http://schemas.microsoft.com/office/drawing/2014/chart" uri="{C3380CC4-5D6E-409C-BE32-E72D297353CC}">
              <c16:uniqueId val="{00000008-57A8-43B2-83C1-76CCA0252705}"/>
            </c:ext>
          </c:extLst>
        </c:ser>
        <c:dLbls>
          <c:showLegendKey val="0"/>
          <c:showVal val="0"/>
          <c:showCatName val="0"/>
          <c:showSerName val="0"/>
          <c:showPercent val="0"/>
          <c:showBubbleSize val="0"/>
        </c:dLbls>
        <c:marker val="1"/>
        <c:smooth val="0"/>
        <c:axId val="339256064"/>
        <c:axId val="339257600"/>
      </c:lineChart>
      <c:catAx>
        <c:axId val="339256064"/>
        <c:scaling>
          <c:orientation val="minMax"/>
        </c:scaling>
        <c:delete val="0"/>
        <c:axPos val="b"/>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GHEA Grapalat" panose="02000506050000020003" pitchFamily="50" charset="0"/>
                <a:ea typeface="+mn-ea"/>
                <a:cs typeface="+mn-cs"/>
              </a:defRPr>
            </a:pPr>
            <a:endParaRPr lang="en-US"/>
          </a:p>
        </c:txPr>
        <c:crossAx val="339257600"/>
        <c:crosses val="autoZero"/>
        <c:auto val="1"/>
        <c:lblAlgn val="ctr"/>
        <c:lblOffset val="100"/>
        <c:noMultiLvlLbl val="0"/>
      </c:catAx>
      <c:valAx>
        <c:axId val="339257600"/>
        <c:scaling>
          <c:orientation val="minMax"/>
        </c:scaling>
        <c:delete val="0"/>
        <c:axPos val="l"/>
        <c:majorGridlines>
          <c:spPr>
            <a:ln w="6350">
              <a:solidFill>
                <a:srgbClr val="A5A5A5">
                  <a:lumMod val="40000"/>
                  <a:lumOff val="60000"/>
                </a:srgbClr>
              </a:solidFill>
            </a:ln>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39256064"/>
        <c:crosses val="autoZero"/>
        <c:crossBetween val="between"/>
      </c:valAx>
      <c:spPr>
        <a:pattFill prst="ltDnDiag">
          <a:fgClr>
            <a:srgbClr val="000000">
              <a:alpha val="0"/>
            </a:srgbClr>
          </a:fgClr>
          <a:bgClr>
            <a:srgbClr val="FFFFFF"/>
          </a:bgClr>
        </a:patt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cap="none" spc="0" normalizeH="0" baseline="0">
                <a:solidFill>
                  <a:sysClr val="windowText" lastClr="000000"/>
                </a:solidFill>
                <a:latin typeface="GHEA Grapalat" panose="02000506050000020003" pitchFamily="50" charset="0"/>
                <a:ea typeface="+mj-ea"/>
                <a:cs typeface="+mj-cs"/>
              </a:defRPr>
            </a:pPr>
            <a:r>
              <a:rPr lang="en-US" sz="1080" b="0"/>
              <a:t>Մ</a:t>
            </a:r>
            <a:r>
              <a:rPr lang="hy-AM" sz="1080" b="0"/>
              <a:t>իջին գնաճը</a:t>
            </a:r>
            <a:r>
              <a:rPr lang="en-US" sz="1080" b="0"/>
              <a:t>,</a:t>
            </a:r>
            <a:r>
              <a:rPr lang="en-US" sz="1080" b="0" baseline="0"/>
              <a:t> %</a:t>
            </a:r>
            <a:endParaRPr lang="en-US" sz="1080" b="0"/>
          </a:p>
        </c:rich>
      </c:tx>
      <c:layout>
        <c:manualLayout>
          <c:xMode val="edge"/>
          <c:yMode val="edge"/>
          <c:x val="0.29028022694767946"/>
          <c:y val="2.2222222222222223E-2"/>
        </c:manualLayout>
      </c:layout>
      <c:overlay val="0"/>
      <c:spPr>
        <a:noFill/>
        <a:ln>
          <a:noFill/>
        </a:ln>
        <a:effectLst/>
      </c:spPr>
    </c:title>
    <c:autoTitleDeleted val="0"/>
    <c:plotArea>
      <c:layout>
        <c:manualLayout>
          <c:layoutTarget val="inner"/>
          <c:xMode val="edge"/>
          <c:yMode val="edge"/>
          <c:x val="0.11270836908098351"/>
          <c:y val="0.14797878298685471"/>
          <c:w val="0.86519527873387103"/>
          <c:h val="0.5023235484685753"/>
        </c:manualLayout>
      </c:layout>
      <c:barChart>
        <c:barDir val="col"/>
        <c:grouping val="stacked"/>
        <c:varyColors val="0"/>
        <c:ser>
          <c:idx val="1"/>
          <c:order val="1"/>
          <c:tx>
            <c:strRef>
              <c:f>Sheet1!$D$1</c:f>
              <c:strCache>
                <c:ptCount val="1"/>
                <c:pt idx="0">
                  <c:v>Սննդամթերք և ոչ ալկոհոլային խմիչքներ</c:v>
                </c:pt>
              </c:strCache>
            </c:strRef>
          </c:tx>
          <c:spPr>
            <a:solidFill>
              <a:srgbClr val="4472C4">
                <a:lumMod val="50000"/>
              </a:srgbClr>
            </a:solidFill>
            <a:ln>
              <a:noFill/>
            </a:ln>
            <a:effectLst/>
          </c:spPr>
          <c:invertIfNegative val="0"/>
          <c:cat>
            <c:strRef>
              <c:f>Sheet1!$B$2:$B$67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Sheet1!$D$2:$D$67</c:f>
              <c:numCache>
                <c:formatCode>0.0</c:formatCode>
                <c:ptCount val="20"/>
                <c:pt idx="0">
                  <c:v>0.99239999999999995</c:v>
                </c:pt>
                <c:pt idx="1">
                  <c:v>1.4472499999999999</c:v>
                </c:pt>
                <c:pt idx="2">
                  <c:v>1.0130749999999999</c:v>
                </c:pt>
                <c:pt idx="3">
                  <c:v>0.76497500000000007</c:v>
                </c:pt>
                <c:pt idx="4">
                  <c:v>-1.2156899999999999</c:v>
                </c:pt>
                <c:pt idx="5">
                  <c:v>-0.43004000000000003</c:v>
                </c:pt>
                <c:pt idx="6">
                  <c:v>-0.12404999999999999</c:v>
                </c:pt>
                <c:pt idx="7">
                  <c:v>0.11768999999999999</c:v>
                </c:pt>
                <c:pt idx="8">
                  <c:v>2.6414839999999997</c:v>
                </c:pt>
                <c:pt idx="9">
                  <c:v>2.8647079999999998</c:v>
                </c:pt>
                <c:pt idx="10">
                  <c:v>3.6831960000000006</c:v>
                </c:pt>
                <c:pt idx="11">
                  <c:v>4.1668479999999999</c:v>
                </c:pt>
                <c:pt idx="12">
                  <c:v>4.501684</c:v>
                </c:pt>
                <c:pt idx="13">
                  <c:v>5.0969480000000003</c:v>
                </c:pt>
                <c:pt idx="14">
                  <c:v>5.0597440000000002</c:v>
                </c:pt>
                <c:pt idx="15">
                  <c:v>4.8365200000000002</c:v>
                </c:pt>
                <c:pt idx="16">
                  <c:v>3.05775</c:v>
                </c:pt>
                <c:pt idx="17">
                  <c:v>1.0947499999999999</c:v>
                </c:pt>
                <c:pt idx="18">
                  <c:v>0.26424999999999998</c:v>
                </c:pt>
                <c:pt idx="19">
                  <c:v>-0.18875</c:v>
                </c:pt>
              </c:numCache>
            </c:numRef>
          </c:val>
          <c:extLst>
            <c:ext xmlns:c16="http://schemas.microsoft.com/office/drawing/2014/chart" uri="{C3380CC4-5D6E-409C-BE32-E72D297353CC}">
              <c16:uniqueId val="{00000000-AC51-43AE-9C64-45B710DBE0B1}"/>
            </c:ext>
          </c:extLst>
        </c:ser>
        <c:ser>
          <c:idx val="2"/>
          <c:order val="2"/>
          <c:tx>
            <c:strRef>
              <c:f>Sheet1!$E$1</c:f>
              <c:strCache>
                <c:ptCount val="1"/>
                <c:pt idx="0">
                  <c:v>Ալկոհոլային խմիչքներ, ծխախոտ</c:v>
                </c:pt>
              </c:strCache>
            </c:strRef>
          </c:tx>
          <c:spPr>
            <a:solidFill>
              <a:srgbClr val="ED7D31">
                <a:lumMod val="60000"/>
                <a:lumOff val="40000"/>
              </a:srgbClr>
            </a:solidFill>
            <a:ln>
              <a:noFill/>
            </a:ln>
            <a:effectLst/>
          </c:spPr>
          <c:invertIfNegative val="0"/>
          <c:cat>
            <c:strRef>
              <c:f>Sheet1!$B$2:$B$67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Sheet1!$E$2:$E$67</c:f>
              <c:numCache>
                <c:formatCode>0.0</c:formatCode>
                <c:ptCount val="20"/>
                <c:pt idx="0">
                  <c:v>0.18613999999999997</c:v>
                </c:pt>
                <c:pt idx="1">
                  <c:v>0.19068000000000002</c:v>
                </c:pt>
                <c:pt idx="2">
                  <c:v>0.19295000000000001</c:v>
                </c:pt>
                <c:pt idx="3">
                  <c:v>0.19295000000000001</c:v>
                </c:pt>
                <c:pt idx="4">
                  <c:v>0.36093000000000003</c:v>
                </c:pt>
                <c:pt idx="5">
                  <c:v>0.40240499999999996</c:v>
                </c:pt>
                <c:pt idx="6">
                  <c:v>0.41283000000000003</c:v>
                </c:pt>
                <c:pt idx="7">
                  <c:v>0.41283000000000003</c:v>
                </c:pt>
                <c:pt idx="8">
                  <c:v>0.42338649999999994</c:v>
                </c:pt>
                <c:pt idx="9">
                  <c:v>0.40555969999999997</c:v>
                </c:pt>
                <c:pt idx="10">
                  <c:v>0.41001639999999995</c:v>
                </c:pt>
                <c:pt idx="11">
                  <c:v>0.41447310000000004</c:v>
                </c:pt>
                <c:pt idx="12">
                  <c:v>0.35207929999999998</c:v>
                </c:pt>
                <c:pt idx="13">
                  <c:v>0.3476226</c:v>
                </c:pt>
                <c:pt idx="14">
                  <c:v>0.35653599999999996</c:v>
                </c:pt>
                <c:pt idx="15">
                  <c:v>0.36544939999999998</c:v>
                </c:pt>
                <c:pt idx="16">
                  <c:v>0.34943999999999997</c:v>
                </c:pt>
                <c:pt idx="17">
                  <c:v>0.33024000000000003</c:v>
                </c:pt>
                <c:pt idx="18">
                  <c:v>0.32640000000000002</c:v>
                </c:pt>
                <c:pt idx="19">
                  <c:v>0.32640000000000002</c:v>
                </c:pt>
              </c:numCache>
            </c:numRef>
          </c:val>
          <c:extLst>
            <c:ext xmlns:c16="http://schemas.microsoft.com/office/drawing/2014/chart" uri="{C3380CC4-5D6E-409C-BE32-E72D297353CC}">
              <c16:uniqueId val="{00000001-AC51-43AE-9C64-45B710DBE0B1}"/>
            </c:ext>
          </c:extLst>
        </c:ser>
        <c:ser>
          <c:idx val="3"/>
          <c:order val="3"/>
          <c:tx>
            <c:strRef>
              <c:f>Sheet1!$F$1</c:f>
              <c:strCache>
                <c:ptCount val="1"/>
                <c:pt idx="0">
                  <c:v>Ոչ պարենային ապրանքներ</c:v>
                </c:pt>
              </c:strCache>
            </c:strRef>
          </c:tx>
          <c:spPr>
            <a:solidFill>
              <a:sysClr val="window" lastClr="FFFFFF">
                <a:lumMod val="65000"/>
              </a:sysClr>
            </a:solidFill>
            <a:ln>
              <a:noFill/>
            </a:ln>
            <a:effectLst/>
          </c:spPr>
          <c:invertIfNegative val="0"/>
          <c:cat>
            <c:strRef>
              <c:f>Sheet1!$B$2:$B$67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Sheet1!$F$2:$F$67</c:f>
              <c:numCache>
                <c:formatCode>0.0</c:formatCode>
                <c:ptCount val="20"/>
                <c:pt idx="0">
                  <c:v>0.17791999999999997</c:v>
                </c:pt>
                <c:pt idx="1">
                  <c:v>0.26688000000000001</c:v>
                </c:pt>
                <c:pt idx="2">
                  <c:v>0.34472000000000003</c:v>
                </c:pt>
                <c:pt idx="3">
                  <c:v>0.32247999999999999</c:v>
                </c:pt>
                <c:pt idx="4">
                  <c:v>0.36695999999999995</c:v>
                </c:pt>
                <c:pt idx="5">
                  <c:v>0.19959500000000002</c:v>
                </c:pt>
                <c:pt idx="6">
                  <c:v>0.16808000000000003</c:v>
                </c:pt>
                <c:pt idx="7">
                  <c:v>0.21010000000000001</c:v>
                </c:pt>
                <c:pt idx="8">
                  <c:v>1.5324900000000001</c:v>
                </c:pt>
                <c:pt idx="9">
                  <c:v>1.7545900000000001</c:v>
                </c:pt>
                <c:pt idx="10">
                  <c:v>1.88785</c:v>
                </c:pt>
                <c:pt idx="11">
                  <c:v>1.9322699999999999</c:v>
                </c:pt>
                <c:pt idx="12">
                  <c:v>1.2215499999999999</c:v>
                </c:pt>
                <c:pt idx="13">
                  <c:v>1.3548099999999998</c:v>
                </c:pt>
                <c:pt idx="14">
                  <c:v>1.5102799999999998</c:v>
                </c:pt>
                <c:pt idx="15">
                  <c:v>1.5547</c:v>
                </c:pt>
                <c:pt idx="16">
                  <c:v>1.25604</c:v>
                </c:pt>
                <c:pt idx="17">
                  <c:v>0.76757999999999993</c:v>
                </c:pt>
                <c:pt idx="18">
                  <c:v>0.51172000000000006</c:v>
                </c:pt>
                <c:pt idx="19">
                  <c:v>0.39541999999999999</c:v>
                </c:pt>
              </c:numCache>
            </c:numRef>
          </c:val>
          <c:extLst>
            <c:ext xmlns:c16="http://schemas.microsoft.com/office/drawing/2014/chart" uri="{C3380CC4-5D6E-409C-BE32-E72D297353CC}">
              <c16:uniqueId val="{00000002-AC51-43AE-9C64-45B710DBE0B1}"/>
            </c:ext>
          </c:extLst>
        </c:ser>
        <c:ser>
          <c:idx val="4"/>
          <c:order val="4"/>
          <c:tx>
            <c:strRef>
              <c:f>Sheet1!$G$1</c:f>
              <c:strCache>
                <c:ptCount val="1"/>
                <c:pt idx="0">
                  <c:v>Ծառայություններ </c:v>
                </c:pt>
              </c:strCache>
            </c:strRef>
          </c:tx>
          <c:spPr>
            <a:solidFill>
              <a:srgbClr val="B4C7E7"/>
            </a:solidFill>
            <a:ln>
              <a:noFill/>
            </a:ln>
            <a:effectLst/>
          </c:spPr>
          <c:invertIfNegative val="0"/>
          <c:cat>
            <c:strRef>
              <c:f>Sheet1!$B$2:$B$67</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Sheet1!$G$2:$G$67</c:f>
              <c:numCache>
                <c:formatCode>0.0</c:formatCode>
                <c:ptCount val="20"/>
                <c:pt idx="0">
                  <c:v>0.12748000000000001</c:v>
                </c:pt>
                <c:pt idx="1">
                  <c:v>6.3740000000000005E-2</c:v>
                </c:pt>
                <c:pt idx="2">
                  <c:v>9.5610000000000001E-2</c:v>
                </c:pt>
                <c:pt idx="3">
                  <c:v>0.14660200000000001</c:v>
                </c:pt>
                <c:pt idx="4">
                  <c:v>0.43024500000000004</c:v>
                </c:pt>
                <c:pt idx="5">
                  <c:v>0.39837499999999998</c:v>
                </c:pt>
                <c:pt idx="6">
                  <c:v>0.41431000000000007</c:v>
                </c:pt>
                <c:pt idx="7">
                  <c:v>0.49797999999999992</c:v>
                </c:pt>
                <c:pt idx="8">
                  <c:v>0.61421000000000003</c:v>
                </c:pt>
                <c:pt idx="9">
                  <c:v>0.72260000000000002</c:v>
                </c:pt>
                <c:pt idx="10">
                  <c:v>0.68647000000000002</c:v>
                </c:pt>
                <c:pt idx="11">
                  <c:v>0.68647000000000002</c:v>
                </c:pt>
                <c:pt idx="12">
                  <c:v>0.90325</c:v>
                </c:pt>
                <c:pt idx="13">
                  <c:v>1.2645500000000001</c:v>
                </c:pt>
                <c:pt idx="14">
                  <c:v>1.62585</c:v>
                </c:pt>
                <c:pt idx="15">
                  <c:v>1.8787600000000004</c:v>
                </c:pt>
                <c:pt idx="16">
                  <c:v>2.4253499999999999</c:v>
                </c:pt>
                <c:pt idx="17">
                  <c:v>2.0035499999999997</c:v>
                </c:pt>
                <c:pt idx="18">
                  <c:v>1.7575000000000001</c:v>
                </c:pt>
                <c:pt idx="19">
                  <c:v>1.5817499999999998</c:v>
                </c:pt>
              </c:numCache>
            </c:numRef>
          </c:val>
          <c:extLst>
            <c:ext xmlns:c16="http://schemas.microsoft.com/office/drawing/2014/chart" uri="{C3380CC4-5D6E-409C-BE32-E72D297353CC}">
              <c16:uniqueId val="{00000003-AC51-43AE-9C64-45B710DBE0B1}"/>
            </c:ext>
          </c:extLst>
        </c:ser>
        <c:dLbls>
          <c:showLegendKey val="0"/>
          <c:showVal val="0"/>
          <c:showCatName val="0"/>
          <c:showSerName val="0"/>
          <c:showPercent val="0"/>
          <c:showBubbleSize val="0"/>
        </c:dLbls>
        <c:gapWidth val="100"/>
        <c:overlap val="100"/>
        <c:axId val="339650048"/>
        <c:axId val="339651584"/>
      </c:barChart>
      <c:lineChart>
        <c:grouping val="standard"/>
        <c:varyColors val="0"/>
        <c:ser>
          <c:idx val="0"/>
          <c:order val="0"/>
          <c:tx>
            <c:strRef>
              <c:f>Sheet1!$C$1</c:f>
              <c:strCache>
                <c:ptCount val="1"/>
                <c:pt idx="0">
                  <c:v>12-ամսյա գնաճ</c:v>
                </c:pt>
              </c:strCache>
            </c:strRef>
          </c:tx>
          <c:spPr>
            <a:ln w="25400" cap="rnd">
              <a:solidFill>
                <a:srgbClr val="4472C4">
                  <a:lumMod val="75000"/>
                </a:srgbClr>
              </a:solidFill>
              <a:round/>
            </a:ln>
            <a:effectLst/>
          </c:spPr>
          <c:marker>
            <c:symbol val="none"/>
          </c:marker>
          <c:dPt>
            <c:idx val="7"/>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4-AC51-43AE-9C64-45B710DBE0B1}"/>
              </c:ext>
            </c:extLst>
          </c:dPt>
          <c:dLbls>
            <c:dLbl>
              <c:idx val="8"/>
              <c:layout>
                <c:manualLayout>
                  <c:x val="-0.10828359029971553"/>
                  <c:y val="-1.87082239720034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51-43AE-9C64-45B710DBE0B1}"/>
                </c:ext>
              </c:extLst>
            </c:dLbl>
            <c:dLbl>
              <c:idx val="9"/>
              <c:layout>
                <c:manualLayout>
                  <c:x val="-8.8313451836484591E-2"/>
                  <c:y val="-6.8708223972003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C51-43AE-9C64-45B710DBE0B1}"/>
                </c:ext>
              </c:extLst>
            </c:dLbl>
            <c:dLbl>
              <c:idx val="10"/>
              <c:layout>
                <c:manualLayout>
                  <c:x val="-7.6816445848460563E-2"/>
                  <c:y val="-6.8708223972003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C51-43AE-9C64-45B710DBE0B1}"/>
                </c:ext>
              </c:extLst>
            </c:dLbl>
            <c:dLbl>
              <c:idx val="11"/>
              <c:layout>
                <c:manualLayout>
                  <c:x val="-7.5618841058041397E-2"/>
                  <c:y val="-6.3152668416447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C51-43AE-9C64-45B710DBE0B1}"/>
                </c:ext>
              </c:extLst>
            </c:dLbl>
            <c:dLbl>
              <c:idx val="12"/>
              <c:layout>
                <c:manualLayout>
                  <c:x val="-5.7085828343313445E-2"/>
                  <c:y val="-7.98193350831146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51-43AE-9C64-45B710DBE0B1}"/>
                </c:ext>
              </c:extLst>
            </c:dLbl>
            <c:dLbl>
              <c:idx val="15"/>
              <c:layout>
                <c:manualLayout>
                  <c:x val="-4.6157763213730017E-2"/>
                  <c:y val="-6.8708223972003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C51-43AE-9C64-45B710DBE0B1}"/>
                </c:ext>
              </c:extLst>
            </c:dLbl>
            <c:dLbl>
              <c:idx val="16"/>
              <c:layout>
                <c:manualLayout>
                  <c:x val="-3.9690697345466694E-2"/>
                  <c:y val="-5.75971128608923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C51-43AE-9C64-45B710DBE0B1}"/>
                </c:ext>
              </c:extLst>
            </c:dLbl>
            <c:spPr>
              <a:noFill/>
              <a:ln>
                <a:noFill/>
              </a:ln>
              <a:effectLst/>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Sheet1!$A$28:$B$67</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Sheet1!$C$2:$C$67</c:f>
              <c:numCache>
                <c:formatCode>0.0</c:formatCode>
                <c:ptCount val="20"/>
                <c:pt idx="0">
                  <c:v>1.4839399999999998</c:v>
                </c:pt>
                <c:pt idx="1">
                  <c:v>1.9685499999999998</c:v>
                </c:pt>
                <c:pt idx="2">
                  <c:v>1.646355</c:v>
                </c:pt>
                <c:pt idx="3">
                  <c:v>1.4270070000000001</c:v>
                </c:pt>
                <c:pt idx="4">
                  <c:v>-5.7554999999999967E-2</c:v>
                </c:pt>
                <c:pt idx="5">
                  <c:v>0.57033499999999993</c:v>
                </c:pt>
                <c:pt idx="6">
                  <c:v>0.87117000000000011</c:v>
                </c:pt>
                <c:pt idx="7">
                  <c:v>1.2385999999999999</c:v>
                </c:pt>
                <c:pt idx="8">
                  <c:v>5.2115704999999997</c:v>
                </c:pt>
                <c:pt idx="9">
                  <c:v>5.7474577</c:v>
                </c:pt>
                <c:pt idx="10">
                  <c:v>6.6675324000000007</c:v>
                </c:pt>
                <c:pt idx="11">
                  <c:v>7.2000611000000001</c:v>
                </c:pt>
                <c:pt idx="12">
                  <c:v>6.9785632999999994</c:v>
                </c:pt>
                <c:pt idx="13">
                  <c:v>8.0639306000000008</c:v>
                </c:pt>
                <c:pt idx="14">
                  <c:v>8.5524100000000001</c:v>
                </c:pt>
                <c:pt idx="15">
                  <c:v>8.6354293999999996</c:v>
                </c:pt>
                <c:pt idx="16">
                  <c:v>7.2</c:v>
                </c:pt>
                <c:pt idx="17">
                  <c:v>4.2</c:v>
                </c:pt>
                <c:pt idx="18">
                  <c:v>2.8</c:v>
                </c:pt>
                <c:pt idx="19">
                  <c:v>2</c:v>
                </c:pt>
              </c:numCache>
            </c:numRef>
          </c:val>
          <c:smooth val="0"/>
          <c:extLst>
            <c:ext xmlns:c16="http://schemas.microsoft.com/office/drawing/2014/chart" uri="{C3380CC4-5D6E-409C-BE32-E72D297353CC}">
              <c16:uniqueId val="{0000000C-AC51-43AE-9C64-45B710DBE0B1}"/>
            </c:ext>
          </c:extLst>
        </c:ser>
        <c:dLbls>
          <c:showLegendKey val="0"/>
          <c:showVal val="0"/>
          <c:showCatName val="0"/>
          <c:showSerName val="0"/>
          <c:showPercent val="0"/>
          <c:showBubbleSize val="0"/>
        </c:dLbls>
        <c:marker val="1"/>
        <c:smooth val="0"/>
        <c:axId val="339650048"/>
        <c:axId val="339651584"/>
      </c:lineChart>
      <c:catAx>
        <c:axId val="339650048"/>
        <c:scaling>
          <c:orientation val="minMax"/>
        </c:scaling>
        <c:delete val="0"/>
        <c:axPos val="b"/>
        <c:numFmt formatCode="General" sourceLinked="1"/>
        <c:majorTickMark val="out"/>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GHEA Grapalat" panose="02000506050000020003" pitchFamily="50" charset="0"/>
                <a:ea typeface="+mn-ea"/>
                <a:cs typeface="+mn-cs"/>
              </a:defRPr>
            </a:pPr>
            <a:endParaRPr lang="en-US"/>
          </a:p>
        </c:txPr>
        <c:crossAx val="339651584"/>
        <c:crosses val="autoZero"/>
        <c:auto val="1"/>
        <c:lblAlgn val="ctr"/>
        <c:lblOffset val="100"/>
        <c:noMultiLvlLbl val="0"/>
      </c:catAx>
      <c:valAx>
        <c:axId val="339651584"/>
        <c:scaling>
          <c:orientation val="minMax"/>
          <c:max val="10"/>
        </c:scaling>
        <c:delete val="0"/>
        <c:axPos val="l"/>
        <c:majorGridlines>
          <c:spPr>
            <a:ln w="3175">
              <a:solidFill>
                <a:srgbClr val="A5A5A5">
                  <a:lumMod val="40000"/>
                  <a:lumOff val="60000"/>
                </a:srgbClr>
              </a:solidFill>
            </a:ln>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339650048"/>
        <c:crosses val="autoZero"/>
        <c:crossBetween val="between"/>
      </c:valAx>
      <c:spPr>
        <a:pattFill prst="ltDnDiag">
          <a:fgClr>
            <a:srgbClr val="000000">
              <a:alpha val="0"/>
            </a:srgbClr>
          </a:fgClr>
          <a:bgClr>
            <a:srgbClr val="FFFFFF"/>
          </a:bgClr>
        </a:patt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lgn="ct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70836908098351"/>
          <c:y val="0.1312423813132145"/>
          <c:w val="0.84290099330803991"/>
          <c:h val="0.21350437445319334"/>
        </c:manualLayout>
      </c:layout>
      <c:barChart>
        <c:barDir val="col"/>
        <c:grouping val="stacked"/>
        <c:varyColors val="0"/>
        <c:ser>
          <c:idx val="1"/>
          <c:order val="1"/>
          <c:tx>
            <c:strRef>
              <c:f>Sheet1!$D$1</c:f>
              <c:strCache>
                <c:ptCount val="1"/>
                <c:pt idx="0">
                  <c:v>Սննդամթերք և ոչ ալկոհոլային խմիչքներ</c:v>
                </c:pt>
              </c:strCache>
            </c:strRef>
          </c:tx>
          <c:spPr>
            <a:solidFill>
              <a:srgbClr val="4472C4">
                <a:lumMod val="50000"/>
              </a:srgbClr>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Sheet1!$D$28:$D$64</c:f>
              <c:numCache>
                <c:formatCode>General</c:formatCode>
                <c:ptCount val="17"/>
              </c:numCache>
            </c:numRef>
          </c:val>
          <c:extLst>
            <c:ext xmlns:c16="http://schemas.microsoft.com/office/drawing/2014/chart" uri="{C3380CC4-5D6E-409C-BE32-E72D297353CC}">
              <c16:uniqueId val="{00000000-6A15-4CB1-8BDE-6A127D5EC6A2}"/>
            </c:ext>
          </c:extLst>
        </c:ser>
        <c:ser>
          <c:idx val="2"/>
          <c:order val="2"/>
          <c:tx>
            <c:strRef>
              <c:f>Sheet1!$E$1</c:f>
              <c:strCache>
                <c:ptCount val="1"/>
                <c:pt idx="0">
                  <c:v>Ալկոհոլային խմիչքներ, ծխախոտ</c:v>
                </c:pt>
              </c:strCache>
            </c:strRef>
          </c:tx>
          <c:spPr>
            <a:solidFill>
              <a:srgbClr val="ED7D31">
                <a:lumMod val="60000"/>
                <a:lumOff val="40000"/>
              </a:srgbClr>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Sheet1!$E$28:$E$64</c:f>
              <c:numCache>
                <c:formatCode>General</c:formatCode>
                <c:ptCount val="17"/>
              </c:numCache>
            </c:numRef>
          </c:val>
          <c:extLst>
            <c:ext xmlns:c16="http://schemas.microsoft.com/office/drawing/2014/chart" uri="{C3380CC4-5D6E-409C-BE32-E72D297353CC}">
              <c16:uniqueId val="{00000001-6A15-4CB1-8BDE-6A127D5EC6A2}"/>
            </c:ext>
          </c:extLst>
        </c:ser>
        <c:ser>
          <c:idx val="3"/>
          <c:order val="3"/>
          <c:tx>
            <c:strRef>
              <c:f>Sheet1!$F$1</c:f>
              <c:strCache>
                <c:ptCount val="1"/>
                <c:pt idx="0">
                  <c:v>Ոչ պարենային ապրանքներ</c:v>
                </c:pt>
              </c:strCache>
            </c:strRef>
          </c:tx>
          <c:spPr>
            <a:solidFill>
              <a:sysClr val="window" lastClr="FFFFFF">
                <a:lumMod val="65000"/>
              </a:sysClr>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Sheet1!$F$28:$F$64</c:f>
              <c:numCache>
                <c:formatCode>General</c:formatCode>
                <c:ptCount val="17"/>
              </c:numCache>
            </c:numRef>
          </c:val>
          <c:extLst>
            <c:ext xmlns:c16="http://schemas.microsoft.com/office/drawing/2014/chart" uri="{C3380CC4-5D6E-409C-BE32-E72D297353CC}">
              <c16:uniqueId val="{00000002-6A15-4CB1-8BDE-6A127D5EC6A2}"/>
            </c:ext>
          </c:extLst>
        </c:ser>
        <c:ser>
          <c:idx val="4"/>
          <c:order val="4"/>
          <c:tx>
            <c:strRef>
              <c:f>Sheet1!$G$1</c:f>
              <c:strCache>
                <c:ptCount val="1"/>
                <c:pt idx="0">
                  <c:v>Ծառայություններ </c:v>
                </c:pt>
              </c:strCache>
            </c:strRef>
          </c:tx>
          <c:spPr>
            <a:solidFill>
              <a:srgbClr val="B4C7E7"/>
            </a:solidFill>
            <a:ln>
              <a:noFill/>
            </a:ln>
            <a:effectLst/>
          </c:spPr>
          <c:invertIfNegative val="0"/>
          <c:cat>
            <c:strRef>
              <c:f>Sheet1!$B$28:$B$64</c:f>
              <c:strCache>
                <c:ptCount val="17"/>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strCache>
            </c:strRef>
          </c:cat>
          <c:val>
            <c:numRef>
              <c:f>Sheet1!$G$28:$G$64</c:f>
              <c:numCache>
                <c:formatCode>General</c:formatCode>
                <c:ptCount val="17"/>
              </c:numCache>
            </c:numRef>
          </c:val>
          <c:extLst>
            <c:ext xmlns:c16="http://schemas.microsoft.com/office/drawing/2014/chart" uri="{C3380CC4-5D6E-409C-BE32-E72D297353CC}">
              <c16:uniqueId val="{00000003-6A15-4CB1-8BDE-6A127D5EC6A2}"/>
            </c:ext>
          </c:extLst>
        </c:ser>
        <c:dLbls>
          <c:showLegendKey val="0"/>
          <c:showVal val="0"/>
          <c:showCatName val="0"/>
          <c:showSerName val="0"/>
          <c:showPercent val="0"/>
          <c:showBubbleSize val="0"/>
        </c:dLbls>
        <c:gapWidth val="100"/>
        <c:overlap val="100"/>
        <c:axId val="339256064"/>
        <c:axId val="339257600"/>
      </c:barChart>
      <c:lineChart>
        <c:grouping val="standard"/>
        <c:varyColors val="0"/>
        <c:ser>
          <c:idx val="0"/>
          <c:order val="0"/>
          <c:tx>
            <c:strRef>
              <c:f>Sheet1!$C$1</c:f>
              <c:strCache>
                <c:ptCount val="1"/>
                <c:pt idx="0">
                  <c:v>12-ամսյա գնաճ</c:v>
                </c:pt>
              </c:strCache>
            </c:strRef>
          </c:tx>
          <c:spPr>
            <a:ln w="25400" cap="rnd">
              <a:solidFill>
                <a:srgbClr val="4472C4">
                  <a:lumMod val="75000"/>
                </a:srgbClr>
              </a:solidFill>
              <a:round/>
            </a:ln>
            <a:effectLst/>
          </c:spPr>
          <c:marker>
            <c:symbol val="none"/>
          </c:marker>
          <c:dPt>
            <c:idx val="6"/>
            <c:bubble3D val="0"/>
            <c:extLst>
              <c:ext xmlns:c16="http://schemas.microsoft.com/office/drawing/2014/chart" uri="{C3380CC4-5D6E-409C-BE32-E72D297353CC}">
                <c16:uniqueId val="{00000004-6A15-4CB1-8BDE-6A127D5EC6A2}"/>
              </c:ext>
            </c:extLst>
          </c:dPt>
          <c:dPt>
            <c:idx val="7"/>
            <c:marker>
              <c:symbol val="square"/>
              <c:size val="6"/>
              <c:spPr>
                <a:solidFill>
                  <a:schemeClr val="accent1"/>
                </a:solidFill>
                <a:ln w="15875">
                  <a:solidFill>
                    <a:schemeClr val="accent1"/>
                  </a:solidFill>
                  <a:round/>
                </a:ln>
                <a:effectLst/>
              </c:spPr>
            </c:marker>
            <c:bubble3D val="0"/>
            <c:extLst>
              <c:ext xmlns:c16="http://schemas.microsoft.com/office/drawing/2014/chart" uri="{C3380CC4-5D6E-409C-BE32-E72D297353CC}">
                <c16:uniqueId val="{00000005-6A15-4CB1-8BDE-6A127D5EC6A2}"/>
              </c:ext>
            </c:extLst>
          </c:dPt>
          <c:dLbls>
            <c:spPr>
              <a:noFill/>
              <a:ln>
                <a:noFill/>
              </a:ln>
              <a:effectLst/>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multiLvlStrRef>
              <c:f>Sheet1!$A$28:$B$64</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2019</c:v>
                  </c:pt>
                  <c:pt idx="4">
                    <c:v>2020</c:v>
                  </c:pt>
                  <c:pt idx="8">
                    <c:v>2021</c:v>
                  </c:pt>
                  <c:pt idx="12">
                    <c:v>2022</c:v>
                  </c:pt>
                  <c:pt idx="16">
                    <c:v>2023</c:v>
                  </c:pt>
                </c:lvl>
              </c:multiLvlStrCache>
            </c:multiLvlStrRef>
          </c:cat>
          <c:val>
            <c:numRef>
              <c:f>Sheet1!$C$28:$C$64</c:f>
              <c:numCache>
                <c:formatCode>General</c:formatCode>
                <c:ptCount val="17"/>
              </c:numCache>
            </c:numRef>
          </c:val>
          <c:smooth val="0"/>
          <c:extLst>
            <c:ext xmlns:c16="http://schemas.microsoft.com/office/drawing/2014/chart" uri="{C3380CC4-5D6E-409C-BE32-E72D297353CC}">
              <c16:uniqueId val="{00000006-6A15-4CB1-8BDE-6A127D5EC6A2}"/>
            </c:ext>
          </c:extLst>
        </c:ser>
        <c:dLbls>
          <c:showLegendKey val="0"/>
          <c:showVal val="0"/>
          <c:showCatName val="0"/>
          <c:showSerName val="0"/>
          <c:showPercent val="0"/>
          <c:showBubbleSize val="0"/>
        </c:dLbls>
        <c:marker val="1"/>
        <c:smooth val="0"/>
        <c:axId val="339256064"/>
        <c:axId val="339257600"/>
      </c:lineChart>
      <c:catAx>
        <c:axId val="339256064"/>
        <c:scaling>
          <c:orientation val="minMax"/>
        </c:scaling>
        <c:delete val="1"/>
        <c:axPos val="b"/>
        <c:numFmt formatCode="General" sourceLinked="1"/>
        <c:majorTickMark val="out"/>
        <c:minorTickMark val="none"/>
        <c:tickLblPos val="low"/>
        <c:crossAx val="339257600"/>
        <c:crosses val="autoZero"/>
        <c:auto val="1"/>
        <c:lblAlgn val="ctr"/>
        <c:lblOffset val="100"/>
        <c:noMultiLvlLbl val="0"/>
      </c:catAx>
      <c:valAx>
        <c:axId val="339257600"/>
        <c:scaling>
          <c:orientation val="minMax"/>
        </c:scaling>
        <c:delete val="1"/>
        <c:axPos val="l"/>
        <c:numFmt formatCode="General" sourceLinked="1"/>
        <c:majorTickMark val="none"/>
        <c:minorTickMark val="none"/>
        <c:tickLblPos val="nextTo"/>
        <c:crossAx val="339256064"/>
        <c:crosses val="autoZero"/>
        <c:crossBetween val="between"/>
      </c:valAx>
      <c:spPr>
        <a:pattFill prst="ltDnDiag">
          <a:fgClr>
            <a:srgbClr val="000000">
              <a:alpha val="0"/>
            </a:srgbClr>
          </a:fgClr>
          <a:bgClr>
            <a:srgbClr val="FFFFFF"/>
          </a:bgClr>
        </a:pattFill>
        <a:ln w="25400">
          <a:noFill/>
        </a:ln>
        <a:effectLst/>
      </c:spPr>
    </c:plotArea>
    <c:legend>
      <c:legendPos val="r"/>
      <c:layout>
        <c:manualLayout>
          <c:xMode val="edge"/>
          <c:yMode val="edge"/>
          <c:x val="3.1936127744510975E-2"/>
          <c:y val="3.7699115044247791E-2"/>
          <c:w val="0.9640718562874252"/>
          <c:h val="0.96201147422943811"/>
        </c:manualLayout>
      </c:layout>
      <c:overlay val="0"/>
      <c:txPr>
        <a:bodyPr/>
        <a:lstStyle/>
        <a:p>
          <a:pPr>
            <a:defRPr sz="1000" baseline="0">
              <a:solidFill>
                <a:schemeClr val="tx1">
                  <a:lumMod val="65000"/>
                  <a:lumOff val="35000"/>
                </a:schemeClr>
              </a:solidFill>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solidFill>
            <a:sysClr val="windowText" lastClr="000000"/>
          </a:solidFill>
          <a:latin typeface="GHEA Grapalat" panose="02000506050000020003" pitchFamily="50" charset="0"/>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0764569708665386E-2"/>
          <c:y val="5.2009456264775412E-2"/>
          <c:w val="0.92822312490817616"/>
          <c:h val="0.54687224933385226"/>
        </c:manualLayout>
      </c:layout>
      <c:areaChart>
        <c:grouping val="standard"/>
        <c:varyColors val="0"/>
        <c:ser>
          <c:idx val="6"/>
          <c:order val="6"/>
          <c:tx>
            <c:strRef>
              <c:f>Sheet1!$I$1</c:f>
              <c:strCache>
                <c:ptCount val="1"/>
                <c:pt idx="0">
                  <c:v>Column1</c:v>
                </c:pt>
              </c:strCache>
            </c:strRef>
          </c:tx>
          <c:cat>
            <c:numRef>
              <c:f>Sheet1!$B$2:$B$73</c:f>
              <c:numCache>
                <c:formatCode>General</c:formatCode>
                <c:ptCount val="60"/>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numCache>
            </c:numRef>
          </c:cat>
          <c:val>
            <c:numRef>
              <c:f>Sheet1!$I$2:$I$73</c:f>
              <c:numCache>
                <c:formatCode>General</c:formatCode>
                <c:ptCount val="60"/>
              </c:numCache>
            </c:numRef>
          </c:val>
          <c:extLst>
            <c:ext xmlns:c16="http://schemas.microsoft.com/office/drawing/2014/chart" uri="{C3380CC4-5D6E-409C-BE32-E72D297353CC}">
              <c16:uniqueId val="{00000000-19F1-4610-9252-387FE0B261DD}"/>
            </c:ext>
          </c:extLst>
        </c:ser>
        <c:dLbls>
          <c:showLegendKey val="0"/>
          <c:showVal val="0"/>
          <c:showCatName val="0"/>
          <c:showSerName val="0"/>
          <c:showPercent val="0"/>
          <c:showBubbleSize val="0"/>
        </c:dLbls>
        <c:axId val="340183680"/>
        <c:axId val="340275584"/>
      </c:areaChart>
      <c:lineChart>
        <c:grouping val="standard"/>
        <c:varyColors val="0"/>
        <c:ser>
          <c:idx val="0"/>
          <c:order val="0"/>
          <c:tx>
            <c:strRef>
              <c:f>Sheet1!$C$1</c:f>
              <c:strCache>
                <c:ptCount val="1"/>
                <c:pt idx="0">
                  <c:v>ԿԲ ռեպո</c:v>
                </c:pt>
              </c:strCache>
            </c:strRef>
          </c:tx>
          <c:spPr>
            <a:ln w="31750" cap="rnd">
              <a:solidFill>
                <a:srgbClr val="4F81BD">
                  <a:lumMod val="75000"/>
                </a:srgbClr>
              </a:solidFill>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Sheet1!$C$2:$C$73</c:f>
              <c:numCache>
                <c:formatCode>0.0</c:formatCode>
                <c:ptCount val="60"/>
                <c:pt idx="0">
                  <c:v>5.75</c:v>
                </c:pt>
                <c:pt idx="1">
                  <c:v>5.75</c:v>
                </c:pt>
                <c:pt idx="2" formatCode="0.00">
                  <c:v>5.75</c:v>
                </c:pt>
                <c:pt idx="3" formatCode="0.00">
                  <c:v>5.75</c:v>
                </c:pt>
                <c:pt idx="4" formatCode="0.00">
                  <c:v>5.75</c:v>
                </c:pt>
                <c:pt idx="5" formatCode="0.00">
                  <c:v>5.75</c:v>
                </c:pt>
                <c:pt idx="6" formatCode="0.00">
                  <c:v>5.75</c:v>
                </c:pt>
                <c:pt idx="7" formatCode="0.00">
                  <c:v>5.75</c:v>
                </c:pt>
                <c:pt idx="8" formatCode="0.00">
                  <c:v>5.5</c:v>
                </c:pt>
                <c:pt idx="9" formatCode="0.00">
                  <c:v>5.5</c:v>
                </c:pt>
                <c:pt idx="10" formatCode="0.00">
                  <c:v>5.5</c:v>
                </c:pt>
                <c:pt idx="11" formatCode="0.00">
                  <c:v>5.5</c:v>
                </c:pt>
                <c:pt idx="12" formatCode="0.00">
                  <c:v>5.5</c:v>
                </c:pt>
                <c:pt idx="13" formatCode="0.00">
                  <c:v>5.5</c:v>
                </c:pt>
                <c:pt idx="14" formatCode="0.00">
                  <c:v>5.25</c:v>
                </c:pt>
                <c:pt idx="15" formatCode="0.00">
                  <c:v>5</c:v>
                </c:pt>
                <c:pt idx="16" formatCode="0.00">
                  <c:v>5</c:v>
                </c:pt>
                <c:pt idx="17" formatCode="0.00">
                  <c:v>4.5</c:v>
                </c:pt>
                <c:pt idx="18" formatCode="0.00">
                  <c:v>4.5</c:v>
                </c:pt>
                <c:pt idx="19" formatCode="0.00">
                  <c:v>4.5</c:v>
                </c:pt>
                <c:pt idx="20" formatCode="0.00">
                  <c:v>4.25</c:v>
                </c:pt>
                <c:pt idx="21" formatCode="0.00">
                  <c:v>4.25</c:v>
                </c:pt>
                <c:pt idx="22" formatCode="0.00">
                  <c:v>4.25</c:v>
                </c:pt>
                <c:pt idx="23" formatCode="0.00">
                  <c:v>5.25</c:v>
                </c:pt>
                <c:pt idx="24" formatCode="0.00">
                  <c:v>5.25</c:v>
                </c:pt>
                <c:pt idx="25" formatCode="0.00">
                  <c:v>5.5</c:v>
                </c:pt>
                <c:pt idx="26" formatCode="0.00">
                  <c:v>5.5</c:v>
                </c:pt>
                <c:pt idx="27" formatCode="0.00">
                  <c:v>5.5</c:v>
                </c:pt>
                <c:pt idx="28" formatCode="0.00">
                  <c:v>6</c:v>
                </c:pt>
                <c:pt idx="29" formatCode="0.00">
                  <c:v>6.5</c:v>
                </c:pt>
                <c:pt idx="30" formatCode="0.00">
                  <c:v>6.5</c:v>
                </c:pt>
                <c:pt idx="31" formatCode="0.00">
                  <c:v>7</c:v>
                </c:pt>
                <c:pt idx="32" formatCode="0.00">
                  <c:v>7.25</c:v>
                </c:pt>
                <c:pt idx="33" formatCode="0.00">
                  <c:v>7.25</c:v>
                </c:pt>
                <c:pt idx="34" formatCode="0.00">
                  <c:v>7.25</c:v>
                </c:pt>
                <c:pt idx="35" formatCode="0.00">
                  <c:v>7.75</c:v>
                </c:pt>
                <c:pt idx="36" formatCode="0.00">
                  <c:v>7.75</c:v>
                </c:pt>
                <c:pt idx="37" formatCode="0.00">
                  <c:v>8</c:v>
                </c:pt>
                <c:pt idx="38" formatCode="0.00">
                  <c:v>9.25</c:v>
                </c:pt>
                <c:pt idx="39" formatCode="0.00">
                  <c:v>9.25</c:v>
                </c:pt>
                <c:pt idx="40" formatCode="0.00">
                  <c:v>9.25</c:v>
                </c:pt>
                <c:pt idx="41" formatCode="0.00">
                  <c:v>9.25</c:v>
                </c:pt>
                <c:pt idx="42" formatCode="0.00">
                  <c:v>9.25</c:v>
                </c:pt>
                <c:pt idx="43" formatCode="0.00">
                  <c:v>9.5</c:v>
                </c:pt>
                <c:pt idx="44">
                  <c:v>10</c:v>
                </c:pt>
                <c:pt idx="45">
                  <c:v>10</c:v>
                </c:pt>
                <c:pt idx="46" formatCode="0.00">
                  <c:v>10.483333333333333</c:v>
                </c:pt>
                <c:pt idx="47" formatCode="0.00">
                  <c:v>10.64516129032258</c:v>
                </c:pt>
                <c:pt idx="48" formatCode="0.00">
                  <c:v>10.75</c:v>
                </c:pt>
                <c:pt idx="49" formatCode="0.00">
                  <c:v>10.75</c:v>
                </c:pt>
                <c:pt idx="50" formatCode="0.00">
                  <c:v>10.75</c:v>
                </c:pt>
                <c:pt idx="51" formatCode="0.00">
                  <c:v>10.75</c:v>
                </c:pt>
                <c:pt idx="52" formatCode="0.00">
                  <c:v>10.75</c:v>
                </c:pt>
                <c:pt idx="53" formatCode="0.00">
                  <c:v>10.5</c:v>
                </c:pt>
                <c:pt idx="54" formatCode="0.00">
                  <c:v>10.5</c:v>
                </c:pt>
                <c:pt idx="55" formatCode="0.00">
                  <c:v>10.25</c:v>
                </c:pt>
                <c:pt idx="56" formatCode="0.00">
                  <c:v>9.75</c:v>
                </c:pt>
                <c:pt idx="57" formatCode="0.00">
                  <c:v>9.75</c:v>
                </c:pt>
                <c:pt idx="58" formatCode="0.00">
                  <c:v>9.5</c:v>
                </c:pt>
                <c:pt idx="59" formatCode="0.00">
                  <c:v>9.25</c:v>
                </c:pt>
              </c:numCache>
            </c:numRef>
          </c:val>
          <c:smooth val="0"/>
          <c:extLst>
            <c:ext xmlns:c16="http://schemas.microsoft.com/office/drawing/2014/chart" uri="{C3380CC4-5D6E-409C-BE32-E72D297353CC}">
              <c16:uniqueId val="{00000001-19F1-4610-9252-387FE0B261DD}"/>
            </c:ext>
          </c:extLst>
        </c:ser>
        <c:ser>
          <c:idx val="1"/>
          <c:order val="1"/>
          <c:tx>
            <c:strRef>
              <c:f>Sheet1!$D$1</c:f>
              <c:strCache>
                <c:ptCount val="1"/>
                <c:pt idx="0">
                  <c:v>Միջբանկային ռեպո</c:v>
                </c:pt>
              </c:strCache>
            </c:strRef>
          </c:tx>
          <c:spPr>
            <a:ln w="19050" cap="rnd">
              <a:solidFill>
                <a:schemeClr val="accent2"/>
              </a:solidFill>
              <a:prstDash val="solid"/>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Sheet1!$D$2:$D$73</c:f>
            </c:numRef>
          </c:val>
          <c:smooth val="0"/>
          <c:extLst>
            <c:ext xmlns:c16="http://schemas.microsoft.com/office/drawing/2014/chart" uri="{C3380CC4-5D6E-409C-BE32-E72D297353CC}">
              <c16:uniqueId val="{00000002-19F1-4610-9252-387FE0B261DD}"/>
            </c:ext>
          </c:extLst>
        </c:ser>
        <c:ser>
          <c:idx val="2"/>
          <c:order val="2"/>
          <c:tx>
            <c:strRef>
              <c:f>Sheet1!$E$1</c:f>
              <c:strCache>
                <c:ptCount val="1"/>
                <c:pt idx="0">
                  <c:v>Պետական պարտատոմսեր, 1տ․</c:v>
                </c:pt>
              </c:strCache>
            </c:strRef>
          </c:tx>
          <c:spPr>
            <a:ln w="19050" cap="rnd">
              <a:solidFill>
                <a:srgbClr val="9BBB59">
                  <a:lumMod val="60000"/>
                  <a:lumOff val="40000"/>
                </a:srgbClr>
              </a:solidFill>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Sheet1!$E$2:$E$73</c:f>
              <c:numCache>
                <c:formatCode>0.0</c:formatCode>
                <c:ptCount val="60"/>
                <c:pt idx="0">
                  <c:v>6.6734</c:v>
                </c:pt>
                <c:pt idx="1">
                  <c:v>6.5744999999999996</c:v>
                </c:pt>
                <c:pt idx="2">
                  <c:v>6.5629</c:v>
                </c:pt>
                <c:pt idx="3">
                  <c:v>6.4889000000000001</c:v>
                </c:pt>
                <c:pt idx="4">
                  <c:v>6.5033000000000003</c:v>
                </c:pt>
                <c:pt idx="5">
                  <c:v>6.2850999999999999</c:v>
                </c:pt>
                <c:pt idx="6">
                  <c:v>6.2453000000000003</c:v>
                </c:pt>
                <c:pt idx="7">
                  <c:v>6.2606000000000002</c:v>
                </c:pt>
                <c:pt idx="8">
                  <c:v>6.2698999999999998</c:v>
                </c:pt>
                <c:pt idx="9">
                  <c:v>6.1853999999999996</c:v>
                </c:pt>
                <c:pt idx="10">
                  <c:v>6.0248999999999997</c:v>
                </c:pt>
                <c:pt idx="11">
                  <c:v>6.0016999999999996</c:v>
                </c:pt>
                <c:pt idx="12">
                  <c:v>5.9264000000000001</c:v>
                </c:pt>
                <c:pt idx="13">
                  <c:v>5.8771000000000004</c:v>
                </c:pt>
                <c:pt idx="14">
                  <c:v>5.7816999999999998</c:v>
                </c:pt>
                <c:pt idx="15">
                  <c:v>5.7742000000000004</c:v>
                </c:pt>
                <c:pt idx="16">
                  <c:v>5.8630000000000004</c:v>
                </c:pt>
                <c:pt idx="17">
                  <c:v>5.5404999999999998</c:v>
                </c:pt>
                <c:pt idx="18">
                  <c:v>5.5384000000000002</c:v>
                </c:pt>
                <c:pt idx="19">
                  <c:v>5.6143000000000001</c:v>
                </c:pt>
                <c:pt idx="20">
                  <c:v>5.5647000000000002</c:v>
                </c:pt>
                <c:pt idx="21">
                  <c:v>5.7388000000000003</c:v>
                </c:pt>
                <c:pt idx="22">
                  <c:v>6.0198</c:v>
                </c:pt>
                <c:pt idx="23">
                  <c:v>6.4890999999999996</c:v>
                </c:pt>
                <c:pt idx="24">
                  <c:v>6.8925232558139538</c:v>
                </c:pt>
                <c:pt idx="25">
                  <c:v>6.8010142857142855</c:v>
                </c:pt>
                <c:pt idx="26">
                  <c:v>6.8712428571428568</c:v>
                </c:pt>
                <c:pt idx="27">
                  <c:v>6.8708857142857145</c:v>
                </c:pt>
                <c:pt idx="28">
                  <c:v>7.0861142857142854</c:v>
                </c:pt>
                <c:pt idx="29">
                  <c:v>7.3503850130953534</c:v>
                </c:pt>
                <c:pt idx="30">
                  <c:v>7.8607287499999998</c:v>
                </c:pt>
                <c:pt idx="31">
                  <c:v>8.2888199999999994</c:v>
                </c:pt>
                <c:pt idx="32">
                  <c:v>8.4334571428571437</c:v>
                </c:pt>
                <c:pt idx="33">
                  <c:v>8.7411909865697641</c:v>
                </c:pt>
                <c:pt idx="34">
                  <c:v>8.9</c:v>
                </c:pt>
                <c:pt idx="35">
                  <c:v>9.0296000000000003</c:v>
                </c:pt>
                <c:pt idx="36">
                  <c:v>9.057884210526316</c:v>
                </c:pt>
                <c:pt idx="37">
                  <c:v>8.99939</c:v>
                </c:pt>
                <c:pt idx="38">
                  <c:v>9.6898681818181824</c:v>
                </c:pt>
                <c:pt idx="39">
                  <c:v>10.165071428571427</c:v>
                </c:pt>
                <c:pt idx="40">
                  <c:v>10.262547619047622</c:v>
                </c:pt>
                <c:pt idx="41">
                  <c:v>10.307509090909091</c:v>
                </c:pt>
                <c:pt idx="42">
                  <c:v>10.428950000000002</c:v>
                </c:pt>
                <c:pt idx="43">
                  <c:v>10.479456521739131</c:v>
                </c:pt>
                <c:pt idx="44">
                  <c:v>10.583795238095238</c:v>
                </c:pt>
                <c:pt idx="45">
                  <c:v>11.060600000000001</c:v>
                </c:pt>
                <c:pt idx="46">
                  <c:v>11.411</c:v>
                </c:pt>
                <c:pt idx="47">
                  <c:v>11.7258</c:v>
                </c:pt>
                <c:pt idx="48">
                  <c:v>11.622784999999997</c:v>
                </c:pt>
                <c:pt idx="49">
                  <c:v>11.471364999999997</c:v>
                </c:pt>
                <c:pt idx="50">
                  <c:v>11.59599090909091</c:v>
                </c:pt>
                <c:pt idx="51">
                  <c:v>11.638299999999999</c:v>
                </c:pt>
                <c:pt idx="52">
                  <c:v>11.352</c:v>
                </c:pt>
                <c:pt idx="53">
                  <c:v>11.119063636363636</c:v>
                </c:pt>
                <c:pt idx="54">
                  <c:v>11.074404999999997</c:v>
                </c:pt>
                <c:pt idx="55">
                  <c:v>10.690721739130435</c:v>
                </c:pt>
                <c:pt idx="56">
                  <c:v>10.312649999999998</c:v>
                </c:pt>
                <c:pt idx="57">
                  <c:v>10.444277272727273</c:v>
                </c:pt>
                <c:pt idx="58">
                  <c:v>10.406086363636364</c:v>
                </c:pt>
                <c:pt idx="59">
                  <c:v>10.537519047619048</c:v>
                </c:pt>
              </c:numCache>
            </c:numRef>
          </c:val>
          <c:smooth val="0"/>
          <c:extLst>
            <c:ext xmlns:c16="http://schemas.microsoft.com/office/drawing/2014/chart" uri="{C3380CC4-5D6E-409C-BE32-E72D297353CC}">
              <c16:uniqueId val="{00000003-19F1-4610-9252-387FE0B261DD}"/>
            </c:ext>
          </c:extLst>
        </c:ser>
        <c:ser>
          <c:idx val="3"/>
          <c:order val="3"/>
          <c:tx>
            <c:strRef>
              <c:f>Sheet1!$F$1</c:f>
              <c:strCache>
                <c:ptCount val="1"/>
                <c:pt idx="0">
                  <c:v>Պետական պարտատոմսեր, 10տ․</c:v>
                </c:pt>
              </c:strCache>
            </c:strRef>
          </c:tx>
          <c:spPr>
            <a:ln w="19050" cap="rnd">
              <a:solidFill>
                <a:srgbClr val="8064A2">
                  <a:lumMod val="60000"/>
                  <a:lumOff val="40000"/>
                </a:srgbClr>
              </a:solidFill>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Sheet1!$F$2:$F$73</c:f>
              <c:numCache>
                <c:formatCode>0.0</c:formatCode>
                <c:ptCount val="60"/>
                <c:pt idx="0">
                  <c:v>10.103199999999999</c:v>
                </c:pt>
                <c:pt idx="1">
                  <c:v>9.8832000000000004</c:v>
                </c:pt>
                <c:pt idx="2">
                  <c:v>9.8978999999999999</c:v>
                </c:pt>
                <c:pt idx="3">
                  <c:v>9.8486999999999991</c:v>
                </c:pt>
                <c:pt idx="4">
                  <c:v>9.8429000000000002</c:v>
                </c:pt>
                <c:pt idx="5">
                  <c:v>9.6851000000000003</c:v>
                </c:pt>
                <c:pt idx="6">
                  <c:v>9.7317999999999998</c:v>
                </c:pt>
                <c:pt idx="7">
                  <c:v>9.6309000000000005</c:v>
                </c:pt>
                <c:pt idx="8">
                  <c:v>9.4785000000000004</c:v>
                </c:pt>
                <c:pt idx="9">
                  <c:v>9.2851999999999997</c:v>
                </c:pt>
                <c:pt idx="10">
                  <c:v>8.9306999999999999</c:v>
                </c:pt>
                <c:pt idx="11">
                  <c:v>8.4870000000000001</c:v>
                </c:pt>
                <c:pt idx="12">
                  <c:v>8.3613999999999997</c:v>
                </c:pt>
                <c:pt idx="13">
                  <c:v>8.0782000000000007</c:v>
                </c:pt>
                <c:pt idx="14">
                  <c:v>7.7184999999999997</c:v>
                </c:pt>
                <c:pt idx="15">
                  <c:v>8.2558000000000007</c:v>
                </c:pt>
                <c:pt idx="16">
                  <c:v>8.0143000000000004</c:v>
                </c:pt>
                <c:pt idx="17">
                  <c:v>7.7636000000000003</c:v>
                </c:pt>
                <c:pt idx="18">
                  <c:v>7.7877999999999998</c:v>
                </c:pt>
                <c:pt idx="19">
                  <c:v>7.7232000000000003</c:v>
                </c:pt>
                <c:pt idx="20">
                  <c:v>7.6761999999999997</c:v>
                </c:pt>
                <c:pt idx="21">
                  <c:v>8.1753</c:v>
                </c:pt>
                <c:pt idx="22">
                  <c:v>8.1991999999999994</c:v>
                </c:pt>
                <c:pt idx="23">
                  <c:v>8.8371999999999993</c:v>
                </c:pt>
                <c:pt idx="24">
                  <c:v>9.1305357142857151</c:v>
                </c:pt>
                <c:pt idx="25">
                  <c:v>8.7364000000000015</c:v>
                </c:pt>
                <c:pt idx="26">
                  <c:v>8.8150272727272725</c:v>
                </c:pt>
                <c:pt idx="27">
                  <c:v>8.9161227272727253</c:v>
                </c:pt>
                <c:pt idx="28">
                  <c:v>9.0098500000000001</c:v>
                </c:pt>
                <c:pt idx="29">
                  <c:v>9.0018772727272722</c:v>
                </c:pt>
                <c:pt idx="30">
                  <c:v>9.2964285714285708</c:v>
                </c:pt>
                <c:pt idx="31">
                  <c:v>9.612345454545455</c:v>
                </c:pt>
                <c:pt idx="32">
                  <c:v>10.014661904761903</c:v>
                </c:pt>
                <c:pt idx="33">
                  <c:v>10.005904761904763</c:v>
                </c:pt>
                <c:pt idx="34">
                  <c:v>10.029559090909091</c:v>
                </c:pt>
                <c:pt idx="35">
                  <c:v>10.023227272727274</c:v>
                </c:pt>
                <c:pt idx="36">
                  <c:v>10.097063157894738</c:v>
                </c:pt>
                <c:pt idx="37">
                  <c:v>10.036735000000002</c:v>
                </c:pt>
                <c:pt idx="38">
                  <c:v>10.728454545454547</c:v>
                </c:pt>
                <c:pt idx="39">
                  <c:v>11.249590476190477</c:v>
                </c:pt>
                <c:pt idx="40">
                  <c:v>11.120128571428571</c:v>
                </c:pt>
                <c:pt idx="41">
                  <c:v>11.198654545454545</c:v>
                </c:pt>
                <c:pt idx="42">
                  <c:v>11.361525</c:v>
                </c:pt>
                <c:pt idx="43">
                  <c:v>11.365604347826087</c:v>
                </c:pt>
                <c:pt idx="44">
                  <c:v>11.536523809523809</c:v>
                </c:pt>
                <c:pt idx="45">
                  <c:v>11.867000000000001</c:v>
                </c:pt>
                <c:pt idx="46">
                  <c:v>12.027100000000001</c:v>
                </c:pt>
                <c:pt idx="47">
                  <c:v>11.9946</c:v>
                </c:pt>
                <c:pt idx="48">
                  <c:v>11.776389999999999</c:v>
                </c:pt>
                <c:pt idx="49">
                  <c:v>11.618069999999999</c:v>
                </c:pt>
                <c:pt idx="50">
                  <c:v>11.707554545454544</c:v>
                </c:pt>
                <c:pt idx="51">
                  <c:v>11.611273684210525</c:v>
                </c:pt>
                <c:pt idx="52">
                  <c:v>11.313780952380954</c:v>
                </c:pt>
                <c:pt idx="53">
                  <c:v>10.890645454545453</c:v>
                </c:pt>
                <c:pt idx="54">
                  <c:v>10.690165</c:v>
                </c:pt>
                <c:pt idx="55">
                  <c:v>10.407113043478262</c:v>
                </c:pt>
                <c:pt idx="56">
                  <c:v>10.219114999999999</c:v>
                </c:pt>
                <c:pt idx="57">
                  <c:v>10.363563636363638</c:v>
                </c:pt>
                <c:pt idx="58">
                  <c:v>10.604459090909092</c:v>
                </c:pt>
                <c:pt idx="59">
                  <c:v>10.752557142857144</c:v>
                </c:pt>
              </c:numCache>
            </c:numRef>
          </c:val>
          <c:smooth val="0"/>
          <c:extLst>
            <c:ext xmlns:c16="http://schemas.microsoft.com/office/drawing/2014/chart" uri="{C3380CC4-5D6E-409C-BE32-E72D297353CC}">
              <c16:uniqueId val="{00000004-19F1-4610-9252-387FE0B261DD}"/>
            </c:ext>
          </c:extLst>
        </c:ser>
        <c:ser>
          <c:idx val="4"/>
          <c:order val="4"/>
          <c:tx>
            <c:strRef>
              <c:f>Sheet1!$G$1</c:f>
              <c:strCache>
                <c:ptCount val="1"/>
                <c:pt idx="0">
                  <c:v>Վարկեր, մինչև 1 տ․</c:v>
                </c:pt>
              </c:strCache>
            </c:strRef>
          </c:tx>
          <c:spPr>
            <a:ln w="25400" cap="rnd">
              <a:solidFill>
                <a:srgbClr val="4BACC6">
                  <a:lumMod val="60000"/>
                  <a:lumOff val="40000"/>
                </a:srgbClr>
              </a:solidFill>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Sheet1!$G$2:$G$73</c:f>
              <c:numCache>
                <c:formatCode>0.0</c:formatCode>
                <c:ptCount val="60"/>
                <c:pt idx="0">
                  <c:v>12.94</c:v>
                </c:pt>
                <c:pt idx="1">
                  <c:v>12.699761892497829</c:v>
                </c:pt>
                <c:pt idx="2">
                  <c:v>12.566448328509471</c:v>
                </c:pt>
                <c:pt idx="3">
                  <c:v>12.261596451425321</c:v>
                </c:pt>
                <c:pt idx="4">
                  <c:v>11.606553616838642</c:v>
                </c:pt>
                <c:pt idx="5">
                  <c:v>12.144401734432861</c:v>
                </c:pt>
                <c:pt idx="6">
                  <c:v>12.289400689821909</c:v>
                </c:pt>
                <c:pt idx="7">
                  <c:v>12.170577359082083</c:v>
                </c:pt>
                <c:pt idx="8">
                  <c:v>12.011844768610082</c:v>
                </c:pt>
                <c:pt idx="9">
                  <c:v>12.008508115495156</c:v>
                </c:pt>
                <c:pt idx="10">
                  <c:v>11.542722412147366</c:v>
                </c:pt>
                <c:pt idx="11">
                  <c:v>11.466281685037378</c:v>
                </c:pt>
                <c:pt idx="12">
                  <c:v>11.546058726974197</c:v>
                </c:pt>
                <c:pt idx="13">
                  <c:v>11.923129058421264</c:v>
                </c:pt>
                <c:pt idx="14">
                  <c:v>12.086361052439955</c:v>
                </c:pt>
                <c:pt idx="15">
                  <c:v>11.48654832067378</c:v>
                </c:pt>
                <c:pt idx="16">
                  <c:v>11.693071478615122</c:v>
                </c:pt>
                <c:pt idx="17">
                  <c:v>11.840666400286993</c:v>
                </c:pt>
                <c:pt idx="18">
                  <c:v>11.594003016007466</c:v>
                </c:pt>
                <c:pt idx="19">
                  <c:v>11.390509460797004</c:v>
                </c:pt>
                <c:pt idx="20">
                  <c:v>11.739999180461965</c:v>
                </c:pt>
                <c:pt idx="21">
                  <c:v>11.478526971393057</c:v>
                </c:pt>
                <c:pt idx="22">
                  <c:v>11.190687271017511</c:v>
                </c:pt>
                <c:pt idx="23">
                  <c:v>11.46854913302637</c:v>
                </c:pt>
                <c:pt idx="24">
                  <c:v>11.549209942466879</c:v>
                </c:pt>
                <c:pt idx="25">
                  <c:v>12.265284498474417</c:v>
                </c:pt>
                <c:pt idx="26">
                  <c:v>11.961990666081375</c:v>
                </c:pt>
                <c:pt idx="27">
                  <c:v>11.697603968729714</c:v>
                </c:pt>
                <c:pt idx="28">
                  <c:v>11.46349671816964</c:v>
                </c:pt>
                <c:pt idx="29">
                  <c:v>10.411636000567436</c:v>
                </c:pt>
                <c:pt idx="30">
                  <c:v>11.825994181857787</c:v>
                </c:pt>
                <c:pt idx="31">
                  <c:v>11.937044148439007</c:v>
                </c:pt>
                <c:pt idx="32">
                  <c:v>12.208102534160609</c:v>
                </c:pt>
                <c:pt idx="33">
                  <c:v>11.779293223642544</c:v>
                </c:pt>
                <c:pt idx="34">
                  <c:v>11.765812609481552</c:v>
                </c:pt>
                <c:pt idx="35">
                  <c:v>12.277436640171302</c:v>
                </c:pt>
                <c:pt idx="36">
                  <c:v>12.136173486114288</c:v>
                </c:pt>
                <c:pt idx="37">
                  <c:v>12.219833307639213</c:v>
                </c:pt>
                <c:pt idx="38">
                  <c:v>12.491087907189435</c:v>
                </c:pt>
                <c:pt idx="39">
                  <c:v>11.489323502789608</c:v>
                </c:pt>
                <c:pt idx="40">
                  <c:v>11.536903872779591</c:v>
                </c:pt>
                <c:pt idx="41">
                  <c:v>11.274733470496635</c:v>
                </c:pt>
                <c:pt idx="42">
                  <c:v>11.699386745104745</c:v>
                </c:pt>
                <c:pt idx="43">
                  <c:v>11.535369601703893</c:v>
                </c:pt>
                <c:pt idx="44">
                  <c:v>11.773619839763745</c:v>
                </c:pt>
                <c:pt idx="45">
                  <c:v>11.725462493526342</c:v>
                </c:pt>
                <c:pt idx="46">
                  <c:v>11.090510930662978</c:v>
                </c:pt>
                <c:pt idx="47">
                  <c:v>12.026777148567596</c:v>
                </c:pt>
                <c:pt idx="48">
                  <c:v>11.758733642189338</c:v>
                </c:pt>
                <c:pt idx="49">
                  <c:v>11.81813621014304</c:v>
                </c:pt>
                <c:pt idx="50">
                  <c:v>12.280686192171711</c:v>
                </c:pt>
                <c:pt idx="51">
                  <c:v>13.128028635271743</c:v>
                </c:pt>
                <c:pt idx="52">
                  <c:v>12.600028383172315</c:v>
                </c:pt>
                <c:pt idx="53">
                  <c:v>12.139632381709292</c:v>
                </c:pt>
                <c:pt idx="54">
                  <c:v>12.29666154156954</c:v>
                </c:pt>
                <c:pt idx="55">
                  <c:v>12.328377353012261</c:v>
                </c:pt>
                <c:pt idx="56">
                  <c:v>12.732583194951411</c:v>
                </c:pt>
                <c:pt idx="57">
                  <c:v>12.336272171099267</c:v>
                </c:pt>
                <c:pt idx="58">
                  <c:v>12.701744746093986</c:v>
                </c:pt>
                <c:pt idx="59">
                  <c:v>12.501984365787607</c:v>
                </c:pt>
              </c:numCache>
            </c:numRef>
          </c:val>
          <c:smooth val="0"/>
          <c:extLst>
            <c:ext xmlns:c16="http://schemas.microsoft.com/office/drawing/2014/chart" uri="{C3380CC4-5D6E-409C-BE32-E72D297353CC}">
              <c16:uniqueId val="{00000005-19F1-4610-9252-387FE0B261DD}"/>
            </c:ext>
          </c:extLst>
        </c:ser>
        <c:ser>
          <c:idx val="5"/>
          <c:order val="5"/>
          <c:tx>
            <c:strRef>
              <c:f>Sheet1!$H$1</c:f>
              <c:strCache>
                <c:ptCount val="1"/>
                <c:pt idx="0">
                  <c:v>Ավանդներ, մինչև 1տ․</c:v>
                </c:pt>
              </c:strCache>
            </c:strRef>
          </c:tx>
          <c:spPr>
            <a:ln w="25400" cap="rnd">
              <a:solidFill>
                <a:srgbClr val="F79646">
                  <a:lumMod val="60000"/>
                  <a:lumOff val="40000"/>
                </a:srgbClr>
              </a:solidFill>
              <a:prstDash val="solid"/>
              <a:round/>
            </a:ln>
            <a:effectLst/>
          </c:spPr>
          <c:marker>
            <c:symbol val="none"/>
          </c:marker>
          <c:cat>
            <c:multiLvlStrRef>
              <c:f>Sheet1!$A$14:$B$73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Sheet1!$H$2:$H$73</c:f>
              <c:numCache>
                <c:formatCode>0.0</c:formatCode>
                <c:ptCount val="60"/>
                <c:pt idx="0">
                  <c:v>8.9499999999999993</c:v>
                </c:pt>
                <c:pt idx="1">
                  <c:v>8.6489387276234737</c:v>
                </c:pt>
                <c:pt idx="2">
                  <c:v>8.9925664741048639</c:v>
                </c:pt>
                <c:pt idx="3">
                  <c:v>8.8543270973523871</c:v>
                </c:pt>
                <c:pt idx="4">
                  <c:v>8.8595052924214475</c:v>
                </c:pt>
                <c:pt idx="5">
                  <c:v>8.2520508136414197</c:v>
                </c:pt>
                <c:pt idx="6">
                  <c:v>8.2177222935183174</c:v>
                </c:pt>
                <c:pt idx="7">
                  <c:v>8.3039214284961176</c:v>
                </c:pt>
                <c:pt idx="8">
                  <c:v>7.3665894160339667</c:v>
                </c:pt>
                <c:pt idx="9">
                  <c:v>8.5118321772154335</c:v>
                </c:pt>
                <c:pt idx="10">
                  <c:v>8.4161501656944413</c:v>
                </c:pt>
                <c:pt idx="11">
                  <c:v>8.4654773659965628</c:v>
                </c:pt>
                <c:pt idx="12">
                  <c:v>9.100093590291749</c:v>
                </c:pt>
                <c:pt idx="13">
                  <c:v>8.6483765376842303</c:v>
                </c:pt>
                <c:pt idx="14">
                  <c:v>7.2291523038045318</c:v>
                </c:pt>
                <c:pt idx="15">
                  <c:v>8.0751786691005769</c:v>
                </c:pt>
                <c:pt idx="16">
                  <c:v>8.3114329139332437</c:v>
                </c:pt>
                <c:pt idx="17">
                  <c:v>7.9211712515744601</c:v>
                </c:pt>
                <c:pt idx="18">
                  <c:v>8.1427574380816061</c:v>
                </c:pt>
                <c:pt idx="19">
                  <c:v>8.2210477870032328</c:v>
                </c:pt>
                <c:pt idx="20">
                  <c:v>8.4142766303570919</c:v>
                </c:pt>
                <c:pt idx="21">
                  <c:v>7.9414026073857746</c:v>
                </c:pt>
                <c:pt idx="22">
                  <c:v>8.0049673310543401</c:v>
                </c:pt>
                <c:pt idx="23">
                  <c:v>7.4048415965003471</c:v>
                </c:pt>
                <c:pt idx="24">
                  <c:v>8.3431898134069336</c:v>
                </c:pt>
                <c:pt idx="25">
                  <c:v>8.1845675016329267</c:v>
                </c:pt>
                <c:pt idx="26">
                  <c:v>7.7422870380906073</c:v>
                </c:pt>
                <c:pt idx="27">
                  <c:v>8.258143495890641</c:v>
                </c:pt>
                <c:pt idx="28">
                  <c:v>8.336376778540556</c:v>
                </c:pt>
                <c:pt idx="29">
                  <c:v>8.0158616246163845</c:v>
                </c:pt>
                <c:pt idx="30">
                  <c:v>8.3801246219086263</c:v>
                </c:pt>
                <c:pt idx="31">
                  <c:v>8.4231469612643615</c:v>
                </c:pt>
                <c:pt idx="32">
                  <c:v>8.2773469777009598</c:v>
                </c:pt>
                <c:pt idx="33">
                  <c:v>8.4296232065051928</c:v>
                </c:pt>
                <c:pt idx="34">
                  <c:v>8.2398175292211864</c:v>
                </c:pt>
                <c:pt idx="35">
                  <c:v>8.2678332122473623</c:v>
                </c:pt>
                <c:pt idx="36">
                  <c:v>8.3938267500377108</c:v>
                </c:pt>
                <c:pt idx="37">
                  <c:v>8.5417269393471607</c:v>
                </c:pt>
                <c:pt idx="38">
                  <c:v>9.2964040296125265</c:v>
                </c:pt>
                <c:pt idx="39">
                  <c:v>9.210710627688707</c:v>
                </c:pt>
                <c:pt idx="40">
                  <c:v>8.4604892202941926</c:v>
                </c:pt>
                <c:pt idx="41">
                  <c:v>8.1287571727719037</c:v>
                </c:pt>
                <c:pt idx="42">
                  <c:v>8.0137945266574295</c:v>
                </c:pt>
                <c:pt idx="43">
                  <c:v>8.1901082208958194</c:v>
                </c:pt>
                <c:pt idx="44">
                  <c:v>7.6374793222786144</c:v>
                </c:pt>
                <c:pt idx="45">
                  <c:v>8.342940111802875</c:v>
                </c:pt>
                <c:pt idx="46">
                  <c:v>8.5430354373300954</c:v>
                </c:pt>
                <c:pt idx="47">
                  <c:v>8.6201560403887179</c:v>
                </c:pt>
                <c:pt idx="48">
                  <c:v>8.4331002640766979</c:v>
                </c:pt>
                <c:pt idx="49">
                  <c:v>8.2394822623711086</c:v>
                </c:pt>
                <c:pt idx="50">
                  <c:v>8.1887607485517133</c:v>
                </c:pt>
                <c:pt idx="51">
                  <c:v>8.4900096103328373</c:v>
                </c:pt>
                <c:pt idx="52">
                  <c:v>8.2829882240962576</c:v>
                </c:pt>
                <c:pt idx="53">
                  <c:v>8.3546599768074685</c:v>
                </c:pt>
                <c:pt idx="54">
                  <c:v>8.2260766425836156</c:v>
                </c:pt>
                <c:pt idx="55">
                  <c:v>8.5697196129785382</c:v>
                </c:pt>
                <c:pt idx="56">
                  <c:v>8.6042796009191385</c:v>
                </c:pt>
                <c:pt idx="57">
                  <c:v>8.2324457486376996</c:v>
                </c:pt>
                <c:pt idx="58">
                  <c:v>8.5751148906728716</c:v>
                </c:pt>
                <c:pt idx="59">
                  <c:v>8.1553455505810319</c:v>
                </c:pt>
              </c:numCache>
            </c:numRef>
          </c:val>
          <c:smooth val="0"/>
          <c:extLst>
            <c:ext xmlns:c16="http://schemas.microsoft.com/office/drawing/2014/chart" uri="{C3380CC4-5D6E-409C-BE32-E72D297353CC}">
              <c16:uniqueId val="{00000006-19F1-4610-9252-387FE0B261DD}"/>
            </c:ext>
          </c:extLst>
        </c:ser>
        <c:dLbls>
          <c:showLegendKey val="0"/>
          <c:showVal val="0"/>
          <c:showCatName val="0"/>
          <c:showSerName val="0"/>
          <c:showPercent val="0"/>
          <c:showBubbleSize val="0"/>
        </c:dLbls>
        <c:marker val="1"/>
        <c:smooth val="0"/>
        <c:axId val="340183680"/>
        <c:axId val="340275584"/>
      </c:lineChart>
      <c:catAx>
        <c:axId val="340183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vert="horz" anchor="ctr" anchorCtr="0"/>
          <a:lstStyle/>
          <a:p>
            <a:pPr>
              <a:defRPr sz="900">
                <a:ln>
                  <a:noFill/>
                </a:ln>
                <a:solidFill>
                  <a:schemeClr val="tx1">
                    <a:lumMod val="75000"/>
                    <a:lumOff val="25000"/>
                  </a:schemeClr>
                </a:solidFill>
              </a:defRPr>
            </a:pPr>
            <a:endParaRPr lang="en-US"/>
          </a:p>
        </c:txPr>
        <c:crossAx val="340275584"/>
        <c:crosses val="autoZero"/>
        <c:auto val="1"/>
        <c:lblAlgn val="ctr"/>
        <c:lblOffset val="100"/>
        <c:noMultiLvlLbl val="0"/>
      </c:catAx>
      <c:valAx>
        <c:axId val="340275584"/>
        <c:scaling>
          <c:orientation val="minMax"/>
          <c:max val="14"/>
          <c:min val="4"/>
        </c:scaling>
        <c:delete val="0"/>
        <c:axPos val="l"/>
        <c:majorGridlines>
          <c:spPr>
            <a:ln>
              <a:solidFill>
                <a:sysClr val="window" lastClr="FFFFFF">
                  <a:lumMod val="85000"/>
                </a:sysClr>
              </a:solidFill>
            </a:ln>
          </c:spPr>
        </c:majorGridlines>
        <c:numFmt formatCode="General" sourceLinked="1"/>
        <c:majorTickMark val="none"/>
        <c:minorTickMark val="none"/>
        <c:tickLblPos val="nextTo"/>
        <c:spPr>
          <a:noFill/>
          <a:ln>
            <a:noFill/>
          </a:ln>
          <a:effectLst/>
        </c:spPr>
        <c:txPr>
          <a:bodyPr rot="-60000000" vert="horz"/>
          <a:lstStyle/>
          <a:p>
            <a:pPr>
              <a:defRPr baseline="0">
                <a:solidFill>
                  <a:schemeClr val="tx1">
                    <a:lumMod val="65000"/>
                    <a:lumOff val="35000"/>
                  </a:schemeClr>
                </a:solidFill>
              </a:defRPr>
            </a:pPr>
            <a:endParaRPr lang="en-US"/>
          </a:p>
        </c:txPr>
        <c:crossAx val="340183680"/>
        <c:crosses val="autoZero"/>
        <c:crossBetween val="between"/>
      </c:valAx>
      <c:spPr>
        <a:solidFill>
          <a:schemeClr val="bg1"/>
        </a:solidFill>
        <a:ln>
          <a:noFill/>
        </a:ln>
        <a:effectLst/>
      </c:spPr>
    </c:plotArea>
    <c:legend>
      <c:legendPos val="b"/>
      <c:legendEntry>
        <c:idx val="0"/>
        <c:delete val="1"/>
      </c:legendEntry>
      <c:layout>
        <c:manualLayout>
          <c:xMode val="edge"/>
          <c:yMode val="edge"/>
          <c:x val="2.3400191021967526E-2"/>
          <c:y val="0.796941808129497"/>
          <c:w val="0.97502344733383361"/>
          <c:h val="0.20305819187050289"/>
        </c:manualLayout>
      </c:layout>
      <c:overlay val="0"/>
      <c:spPr>
        <a:noFill/>
        <a:ln>
          <a:noFill/>
        </a:ln>
        <a:effectLst/>
      </c:spPr>
      <c:txPr>
        <a:bodyPr rot="0" vert="horz"/>
        <a:lstStyle/>
        <a:p>
          <a:pPr>
            <a:defRPr baseline="0">
              <a:solidFill>
                <a:schemeClr val="tx1">
                  <a:lumMod val="65000"/>
                  <a:lumOff val="35000"/>
                </a:schemeClr>
              </a:solidFill>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56241336358378935"/>
        </c:manualLayout>
      </c:layout>
      <c:barChart>
        <c:barDir val="col"/>
        <c:grouping val="stacked"/>
        <c:varyColors val="0"/>
        <c:ser>
          <c:idx val="1"/>
          <c:order val="0"/>
          <c:tx>
            <c:strRef>
              <c:f>Sheet1!$A$2</c:f>
              <c:strCache>
                <c:ptCount val="1"/>
                <c:pt idx="0">
                  <c:v>Ապրանքների հաշվեկշիռ</c:v>
                </c:pt>
              </c:strCache>
            </c:strRef>
          </c:tx>
          <c:spPr>
            <a:solidFill>
              <a:schemeClr val="bg1">
                <a:lumMod val="65000"/>
              </a:schemeClr>
            </a:solidFill>
            <a:ln>
              <a:noFill/>
            </a:ln>
            <a:effectLst/>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0.0</c:formatCode>
                <c:ptCount val="5"/>
                <c:pt idx="0">
                  <c:v>-12.644612396588299</c:v>
                </c:pt>
                <c:pt idx="1">
                  <c:v>-10.933296134402209</c:v>
                </c:pt>
                <c:pt idx="2">
                  <c:v>-10.842128104811581</c:v>
                </c:pt>
                <c:pt idx="3">
                  <c:v>-9.527983628329844</c:v>
                </c:pt>
                <c:pt idx="4">
                  <c:v>-10.055545354914106</c:v>
                </c:pt>
              </c:numCache>
            </c:numRef>
          </c:val>
          <c:extLst>
            <c:ext xmlns:c16="http://schemas.microsoft.com/office/drawing/2014/chart" uri="{C3380CC4-5D6E-409C-BE32-E72D297353CC}">
              <c16:uniqueId val="{00000000-4C1E-4AD2-920E-9A3ED531CFA2}"/>
            </c:ext>
          </c:extLst>
        </c:ser>
        <c:ser>
          <c:idx val="2"/>
          <c:order val="2"/>
          <c:tx>
            <c:strRef>
              <c:f>Sheet1!$A$4</c:f>
              <c:strCache>
                <c:ptCount val="1"/>
                <c:pt idx="0">
                  <c:v>Ծառայությունների հաշվեկշիռ</c:v>
                </c:pt>
              </c:strCache>
            </c:strRef>
          </c:tx>
          <c:spPr>
            <a:solidFill>
              <a:schemeClr val="accent1">
                <a:lumMod val="60000"/>
                <a:lumOff val="40000"/>
              </a:schemeClr>
            </a:solidFill>
            <a:ln>
              <a:noFill/>
            </a:ln>
            <a:effectLst/>
          </c:spPr>
          <c:invertIfNegative val="0"/>
          <c:cat>
            <c:numRef>
              <c:f>Sheet1!$B$1:$F$1</c:f>
              <c:numCache>
                <c:formatCode>General</c:formatCode>
                <c:ptCount val="5"/>
                <c:pt idx="0">
                  <c:v>2019</c:v>
                </c:pt>
                <c:pt idx="1">
                  <c:v>2020</c:v>
                </c:pt>
                <c:pt idx="2">
                  <c:v>2021</c:v>
                </c:pt>
                <c:pt idx="3">
                  <c:v>2022</c:v>
                </c:pt>
                <c:pt idx="4">
                  <c:v>2023</c:v>
                </c:pt>
              </c:numCache>
            </c:numRef>
          </c:cat>
          <c:val>
            <c:numRef>
              <c:f>Sheet1!$B$4:$F$4</c:f>
              <c:numCache>
                <c:formatCode>0.0</c:formatCode>
                <c:ptCount val="5"/>
                <c:pt idx="0">
                  <c:v>-0.63789499938145677</c:v>
                </c:pt>
                <c:pt idx="1">
                  <c:v>0.93379329835219815</c:v>
                </c:pt>
                <c:pt idx="2">
                  <c:v>2.8597827856411508</c:v>
                </c:pt>
                <c:pt idx="3">
                  <c:v>8.7684973387890182</c:v>
                </c:pt>
                <c:pt idx="4">
                  <c:v>9.4401240365913761</c:v>
                </c:pt>
              </c:numCache>
            </c:numRef>
          </c:val>
          <c:extLst>
            <c:ext xmlns:c16="http://schemas.microsoft.com/office/drawing/2014/chart" uri="{C3380CC4-5D6E-409C-BE32-E72D297353CC}">
              <c16:uniqueId val="{00000001-4C1E-4AD2-920E-9A3ED531CFA2}"/>
            </c:ext>
          </c:extLst>
        </c:ser>
        <c:ser>
          <c:idx val="3"/>
          <c:order val="3"/>
          <c:tx>
            <c:strRef>
              <c:f>Sheet1!$A$5</c:f>
              <c:strCache>
                <c:ptCount val="1"/>
                <c:pt idx="0">
                  <c:v>Սկզբնական եկամուտներ</c:v>
                </c:pt>
              </c:strCache>
            </c:strRef>
          </c:tx>
          <c:spPr>
            <a:solidFill>
              <a:srgbClr val="4F81BD"/>
            </a:solidFill>
            <a:ln w="25375">
              <a:noFill/>
            </a:ln>
          </c:spPr>
          <c:invertIfNegative val="0"/>
          <c:cat>
            <c:numRef>
              <c:f>Sheet1!$B$1:$F$1</c:f>
              <c:numCache>
                <c:formatCode>General</c:formatCode>
                <c:ptCount val="5"/>
                <c:pt idx="0">
                  <c:v>2019</c:v>
                </c:pt>
                <c:pt idx="1">
                  <c:v>2020</c:v>
                </c:pt>
                <c:pt idx="2">
                  <c:v>2021</c:v>
                </c:pt>
                <c:pt idx="3">
                  <c:v>2022</c:v>
                </c:pt>
                <c:pt idx="4">
                  <c:v>2023</c:v>
                </c:pt>
              </c:numCache>
            </c:numRef>
          </c:cat>
          <c:val>
            <c:numRef>
              <c:f>Sheet1!$B$5:$F$5</c:f>
              <c:numCache>
                <c:formatCode>0.0</c:formatCode>
                <c:ptCount val="5"/>
                <c:pt idx="0">
                  <c:v>1.3194828665400649</c:v>
                </c:pt>
                <c:pt idx="1">
                  <c:v>-1.5523554617330722</c:v>
                </c:pt>
                <c:pt idx="2">
                  <c:v>-2.9278796958295996</c:v>
                </c:pt>
                <c:pt idx="3">
                  <c:v>-4.3489247508738051</c:v>
                </c:pt>
                <c:pt idx="4">
                  <c:v>-2.6640835599640935</c:v>
                </c:pt>
              </c:numCache>
            </c:numRef>
          </c:val>
          <c:extLst>
            <c:ext xmlns:c16="http://schemas.microsoft.com/office/drawing/2014/chart" uri="{C3380CC4-5D6E-409C-BE32-E72D297353CC}">
              <c16:uniqueId val="{00000002-4C1E-4AD2-920E-9A3ED531CFA2}"/>
            </c:ext>
          </c:extLst>
        </c:ser>
        <c:ser>
          <c:idx val="4"/>
          <c:order val="4"/>
          <c:tx>
            <c:strRef>
              <c:f>Sheet1!$A$6</c:f>
              <c:strCache>
                <c:ptCount val="1"/>
                <c:pt idx="0">
                  <c:v>Երկրորդային եկամուտներ</c:v>
                </c:pt>
              </c:strCache>
            </c:strRef>
          </c:tx>
          <c:spPr>
            <a:solidFill>
              <a:srgbClr val="1F497D"/>
            </a:solidFill>
            <a:ln w="25375">
              <a:noFill/>
            </a:ln>
          </c:spPr>
          <c:invertIfNegative val="0"/>
          <c:cat>
            <c:numRef>
              <c:f>Sheet1!$B$1:$F$1</c:f>
              <c:numCache>
                <c:formatCode>General</c:formatCode>
                <c:ptCount val="5"/>
                <c:pt idx="0">
                  <c:v>2019</c:v>
                </c:pt>
                <c:pt idx="1">
                  <c:v>2020</c:v>
                </c:pt>
                <c:pt idx="2">
                  <c:v>2021</c:v>
                </c:pt>
                <c:pt idx="3">
                  <c:v>2022</c:v>
                </c:pt>
                <c:pt idx="4">
                  <c:v>2023</c:v>
                </c:pt>
              </c:numCache>
            </c:numRef>
          </c:cat>
          <c:val>
            <c:numRef>
              <c:f>Sheet1!$B$6:$F$6</c:f>
              <c:numCache>
                <c:formatCode>0.0</c:formatCode>
                <c:ptCount val="5"/>
                <c:pt idx="0">
                  <c:v>4.9061606942047922</c:v>
                </c:pt>
                <c:pt idx="1">
                  <c:v>7.5540818758435808</c:v>
                </c:pt>
                <c:pt idx="2">
                  <c:v>7.4302510570388653</c:v>
                </c:pt>
                <c:pt idx="3">
                  <c:v>5.8822040159813893</c:v>
                </c:pt>
                <c:pt idx="4">
                  <c:v>1.1726954485431116</c:v>
                </c:pt>
              </c:numCache>
            </c:numRef>
          </c:val>
          <c:extLst>
            <c:ext xmlns:c16="http://schemas.microsoft.com/office/drawing/2014/chart" uri="{C3380CC4-5D6E-409C-BE32-E72D297353CC}">
              <c16:uniqueId val="{00000003-4C1E-4AD2-920E-9A3ED531CFA2}"/>
            </c:ext>
          </c:extLst>
        </c:ser>
        <c:dLbls>
          <c:showLegendKey val="0"/>
          <c:showVal val="0"/>
          <c:showCatName val="0"/>
          <c:showSerName val="0"/>
          <c:showPercent val="0"/>
          <c:showBubbleSize val="0"/>
        </c:dLbls>
        <c:gapWidth val="150"/>
        <c:overlap val="100"/>
        <c:axId val="612018784"/>
        <c:axId val="1"/>
      </c:barChart>
      <c:lineChart>
        <c:grouping val="standard"/>
        <c:varyColors val="0"/>
        <c:ser>
          <c:idx val="0"/>
          <c:order val="1"/>
          <c:tx>
            <c:strRef>
              <c:f>Sheet1!$A$3</c:f>
              <c:strCache>
                <c:ptCount val="1"/>
                <c:pt idx="0">
                  <c:v>Ընթացիկ հաշիվ</c:v>
                </c:pt>
              </c:strCache>
            </c:strRef>
          </c:tx>
          <c:spPr>
            <a:ln w="28547" cap="rnd">
              <a:solidFill>
                <a:schemeClr val="accent1"/>
              </a:solidFill>
              <a:round/>
            </a:ln>
            <a:effectLst/>
          </c:spPr>
          <c:marker>
            <c:symbol val="circle"/>
            <c:size val="4"/>
            <c:spPr>
              <a:solidFill>
                <a:schemeClr val="accent1"/>
              </a:solidFill>
              <a:ln w="9516">
                <a:solidFill>
                  <a:schemeClr val="accent1"/>
                </a:solidFill>
              </a:ln>
              <a:effectLst/>
            </c:spPr>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Sheet1!$B$1:$F$1</c:f>
              <c:numCache>
                <c:formatCode>General</c:formatCode>
                <c:ptCount val="5"/>
                <c:pt idx="0">
                  <c:v>2019</c:v>
                </c:pt>
                <c:pt idx="1">
                  <c:v>2020</c:v>
                </c:pt>
                <c:pt idx="2">
                  <c:v>2021</c:v>
                </c:pt>
                <c:pt idx="3">
                  <c:v>2022</c:v>
                </c:pt>
                <c:pt idx="4">
                  <c:v>2023</c:v>
                </c:pt>
              </c:numCache>
            </c:numRef>
          </c:cat>
          <c:val>
            <c:numRef>
              <c:f>Sheet1!$B$3:$F$3</c:f>
              <c:numCache>
                <c:formatCode>0.0</c:formatCode>
                <c:ptCount val="5"/>
                <c:pt idx="0">
                  <c:v>-7.0569126434064833</c:v>
                </c:pt>
                <c:pt idx="1">
                  <c:v>-3.9977734586450908</c:v>
                </c:pt>
                <c:pt idx="2">
                  <c:v>-3.4799761215677063</c:v>
                </c:pt>
                <c:pt idx="3">
                  <c:v>0.7737919702621443</c:v>
                </c:pt>
                <c:pt idx="4">
                  <c:v>-2.1068124431565174</c:v>
                </c:pt>
              </c:numCache>
            </c:numRef>
          </c:val>
          <c:smooth val="0"/>
          <c:extLst>
            <c:ext xmlns:c16="http://schemas.microsoft.com/office/drawing/2014/chart" uri="{C3380CC4-5D6E-409C-BE32-E72D297353CC}">
              <c16:uniqueId val="{00000004-4C1E-4AD2-920E-9A3ED531CFA2}"/>
            </c:ext>
          </c:extLst>
        </c:ser>
        <c:dLbls>
          <c:showLegendKey val="0"/>
          <c:showVal val="0"/>
          <c:showCatName val="0"/>
          <c:showSerName val="0"/>
          <c:showPercent val="0"/>
          <c:showBubbleSize val="0"/>
        </c:dLbls>
        <c:marker val="1"/>
        <c:smooth val="0"/>
        <c:axId val="612018784"/>
        <c:axId val="1"/>
      </c:lineChart>
      <c:catAx>
        <c:axId val="612018784"/>
        <c:scaling>
          <c:orientation val="minMax"/>
        </c:scaling>
        <c:delete val="0"/>
        <c:axPos val="b"/>
        <c:numFmt formatCode="General" sourceLinked="1"/>
        <c:majorTickMark val="none"/>
        <c:minorTickMark val="none"/>
        <c:tickLblPos val="low"/>
        <c:spPr>
          <a:noFill/>
          <a:ln w="9516" cap="flat" cmpd="sng" algn="ctr">
            <a:solidFill>
              <a:schemeClr val="tx1">
                <a:lumMod val="15000"/>
                <a:lumOff val="85000"/>
              </a:schemeClr>
            </a:solidFill>
            <a:round/>
          </a:ln>
          <a:effectLst/>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100"/>
        <c:noMultiLvlLbl val="0"/>
      </c:catAx>
      <c:valAx>
        <c:axId val="1"/>
        <c:scaling>
          <c:orientation val="minMax"/>
        </c:scaling>
        <c:delete val="0"/>
        <c:axPos val="l"/>
        <c:majorGridlines>
          <c:spPr>
            <a:ln w="9516" cap="flat" cmpd="sng" algn="ctr">
              <a:solidFill>
                <a:schemeClr val="tx1">
                  <a:lumMod val="15000"/>
                  <a:lumOff val="85000"/>
                </a:schemeClr>
              </a:solidFill>
              <a:round/>
            </a:ln>
            <a:effectLst/>
          </c:spPr>
        </c:majorGridlines>
        <c:numFmt formatCode="0.0" sourceLinked="1"/>
        <c:majorTickMark val="none"/>
        <c:minorTickMark val="none"/>
        <c:tickLblPos val="nextTo"/>
        <c:spPr>
          <a:ln w="9516">
            <a:noFill/>
          </a:ln>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8784"/>
        <c:crosses val="autoZero"/>
        <c:crossBetween val="between"/>
        <c:majorUnit val="5"/>
      </c:valAx>
      <c:spPr>
        <a:noFill/>
        <a:ln w="25375">
          <a:noFill/>
        </a:ln>
      </c:spPr>
    </c:plotArea>
    <c:legend>
      <c:legendPos val="b"/>
      <c:layout>
        <c:manualLayout>
          <c:xMode val="edge"/>
          <c:yMode val="edge"/>
          <c:x val="4.197817378090897E-2"/>
          <c:y val="0.71256731797414219"/>
          <c:w val="0.9313782371630791"/>
          <c:h val="0.27613346942743267"/>
        </c:manualLayout>
      </c:layout>
      <c:overlay val="0"/>
      <c:spPr>
        <a:noFill/>
        <a:ln w="25375">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53436679790026231"/>
        </c:manualLayout>
      </c:layout>
      <c:barChart>
        <c:barDir val="col"/>
        <c:grouping val="stacked"/>
        <c:varyColors val="0"/>
        <c:ser>
          <c:idx val="1"/>
          <c:order val="0"/>
          <c:tx>
            <c:strRef>
              <c:f>Sheet1!$A$2</c:f>
              <c:strCache>
                <c:ptCount val="1"/>
                <c:pt idx="0">
                  <c:v>Արտահանում</c:v>
                </c:pt>
              </c:strCache>
            </c:strRef>
          </c:tx>
          <c:spPr>
            <a:solidFill>
              <a:schemeClr val="accent1">
                <a:lumMod val="60000"/>
                <a:lumOff val="40000"/>
              </a:schemeClr>
            </a:solidFill>
            <a:ln>
              <a:noFill/>
            </a:ln>
            <a:effectLst/>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0.0</c:formatCode>
                <c:ptCount val="5"/>
                <c:pt idx="0">
                  <c:v>2433.7090578842613</c:v>
                </c:pt>
                <c:pt idx="1">
                  <c:v>1099.3419549588284</c:v>
                </c:pt>
                <c:pt idx="2">
                  <c:v>1735.2489665453945</c:v>
                </c:pt>
                <c:pt idx="3">
                  <c:v>4320.3058123823403</c:v>
                </c:pt>
                <c:pt idx="4">
                  <c:v>5619.4280751546739</c:v>
                </c:pt>
              </c:numCache>
            </c:numRef>
          </c:val>
          <c:extLst>
            <c:ext xmlns:c16="http://schemas.microsoft.com/office/drawing/2014/chart" uri="{C3380CC4-5D6E-409C-BE32-E72D297353CC}">
              <c16:uniqueId val="{00000000-B2DB-4624-821F-DC8690FECC53}"/>
            </c:ext>
          </c:extLst>
        </c:ser>
        <c:ser>
          <c:idx val="2"/>
          <c:order val="2"/>
          <c:tx>
            <c:strRef>
              <c:f>Sheet1!$A$4</c:f>
              <c:strCache>
                <c:ptCount val="1"/>
                <c:pt idx="0">
                  <c:v>Ներմուծում</c:v>
                </c:pt>
              </c:strCache>
            </c:strRef>
          </c:tx>
          <c:spPr>
            <a:solidFill>
              <a:srgbClr val="1F497D"/>
            </a:solidFill>
            <a:ln w="25392">
              <a:noFill/>
            </a:ln>
          </c:spPr>
          <c:invertIfNegative val="0"/>
          <c:cat>
            <c:numRef>
              <c:f>Sheet1!$B$1:$F$1</c:f>
              <c:numCache>
                <c:formatCode>General</c:formatCode>
                <c:ptCount val="5"/>
                <c:pt idx="0">
                  <c:v>2019</c:v>
                </c:pt>
                <c:pt idx="1">
                  <c:v>2020</c:v>
                </c:pt>
                <c:pt idx="2">
                  <c:v>2021</c:v>
                </c:pt>
                <c:pt idx="3">
                  <c:v>2022</c:v>
                </c:pt>
                <c:pt idx="4">
                  <c:v>2023</c:v>
                </c:pt>
              </c:numCache>
            </c:numRef>
          </c:cat>
          <c:val>
            <c:numRef>
              <c:f>Sheet1!$B$4:$F$4</c:f>
              <c:numCache>
                <c:formatCode>0.0</c:formatCode>
                <c:ptCount val="5"/>
                <c:pt idx="0">
                  <c:v>-2520.5858545116312</c:v>
                </c:pt>
                <c:pt idx="1">
                  <c:v>-981.29469506194107</c:v>
                </c:pt>
                <c:pt idx="2">
                  <c:v>-1338.3423267401668</c:v>
                </c:pt>
                <c:pt idx="3">
                  <c:v>-2609.2673071458889</c:v>
                </c:pt>
                <c:pt idx="4">
                  <c:v>-3333.7725340757365</c:v>
                </c:pt>
              </c:numCache>
            </c:numRef>
          </c:val>
          <c:extLst>
            <c:ext xmlns:c16="http://schemas.microsoft.com/office/drawing/2014/chart" uri="{C3380CC4-5D6E-409C-BE32-E72D297353CC}">
              <c16:uniqueId val="{00000001-B2DB-4624-821F-DC8690FECC53}"/>
            </c:ext>
          </c:extLst>
        </c:ser>
        <c:dLbls>
          <c:showLegendKey val="0"/>
          <c:showVal val="0"/>
          <c:showCatName val="0"/>
          <c:showSerName val="0"/>
          <c:showPercent val="0"/>
          <c:showBubbleSize val="0"/>
        </c:dLbls>
        <c:gapWidth val="150"/>
        <c:overlap val="100"/>
        <c:axId val="612019200"/>
        <c:axId val="1"/>
      </c:barChart>
      <c:lineChart>
        <c:grouping val="standard"/>
        <c:varyColors val="0"/>
        <c:ser>
          <c:idx val="0"/>
          <c:order val="1"/>
          <c:tx>
            <c:strRef>
              <c:f>Sheet1!$A$3</c:f>
              <c:strCache>
                <c:ptCount val="1"/>
                <c:pt idx="0">
                  <c:v>Ծառայությունների հաշվեկշիռ</c:v>
                </c:pt>
              </c:strCache>
            </c:strRef>
          </c:tx>
          <c:spPr>
            <a:ln w="28566" cap="rnd">
              <a:solidFill>
                <a:schemeClr val="accent1"/>
              </a:solidFill>
              <a:round/>
            </a:ln>
            <a:effectLst/>
          </c:spPr>
          <c:marker>
            <c:symbol val="circle"/>
            <c:size val="4"/>
            <c:spPr>
              <a:solidFill>
                <a:schemeClr val="accent1"/>
              </a:solidFill>
              <a:ln w="9522">
                <a:solidFill>
                  <a:schemeClr val="accent1"/>
                </a:solidFill>
              </a:ln>
              <a:effectLst/>
            </c:spPr>
          </c:marker>
          <c:dLbls>
            <c:spPr>
              <a:noFill/>
              <a:ln w="25392">
                <a:noFill/>
              </a:ln>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2019</c:v>
                </c:pt>
                <c:pt idx="1">
                  <c:v>2020</c:v>
                </c:pt>
                <c:pt idx="2">
                  <c:v>2021</c:v>
                </c:pt>
                <c:pt idx="3">
                  <c:v>2022</c:v>
                </c:pt>
                <c:pt idx="4">
                  <c:v>2023</c:v>
                </c:pt>
              </c:numCache>
            </c:numRef>
          </c:cat>
          <c:val>
            <c:numRef>
              <c:f>Sheet1!$B$3:$F$3</c:f>
              <c:numCache>
                <c:formatCode>0.0</c:formatCode>
                <c:ptCount val="5"/>
                <c:pt idx="0">
                  <c:v>-86.876796627369913</c:v>
                </c:pt>
                <c:pt idx="1">
                  <c:v>118.04725989688734</c:v>
                </c:pt>
                <c:pt idx="2">
                  <c:v>396.90663980522777</c:v>
                </c:pt>
                <c:pt idx="3">
                  <c:v>1711.0385052364513</c:v>
                </c:pt>
                <c:pt idx="4">
                  <c:v>2285.6555410789374</c:v>
                </c:pt>
              </c:numCache>
            </c:numRef>
          </c:val>
          <c:smooth val="0"/>
          <c:extLst>
            <c:ext xmlns:c16="http://schemas.microsoft.com/office/drawing/2014/chart" uri="{C3380CC4-5D6E-409C-BE32-E72D297353CC}">
              <c16:uniqueId val="{00000002-B2DB-4624-821F-DC8690FECC53}"/>
            </c:ext>
          </c:extLst>
        </c:ser>
        <c:dLbls>
          <c:showLegendKey val="0"/>
          <c:showVal val="0"/>
          <c:showCatName val="0"/>
          <c:showSerName val="0"/>
          <c:showPercent val="0"/>
          <c:showBubbleSize val="0"/>
        </c:dLbls>
        <c:marker val="1"/>
        <c:smooth val="0"/>
        <c:axId val="612019200"/>
        <c:axId val="1"/>
      </c:lineChart>
      <c:catAx>
        <c:axId val="612019200"/>
        <c:scaling>
          <c:orientation val="minMax"/>
        </c:scaling>
        <c:delete val="0"/>
        <c:axPos val="b"/>
        <c:numFmt formatCode="General" sourceLinked="1"/>
        <c:majorTickMark val="none"/>
        <c:minorTickMark val="none"/>
        <c:tickLblPos val="low"/>
        <c:spPr>
          <a:noFill/>
          <a:ln w="9522"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100"/>
        <c:noMultiLvlLbl val="0"/>
      </c:catAx>
      <c:valAx>
        <c:axId val="1"/>
        <c:scaling>
          <c:orientation val="minMax"/>
          <c:min val="-3000"/>
        </c:scaling>
        <c:delete val="0"/>
        <c:axPos val="l"/>
        <c:majorGridlines>
          <c:spPr>
            <a:ln w="9522" cap="flat" cmpd="sng" algn="ctr">
              <a:solidFill>
                <a:schemeClr val="tx1">
                  <a:lumMod val="15000"/>
                  <a:lumOff val="85000"/>
                </a:schemeClr>
              </a:solidFill>
              <a:round/>
            </a:ln>
            <a:effectLst/>
          </c:spPr>
        </c:majorGridlines>
        <c:numFmt formatCode="0.0" sourceLinked="1"/>
        <c:majorTickMark val="none"/>
        <c:minorTickMark val="none"/>
        <c:tickLblPos val="nextTo"/>
        <c:spPr>
          <a:ln w="9522">
            <a:noFill/>
          </a:ln>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9200"/>
        <c:crosses val="autoZero"/>
        <c:crossBetween val="between"/>
      </c:valAx>
      <c:spPr>
        <a:noFill/>
        <a:ln w="25392">
          <a:noFill/>
        </a:ln>
      </c:spPr>
    </c:plotArea>
    <c:legend>
      <c:legendPos val="b"/>
      <c:layout>
        <c:manualLayout>
          <c:xMode val="edge"/>
          <c:yMode val="edge"/>
          <c:x val="2.6643914092781745E-2"/>
          <c:y val="0.73045884889388824"/>
          <c:w val="0.93878777536708835"/>
          <c:h val="0.23366657292838391"/>
        </c:manualLayout>
      </c:layout>
      <c:overlay val="0"/>
      <c:spPr>
        <a:noFill/>
        <a:ln w="2539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806870088154332E-2"/>
          <c:y val="5.2830294608895816E-2"/>
          <c:w val="0.86605542312949757"/>
          <c:h val="0.59797182495045265"/>
        </c:manualLayout>
      </c:layout>
      <c:barChart>
        <c:barDir val="col"/>
        <c:grouping val="stacked"/>
        <c:varyColors val="0"/>
        <c:ser>
          <c:idx val="1"/>
          <c:order val="0"/>
          <c:tx>
            <c:strRef>
              <c:f>Sheet1!$A$2</c:f>
              <c:strCache>
                <c:ptCount val="1"/>
                <c:pt idx="0">
                  <c:v>Արտահանում</c:v>
                </c:pt>
              </c:strCache>
            </c:strRef>
          </c:tx>
          <c:spPr>
            <a:solidFill>
              <a:srgbClr val="1F497D"/>
            </a:solidFill>
            <a:ln w="25392">
              <a:noFill/>
            </a:ln>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0.0</c:formatCode>
                <c:ptCount val="5"/>
                <c:pt idx="0">
                  <c:v>3360.7164789775707</c:v>
                </c:pt>
                <c:pt idx="1">
                  <c:v>2718.8484999455832</c:v>
                </c:pt>
                <c:pt idx="2">
                  <c:v>3276.6246861539385</c:v>
                </c:pt>
                <c:pt idx="3">
                  <c:v>5717.869650665647</c:v>
                </c:pt>
                <c:pt idx="4">
                  <c:v>8511.0098779547716</c:v>
                </c:pt>
              </c:numCache>
            </c:numRef>
          </c:val>
          <c:extLst>
            <c:ext xmlns:c16="http://schemas.microsoft.com/office/drawing/2014/chart" uri="{C3380CC4-5D6E-409C-BE32-E72D297353CC}">
              <c16:uniqueId val="{00000000-9823-44E7-822B-94B93C4D5424}"/>
            </c:ext>
          </c:extLst>
        </c:ser>
        <c:ser>
          <c:idx val="2"/>
          <c:order val="2"/>
          <c:tx>
            <c:strRef>
              <c:f>Sheet1!$A$4</c:f>
              <c:strCache>
                <c:ptCount val="1"/>
                <c:pt idx="0">
                  <c:v>Ներմուծում</c:v>
                </c:pt>
              </c:strCache>
            </c:strRef>
          </c:tx>
          <c:spPr>
            <a:solidFill>
              <a:schemeClr val="accent1">
                <a:lumMod val="60000"/>
                <a:lumOff val="40000"/>
              </a:schemeClr>
            </a:solidFill>
            <a:ln>
              <a:noFill/>
            </a:ln>
            <a:effectLst/>
          </c:spPr>
          <c:invertIfNegative val="0"/>
          <c:cat>
            <c:numRef>
              <c:f>Sheet1!$B$1:$F$1</c:f>
              <c:numCache>
                <c:formatCode>General</c:formatCode>
                <c:ptCount val="5"/>
                <c:pt idx="0">
                  <c:v>2019</c:v>
                </c:pt>
                <c:pt idx="1">
                  <c:v>2020</c:v>
                </c:pt>
                <c:pt idx="2">
                  <c:v>2021</c:v>
                </c:pt>
                <c:pt idx="3">
                  <c:v>2022</c:v>
                </c:pt>
                <c:pt idx="4">
                  <c:v>2023</c:v>
                </c:pt>
              </c:numCache>
            </c:numRef>
          </c:cat>
          <c:val>
            <c:numRef>
              <c:f>Sheet1!$B$4:$F$4</c:f>
              <c:numCache>
                <c:formatCode>0.0</c:formatCode>
                <c:ptCount val="5"/>
                <c:pt idx="0">
                  <c:v>-5082.8234412135498</c:v>
                </c:pt>
                <c:pt idx="1">
                  <c:v>-4101.00197286612</c:v>
                </c:pt>
                <c:pt idx="2">
                  <c:v>-4781.3937392531197</c:v>
                </c:pt>
                <c:pt idx="3">
                  <c:v>-7577.1103204685296</c:v>
                </c:pt>
                <c:pt idx="4">
                  <c:v>-10945.672057174301</c:v>
                </c:pt>
              </c:numCache>
            </c:numRef>
          </c:val>
          <c:extLst>
            <c:ext xmlns:c16="http://schemas.microsoft.com/office/drawing/2014/chart" uri="{C3380CC4-5D6E-409C-BE32-E72D297353CC}">
              <c16:uniqueId val="{00000001-9823-44E7-822B-94B93C4D5424}"/>
            </c:ext>
          </c:extLst>
        </c:ser>
        <c:dLbls>
          <c:showLegendKey val="0"/>
          <c:showVal val="0"/>
          <c:showCatName val="0"/>
          <c:showSerName val="0"/>
          <c:showPercent val="0"/>
          <c:showBubbleSize val="0"/>
        </c:dLbls>
        <c:gapWidth val="150"/>
        <c:overlap val="100"/>
        <c:axId val="612018784"/>
        <c:axId val="1"/>
      </c:barChart>
      <c:lineChart>
        <c:grouping val="standard"/>
        <c:varyColors val="0"/>
        <c:ser>
          <c:idx val="0"/>
          <c:order val="1"/>
          <c:tx>
            <c:strRef>
              <c:f>Sheet1!$A$3</c:f>
              <c:strCache>
                <c:ptCount val="1"/>
                <c:pt idx="0">
                  <c:v>Առևտրային հաշվեկշիռ</c:v>
                </c:pt>
              </c:strCache>
            </c:strRef>
          </c:tx>
          <c:spPr>
            <a:ln w="28566" cap="rnd">
              <a:solidFill>
                <a:schemeClr val="accent1"/>
              </a:solidFill>
              <a:round/>
            </a:ln>
            <a:effectLst/>
          </c:spPr>
          <c:marker>
            <c:symbol val="circle"/>
            <c:size val="4"/>
            <c:spPr>
              <a:solidFill>
                <a:schemeClr val="accent1"/>
              </a:solidFill>
              <a:ln w="9522">
                <a:solidFill>
                  <a:schemeClr val="accent1"/>
                </a:solidFill>
              </a:ln>
              <a:effectLst/>
            </c:spPr>
          </c:marker>
          <c:dLbls>
            <c:spPr>
              <a:noFill/>
              <a:ln w="25392">
                <a:noFill/>
              </a:ln>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2019</c:v>
                </c:pt>
                <c:pt idx="1">
                  <c:v>2020</c:v>
                </c:pt>
                <c:pt idx="2">
                  <c:v>2021</c:v>
                </c:pt>
                <c:pt idx="3">
                  <c:v>2022</c:v>
                </c:pt>
                <c:pt idx="4">
                  <c:v>2023</c:v>
                </c:pt>
              </c:numCache>
            </c:numRef>
          </c:cat>
          <c:val>
            <c:numRef>
              <c:f>Sheet1!$B$3:$F$3</c:f>
              <c:numCache>
                <c:formatCode>0.0</c:formatCode>
                <c:ptCount val="5"/>
                <c:pt idx="0">
                  <c:v>-1722.1069622359792</c:v>
                </c:pt>
                <c:pt idx="1">
                  <c:v>-1382.1534729205368</c:v>
                </c:pt>
                <c:pt idx="2">
                  <c:v>-1504.7690530991813</c:v>
                </c:pt>
                <c:pt idx="3">
                  <c:v>-1859.2406698028826</c:v>
                </c:pt>
                <c:pt idx="4">
                  <c:v>-2434.6621792195292</c:v>
                </c:pt>
              </c:numCache>
            </c:numRef>
          </c:val>
          <c:smooth val="0"/>
          <c:extLst>
            <c:ext xmlns:c16="http://schemas.microsoft.com/office/drawing/2014/chart" uri="{C3380CC4-5D6E-409C-BE32-E72D297353CC}">
              <c16:uniqueId val="{00000002-9823-44E7-822B-94B93C4D5424}"/>
            </c:ext>
          </c:extLst>
        </c:ser>
        <c:dLbls>
          <c:showLegendKey val="0"/>
          <c:showVal val="0"/>
          <c:showCatName val="0"/>
          <c:showSerName val="0"/>
          <c:showPercent val="0"/>
          <c:showBubbleSize val="0"/>
        </c:dLbls>
        <c:marker val="1"/>
        <c:smooth val="0"/>
        <c:axId val="612018784"/>
        <c:axId val="1"/>
      </c:lineChart>
      <c:catAx>
        <c:axId val="612018784"/>
        <c:scaling>
          <c:orientation val="minMax"/>
        </c:scaling>
        <c:delete val="0"/>
        <c:axPos val="b"/>
        <c:numFmt formatCode="General" sourceLinked="1"/>
        <c:majorTickMark val="none"/>
        <c:minorTickMark val="none"/>
        <c:tickLblPos val="low"/>
        <c:spPr>
          <a:noFill/>
          <a:ln w="9522"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100"/>
        <c:noMultiLvlLbl val="0"/>
      </c:catAx>
      <c:valAx>
        <c:axId val="1"/>
        <c:scaling>
          <c:orientation val="minMax"/>
          <c:min val="-8000"/>
        </c:scaling>
        <c:delete val="0"/>
        <c:axPos val="l"/>
        <c:majorGridlines>
          <c:spPr>
            <a:ln w="9522" cap="flat" cmpd="sng" algn="ctr">
              <a:solidFill>
                <a:schemeClr val="tx1">
                  <a:lumMod val="15000"/>
                  <a:lumOff val="85000"/>
                </a:schemeClr>
              </a:solidFill>
              <a:round/>
            </a:ln>
            <a:effectLst/>
          </c:spPr>
        </c:majorGridlines>
        <c:numFmt formatCode="0.0" sourceLinked="1"/>
        <c:majorTickMark val="none"/>
        <c:minorTickMark val="none"/>
        <c:tickLblPos val="nextTo"/>
        <c:spPr>
          <a:ln w="9522">
            <a:noFill/>
          </a:ln>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8784"/>
        <c:crosses val="autoZero"/>
        <c:crossBetween val="between"/>
      </c:valAx>
      <c:spPr>
        <a:noFill/>
        <a:ln w="25392">
          <a:noFill/>
        </a:ln>
      </c:spPr>
    </c:plotArea>
    <c:legend>
      <c:legendPos val="b"/>
      <c:layout>
        <c:manualLayout>
          <c:xMode val="edge"/>
          <c:yMode val="edge"/>
          <c:x val="4.0380618057417744E-2"/>
          <c:y val="0.76943424929026738"/>
          <c:w val="0.93927858088946314"/>
          <c:h val="0.21604756548288609"/>
        </c:manualLayout>
      </c:layout>
      <c:overlay val="0"/>
      <c:spPr>
        <a:noFill/>
        <a:ln w="2539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4016062363462"/>
          <c:y val="5.2830350751610591E-2"/>
          <c:w val="0.86605542312949757"/>
          <c:h val="0.57484275829157716"/>
        </c:manualLayout>
      </c:layout>
      <c:barChart>
        <c:barDir val="col"/>
        <c:grouping val="stacked"/>
        <c:varyColors val="0"/>
        <c:ser>
          <c:idx val="1"/>
          <c:order val="0"/>
          <c:tx>
            <c:strRef>
              <c:f>Sheet1!$A$2</c:f>
              <c:strCache>
                <c:ptCount val="1"/>
                <c:pt idx="0">
                  <c:v>Տրանսֆերտներ</c:v>
                </c:pt>
              </c:strCache>
            </c:strRef>
          </c:tx>
          <c:spPr>
            <a:solidFill>
              <a:srgbClr val="1F497D"/>
            </a:solidFill>
            <a:ln w="25379">
              <a:noFill/>
            </a:ln>
          </c:spPr>
          <c:invertIfNegative val="0"/>
          <c:cat>
            <c:numRef>
              <c:f>Sheet1!$B$1:$F$1</c:f>
              <c:numCache>
                <c:formatCode>General</c:formatCode>
                <c:ptCount val="5"/>
                <c:pt idx="0">
                  <c:v>2019</c:v>
                </c:pt>
                <c:pt idx="1">
                  <c:v>2020</c:v>
                </c:pt>
                <c:pt idx="2">
                  <c:v>2021</c:v>
                </c:pt>
                <c:pt idx="3">
                  <c:v>2022</c:v>
                </c:pt>
                <c:pt idx="4">
                  <c:v>2023</c:v>
                </c:pt>
              </c:numCache>
            </c:numRef>
          </c:cat>
          <c:val>
            <c:numRef>
              <c:f>Sheet1!$B$2:$F$2</c:f>
              <c:numCache>
                <c:formatCode>0.0</c:formatCode>
                <c:ptCount val="5"/>
                <c:pt idx="0">
                  <c:v>517.70303101684067</c:v>
                </c:pt>
                <c:pt idx="1">
                  <c:v>785.74527935314973</c:v>
                </c:pt>
                <c:pt idx="2">
                  <c:v>954.48578574101248</c:v>
                </c:pt>
                <c:pt idx="3">
                  <c:v>1218.8690739532603</c:v>
                </c:pt>
                <c:pt idx="4">
                  <c:v>493.30892105392502</c:v>
                </c:pt>
              </c:numCache>
            </c:numRef>
          </c:val>
          <c:extLst>
            <c:ext xmlns:c16="http://schemas.microsoft.com/office/drawing/2014/chart" uri="{C3380CC4-5D6E-409C-BE32-E72D297353CC}">
              <c16:uniqueId val="{00000000-FE5F-4AB7-9BB1-E1C7EB7F5403}"/>
            </c:ext>
          </c:extLst>
        </c:ser>
        <c:ser>
          <c:idx val="2"/>
          <c:order val="2"/>
          <c:tx>
            <c:strRef>
              <c:f>Sheet1!$A$4</c:f>
              <c:strCache>
                <c:ptCount val="1"/>
                <c:pt idx="0">
                  <c:v>Աշխատողների վարձատրություն</c:v>
                </c:pt>
              </c:strCache>
            </c:strRef>
          </c:tx>
          <c:spPr>
            <a:solidFill>
              <a:schemeClr val="accent1">
                <a:lumMod val="60000"/>
                <a:lumOff val="40000"/>
              </a:schemeClr>
            </a:solidFill>
            <a:ln>
              <a:noFill/>
            </a:ln>
            <a:effectLst/>
          </c:spPr>
          <c:invertIfNegative val="0"/>
          <c:cat>
            <c:numRef>
              <c:f>Sheet1!$B$1:$F$1</c:f>
              <c:numCache>
                <c:formatCode>General</c:formatCode>
                <c:ptCount val="5"/>
                <c:pt idx="0">
                  <c:v>2019</c:v>
                </c:pt>
                <c:pt idx="1">
                  <c:v>2020</c:v>
                </c:pt>
                <c:pt idx="2">
                  <c:v>2021</c:v>
                </c:pt>
                <c:pt idx="3">
                  <c:v>2022</c:v>
                </c:pt>
                <c:pt idx="4">
                  <c:v>2023</c:v>
                </c:pt>
              </c:numCache>
            </c:numRef>
          </c:cat>
          <c:val>
            <c:numRef>
              <c:f>Sheet1!$B$4:$F$4</c:f>
              <c:numCache>
                <c:formatCode>0.0</c:formatCode>
                <c:ptCount val="5"/>
                <c:pt idx="0">
                  <c:v>675.4015659288516</c:v>
                </c:pt>
                <c:pt idx="1">
                  <c:v>286.39074659269698</c:v>
                </c:pt>
                <c:pt idx="2">
                  <c:v>319.53352658197639</c:v>
                </c:pt>
                <c:pt idx="3">
                  <c:v>319.43854999852101</c:v>
                </c:pt>
                <c:pt idx="4">
                  <c:v>462.349477412581</c:v>
                </c:pt>
              </c:numCache>
            </c:numRef>
          </c:val>
          <c:extLst>
            <c:ext xmlns:c16="http://schemas.microsoft.com/office/drawing/2014/chart" uri="{C3380CC4-5D6E-409C-BE32-E72D297353CC}">
              <c16:uniqueId val="{00000001-FE5F-4AB7-9BB1-E1C7EB7F5403}"/>
            </c:ext>
          </c:extLst>
        </c:ser>
        <c:dLbls>
          <c:showLegendKey val="0"/>
          <c:showVal val="0"/>
          <c:showCatName val="0"/>
          <c:showSerName val="0"/>
          <c:showPercent val="0"/>
          <c:showBubbleSize val="0"/>
        </c:dLbls>
        <c:gapWidth val="150"/>
        <c:overlap val="100"/>
        <c:axId val="612018368"/>
        <c:axId val="1"/>
      </c:barChart>
      <c:lineChart>
        <c:grouping val="standard"/>
        <c:varyColors val="0"/>
        <c:ser>
          <c:idx val="0"/>
          <c:order val="1"/>
          <c:tx>
            <c:strRef>
              <c:f>Sheet1!$A$3</c:f>
              <c:strCache>
                <c:ptCount val="1"/>
                <c:pt idx="0">
                  <c:v>Դրամական փոխանցումներ</c:v>
                </c:pt>
              </c:strCache>
            </c:strRef>
          </c:tx>
          <c:spPr>
            <a:ln w="28552" cap="rnd">
              <a:solidFill>
                <a:schemeClr val="accent1"/>
              </a:solidFill>
              <a:round/>
            </a:ln>
            <a:effectLst/>
          </c:spPr>
          <c:marker>
            <c:symbol val="circle"/>
            <c:size val="4"/>
            <c:spPr>
              <a:solidFill>
                <a:schemeClr val="accent1"/>
              </a:solidFill>
              <a:ln w="9517">
                <a:solidFill>
                  <a:schemeClr val="accent1"/>
                </a:solidFill>
              </a:ln>
              <a:effectLst/>
            </c:spPr>
          </c:marker>
          <c:dLbls>
            <c:spPr>
              <a:noFill/>
              <a:ln w="25379">
                <a:noFill/>
              </a:ln>
            </c:spPr>
            <c:txPr>
              <a:bodyPr rot="0" spcFirstLastPara="1" vertOverflow="ellipsis" vert="horz" wrap="square" anchor="ctr" anchorCtr="1"/>
              <a:lstStyle/>
              <a:p>
                <a:pPr>
                  <a:defRPr sz="899"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2019</c:v>
                </c:pt>
                <c:pt idx="1">
                  <c:v>2020</c:v>
                </c:pt>
                <c:pt idx="2">
                  <c:v>2021</c:v>
                </c:pt>
                <c:pt idx="3">
                  <c:v>2022</c:v>
                </c:pt>
                <c:pt idx="4">
                  <c:v>2023</c:v>
                </c:pt>
              </c:numCache>
            </c:numRef>
          </c:cat>
          <c:val>
            <c:numRef>
              <c:f>Sheet1!$B$3:$F$3</c:f>
              <c:numCache>
                <c:formatCode>0.0</c:formatCode>
                <c:ptCount val="5"/>
                <c:pt idx="0">
                  <c:v>1193.1045969456923</c:v>
                </c:pt>
                <c:pt idx="1">
                  <c:v>1072.1360259458468</c:v>
                </c:pt>
                <c:pt idx="2">
                  <c:v>1274.0193123229888</c:v>
                </c:pt>
                <c:pt idx="3">
                  <c:v>1538.3076239517814</c:v>
                </c:pt>
                <c:pt idx="4">
                  <c:v>955.65839846650601</c:v>
                </c:pt>
              </c:numCache>
            </c:numRef>
          </c:val>
          <c:smooth val="0"/>
          <c:extLst>
            <c:ext xmlns:c16="http://schemas.microsoft.com/office/drawing/2014/chart" uri="{C3380CC4-5D6E-409C-BE32-E72D297353CC}">
              <c16:uniqueId val="{00000002-FE5F-4AB7-9BB1-E1C7EB7F5403}"/>
            </c:ext>
          </c:extLst>
        </c:ser>
        <c:dLbls>
          <c:showLegendKey val="0"/>
          <c:showVal val="0"/>
          <c:showCatName val="0"/>
          <c:showSerName val="0"/>
          <c:showPercent val="0"/>
          <c:showBubbleSize val="0"/>
        </c:dLbls>
        <c:marker val="1"/>
        <c:smooth val="0"/>
        <c:axId val="612018368"/>
        <c:axId val="1"/>
      </c:lineChart>
      <c:catAx>
        <c:axId val="612018368"/>
        <c:scaling>
          <c:orientation val="minMax"/>
        </c:scaling>
        <c:delete val="0"/>
        <c:axPos val="b"/>
        <c:numFmt formatCode="General" sourceLinked="1"/>
        <c:majorTickMark val="none"/>
        <c:minorTickMark val="none"/>
        <c:tickLblPos val="low"/>
        <c:spPr>
          <a:noFill/>
          <a:ln w="9517" cap="flat" cmpd="sng" algn="ctr">
            <a:solidFill>
              <a:schemeClr val="tx1">
                <a:lumMod val="15000"/>
                <a:lumOff val="85000"/>
              </a:schemeClr>
            </a:solidFill>
            <a:round/>
          </a:ln>
          <a:effectLst/>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100"/>
        <c:noMultiLvlLbl val="0"/>
      </c:catAx>
      <c:valAx>
        <c:axId val="1"/>
        <c:scaling>
          <c:orientation val="minMax"/>
        </c:scaling>
        <c:delete val="0"/>
        <c:axPos val="l"/>
        <c:majorGridlines>
          <c:spPr>
            <a:ln w="9517" cap="flat" cmpd="sng" algn="ctr">
              <a:solidFill>
                <a:schemeClr val="tx1">
                  <a:lumMod val="15000"/>
                  <a:lumOff val="85000"/>
                </a:schemeClr>
              </a:solidFill>
              <a:round/>
            </a:ln>
            <a:effectLst/>
          </c:spPr>
        </c:majorGridlines>
        <c:numFmt formatCode="0.0" sourceLinked="1"/>
        <c:majorTickMark val="none"/>
        <c:minorTickMark val="none"/>
        <c:tickLblPos val="nextTo"/>
        <c:spPr>
          <a:ln w="9517">
            <a:noFill/>
          </a:ln>
        </c:spPr>
        <c:txPr>
          <a:bodyPr rot="0" spcFirstLastPara="1" vertOverflow="ellipsis"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8368"/>
        <c:crosses val="autoZero"/>
        <c:crossBetween val="between"/>
      </c:valAx>
      <c:spPr>
        <a:noFill/>
        <a:ln w="25379">
          <a:noFill/>
        </a:ln>
      </c:spPr>
    </c:plotArea>
    <c:legend>
      <c:legendPos val="b"/>
      <c:layout>
        <c:manualLayout>
          <c:xMode val="edge"/>
          <c:yMode val="edge"/>
          <c:x val="8.2198548710822918E-3"/>
          <c:y val="0.74499832975423541"/>
          <c:w val="0.92742579004249859"/>
          <c:h val="0.23684753042233361"/>
        </c:manualLayout>
      </c:layout>
      <c:overlay val="0"/>
      <c:spPr>
        <a:noFill/>
        <a:ln w="25379">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8633547672212"/>
          <c:y val="3.5226779206556008E-2"/>
          <c:w val="0.85358700104683449"/>
          <c:h val="0.6635549068997656"/>
        </c:manualLayout>
      </c:layout>
      <c:lineChart>
        <c:grouping val="standard"/>
        <c:varyColors val="0"/>
        <c:ser>
          <c:idx val="0"/>
          <c:order val="0"/>
          <c:tx>
            <c:strRef>
              <c:f>Sheet1!$A$2</c:f>
              <c:strCache>
                <c:ptCount val="1"/>
                <c:pt idx="0">
                  <c:v>12 ամսյա փոփոխություն, % </c:v>
                </c:pt>
              </c:strCache>
            </c:strRef>
          </c:tx>
          <c:spPr>
            <a:ln w="28575" cap="rnd">
              <a:solidFill>
                <a:srgbClr val="4F81BD">
                  <a:lumMod val="75000"/>
                </a:srgbClr>
              </a:solidFill>
              <a:round/>
            </a:ln>
            <a:effectLst/>
          </c:spPr>
          <c:marker>
            <c:symbol val="circle"/>
            <c:size val="5"/>
            <c:spPr>
              <a:solidFill>
                <a:srgbClr val="4F81BD">
                  <a:lumMod val="75000"/>
                </a:srgbClr>
              </a:solidFill>
              <a:ln w="9525">
                <a:solidFill>
                  <a:srgbClr val="4F81BD">
                    <a:lumMod val="75000"/>
                  </a:srgbClr>
                </a:solidFill>
              </a:ln>
              <a:effectLst/>
            </c:spPr>
          </c:marker>
          <c:dLbls>
            <c:spPr>
              <a:noFill/>
              <a:ln w="25400">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c:formatCode>
                <c:ptCount val="12"/>
                <c:pt idx="0">
                  <c:v>80.116763768181329</c:v>
                </c:pt>
                <c:pt idx="1">
                  <c:v>115.29998949059021</c:v>
                </c:pt>
                <c:pt idx="2">
                  <c:v>170.82905745611805</c:v>
                </c:pt>
                <c:pt idx="3">
                  <c:v>82.400260653656602</c:v>
                </c:pt>
                <c:pt idx="4">
                  <c:v>66.568166005583748</c:v>
                </c:pt>
                <c:pt idx="5">
                  <c:v>6.0114545231311496</c:v>
                </c:pt>
                <c:pt idx="6">
                  <c:v>16.849089870601318</c:v>
                </c:pt>
                <c:pt idx="7">
                  <c:v>4.7596330217567981</c:v>
                </c:pt>
                <c:pt idx="8">
                  <c:v>1.6228833457059295</c:v>
                </c:pt>
                <c:pt idx="9">
                  <c:v>15.466596358443567</c:v>
                </c:pt>
                <c:pt idx="10">
                  <c:v>86.346851232014018</c:v>
                </c:pt>
                <c:pt idx="11">
                  <c:v>136.26898884488745</c:v>
                </c:pt>
              </c:numCache>
            </c:numRef>
          </c:val>
          <c:smooth val="0"/>
          <c:extLst>
            <c:ext xmlns:c16="http://schemas.microsoft.com/office/drawing/2014/chart" uri="{C3380CC4-5D6E-409C-BE32-E72D297353CC}">
              <c16:uniqueId val="{00000000-DA6B-4CC3-A915-2F7D7554A325}"/>
            </c:ext>
          </c:extLst>
        </c:ser>
        <c:ser>
          <c:idx val="1"/>
          <c:order val="1"/>
          <c:tx>
            <c:strRef>
              <c:f>Sheet1!$A$3</c:f>
              <c:strCache>
                <c:ptCount val="1"/>
                <c:pt idx="0">
                  <c:v>Կուտակային փոփոխություն, %</c:v>
                </c:pt>
              </c:strCache>
            </c:strRef>
          </c:tx>
          <c:spPr>
            <a:ln>
              <a:solidFill>
                <a:srgbClr val="F79646"/>
              </a:solidFill>
            </a:ln>
          </c:spPr>
          <c:marker>
            <c:spPr>
              <a:solidFill>
                <a:srgbClr val="F79646"/>
              </a:solidFill>
              <a:ln>
                <a:solidFill>
                  <a:srgbClr val="F79646"/>
                </a:solidFill>
              </a:ln>
            </c:spPr>
          </c:marker>
          <c:dLbls>
            <c:dLbl>
              <c:idx val="11"/>
              <c:layout>
                <c:manualLayout>
                  <c:x val="-1.5810913730763303E-2"/>
                  <c:y val="-4.52593865732721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6B-4CC3-A915-2F7D7554A325}"/>
                </c:ext>
              </c:extLst>
            </c:dLbl>
            <c:spPr>
              <a:noFill/>
              <a:ln w="25400">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c:formatCode>
                <c:ptCount val="12"/>
                <c:pt idx="0">
                  <c:v>80.053844448968178</c:v>
                </c:pt>
                <c:pt idx="1">
                  <c:v>98.041035481719589</c:v>
                </c:pt>
                <c:pt idx="2">
                  <c:v>120.62515824749944</c:v>
                </c:pt>
                <c:pt idx="3">
                  <c:v>109.64873206571582</c:v>
                </c:pt>
                <c:pt idx="4">
                  <c:v>98.598025957244715</c:v>
                </c:pt>
                <c:pt idx="5">
                  <c:v>74.146027048576116</c:v>
                </c:pt>
                <c:pt idx="6">
                  <c:v>62.528992304683143</c:v>
                </c:pt>
                <c:pt idx="7">
                  <c:v>51.388725104888202</c:v>
                </c:pt>
                <c:pt idx="8">
                  <c:v>42.979406803031928</c:v>
                </c:pt>
                <c:pt idx="9">
                  <c:v>38.721959937567689</c:v>
                </c:pt>
                <c:pt idx="10">
                  <c:v>44.849498192848962</c:v>
                </c:pt>
                <c:pt idx="11">
                  <c:v>55.287897755812885</c:v>
                </c:pt>
              </c:numCache>
            </c:numRef>
          </c:val>
          <c:smooth val="0"/>
          <c:extLst>
            <c:ext xmlns:c16="http://schemas.microsoft.com/office/drawing/2014/chart" uri="{C3380CC4-5D6E-409C-BE32-E72D297353CC}">
              <c16:uniqueId val="{00000002-DA6B-4CC3-A915-2F7D7554A325}"/>
            </c:ext>
          </c:extLst>
        </c:ser>
        <c:dLbls>
          <c:showLegendKey val="0"/>
          <c:showVal val="0"/>
          <c:showCatName val="0"/>
          <c:showSerName val="0"/>
          <c:showPercent val="0"/>
          <c:showBubbleSize val="0"/>
        </c:dLbls>
        <c:marker val="1"/>
        <c:smooth val="0"/>
        <c:axId val="612018784"/>
        <c:axId val="1"/>
      </c:lineChart>
      <c:catAx>
        <c:axId val="61201878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in val="-30"/>
        </c:scaling>
        <c:delete val="0"/>
        <c:axPos val="l"/>
        <c:majorGridlines>
          <c:spPr>
            <a:ln w="9525" cap="flat" cmpd="sng" algn="ctr">
              <a:solidFill>
                <a:sysClr val="window" lastClr="FFFFFF">
                  <a:lumMod val="85000"/>
                </a:sys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8784"/>
        <c:crosses val="autoZero"/>
        <c:crossBetween val="between"/>
        <c:majorUnit val="20"/>
      </c:valAx>
      <c:spPr>
        <a:solidFill>
          <a:sysClr val="window" lastClr="FFFFFF"/>
        </a:solidFill>
        <a:ln>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effectLst/>
      </c:spPr>
    </c:plotArea>
    <c:legend>
      <c:legendPos val="b"/>
      <c:layout>
        <c:manualLayout>
          <c:xMode val="edge"/>
          <c:yMode val="edge"/>
          <c:x val="1.7440569818842754E-2"/>
          <c:y val="0.82180156871582133"/>
          <c:w val="0.97802156363752013"/>
          <c:h val="0.15998760137581713"/>
        </c:manualLayout>
      </c:layout>
      <c:overlay val="0"/>
      <c:spPr>
        <a:noFill/>
        <a:ln w="25400">
          <a:noFill/>
        </a:ln>
      </c:spPr>
      <c:txPr>
        <a:bodyPr rot="0" spcFirstLastPara="1" vertOverflow="ellipsis" vert="horz" wrap="square" anchor="ctr" anchorCtr="1"/>
        <a:lstStyle/>
        <a:p>
          <a:pPr>
            <a:defRPr sz="90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9554902904017"/>
          <c:y val="3.7666528526039522E-2"/>
          <c:w val="0.85198401144390712"/>
          <c:h val="0.6556209735146743"/>
        </c:manualLayout>
      </c:layout>
      <c:lineChart>
        <c:grouping val="standard"/>
        <c:varyColors val="0"/>
        <c:ser>
          <c:idx val="0"/>
          <c:order val="0"/>
          <c:tx>
            <c:strRef>
              <c:f>Sheet1!$A$2</c:f>
              <c:strCache>
                <c:ptCount val="1"/>
                <c:pt idx="0">
                  <c:v>Իրական փոփոխությունը (կուտակային)</c:v>
                </c:pt>
              </c:strCache>
            </c:strRef>
          </c:tx>
          <c:spPr>
            <a:ln w="28575" cap="rnd">
              <a:solidFill>
                <a:srgbClr val="4F81BD">
                  <a:lumMod val="75000"/>
                </a:srgbClr>
              </a:solidFill>
              <a:round/>
            </a:ln>
            <a:effectLst/>
          </c:spPr>
          <c:marker>
            <c:symbol val="circle"/>
            <c:size val="4"/>
            <c:spPr>
              <a:solidFill>
                <a:srgbClr val="4F81BD">
                  <a:lumMod val="75000"/>
                </a:srgbClr>
              </a:solidFill>
              <a:ln w="9525">
                <a:solidFill>
                  <a:srgbClr val="4F81BD">
                    <a:lumMod val="75000"/>
                  </a:srgbClr>
                </a:solidFill>
              </a:ln>
              <a:effectLst/>
            </c:spPr>
          </c:marker>
          <c:dLbls>
            <c:spPr>
              <a:noFill/>
              <a:ln w="25400">
                <a:noFill/>
              </a:ln>
            </c:spPr>
            <c:txPr>
              <a:bodyPr/>
              <a:lstStyle/>
              <a:p>
                <a:pPr>
                  <a:defRPr sz="800"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c:formatCode>
                <c:ptCount val="12"/>
                <c:pt idx="0">
                  <c:v>28.182760787665643</c:v>
                </c:pt>
                <c:pt idx="1">
                  <c:v>39.104654795496458</c:v>
                </c:pt>
                <c:pt idx="2">
                  <c:v>54.287656141413152</c:v>
                </c:pt>
                <c:pt idx="3">
                  <c:v>49.799843603395516</c:v>
                </c:pt>
                <c:pt idx="4">
                  <c:v>42.72107202941126</c:v>
                </c:pt>
                <c:pt idx="5">
                  <c:v>26.900130436225581</c:v>
                </c:pt>
                <c:pt idx="6">
                  <c:v>20.37736376724024</c:v>
                </c:pt>
                <c:pt idx="7">
                  <c:v>14.174913478904585</c:v>
                </c:pt>
                <c:pt idx="8">
                  <c:v>9.4844917666311233</c:v>
                </c:pt>
                <c:pt idx="9">
                  <c:v>7.3016147274259566</c:v>
                </c:pt>
                <c:pt idx="10">
                  <c:v>13.762681548576509</c:v>
                </c:pt>
                <c:pt idx="11">
                  <c:v>23.570092841123696</c:v>
                </c:pt>
              </c:numCache>
            </c:numRef>
          </c:val>
          <c:smooth val="0"/>
          <c:extLst>
            <c:ext xmlns:c16="http://schemas.microsoft.com/office/drawing/2014/chart" uri="{C3380CC4-5D6E-409C-BE32-E72D297353CC}">
              <c16:uniqueId val="{00000000-8252-483B-A1F0-D33273312087}"/>
            </c:ext>
          </c:extLst>
        </c:ser>
        <c:ser>
          <c:idx val="1"/>
          <c:order val="1"/>
          <c:tx>
            <c:strRef>
              <c:f>Sheet1!$A$3</c:f>
              <c:strCache>
                <c:ptCount val="1"/>
                <c:pt idx="0">
                  <c:v>Գնային փոփոխություն (կուտակային)</c:v>
                </c:pt>
              </c:strCache>
            </c:strRef>
          </c:tx>
          <c:spPr>
            <a:ln>
              <a:solidFill>
                <a:srgbClr val="F79646"/>
              </a:solidFill>
            </a:ln>
          </c:spPr>
          <c:marker>
            <c:spPr>
              <a:solidFill>
                <a:srgbClr val="F79646"/>
              </a:solidFill>
              <a:ln>
                <a:solidFill>
                  <a:srgbClr val="F79646"/>
                </a:solidFill>
              </a:ln>
            </c:spPr>
          </c:marker>
          <c:dLbls>
            <c:spPr>
              <a:noFill/>
              <a:ln w="25400">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c:formatCode>
                <c:ptCount val="12"/>
                <c:pt idx="0">
                  <c:v>15.414671022584713</c:v>
                </c:pt>
                <c:pt idx="1">
                  <c:v>16.788140567555601</c:v>
                </c:pt>
                <c:pt idx="2">
                  <c:v>15.418701290432139</c:v>
                </c:pt>
                <c:pt idx="3">
                  <c:v>13.511977391833639</c:v>
                </c:pt>
                <c:pt idx="4">
                  <c:v>13.810666766656638</c:v>
                </c:pt>
                <c:pt idx="5">
                  <c:v>14.240522043038993</c:v>
                </c:pt>
                <c:pt idx="6">
                  <c:v>14.257186313183453</c:v>
                </c:pt>
                <c:pt idx="7">
                  <c:v>13.772291873615004</c:v>
                </c:pt>
                <c:pt idx="8">
                  <c:v>13.216628088884761</c:v>
                </c:pt>
                <c:pt idx="9">
                  <c:v>13.687657357833345</c:v>
                </c:pt>
                <c:pt idx="10">
                  <c:v>13.411819915523097</c:v>
                </c:pt>
                <c:pt idx="11">
                  <c:v>13.209944606991399</c:v>
                </c:pt>
              </c:numCache>
            </c:numRef>
          </c:val>
          <c:smooth val="0"/>
          <c:extLst>
            <c:ext xmlns:c16="http://schemas.microsoft.com/office/drawing/2014/chart" uri="{C3380CC4-5D6E-409C-BE32-E72D297353CC}">
              <c16:uniqueId val="{00000001-8252-483B-A1F0-D33273312087}"/>
            </c:ext>
          </c:extLst>
        </c:ser>
        <c:ser>
          <c:idx val="2"/>
          <c:order val="2"/>
          <c:tx>
            <c:strRef>
              <c:f>Sheet1!$A$4</c:f>
              <c:strCache>
                <c:ptCount val="1"/>
                <c:pt idx="0">
                  <c:v>Փոխարժեքի փոփոխություն (կուտակային)</c:v>
                </c:pt>
              </c:strCache>
            </c:strRef>
          </c:tx>
          <c:dLbls>
            <c:spPr>
              <a:noFill/>
              <a:ln w="25400">
                <a:noFill/>
              </a:ln>
            </c:spPr>
            <c:txPr>
              <a:bodyPr wrap="square" lIns="38100" tIns="19050" rIns="38100" bIns="19050" anchor="ctr">
                <a:spAutoFit/>
              </a:bodyPr>
              <a:lstStyle/>
              <a:p>
                <a:pPr>
                  <a:defRPr sz="8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Sheet1!$B$4:$M$4</c:f>
              <c:numCache>
                <c:formatCode>0</c:formatCode>
                <c:ptCount val="12"/>
                <c:pt idx="0">
                  <c:v>21.748465482836153</c:v>
                </c:pt>
                <c:pt idx="1">
                  <c:v>21.903108926444887</c:v>
                </c:pt>
                <c:pt idx="2">
                  <c:v>23.893256805175866</c:v>
                </c:pt>
                <c:pt idx="3">
                  <c:v>23.293218866574691</c:v>
                </c:pt>
                <c:pt idx="4">
                  <c:v>22.265480922913</c:v>
                </c:pt>
                <c:pt idx="5">
                  <c:v>20.124425440940684</c:v>
                </c:pt>
                <c:pt idx="6">
                  <c:v>18.168708651189448</c:v>
                </c:pt>
                <c:pt idx="7">
                  <c:v>16.543037673632327</c:v>
                </c:pt>
                <c:pt idx="8">
                  <c:v>15.34815915847247</c:v>
                </c:pt>
                <c:pt idx="9">
                  <c:v>13.717064721361709</c:v>
                </c:pt>
                <c:pt idx="10">
                  <c:v>12.268741652633423</c:v>
                </c:pt>
                <c:pt idx="11">
                  <c:v>11.004263523096901</c:v>
                </c:pt>
              </c:numCache>
            </c:numRef>
          </c:val>
          <c:smooth val="0"/>
          <c:extLst>
            <c:ext xmlns:c16="http://schemas.microsoft.com/office/drawing/2014/chart" uri="{C3380CC4-5D6E-409C-BE32-E72D297353CC}">
              <c16:uniqueId val="{00000002-8252-483B-A1F0-D33273312087}"/>
            </c:ext>
          </c:extLst>
        </c:ser>
        <c:dLbls>
          <c:showLegendKey val="0"/>
          <c:showVal val="0"/>
          <c:showCatName val="0"/>
          <c:showSerName val="0"/>
          <c:showPercent val="0"/>
          <c:showBubbleSize val="0"/>
        </c:dLbls>
        <c:marker val="1"/>
        <c:smooth val="0"/>
        <c:axId val="612018368"/>
        <c:axId val="1"/>
      </c:lineChart>
      <c:catAx>
        <c:axId val="6120183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8368"/>
        <c:crosses val="autoZero"/>
        <c:crossBetween val="between"/>
      </c:valAx>
      <c:spPr>
        <a:solidFill>
          <a:sysClr val="window" lastClr="FFFFFF"/>
        </a:solidFill>
        <a:ln>
          <a:noFill/>
        </a:ln>
        <a:effectLst/>
      </c:spPr>
    </c:plotArea>
    <c:legend>
      <c:legendPos val="b"/>
      <c:layout>
        <c:manualLayout>
          <c:xMode val="edge"/>
          <c:yMode val="edge"/>
          <c:x val="0"/>
          <c:y val="0.80961274511409675"/>
          <c:w val="1"/>
          <c:h val="0.19038725488590313"/>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800">
          <a:latin typeface="GHEA Grapalat" panose="02000506050000020003" pitchFamily="50"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00"/>
              <a:t>Դրամավարկային քաղաքականության տոկոսադրույքները</a:t>
            </a:r>
            <a:r>
              <a:rPr lang="en-US" sz="1000"/>
              <a:t>, % </a:t>
            </a:r>
          </a:p>
        </c:rich>
      </c:tx>
      <c:layout>
        <c:manualLayout>
          <c:xMode val="edge"/>
          <c:yMode val="edge"/>
          <c:x val="0.15867606737171955"/>
          <c:y val="6.9374588088383226E-6"/>
        </c:manualLayout>
      </c:layout>
      <c:overlay val="0"/>
      <c:spPr>
        <a:noFill/>
        <a:ln w="25400">
          <a:noFill/>
        </a:ln>
      </c:spPr>
    </c:title>
    <c:autoTitleDeleted val="0"/>
    <c:plotArea>
      <c:layout>
        <c:manualLayout>
          <c:layoutTarget val="inner"/>
          <c:xMode val="edge"/>
          <c:yMode val="edge"/>
          <c:x val="9.6437897522516872E-2"/>
          <c:y val="0.18716063288539592"/>
          <c:w val="0.86044163321087097"/>
          <c:h val="0.52389368914258139"/>
        </c:manualLayout>
      </c:layout>
      <c:lineChart>
        <c:grouping val="standard"/>
        <c:varyColors val="0"/>
        <c:ser>
          <c:idx val="0"/>
          <c:order val="0"/>
          <c:tx>
            <c:strRef>
              <c:f>Sheet1!$D$1</c:f>
              <c:strCache>
                <c:ptCount val="1"/>
                <c:pt idx="0">
                  <c:v>ԵԳ</c:v>
                </c:pt>
              </c:strCache>
            </c:strRef>
          </c:tx>
          <c:spPr>
            <a:ln w="28575" cap="rnd">
              <a:solidFill>
                <a:srgbClr val="4F81BD"/>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Sheet1!$D$2:$D$73</c:f>
              <c:numCache>
                <c:formatCode>General</c:formatCode>
                <c:ptCount val="6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0.5</c:v>
                </c:pt>
                <c:pt idx="43">
                  <c:v>0.5</c:v>
                </c:pt>
                <c:pt idx="44" formatCode="0.0">
                  <c:v>1.3</c:v>
                </c:pt>
                <c:pt idx="45" formatCode="0.0">
                  <c:v>1.3</c:v>
                </c:pt>
                <c:pt idx="46">
                  <c:v>2</c:v>
                </c:pt>
                <c:pt idx="47">
                  <c:v>2.5</c:v>
                </c:pt>
                <c:pt idx="48" formatCode="0.00">
                  <c:v>2.5</c:v>
                </c:pt>
                <c:pt idx="49" formatCode="0.00">
                  <c:v>3</c:v>
                </c:pt>
                <c:pt idx="50" formatCode="0.00">
                  <c:v>3.5</c:v>
                </c:pt>
                <c:pt idx="51" formatCode="0.00">
                  <c:v>3.75</c:v>
                </c:pt>
                <c:pt idx="52" formatCode="0.00">
                  <c:v>3.75</c:v>
                </c:pt>
                <c:pt idx="53" formatCode="0.00">
                  <c:v>4</c:v>
                </c:pt>
                <c:pt idx="54">
                  <c:v>4.25</c:v>
                </c:pt>
                <c:pt idx="55">
                  <c:v>4.25</c:v>
                </c:pt>
                <c:pt idx="56">
                  <c:v>4.5</c:v>
                </c:pt>
                <c:pt idx="57" formatCode="0.0">
                  <c:v>4.5</c:v>
                </c:pt>
                <c:pt idx="58" formatCode="0.0">
                  <c:v>4.5</c:v>
                </c:pt>
                <c:pt idx="59" formatCode="0.0">
                  <c:v>4.5</c:v>
                </c:pt>
              </c:numCache>
            </c:numRef>
          </c:val>
          <c:smooth val="0"/>
          <c:extLst>
            <c:ext xmlns:c16="http://schemas.microsoft.com/office/drawing/2014/chart" uri="{C3380CC4-5D6E-409C-BE32-E72D297353CC}">
              <c16:uniqueId val="{00000000-B916-47BD-96F4-D4EE0652C8B6}"/>
            </c:ext>
          </c:extLst>
        </c:ser>
        <c:ser>
          <c:idx val="1"/>
          <c:order val="1"/>
          <c:tx>
            <c:strRef>
              <c:f>Sheet1!$E$1</c:f>
              <c:strCache>
                <c:ptCount val="1"/>
                <c:pt idx="0">
                  <c:v>Չինաստան</c:v>
                </c:pt>
              </c:strCache>
            </c:strRef>
          </c:tx>
          <c:spPr>
            <a:ln w="28575" cap="rnd">
              <a:solidFill>
                <a:sysClr val="window" lastClr="FFFFFF">
                  <a:lumMod val="65000"/>
                </a:sysClr>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Sheet1!$E$2:$E$73</c:f>
              <c:numCache>
                <c:formatCode>General</c:formatCode>
                <c:ptCount val="60"/>
                <c:pt idx="0">
                  <c:v>4.25</c:v>
                </c:pt>
                <c:pt idx="1">
                  <c:v>4.25</c:v>
                </c:pt>
                <c:pt idx="2">
                  <c:v>4.25</c:v>
                </c:pt>
                <c:pt idx="3">
                  <c:v>4.25</c:v>
                </c:pt>
                <c:pt idx="4">
                  <c:v>4.25</c:v>
                </c:pt>
                <c:pt idx="5">
                  <c:v>4.25</c:v>
                </c:pt>
                <c:pt idx="6">
                  <c:v>4.25</c:v>
                </c:pt>
                <c:pt idx="7">
                  <c:v>4.25</c:v>
                </c:pt>
                <c:pt idx="8">
                  <c:v>4.2</c:v>
                </c:pt>
                <c:pt idx="9">
                  <c:v>4.2</c:v>
                </c:pt>
                <c:pt idx="10">
                  <c:v>4.1500000000000004</c:v>
                </c:pt>
                <c:pt idx="11">
                  <c:v>4.1500000000000004</c:v>
                </c:pt>
                <c:pt idx="12">
                  <c:v>4.1500000000000004</c:v>
                </c:pt>
                <c:pt idx="13">
                  <c:v>4.05</c:v>
                </c:pt>
                <c:pt idx="14">
                  <c:v>4.05</c:v>
                </c:pt>
                <c:pt idx="15">
                  <c:v>3.85</c:v>
                </c:pt>
                <c:pt idx="16">
                  <c:v>3.85</c:v>
                </c:pt>
                <c:pt idx="17">
                  <c:v>3.85</c:v>
                </c:pt>
                <c:pt idx="18">
                  <c:v>3.85</c:v>
                </c:pt>
                <c:pt idx="19">
                  <c:v>3.85</c:v>
                </c:pt>
                <c:pt idx="20">
                  <c:v>3.85</c:v>
                </c:pt>
                <c:pt idx="21">
                  <c:v>3.85</c:v>
                </c:pt>
                <c:pt idx="22">
                  <c:v>3.85</c:v>
                </c:pt>
                <c:pt idx="23">
                  <c:v>3.85</c:v>
                </c:pt>
                <c:pt idx="24">
                  <c:v>3.85</c:v>
                </c:pt>
                <c:pt idx="25">
                  <c:v>3.85</c:v>
                </c:pt>
                <c:pt idx="26">
                  <c:v>3.85</c:v>
                </c:pt>
                <c:pt idx="27">
                  <c:v>3.85</c:v>
                </c:pt>
                <c:pt idx="28">
                  <c:v>3.85</c:v>
                </c:pt>
                <c:pt idx="29">
                  <c:v>3.85</c:v>
                </c:pt>
                <c:pt idx="30">
                  <c:v>3.85</c:v>
                </c:pt>
                <c:pt idx="31">
                  <c:v>3.85</c:v>
                </c:pt>
                <c:pt idx="32">
                  <c:v>3.85</c:v>
                </c:pt>
                <c:pt idx="33">
                  <c:v>3.85</c:v>
                </c:pt>
                <c:pt idx="34">
                  <c:v>3.85</c:v>
                </c:pt>
                <c:pt idx="35">
                  <c:v>3.8</c:v>
                </c:pt>
                <c:pt idx="36">
                  <c:v>3.8</c:v>
                </c:pt>
                <c:pt idx="37">
                  <c:v>3.7</c:v>
                </c:pt>
                <c:pt idx="38">
                  <c:v>3.7</c:v>
                </c:pt>
                <c:pt idx="39">
                  <c:v>3.7</c:v>
                </c:pt>
                <c:pt idx="40">
                  <c:v>3.7</c:v>
                </c:pt>
                <c:pt idx="41">
                  <c:v>3.7</c:v>
                </c:pt>
                <c:pt idx="42">
                  <c:v>3.7</c:v>
                </c:pt>
                <c:pt idx="43">
                  <c:v>3.7</c:v>
                </c:pt>
                <c:pt idx="44" formatCode="0.00">
                  <c:v>3.65</c:v>
                </c:pt>
                <c:pt idx="45" formatCode="0.00">
                  <c:v>3.65</c:v>
                </c:pt>
                <c:pt idx="46" formatCode="0.00">
                  <c:v>3.65</c:v>
                </c:pt>
                <c:pt idx="47" formatCode="0.00">
                  <c:v>3.65</c:v>
                </c:pt>
                <c:pt idx="48" formatCode="0.00">
                  <c:v>3.65</c:v>
                </c:pt>
                <c:pt idx="49" formatCode="0.00">
                  <c:v>3.65</c:v>
                </c:pt>
                <c:pt idx="50" formatCode="0.00">
                  <c:v>3.65</c:v>
                </c:pt>
                <c:pt idx="51" formatCode="0.00">
                  <c:v>3.65</c:v>
                </c:pt>
                <c:pt idx="52" formatCode="0.00">
                  <c:v>3.65</c:v>
                </c:pt>
                <c:pt idx="53" formatCode="0.00">
                  <c:v>3.55</c:v>
                </c:pt>
                <c:pt idx="54">
                  <c:v>3.55</c:v>
                </c:pt>
                <c:pt idx="55">
                  <c:v>3.45</c:v>
                </c:pt>
                <c:pt idx="56">
                  <c:v>3.45</c:v>
                </c:pt>
                <c:pt idx="57" formatCode="0.0">
                  <c:v>3.45</c:v>
                </c:pt>
                <c:pt idx="58" formatCode="0.0">
                  <c:v>3.45</c:v>
                </c:pt>
                <c:pt idx="59" formatCode="0.0">
                  <c:v>3.45</c:v>
                </c:pt>
              </c:numCache>
            </c:numRef>
          </c:val>
          <c:smooth val="0"/>
          <c:extLst>
            <c:ext xmlns:c16="http://schemas.microsoft.com/office/drawing/2014/chart" uri="{C3380CC4-5D6E-409C-BE32-E72D297353CC}">
              <c16:uniqueId val="{00000001-B916-47BD-96F4-D4EE0652C8B6}"/>
            </c:ext>
          </c:extLst>
        </c:ser>
        <c:ser>
          <c:idx val="2"/>
          <c:order val="2"/>
          <c:tx>
            <c:strRef>
              <c:f>Sheet1!$F$1</c:f>
              <c:strCache>
                <c:ptCount val="1"/>
                <c:pt idx="0">
                  <c:v>ՌԴ</c:v>
                </c:pt>
              </c:strCache>
            </c:strRef>
          </c:tx>
          <c:spPr>
            <a:ln w="28575" cap="rnd">
              <a:solidFill>
                <a:srgbClr val="F79646">
                  <a:lumMod val="60000"/>
                  <a:lumOff val="40000"/>
                </a:srgbClr>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Sheet1!$F$2:$F$73</c:f>
              <c:numCache>
                <c:formatCode>General</c:formatCode>
                <c:ptCount val="60"/>
                <c:pt idx="0">
                  <c:v>7.75</c:v>
                </c:pt>
                <c:pt idx="1">
                  <c:v>7.75</c:v>
                </c:pt>
                <c:pt idx="2">
                  <c:v>7.75</c:v>
                </c:pt>
                <c:pt idx="3">
                  <c:v>7.75</c:v>
                </c:pt>
                <c:pt idx="4">
                  <c:v>7.75</c:v>
                </c:pt>
                <c:pt idx="5">
                  <c:v>7.5</c:v>
                </c:pt>
                <c:pt idx="6">
                  <c:v>7.5</c:v>
                </c:pt>
                <c:pt idx="7">
                  <c:v>7.25</c:v>
                </c:pt>
                <c:pt idx="8">
                  <c:v>7</c:v>
                </c:pt>
                <c:pt idx="9">
                  <c:v>7</c:v>
                </c:pt>
                <c:pt idx="10">
                  <c:v>6.5</c:v>
                </c:pt>
                <c:pt idx="11">
                  <c:v>6.25</c:v>
                </c:pt>
                <c:pt idx="12">
                  <c:v>6.25</c:v>
                </c:pt>
                <c:pt idx="13">
                  <c:v>6</c:v>
                </c:pt>
                <c:pt idx="14">
                  <c:v>6</c:v>
                </c:pt>
                <c:pt idx="15">
                  <c:v>6</c:v>
                </c:pt>
                <c:pt idx="16">
                  <c:v>5.5</c:v>
                </c:pt>
                <c:pt idx="17">
                  <c:v>5.5</c:v>
                </c:pt>
                <c:pt idx="18">
                  <c:v>4.5</c:v>
                </c:pt>
                <c:pt idx="19">
                  <c:v>4.25</c:v>
                </c:pt>
                <c:pt idx="20">
                  <c:v>4.25</c:v>
                </c:pt>
                <c:pt idx="21">
                  <c:v>4.25</c:v>
                </c:pt>
                <c:pt idx="22">
                  <c:v>4.25</c:v>
                </c:pt>
                <c:pt idx="23">
                  <c:v>4.25</c:v>
                </c:pt>
                <c:pt idx="24">
                  <c:v>4.25</c:v>
                </c:pt>
                <c:pt idx="25">
                  <c:v>4.25</c:v>
                </c:pt>
                <c:pt idx="26">
                  <c:v>4.25</c:v>
                </c:pt>
                <c:pt idx="27">
                  <c:v>4.5</c:v>
                </c:pt>
                <c:pt idx="28">
                  <c:v>5</c:v>
                </c:pt>
                <c:pt idx="29">
                  <c:v>5.5</c:v>
                </c:pt>
                <c:pt idx="30">
                  <c:v>5.5</c:v>
                </c:pt>
                <c:pt idx="31">
                  <c:v>6.5</c:v>
                </c:pt>
                <c:pt idx="32">
                  <c:v>6.75</c:v>
                </c:pt>
                <c:pt idx="33">
                  <c:v>6.75</c:v>
                </c:pt>
                <c:pt idx="34">
                  <c:v>7.5</c:v>
                </c:pt>
                <c:pt idx="35">
                  <c:v>8.5</c:v>
                </c:pt>
                <c:pt idx="36" formatCode="0.0">
                  <c:v>8.5</c:v>
                </c:pt>
                <c:pt idx="37" formatCode="0.0">
                  <c:v>9.5</c:v>
                </c:pt>
                <c:pt idx="38" formatCode="0.0">
                  <c:v>20</c:v>
                </c:pt>
                <c:pt idx="39" formatCode="0.0">
                  <c:v>17</c:v>
                </c:pt>
                <c:pt idx="40" formatCode="0.0">
                  <c:v>14</c:v>
                </c:pt>
                <c:pt idx="41" formatCode="0.0">
                  <c:v>11</c:v>
                </c:pt>
                <c:pt idx="42" formatCode="0.0">
                  <c:v>9.5</c:v>
                </c:pt>
                <c:pt idx="43" formatCode="0.0">
                  <c:v>8</c:v>
                </c:pt>
                <c:pt idx="44" formatCode="0.0">
                  <c:v>7.5</c:v>
                </c:pt>
                <c:pt idx="45" formatCode="0.0">
                  <c:v>7.5</c:v>
                </c:pt>
                <c:pt idx="46" formatCode="0.0">
                  <c:v>7.5</c:v>
                </c:pt>
                <c:pt idx="47" formatCode="0.0">
                  <c:v>7.5</c:v>
                </c:pt>
                <c:pt idx="48" formatCode="0.00">
                  <c:v>7.5</c:v>
                </c:pt>
                <c:pt idx="49" formatCode="0.00">
                  <c:v>7.5</c:v>
                </c:pt>
                <c:pt idx="50" formatCode="0.00">
                  <c:v>7.5</c:v>
                </c:pt>
                <c:pt idx="51" formatCode="0.00">
                  <c:v>7.5</c:v>
                </c:pt>
                <c:pt idx="52" formatCode="0.00">
                  <c:v>7.5</c:v>
                </c:pt>
                <c:pt idx="53" formatCode="0.00">
                  <c:v>7.5</c:v>
                </c:pt>
                <c:pt idx="54">
                  <c:v>8.5</c:v>
                </c:pt>
                <c:pt idx="55">
                  <c:v>12</c:v>
                </c:pt>
                <c:pt idx="56">
                  <c:v>13</c:v>
                </c:pt>
                <c:pt idx="57" formatCode="0.0">
                  <c:v>15</c:v>
                </c:pt>
                <c:pt idx="58" formatCode="0.0">
                  <c:v>15</c:v>
                </c:pt>
                <c:pt idx="59" formatCode="0.0">
                  <c:v>16</c:v>
                </c:pt>
              </c:numCache>
            </c:numRef>
          </c:val>
          <c:smooth val="0"/>
          <c:extLst>
            <c:ext xmlns:c16="http://schemas.microsoft.com/office/drawing/2014/chart" uri="{C3380CC4-5D6E-409C-BE32-E72D297353CC}">
              <c16:uniqueId val="{00000002-B916-47BD-96F4-D4EE0652C8B6}"/>
            </c:ext>
          </c:extLst>
        </c:ser>
        <c:ser>
          <c:idx val="3"/>
          <c:order val="3"/>
          <c:tx>
            <c:strRef>
              <c:f>Sheet1!$C$1</c:f>
              <c:strCache>
                <c:ptCount val="1"/>
                <c:pt idx="0">
                  <c:v>ԱՄՆ</c:v>
                </c:pt>
              </c:strCache>
            </c:strRef>
          </c:tx>
          <c:spPr>
            <a:ln>
              <a:solidFill>
                <a:srgbClr val="1F497D"/>
              </a:solidFill>
            </a:ln>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Sheet1!$C$14:$C$73</c:f>
              <c:numCache>
                <c:formatCode>General</c:formatCode>
                <c:ptCount val="60"/>
                <c:pt idx="0">
                  <c:v>2.4</c:v>
                </c:pt>
                <c:pt idx="1">
                  <c:v>2.4</c:v>
                </c:pt>
                <c:pt idx="2">
                  <c:v>2.4</c:v>
                </c:pt>
                <c:pt idx="3">
                  <c:v>2.4</c:v>
                </c:pt>
                <c:pt idx="4">
                  <c:v>2.4</c:v>
                </c:pt>
                <c:pt idx="5">
                  <c:v>2.4</c:v>
                </c:pt>
                <c:pt idx="6">
                  <c:v>2.4</c:v>
                </c:pt>
                <c:pt idx="7">
                  <c:v>2.1</c:v>
                </c:pt>
                <c:pt idx="8">
                  <c:v>1.9</c:v>
                </c:pt>
                <c:pt idx="9">
                  <c:v>1.9</c:v>
                </c:pt>
                <c:pt idx="10">
                  <c:v>1.6</c:v>
                </c:pt>
                <c:pt idx="11">
                  <c:v>1.6</c:v>
                </c:pt>
                <c:pt idx="12">
                  <c:v>1.6</c:v>
                </c:pt>
                <c:pt idx="13">
                  <c:v>1.6</c:v>
                </c:pt>
                <c:pt idx="14">
                  <c:v>1.1000000000000001</c:v>
                </c:pt>
                <c:pt idx="15">
                  <c:v>0.1</c:v>
                </c:pt>
                <c:pt idx="16">
                  <c:v>0.1</c:v>
                </c:pt>
                <c:pt idx="17">
                  <c:v>0.1</c:v>
                </c:pt>
                <c:pt idx="18">
                  <c:v>0.1</c:v>
                </c:pt>
                <c:pt idx="19">
                  <c:v>0.1</c:v>
                </c:pt>
                <c:pt idx="20">
                  <c:v>0.09</c:v>
                </c:pt>
                <c:pt idx="21">
                  <c:v>0.09</c:v>
                </c:pt>
                <c:pt idx="22">
                  <c:v>0.09</c:v>
                </c:pt>
                <c:pt idx="23">
                  <c:v>0.09</c:v>
                </c:pt>
                <c:pt idx="24">
                  <c:v>0.09</c:v>
                </c:pt>
                <c:pt idx="25">
                  <c:v>0.08</c:v>
                </c:pt>
                <c:pt idx="26">
                  <c:v>7.0000000000000007E-2</c:v>
                </c:pt>
                <c:pt idx="27">
                  <c:v>7.0000000000000007E-2</c:v>
                </c:pt>
                <c:pt idx="28">
                  <c:v>0.06</c:v>
                </c:pt>
                <c:pt idx="29">
                  <c:v>0.06</c:v>
                </c:pt>
                <c:pt idx="30">
                  <c:v>0.1</c:v>
                </c:pt>
                <c:pt idx="31">
                  <c:v>0.09</c:v>
                </c:pt>
                <c:pt idx="32">
                  <c:v>0.08</c:v>
                </c:pt>
                <c:pt idx="33">
                  <c:v>0.08</c:v>
                </c:pt>
                <c:pt idx="34">
                  <c:v>0.08</c:v>
                </c:pt>
                <c:pt idx="35">
                  <c:v>0.08</c:v>
                </c:pt>
                <c:pt idx="36">
                  <c:v>0.1</c:v>
                </c:pt>
                <c:pt idx="37">
                  <c:v>0.1</c:v>
                </c:pt>
                <c:pt idx="38">
                  <c:v>0.2</c:v>
                </c:pt>
                <c:pt idx="39">
                  <c:v>0.3</c:v>
                </c:pt>
                <c:pt idx="40">
                  <c:v>0.8</c:v>
                </c:pt>
                <c:pt idx="41">
                  <c:v>1.2</c:v>
                </c:pt>
                <c:pt idx="42">
                  <c:v>1.7</c:v>
                </c:pt>
                <c:pt idx="43">
                  <c:v>2.2999999999999998</c:v>
                </c:pt>
                <c:pt idx="44">
                  <c:v>2.6</c:v>
                </c:pt>
                <c:pt idx="45">
                  <c:v>3.1</c:v>
                </c:pt>
                <c:pt idx="46">
                  <c:v>3.8</c:v>
                </c:pt>
                <c:pt idx="47">
                  <c:v>4.0999999999999996</c:v>
                </c:pt>
                <c:pt idx="48" formatCode="0.00">
                  <c:v>4.3</c:v>
                </c:pt>
                <c:pt idx="49" formatCode="0.00">
                  <c:v>4.5999999999999996</c:v>
                </c:pt>
                <c:pt idx="50" formatCode="0.00">
                  <c:v>5</c:v>
                </c:pt>
                <c:pt idx="51" formatCode="0.00">
                  <c:v>5.25</c:v>
                </c:pt>
                <c:pt idx="52" formatCode="0.00">
                  <c:v>5.25</c:v>
                </c:pt>
                <c:pt idx="53" formatCode="0.00">
                  <c:v>5.25</c:v>
                </c:pt>
                <c:pt idx="54">
                  <c:v>5.5</c:v>
                </c:pt>
                <c:pt idx="55">
                  <c:v>5.5</c:v>
                </c:pt>
                <c:pt idx="56">
                  <c:v>5.5</c:v>
                </c:pt>
                <c:pt idx="57" formatCode="0.0">
                  <c:v>5.5</c:v>
                </c:pt>
                <c:pt idx="58" formatCode="0.0">
                  <c:v>5.5</c:v>
                </c:pt>
                <c:pt idx="59" formatCode="0.0">
                  <c:v>5.5</c:v>
                </c:pt>
              </c:numCache>
            </c:numRef>
          </c:val>
          <c:smooth val="0"/>
          <c:extLst>
            <c:ext xmlns:c16="http://schemas.microsoft.com/office/drawing/2014/chart" uri="{C3380CC4-5D6E-409C-BE32-E72D297353CC}">
              <c16:uniqueId val="{00000003-B916-47BD-96F4-D4EE0652C8B6}"/>
            </c:ext>
          </c:extLst>
        </c:ser>
        <c:dLbls>
          <c:showLegendKey val="0"/>
          <c:showVal val="0"/>
          <c:showCatName val="0"/>
          <c:showSerName val="0"/>
          <c:showPercent val="0"/>
          <c:showBubbleSize val="0"/>
        </c:dLbls>
        <c:smooth val="0"/>
        <c:axId val="126160000"/>
        <c:axId val="126155648"/>
      </c:lineChart>
      <c:catAx>
        <c:axId val="1261600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26155648"/>
        <c:crosses val="autoZero"/>
        <c:auto val="1"/>
        <c:lblAlgn val="ctr"/>
        <c:lblOffset val="100"/>
        <c:noMultiLvlLbl val="0"/>
      </c:catAx>
      <c:valAx>
        <c:axId val="126155648"/>
        <c:scaling>
          <c:orientation val="minMax"/>
          <c:max val="2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2616000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528633547672212"/>
          <c:y val="3.5226779206556008E-2"/>
          <c:w val="0.85358700104683449"/>
          <c:h val="0.67050869614060893"/>
        </c:manualLayout>
      </c:layout>
      <c:lineChart>
        <c:grouping val="standard"/>
        <c:varyColors val="0"/>
        <c:ser>
          <c:idx val="0"/>
          <c:order val="0"/>
          <c:tx>
            <c:strRef>
              <c:f>Sheet1!$A$2</c:f>
              <c:strCache>
                <c:ptCount val="1"/>
                <c:pt idx="0">
                  <c:v>12 ամսյա փոփոխություն, % </c:v>
                </c:pt>
              </c:strCache>
            </c:strRef>
          </c:tx>
          <c:spPr>
            <a:ln w="28511" cap="rnd">
              <a:solidFill>
                <a:srgbClr val="4F81BD">
                  <a:lumMod val="75000"/>
                </a:srgbClr>
              </a:solidFill>
              <a:round/>
            </a:ln>
            <a:effectLst/>
          </c:spPr>
          <c:marker>
            <c:symbol val="circle"/>
            <c:size val="4"/>
            <c:spPr>
              <a:solidFill>
                <a:srgbClr val="4F81BD">
                  <a:lumMod val="75000"/>
                </a:srgbClr>
              </a:solidFill>
              <a:ln w="9504">
                <a:solidFill>
                  <a:srgbClr val="4F81BD">
                    <a:lumMod val="75000"/>
                  </a:srgbClr>
                </a:solidFill>
              </a:ln>
              <a:effectLst/>
            </c:spPr>
          </c:marker>
          <c:dLbls>
            <c:spPr>
              <a:noFill/>
              <a:ln w="25343">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c:formatCode>
                <c:ptCount val="12"/>
                <c:pt idx="0">
                  <c:v>78.166050359993534</c:v>
                </c:pt>
                <c:pt idx="1">
                  <c:v>70.820244017571667</c:v>
                </c:pt>
                <c:pt idx="2">
                  <c:v>146.29905284030701</c:v>
                </c:pt>
                <c:pt idx="3">
                  <c:v>85.280311568266598</c:v>
                </c:pt>
                <c:pt idx="4">
                  <c:v>54.848888327017477</c:v>
                </c:pt>
                <c:pt idx="5">
                  <c:v>33.680338400033548</c:v>
                </c:pt>
                <c:pt idx="6">
                  <c:v>20.419125238133091</c:v>
                </c:pt>
                <c:pt idx="7">
                  <c:v>13.275679457972572</c:v>
                </c:pt>
                <c:pt idx="8">
                  <c:v>5.7917263918611468</c:v>
                </c:pt>
                <c:pt idx="9">
                  <c:v>24.748097371892413</c:v>
                </c:pt>
                <c:pt idx="10">
                  <c:v>25.506329808378325</c:v>
                </c:pt>
                <c:pt idx="11">
                  <c:v>33.184844057471139</c:v>
                </c:pt>
              </c:numCache>
            </c:numRef>
          </c:val>
          <c:smooth val="0"/>
          <c:extLst>
            <c:ext xmlns:c16="http://schemas.microsoft.com/office/drawing/2014/chart" uri="{C3380CC4-5D6E-409C-BE32-E72D297353CC}">
              <c16:uniqueId val="{00000000-85D5-4749-B0ED-7D8944CFF113}"/>
            </c:ext>
          </c:extLst>
        </c:ser>
        <c:ser>
          <c:idx val="1"/>
          <c:order val="1"/>
          <c:tx>
            <c:strRef>
              <c:f>Sheet1!$A$3</c:f>
              <c:strCache>
                <c:ptCount val="1"/>
                <c:pt idx="0">
                  <c:v>Կուտակային փոփոխություն, %</c:v>
                </c:pt>
              </c:strCache>
            </c:strRef>
          </c:tx>
          <c:spPr>
            <a:ln>
              <a:solidFill>
                <a:srgbClr val="F79646"/>
              </a:solidFill>
            </a:ln>
          </c:spPr>
          <c:marker>
            <c:spPr>
              <a:solidFill>
                <a:srgbClr val="F79646"/>
              </a:solidFill>
              <a:ln>
                <a:solidFill>
                  <a:srgbClr val="F79646"/>
                </a:solidFill>
              </a:ln>
            </c:spPr>
          </c:marker>
          <c:dLbls>
            <c:spPr>
              <a:noFill/>
              <a:ln w="25343">
                <a:noFill/>
              </a:ln>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c:formatCode>
                <c:ptCount val="12"/>
                <c:pt idx="0">
                  <c:v>78.194191582977808</c:v>
                </c:pt>
                <c:pt idx="1">
                  <c:v>74.217334231395142</c:v>
                </c:pt>
                <c:pt idx="2">
                  <c:v>97.877400035822305</c:v>
                </c:pt>
                <c:pt idx="3">
                  <c:v>94.431135800365368</c:v>
                </c:pt>
                <c:pt idx="4">
                  <c:v>84.177284873808915</c:v>
                </c:pt>
                <c:pt idx="5">
                  <c:v>72.988896508923091</c:v>
                </c:pt>
                <c:pt idx="6">
                  <c:v>63.1151240985931</c:v>
                </c:pt>
                <c:pt idx="7">
                  <c:v>54.051957497114877</c:v>
                </c:pt>
                <c:pt idx="8">
                  <c:v>46.591593108794001</c:v>
                </c:pt>
                <c:pt idx="9">
                  <c:v>43.49399896744093</c:v>
                </c:pt>
                <c:pt idx="10">
                  <c:v>41.182376906890063</c:v>
                </c:pt>
                <c:pt idx="11">
                  <c:v>40.248270764538759</c:v>
                </c:pt>
              </c:numCache>
            </c:numRef>
          </c:val>
          <c:smooth val="0"/>
          <c:extLst>
            <c:ext xmlns:c16="http://schemas.microsoft.com/office/drawing/2014/chart" uri="{C3380CC4-5D6E-409C-BE32-E72D297353CC}">
              <c16:uniqueId val="{00000001-85D5-4749-B0ED-7D8944CFF113}"/>
            </c:ext>
          </c:extLst>
        </c:ser>
        <c:dLbls>
          <c:showLegendKey val="0"/>
          <c:showVal val="0"/>
          <c:showCatName val="0"/>
          <c:showSerName val="0"/>
          <c:showPercent val="0"/>
          <c:showBubbleSize val="0"/>
        </c:dLbls>
        <c:marker val="1"/>
        <c:smooth val="0"/>
        <c:axId val="612014624"/>
        <c:axId val="1"/>
      </c:lineChart>
      <c:catAx>
        <c:axId val="612014624"/>
        <c:scaling>
          <c:orientation val="minMax"/>
        </c:scaling>
        <c:delete val="0"/>
        <c:axPos val="b"/>
        <c:numFmt formatCode="General" sourceLinked="1"/>
        <c:majorTickMark val="none"/>
        <c:minorTickMark val="none"/>
        <c:tickLblPos val="low"/>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min val="-30"/>
        </c:scaling>
        <c:delete val="0"/>
        <c:axPos val="l"/>
        <c:majorGridlines>
          <c:spPr>
            <a:ln w="9504" cap="flat" cmpd="sng" algn="ctr">
              <a:solidFill>
                <a:schemeClr val="tx1">
                  <a:lumMod val="15000"/>
                  <a:lumOff val="85000"/>
                </a:schemeClr>
              </a:solidFill>
              <a:round/>
            </a:ln>
            <a:effectLst/>
          </c:spPr>
        </c:majorGridlines>
        <c:numFmt formatCode="0" sourceLinked="1"/>
        <c:majorTickMark val="none"/>
        <c:minorTickMark val="none"/>
        <c:tickLblPos val="nextTo"/>
        <c:spPr>
          <a:ln w="6336">
            <a:noFill/>
          </a:ln>
        </c:spPr>
        <c:txPr>
          <a:bodyPr rot="-60000000" spcFirstLastPara="1" vertOverflow="ellipsis" vert="horz" wrap="square" anchor="ctr" anchorCtr="1"/>
          <a:lstStyle/>
          <a:p>
            <a:pPr>
              <a:defRPr sz="7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4624"/>
        <c:crosses val="autoZero"/>
        <c:crossBetween val="between"/>
        <c:majorUnit val="20"/>
      </c:valAx>
      <c:spPr>
        <a:solidFill>
          <a:sysClr val="window" lastClr="FFFFFF"/>
        </a:solidFill>
        <a:ln>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effectLst/>
      </c:spPr>
    </c:plotArea>
    <c:legend>
      <c:legendPos val="b"/>
      <c:layout>
        <c:manualLayout>
          <c:xMode val="edge"/>
          <c:yMode val="edge"/>
          <c:x val="1.7440822993101093E-2"/>
          <c:y val="0.83122785765139684"/>
          <c:w val="0.97802166370070609"/>
          <c:h val="0.15056180730445134"/>
        </c:manualLayout>
      </c:layout>
      <c:overlay val="0"/>
      <c:spPr>
        <a:noFill/>
        <a:ln w="25343">
          <a:noFill/>
        </a:ln>
      </c:spPr>
      <c:txPr>
        <a:bodyPr rot="0" spcFirstLastPara="1" vertOverflow="ellipsis" vert="horz" wrap="square" anchor="ctr" anchorCtr="1"/>
        <a:lstStyle/>
        <a:p>
          <a:pPr>
            <a:defRPr sz="898">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04" cap="flat" cmpd="sng" algn="ctr">
      <a:solidFill>
        <a:sysClr val="window" lastClr="FFFFFF">
          <a:lumMod val="85000"/>
        </a:sysClr>
      </a:solidFill>
      <a:round/>
    </a:ln>
    <a:effectLst/>
  </c:spPr>
  <c:txPr>
    <a:bodyPr/>
    <a:lstStyle/>
    <a:p>
      <a:pPr>
        <a:defRPr sz="798">
          <a:latin typeface="GHEA Grapalat" panose="02000506050000020003" pitchFamily="50" charset="0"/>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639554902904017"/>
          <c:y val="3.7666528526039522E-2"/>
          <c:w val="0.85198401144390712"/>
          <c:h val="0.64598915407947544"/>
        </c:manualLayout>
      </c:layout>
      <c:lineChart>
        <c:grouping val="standard"/>
        <c:varyColors val="0"/>
        <c:ser>
          <c:idx val="0"/>
          <c:order val="0"/>
          <c:tx>
            <c:strRef>
              <c:f>Sheet1!$A$2</c:f>
              <c:strCache>
                <c:ptCount val="1"/>
                <c:pt idx="0">
                  <c:v>Իրական փոփոխությունը (կուտակային)</c:v>
                </c:pt>
              </c:strCache>
            </c:strRef>
          </c:tx>
          <c:spPr>
            <a:ln w="28511" cap="rnd">
              <a:solidFill>
                <a:srgbClr val="4F81BD">
                  <a:lumMod val="75000"/>
                </a:srgbClr>
              </a:solidFill>
              <a:round/>
            </a:ln>
            <a:effectLst/>
          </c:spPr>
          <c:marker>
            <c:symbol val="circle"/>
            <c:size val="4"/>
            <c:spPr>
              <a:solidFill>
                <a:srgbClr val="4F81BD">
                  <a:lumMod val="75000"/>
                </a:srgbClr>
              </a:solidFill>
              <a:ln w="9504">
                <a:solidFill>
                  <a:srgbClr val="4F81BD">
                    <a:lumMod val="75000"/>
                  </a:srgbClr>
                </a:solidFill>
              </a:ln>
              <a:effectLst/>
            </c:spPr>
          </c:marker>
          <c:dLbls>
            <c:spPr>
              <a:noFill/>
              <a:ln w="25343">
                <a:noFill/>
              </a:ln>
            </c:spPr>
            <c:txPr>
              <a:bodyPr/>
              <a:lstStyle/>
              <a:p>
                <a:pPr>
                  <a:defRPr sz="800"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Sheet1!$B$2:$M$2</c:f>
              <c:numCache>
                <c:formatCode>0</c:formatCode>
                <c:ptCount val="12"/>
                <c:pt idx="0">
                  <c:v>52.428027781769515</c:v>
                </c:pt>
                <c:pt idx="1">
                  <c:v>47.498078567364587</c:v>
                </c:pt>
                <c:pt idx="2">
                  <c:v>71.116633304436931</c:v>
                </c:pt>
                <c:pt idx="3">
                  <c:v>71.956120835844104</c:v>
                </c:pt>
                <c:pt idx="4">
                  <c:v>67.1003984741088</c:v>
                </c:pt>
                <c:pt idx="5">
                  <c:v>60.788847258671325</c:v>
                </c:pt>
                <c:pt idx="6">
                  <c:v>54.814464718987352</c:v>
                </c:pt>
                <c:pt idx="7">
                  <c:v>48.536066796642046</c:v>
                </c:pt>
                <c:pt idx="8">
                  <c:v>42.805068696085868</c:v>
                </c:pt>
                <c:pt idx="9">
                  <c:v>40.993316889030183</c:v>
                </c:pt>
                <c:pt idx="10">
                  <c:v>39.613308139984781</c:v>
                </c:pt>
                <c:pt idx="11">
                  <c:v>38.656252389418768</c:v>
                </c:pt>
              </c:numCache>
            </c:numRef>
          </c:val>
          <c:smooth val="0"/>
          <c:extLst>
            <c:ext xmlns:c16="http://schemas.microsoft.com/office/drawing/2014/chart" uri="{C3380CC4-5D6E-409C-BE32-E72D297353CC}">
              <c16:uniqueId val="{00000000-8277-4695-9E87-DDF36F1EA4A5}"/>
            </c:ext>
          </c:extLst>
        </c:ser>
        <c:ser>
          <c:idx val="1"/>
          <c:order val="1"/>
          <c:tx>
            <c:strRef>
              <c:f>Sheet1!$A$3</c:f>
              <c:strCache>
                <c:ptCount val="1"/>
                <c:pt idx="0">
                  <c:v>Գնային փոփոխություն (կուտակային)</c:v>
                </c:pt>
              </c:strCache>
            </c:strRef>
          </c:tx>
          <c:spPr>
            <a:ln>
              <a:solidFill>
                <a:srgbClr val="F79646"/>
              </a:solidFill>
            </a:ln>
          </c:spPr>
          <c:marker>
            <c:spPr>
              <a:solidFill>
                <a:srgbClr val="F79646"/>
              </a:solidFill>
              <a:ln>
                <a:solidFill>
                  <a:srgbClr val="F79646"/>
                </a:solidFill>
              </a:ln>
            </c:spPr>
          </c:marker>
          <c:dLbls>
            <c:spPr>
              <a:noFill/>
              <a:ln w="25343">
                <a:noFill/>
              </a:ln>
            </c:spPr>
            <c:txPr>
              <a:bodyPr wrap="square" lIns="38100" tIns="19050" rIns="38100" bIns="19050" anchor="ctr">
                <a:spAutoFit/>
              </a:bodyPr>
              <a:lstStyle/>
              <a:p>
                <a:pPr>
                  <a:defRPr sz="800"/>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Sheet1!$B$3:$M$3</c:f>
              <c:numCache>
                <c:formatCode>0</c:formatCode>
                <c:ptCount val="12"/>
                <c:pt idx="0">
                  <c:v>-3.9665590949587397</c:v>
                </c:pt>
                <c:pt idx="1">
                  <c:v>-3.1074870684429214</c:v>
                </c:pt>
                <c:pt idx="2">
                  <c:v>-6.662471063199547</c:v>
                </c:pt>
                <c:pt idx="3">
                  <c:v>-8.29162823143119</c:v>
                </c:pt>
                <c:pt idx="4">
                  <c:v>-9.8522855516363137</c:v>
                </c:pt>
                <c:pt idx="5">
                  <c:v>-10.436515162478713</c:v>
                </c:pt>
                <c:pt idx="6">
                  <c:v>-10.837917024187234</c:v>
                </c:pt>
                <c:pt idx="7">
                  <c:v>-11.008409709448742</c:v>
                </c:pt>
                <c:pt idx="8">
                  <c:v>-11.007219904923332</c:v>
                </c:pt>
                <c:pt idx="9">
                  <c:v>-10.502774843732553</c:v>
                </c:pt>
                <c:pt idx="10">
                  <c:v>-9.9269608495327333</c:v>
                </c:pt>
                <c:pt idx="11">
                  <c:v>-8.8790167192389191</c:v>
                </c:pt>
              </c:numCache>
            </c:numRef>
          </c:val>
          <c:smooth val="0"/>
          <c:extLst>
            <c:ext xmlns:c16="http://schemas.microsoft.com/office/drawing/2014/chart" uri="{C3380CC4-5D6E-409C-BE32-E72D297353CC}">
              <c16:uniqueId val="{00000001-8277-4695-9E87-DDF36F1EA4A5}"/>
            </c:ext>
          </c:extLst>
        </c:ser>
        <c:ser>
          <c:idx val="2"/>
          <c:order val="2"/>
          <c:tx>
            <c:strRef>
              <c:f>Sheet1!$A$4</c:f>
              <c:strCache>
                <c:ptCount val="1"/>
                <c:pt idx="0">
                  <c:v>Փոխարժեքի փոփոխություն (կուտակային)</c:v>
                </c:pt>
              </c:strCache>
            </c:strRef>
          </c:tx>
          <c:dLbls>
            <c:spPr>
              <a:noFill/>
              <a:ln w="25343">
                <a:noFill/>
              </a:ln>
            </c:spPr>
            <c:txPr>
              <a:bodyPr wrap="square" lIns="38100" tIns="19050" rIns="38100" bIns="19050" anchor="ctr">
                <a:spAutoFit/>
              </a:bodyPr>
              <a:lstStyle/>
              <a:p>
                <a:pPr>
                  <a:defRPr sz="8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Sheet1!$B$1:$M$1</c:f>
              <c:strCache>
                <c:ptCount val="12"/>
                <c:pt idx="0">
                  <c:v>1</c:v>
                </c:pt>
                <c:pt idx="1">
                  <c:v>2</c:v>
                </c:pt>
                <c:pt idx="2">
                  <c:v>3</c:v>
                </c:pt>
                <c:pt idx="3">
                  <c:v>4</c:v>
                </c:pt>
                <c:pt idx="4">
                  <c:v>5</c:v>
                </c:pt>
                <c:pt idx="5">
                  <c:v>6</c:v>
                </c:pt>
                <c:pt idx="6">
                  <c:v>7</c:v>
                </c:pt>
                <c:pt idx="7">
                  <c:v>8</c:v>
                </c:pt>
                <c:pt idx="8">
                  <c:v>9</c:v>
                </c:pt>
                <c:pt idx="9">
                  <c:v>10</c:v>
                </c:pt>
                <c:pt idx="10">
                  <c:v>11</c:v>
                </c:pt>
                <c:pt idx="11">
                  <c:v>12</c:v>
                </c:pt>
              </c:strCache>
            </c:strRef>
          </c:cat>
          <c:val>
            <c:numRef>
              <c:f>Sheet1!$B$4:$M$4</c:f>
              <c:numCache>
                <c:formatCode>0</c:formatCode>
                <c:ptCount val="12"/>
                <c:pt idx="0">
                  <c:v>21.748465482836153</c:v>
                </c:pt>
                <c:pt idx="1">
                  <c:v>21.903108926444887</c:v>
                </c:pt>
                <c:pt idx="2">
                  <c:v>23.893256805175866</c:v>
                </c:pt>
                <c:pt idx="3">
                  <c:v>23.293218866574691</c:v>
                </c:pt>
                <c:pt idx="4">
                  <c:v>22.265480922913</c:v>
                </c:pt>
                <c:pt idx="5">
                  <c:v>20.124425440940684</c:v>
                </c:pt>
                <c:pt idx="6">
                  <c:v>18.168708651189448</c:v>
                </c:pt>
                <c:pt idx="7">
                  <c:v>16.543037673632327</c:v>
                </c:pt>
                <c:pt idx="8">
                  <c:v>15.34815915847247</c:v>
                </c:pt>
                <c:pt idx="9">
                  <c:v>13.717064721361709</c:v>
                </c:pt>
                <c:pt idx="10">
                  <c:v>12.268741652633423</c:v>
                </c:pt>
                <c:pt idx="11">
                  <c:v>11.004263523096938</c:v>
                </c:pt>
              </c:numCache>
            </c:numRef>
          </c:val>
          <c:smooth val="0"/>
          <c:extLst>
            <c:ext xmlns:c16="http://schemas.microsoft.com/office/drawing/2014/chart" uri="{C3380CC4-5D6E-409C-BE32-E72D297353CC}">
              <c16:uniqueId val="{00000002-8277-4695-9E87-DDF36F1EA4A5}"/>
            </c:ext>
          </c:extLst>
        </c:ser>
        <c:dLbls>
          <c:showLegendKey val="0"/>
          <c:showVal val="0"/>
          <c:showCatName val="0"/>
          <c:showSerName val="0"/>
          <c:showPercent val="0"/>
          <c:showBubbleSize val="0"/>
        </c:dLbls>
        <c:marker val="1"/>
        <c:smooth val="0"/>
        <c:axId val="612017952"/>
        <c:axId val="1"/>
      </c:lineChart>
      <c:catAx>
        <c:axId val="612017952"/>
        <c:scaling>
          <c:orientation val="minMax"/>
        </c:scaling>
        <c:delete val="0"/>
        <c:axPos val="b"/>
        <c:numFmt formatCode="General" sourceLinked="1"/>
        <c:majorTickMark val="none"/>
        <c:minorTickMark val="none"/>
        <c:tickLblPos val="low"/>
        <c:spPr>
          <a:noFill/>
          <a:ln w="9504"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04" cap="flat" cmpd="sng" algn="ctr">
              <a:solidFill>
                <a:schemeClr val="tx1">
                  <a:lumMod val="15000"/>
                  <a:lumOff val="85000"/>
                </a:schemeClr>
              </a:solidFill>
              <a:round/>
            </a:ln>
            <a:effectLst/>
          </c:spPr>
        </c:majorGridlines>
        <c:numFmt formatCode="0" sourceLinked="1"/>
        <c:majorTickMark val="none"/>
        <c:minorTickMark val="none"/>
        <c:tickLblPos val="nextTo"/>
        <c:spPr>
          <a:ln w="6336">
            <a:noFill/>
          </a:ln>
        </c:spPr>
        <c:txPr>
          <a:bodyPr rot="-60000000" spcFirstLastPara="1" vertOverflow="ellipsis" vert="horz" wrap="square" anchor="ctr" anchorCtr="1"/>
          <a:lstStyle/>
          <a:p>
            <a:pPr>
              <a:defRPr sz="7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7952"/>
        <c:crosses val="autoZero"/>
        <c:crossBetween val="between"/>
        <c:majorUnit val="20"/>
      </c:valAx>
      <c:spPr>
        <a:solidFill>
          <a:sysClr val="window" lastClr="FFFFFF"/>
        </a:solidFill>
        <a:ln>
          <a:noFill/>
        </a:ln>
        <a:effectLst/>
      </c:spPr>
    </c:plotArea>
    <c:legend>
      <c:legendPos val="b"/>
      <c:layout>
        <c:manualLayout>
          <c:xMode val="edge"/>
          <c:yMode val="edge"/>
          <c:x val="0"/>
          <c:y val="0.82420308797432706"/>
          <c:w val="1"/>
          <c:h val="0.17579691202567294"/>
        </c:manualLayout>
      </c:layout>
      <c:overlay val="0"/>
      <c:spPr>
        <a:noFill/>
        <a:ln w="25343">
          <a:noFill/>
        </a:ln>
      </c:spPr>
      <c:txPr>
        <a:bodyPr rot="0" spcFirstLastPara="1" vertOverflow="ellipsis" vert="horz" wrap="square" anchor="ctr" anchorCtr="1"/>
        <a:lstStyle/>
        <a:p>
          <a:pPr>
            <a:defRPr sz="798"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04" cap="flat" cmpd="sng" algn="ctr">
      <a:solidFill>
        <a:sysClr val="window" lastClr="FFFFFF">
          <a:lumMod val="85000"/>
        </a:sysClr>
      </a:solidFill>
      <a:round/>
    </a:ln>
    <a:effectLst/>
  </c:spPr>
  <c:txPr>
    <a:bodyPr/>
    <a:lstStyle/>
    <a:p>
      <a:pPr>
        <a:defRPr sz="798">
          <a:latin typeface="GHEA Grapalat" panose="02000506050000020003" pitchFamily="50" charset="0"/>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2019</c:v>
                </c:pt>
              </c:strCache>
            </c:strRef>
          </c:tx>
          <c:spPr>
            <a:solidFill>
              <a:schemeClr val="accent1">
                <a:lumMod val="60000"/>
                <a:lumOff val="40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Sheet1!$B$2:$B$4</c:f>
              <c:numCache>
                <c:formatCode>0</c:formatCode>
                <c:ptCount val="3"/>
                <c:pt idx="0">
                  <c:v>1894.377</c:v>
                </c:pt>
                <c:pt idx="1">
                  <c:v>430.02357899999998</c:v>
                </c:pt>
                <c:pt idx="2">
                  <c:v>1464.353421</c:v>
                </c:pt>
              </c:numCache>
            </c:numRef>
          </c:val>
          <c:extLst>
            <c:ext xmlns:c16="http://schemas.microsoft.com/office/drawing/2014/chart" uri="{C3380CC4-5D6E-409C-BE32-E72D297353CC}">
              <c16:uniqueId val="{00000000-E74C-4508-9285-A3C344E47389}"/>
            </c:ext>
          </c:extLst>
        </c:ser>
        <c:ser>
          <c:idx val="1"/>
          <c:order val="1"/>
          <c:tx>
            <c:strRef>
              <c:f>Sheet1!$C$1</c:f>
              <c:strCache>
                <c:ptCount val="1"/>
                <c:pt idx="0">
                  <c:v>2020</c:v>
                </c:pt>
              </c:strCache>
            </c:strRef>
          </c:tx>
          <c:spPr>
            <a:solidFill>
              <a:schemeClr val="accent1">
                <a:lumMod val="75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Sheet1!$C$2:$C$4</c:f>
              <c:numCache>
                <c:formatCode>0</c:formatCode>
                <c:ptCount val="3"/>
                <c:pt idx="0">
                  <c:v>375.21600000000001</c:v>
                </c:pt>
                <c:pt idx="1">
                  <c:v>146.33424000000002</c:v>
                </c:pt>
                <c:pt idx="2">
                  <c:v>228.88175999999999</c:v>
                </c:pt>
              </c:numCache>
            </c:numRef>
          </c:val>
          <c:extLst>
            <c:ext xmlns:c16="http://schemas.microsoft.com/office/drawing/2014/chart" uri="{C3380CC4-5D6E-409C-BE32-E72D297353CC}">
              <c16:uniqueId val="{00000001-E74C-4508-9285-A3C344E47389}"/>
            </c:ext>
          </c:extLst>
        </c:ser>
        <c:ser>
          <c:idx val="2"/>
          <c:order val="2"/>
          <c:tx>
            <c:strRef>
              <c:f>Sheet1!$D$1</c:f>
              <c:strCache>
                <c:ptCount val="1"/>
                <c:pt idx="0">
                  <c:v>2021</c:v>
                </c:pt>
              </c:strCache>
            </c:strRef>
          </c:tx>
          <c:spPr>
            <a:solidFill>
              <a:schemeClr val="bg1">
                <a:lumMod val="75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Sheet1!$D$2:$D$4</c:f>
              <c:numCache>
                <c:formatCode>0</c:formatCode>
                <c:ptCount val="3"/>
                <c:pt idx="0">
                  <c:v>875.77200000000005</c:v>
                </c:pt>
                <c:pt idx="1">
                  <c:v>351.80099999999999</c:v>
                </c:pt>
                <c:pt idx="2">
                  <c:v>523.971</c:v>
                </c:pt>
              </c:numCache>
            </c:numRef>
          </c:val>
          <c:extLst>
            <c:ext xmlns:c16="http://schemas.microsoft.com/office/drawing/2014/chart" uri="{C3380CC4-5D6E-409C-BE32-E72D297353CC}">
              <c16:uniqueId val="{00000002-E74C-4508-9285-A3C344E47389}"/>
            </c:ext>
          </c:extLst>
        </c:ser>
        <c:ser>
          <c:idx val="3"/>
          <c:order val="3"/>
          <c:tx>
            <c:strRef>
              <c:f>Sheet1!$E$1</c:f>
              <c:strCache>
                <c:ptCount val="1"/>
                <c:pt idx="0">
                  <c:v>2022</c:v>
                </c:pt>
              </c:strCache>
            </c:strRef>
          </c:tx>
          <c:spPr>
            <a:solidFill>
              <a:schemeClr val="accent6">
                <a:lumMod val="60000"/>
                <a:lumOff val="40000"/>
              </a:schemeClr>
            </a:solidFill>
            <a:ln>
              <a:noFill/>
            </a:ln>
            <a:effectLst/>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Sheet1!$E$2:$E$4</c:f>
              <c:numCache>
                <c:formatCode>0</c:formatCode>
                <c:ptCount val="3"/>
                <c:pt idx="0">
                  <c:v>1665.6579999999999</c:v>
                </c:pt>
                <c:pt idx="1">
                  <c:v>790.39700000000005</c:v>
                </c:pt>
                <c:pt idx="2">
                  <c:v>875.26099999999985</c:v>
                </c:pt>
              </c:numCache>
            </c:numRef>
          </c:val>
          <c:extLst>
            <c:ext xmlns:c16="http://schemas.microsoft.com/office/drawing/2014/chart" uri="{C3380CC4-5D6E-409C-BE32-E72D297353CC}">
              <c16:uniqueId val="{00000003-E74C-4508-9285-A3C344E47389}"/>
            </c:ext>
          </c:extLst>
        </c:ser>
        <c:ser>
          <c:idx val="4"/>
          <c:order val="4"/>
          <c:tx>
            <c:strRef>
              <c:f>Sheet1!$F$1</c:f>
              <c:strCache>
                <c:ptCount val="1"/>
                <c:pt idx="0">
                  <c:v>2023</c:v>
                </c:pt>
              </c:strCache>
            </c:strRef>
          </c:tx>
          <c:spPr>
            <a:solidFill>
              <a:srgbClr val="4BACC6"/>
            </a:solidFill>
            <a:ln w="25394">
              <a:noFill/>
            </a:ln>
          </c:spPr>
          <c:invertIfNegative val="0"/>
          <c:dLbls>
            <c:spPr>
              <a:noFill/>
              <a:ln w="25394">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Ընդհանուր</c:v>
                </c:pt>
                <c:pt idx="1">
                  <c:v>ՌԴ </c:v>
                </c:pt>
                <c:pt idx="2">
                  <c:v>Այլ երկրներ</c:v>
                </c:pt>
              </c:strCache>
            </c:strRef>
          </c:cat>
          <c:val>
            <c:numRef>
              <c:f>Sheet1!$F$2:$F$4</c:f>
              <c:numCache>
                <c:formatCode>0</c:formatCode>
                <c:ptCount val="3"/>
                <c:pt idx="0">
                  <c:v>2316.6660000000002</c:v>
                </c:pt>
                <c:pt idx="1">
                  <c:v>1139.8530000000001</c:v>
                </c:pt>
                <c:pt idx="2">
                  <c:v>1176.8130000000001</c:v>
                </c:pt>
              </c:numCache>
            </c:numRef>
          </c:val>
          <c:extLst>
            <c:ext xmlns:c16="http://schemas.microsoft.com/office/drawing/2014/chart" uri="{C3380CC4-5D6E-409C-BE32-E72D297353CC}">
              <c16:uniqueId val="{00000004-E74C-4508-9285-A3C344E47389}"/>
            </c:ext>
          </c:extLst>
        </c:ser>
        <c:dLbls>
          <c:showLegendKey val="0"/>
          <c:showVal val="0"/>
          <c:showCatName val="0"/>
          <c:showSerName val="0"/>
          <c:showPercent val="0"/>
          <c:showBubbleSize val="0"/>
        </c:dLbls>
        <c:gapWidth val="219"/>
        <c:overlap val="-27"/>
        <c:axId val="612018784"/>
        <c:axId val="1"/>
      </c:barChart>
      <c:catAx>
        <c:axId val="612018784"/>
        <c:scaling>
          <c:orientation val="minMax"/>
        </c:scaling>
        <c:delete val="0"/>
        <c:axPos val="b"/>
        <c:numFmt formatCode="General" sourceLinked="1"/>
        <c:majorTickMark val="none"/>
        <c:minorTickMark val="none"/>
        <c:tickLblPos val="nextTo"/>
        <c:spPr>
          <a:noFill/>
          <a:ln w="9523"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3" cap="flat" cmpd="sng" algn="ctr">
              <a:solidFill>
                <a:schemeClr val="tx1">
                  <a:lumMod val="15000"/>
                  <a:lumOff val="85000"/>
                </a:schemeClr>
              </a:solidFill>
              <a:round/>
            </a:ln>
            <a:effectLst/>
          </c:spPr>
        </c:majorGridlines>
        <c:numFmt formatCode="0" sourceLinked="1"/>
        <c:majorTickMark val="none"/>
        <c:minorTickMark val="none"/>
        <c:tickLblPos val="nextTo"/>
        <c:spPr>
          <a:ln w="9523">
            <a:noFill/>
          </a:ln>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8784"/>
        <c:crosses val="autoZero"/>
        <c:crossBetween val="between"/>
      </c:valAx>
      <c:spPr>
        <a:noFill/>
        <a:ln w="25394">
          <a:noFill/>
        </a:ln>
      </c:spPr>
    </c:plotArea>
    <c:legend>
      <c:legendPos val="b"/>
      <c:overlay val="0"/>
      <c:spPr>
        <a:noFill/>
        <a:ln w="25394">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3"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09816876338732"/>
          <c:y val="9.1269841269841265E-2"/>
          <c:w val="0.85643889341418533"/>
          <c:h val="0.74242302029319507"/>
        </c:manualLayout>
      </c:layout>
      <c:barChart>
        <c:barDir val="col"/>
        <c:grouping val="stacked"/>
        <c:varyColors val="0"/>
        <c:ser>
          <c:idx val="1"/>
          <c:order val="1"/>
          <c:tx>
            <c:strRef>
              <c:f>Sheet1!$D$1</c:f>
              <c:strCache>
                <c:ptCount val="1"/>
                <c:pt idx="0">
                  <c:v>ՌԴ</c:v>
                </c:pt>
              </c:strCache>
            </c:strRef>
          </c:tx>
          <c:spPr>
            <a:solidFill>
              <a:srgbClr val="4F81BD">
                <a:lumMod val="75000"/>
              </a:srgbClr>
            </a:solidFill>
            <a:ln>
              <a:noFill/>
            </a:ln>
            <a:effectLst/>
          </c:spPr>
          <c:invertIfNegative val="0"/>
          <c:cat>
            <c:multiLvlStrRef>
              <c:f>Sheet1!$A$1:$B$25</c:f>
              <c:multiLvlStrCache>
                <c:ptCount val="21"/>
                <c:lvl>
                  <c:pt idx="0">
                    <c:v>Column1</c:v>
                  </c:pt>
                  <c:pt idx="1">
                    <c:v>I</c:v>
                  </c:pt>
                  <c:pt idx="2">
                    <c:v>II</c:v>
                  </c:pt>
                  <c:pt idx="3">
                    <c:v>III</c:v>
                  </c:pt>
                  <c:pt idx="4">
                    <c:v>IV</c:v>
                  </c:pt>
                  <c:pt idx="5">
                    <c:v>I</c:v>
                  </c:pt>
                  <c:pt idx="6">
                    <c:v>II</c:v>
                  </c:pt>
                  <c:pt idx="7">
                    <c:v>III</c:v>
                  </c:pt>
                  <c:pt idx="8">
                    <c:v>IV</c:v>
                  </c:pt>
                  <c:pt idx="9">
                    <c:v>I</c:v>
                  </c:pt>
                  <c:pt idx="10">
                    <c:v>II</c:v>
                  </c:pt>
                  <c:pt idx="11">
                    <c:v>III</c:v>
                  </c:pt>
                  <c:pt idx="12">
                    <c:v>IV</c:v>
                  </c:pt>
                  <c:pt idx="13">
                    <c:v>I</c:v>
                  </c:pt>
                  <c:pt idx="14">
                    <c:v>II</c:v>
                  </c:pt>
                  <c:pt idx="15">
                    <c:v>III</c:v>
                  </c:pt>
                  <c:pt idx="16">
                    <c:v>IV</c:v>
                  </c:pt>
                  <c:pt idx="17">
                    <c:v>I</c:v>
                  </c:pt>
                  <c:pt idx="18">
                    <c:v>II</c:v>
                  </c:pt>
                  <c:pt idx="19">
                    <c:v>III</c:v>
                  </c:pt>
                  <c:pt idx="20">
                    <c:v>IV</c:v>
                  </c:pt>
                </c:lvl>
                <c:lvl>
                  <c:pt idx="1">
                    <c:v>2019</c:v>
                  </c:pt>
                  <c:pt idx="5">
                    <c:v>2020</c:v>
                  </c:pt>
                  <c:pt idx="9">
                    <c:v>2021</c:v>
                  </c:pt>
                  <c:pt idx="13">
                    <c:v>2022</c:v>
                  </c:pt>
                  <c:pt idx="17">
                    <c:v>2023</c:v>
                  </c:pt>
                </c:lvl>
              </c:multiLvlStrCache>
            </c:multiLvlStrRef>
          </c:cat>
          <c:val>
            <c:numRef>
              <c:f>Sheet1!$D$2:$D$25</c:f>
              <c:numCache>
                <c:formatCode>0.0</c:formatCode>
                <c:ptCount val="20"/>
                <c:pt idx="0">
                  <c:v>75.906300000000002</c:v>
                </c:pt>
                <c:pt idx="1">
                  <c:v>160.00910000000002</c:v>
                </c:pt>
                <c:pt idx="2">
                  <c:v>239.61420999999999</c:v>
                </c:pt>
                <c:pt idx="3">
                  <c:v>154.12681000000001</c:v>
                </c:pt>
                <c:pt idx="4">
                  <c:v>77.714060000000003</c:v>
                </c:pt>
                <c:pt idx="5">
                  <c:v>50.1432</c:v>
                </c:pt>
                <c:pt idx="6">
                  <c:v>114.17736000000001</c:v>
                </c:pt>
                <c:pt idx="7">
                  <c:v>122.73272</c:v>
                </c:pt>
                <c:pt idx="8">
                  <c:v>67.980919999999998</c:v>
                </c:pt>
                <c:pt idx="9">
                  <c:v>118.7869</c:v>
                </c:pt>
                <c:pt idx="10">
                  <c:v>158.30554999999998</c:v>
                </c:pt>
                <c:pt idx="11">
                  <c:v>118.69959999999998</c:v>
                </c:pt>
                <c:pt idx="12">
                  <c:v>118.26725</c:v>
                </c:pt>
                <c:pt idx="13">
                  <c:v>814.20412999999996</c:v>
                </c:pt>
                <c:pt idx="14">
                  <c:v>1090.5065999999999</c:v>
                </c:pt>
                <c:pt idx="15">
                  <c:v>1122.2293199999999</c:v>
                </c:pt>
                <c:pt idx="16">
                  <c:v>1079.4368399999998</c:v>
                </c:pt>
                <c:pt idx="17">
                  <c:v>709.71907999999996</c:v>
                </c:pt>
                <c:pt idx="18">
                  <c:v>707.88398000000007</c:v>
                </c:pt>
                <c:pt idx="19" formatCode="_(* #,##0_);_(* \(#,##0\);_(* &quot;-&quot;??_);_(@_)">
                  <c:v>807.40522999999996</c:v>
                </c:pt>
              </c:numCache>
            </c:numRef>
          </c:val>
          <c:extLst>
            <c:ext xmlns:c16="http://schemas.microsoft.com/office/drawing/2014/chart" uri="{C3380CC4-5D6E-409C-BE32-E72D297353CC}">
              <c16:uniqueId val="{00000000-1D5A-4994-A320-1BD2C9E8FE4F}"/>
            </c:ext>
          </c:extLst>
        </c:ser>
        <c:ser>
          <c:idx val="2"/>
          <c:order val="2"/>
          <c:tx>
            <c:strRef>
              <c:f>Sheet1!$E$1</c:f>
              <c:strCache>
                <c:ptCount val="1"/>
                <c:pt idx="0">
                  <c:v>Այլ</c:v>
                </c:pt>
              </c:strCache>
            </c:strRef>
          </c:tx>
          <c:spPr>
            <a:solidFill>
              <a:sysClr val="window" lastClr="FFFFFF">
                <a:lumMod val="65000"/>
              </a:sysClr>
            </a:solidFill>
            <a:ln>
              <a:noFill/>
            </a:ln>
            <a:effectLst/>
          </c:spPr>
          <c:invertIfNegative val="0"/>
          <c:cat>
            <c:multiLvlStrRef>
              <c:f>Sheet1!$A$1:$B$25</c:f>
              <c:multiLvlStrCache>
                <c:ptCount val="21"/>
                <c:lvl>
                  <c:pt idx="0">
                    <c:v>Column1</c:v>
                  </c:pt>
                  <c:pt idx="1">
                    <c:v>I</c:v>
                  </c:pt>
                  <c:pt idx="2">
                    <c:v>II</c:v>
                  </c:pt>
                  <c:pt idx="3">
                    <c:v>III</c:v>
                  </c:pt>
                  <c:pt idx="4">
                    <c:v>IV</c:v>
                  </c:pt>
                  <c:pt idx="5">
                    <c:v>I</c:v>
                  </c:pt>
                  <c:pt idx="6">
                    <c:v>II</c:v>
                  </c:pt>
                  <c:pt idx="7">
                    <c:v>III</c:v>
                  </c:pt>
                  <c:pt idx="8">
                    <c:v>IV</c:v>
                  </c:pt>
                  <c:pt idx="9">
                    <c:v>I</c:v>
                  </c:pt>
                  <c:pt idx="10">
                    <c:v>II</c:v>
                  </c:pt>
                  <c:pt idx="11">
                    <c:v>III</c:v>
                  </c:pt>
                  <c:pt idx="12">
                    <c:v>IV</c:v>
                  </c:pt>
                  <c:pt idx="13">
                    <c:v>I</c:v>
                  </c:pt>
                  <c:pt idx="14">
                    <c:v>II</c:v>
                  </c:pt>
                  <c:pt idx="15">
                    <c:v>III</c:v>
                  </c:pt>
                  <c:pt idx="16">
                    <c:v>IV</c:v>
                  </c:pt>
                  <c:pt idx="17">
                    <c:v>I</c:v>
                  </c:pt>
                  <c:pt idx="18">
                    <c:v>II</c:v>
                  </c:pt>
                  <c:pt idx="19">
                    <c:v>III</c:v>
                  </c:pt>
                  <c:pt idx="20">
                    <c:v>IV</c:v>
                  </c:pt>
                </c:lvl>
                <c:lvl>
                  <c:pt idx="1">
                    <c:v>2019</c:v>
                  </c:pt>
                  <c:pt idx="5">
                    <c:v>2020</c:v>
                  </c:pt>
                  <c:pt idx="9">
                    <c:v>2021</c:v>
                  </c:pt>
                  <c:pt idx="13">
                    <c:v>2022</c:v>
                  </c:pt>
                  <c:pt idx="17">
                    <c:v>2023</c:v>
                  </c:pt>
                </c:lvl>
              </c:multiLvlStrCache>
            </c:multiLvlStrRef>
          </c:cat>
          <c:val>
            <c:numRef>
              <c:f>Sheet1!$E$2:$E$25</c:f>
              <c:numCache>
                <c:formatCode>0.0</c:formatCode>
                <c:ptCount val="20"/>
                <c:pt idx="0">
                  <c:v>28.937740000000005</c:v>
                </c:pt>
                <c:pt idx="1">
                  <c:v>-34.662960000000012</c:v>
                </c:pt>
                <c:pt idx="2">
                  <c:v>-135.3861</c:v>
                </c:pt>
                <c:pt idx="3">
                  <c:v>15.474779999999981</c:v>
                </c:pt>
                <c:pt idx="4">
                  <c:v>9.6641899999999907</c:v>
                </c:pt>
                <c:pt idx="5">
                  <c:v>55.252929999999999</c:v>
                </c:pt>
                <c:pt idx="6">
                  <c:v>122.69107999999999</c:v>
                </c:pt>
                <c:pt idx="7">
                  <c:v>21.96302</c:v>
                </c:pt>
                <c:pt idx="8">
                  <c:v>61.103229999999996</c:v>
                </c:pt>
                <c:pt idx="9">
                  <c:v>135.01109000000002</c:v>
                </c:pt>
                <c:pt idx="10">
                  <c:v>129.02368999999999</c:v>
                </c:pt>
                <c:pt idx="11">
                  <c:v>94.40330000000003</c:v>
                </c:pt>
                <c:pt idx="12">
                  <c:v>72.026169999999993</c:v>
                </c:pt>
                <c:pt idx="13">
                  <c:v>-10.573099999999954</c:v>
                </c:pt>
                <c:pt idx="14">
                  <c:v>-354.89396999999997</c:v>
                </c:pt>
                <c:pt idx="15">
                  <c:v>-268.12218999999993</c:v>
                </c:pt>
                <c:pt idx="16">
                  <c:v>-526.24767999999995</c:v>
                </c:pt>
                <c:pt idx="17">
                  <c:v>-365.22444000000002</c:v>
                </c:pt>
                <c:pt idx="18">
                  <c:v>-275.18345999999997</c:v>
                </c:pt>
                <c:pt idx="19" formatCode="0">
                  <c:v>-483.07689000000005</c:v>
                </c:pt>
              </c:numCache>
            </c:numRef>
          </c:val>
          <c:extLst>
            <c:ext xmlns:c16="http://schemas.microsoft.com/office/drawing/2014/chart" uri="{C3380CC4-5D6E-409C-BE32-E72D297353CC}">
              <c16:uniqueId val="{00000001-1D5A-4994-A320-1BD2C9E8FE4F}"/>
            </c:ext>
          </c:extLst>
        </c:ser>
        <c:dLbls>
          <c:showLegendKey val="0"/>
          <c:showVal val="0"/>
          <c:showCatName val="0"/>
          <c:showSerName val="0"/>
          <c:showPercent val="0"/>
          <c:showBubbleSize val="0"/>
        </c:dLbls>
        <c:gapWidth val="150"/>
        <c:overlap val="100"/>
        <c:axId val="612017536"/>
        <c:axId val="1"/>
      </c:barChart>
      <c:lineChart>
        <c:grouping val="standard"/>
        <c:varyColors val="0"/>
        <c:ser>
          <c:idx val="0"/>
          <c:order val="0"/>
          <c:tx>
            <c:strRef>
              <c:f>Sheet1!$C$1</c:f>
              <c:strCache>
                <c:ptCount val="1"/>
                <c:pt idx="0">
                  <c:v>Ընդամենը</c:v>
                </c:pt>
              </c:strCache>
            </c:strRef>
          </c:tx>
          <c:spPr>
            <a:ln w="28575" cap="rnd">
              <a:solidFill>
                <a:srgbClr val="F79646">
                  <a:lumMod val="60000"/>
                  <a:lumOff val="40000"/>
                </a:srgbClr>
              </a:solidFill>
              <a:round/>
            </a:ln>
            <a:effectLst/>
          </c:spPr>
          <c:marker>
            <c:symbol val="none"/>
          </c:marker>
          <c:cat>
            <c:multiLvlStrRef>
              <c:f>Sheet1!$A$6:$B$25</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Sheet1!$C$2:$C$25</c:f>
              <c:numCache>
                <c:formatCode>0.0</c:formatCode>
                <c:ptCount val="20"/>
                <c:pt idx="0">
                  <c:v>104.84404000000001</c:v>
                </c:pt>
                <c:pt idx="1">
                  <c:v>125.34614000000001</c:v>
                </c:pt>
                <c:pt idx="2">
                  <c:v>104.22811</c:v>
                </c:pt>
                <c:pt idx="3">
                  <c:v>169.60158999999999</c:v>
                </c:pt>
                <c:pt idx="4">
                  <c:v>87.378249999999994</c:v>
                </c:pt>
                <c:pt idx="5">
                  <c:v>105.39613</c:v>
                </c:pt>
                <c:pt idx="6">
                  <c:v>236.86843999999999</c:v>
                </c:pt>
                <c:pt idx="7">
                  <c:v>144.69574</c:v>
                </c:pt>
                <c:pt idx="8">
                  <c:v>129.08414999999999</c:v>
                </c:pt>
                <c:pt idx="9">
                  <c:v>253.79799000000003</c:v>
                </c:pt>
                <c:pt idx="10">
                  <c:v>287.32923999999997</c:v>
                </c:pt>
                <c:pt idx="11">
                  <c:v>213.10290000000001</c:v>
                </c:pt>
                <c:pt idx="12">
                  <c:v>190.29342</c:v>
                </c:pt>
                <c:pt idx="13">
                  <c:v>803.63103000000001</c:v>
                </c:pt>
                <c:pt idx="14">
                  <c:v>735.61262999999997</c:v>
                </c:pt>
                <c:pt idx="15">
                  <c:v>854.10712999999998</c:v>
                </c:pt>
                <c:pt idx="16">
                  <c:v>553.18916000000002</c:v>
                </c:pt>
                <c:pt idx="17">
                  <c:v>344.49464</c:v>
                </c:pt>
                <c:pt idx="18">
                  <c:v>432.70051999999998</c:v>
                </c:pt>
                <c:pt idx="19" formatCode="_(* #,##0_);_(* \(#,##0\);_(* &quot;-&quot;??_);_(@_)">
                  <c:v>324.32833999999991</c:v>
                </c:pt>
              </c:numCache>
            </c:numRef>
          </c:val>
          <c:smooth val="0"/>
          <c:extLst>
            <c:ext xmlns:c16="http://schemas.microsoft.com/office/drawing/2014/chart" uri="{C3380CC4-5D6E-409C-BE32-E72D297353CC}">
              <c16:uniqueId val="{00000002-1D5A-4994-A320-1BD2C9E8FE4F}"/>
            </c:ext>
          </c:extLst>
        </c:ser>
        <c:dLbls>
          <c:showLegendKey val="0"/>
          <c:showVal val="0"/>
          <c:showCatName val="0"/>
          <c:showSerName val="0"/>
          <c:showPercent val="0"/>
          <c:showBubbleSize val="0"/>
        </c:dLbls>
        <c:marker val="1"/>
        <c:smooth val="0"/>
        <c:axId val="612017536"/>
        <c:axId val="1"/>
      </c:lineChart>
      <c:catAx>
        <c:axId val="6120175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10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100" b="0" i="0" u="none" strike="noStrike" baseline="0">
                    <a:solidFill>
                      <a:srgbClr val="333333"/>
                    </a:solidFill>
                    <a:latin typeface="GHEA Grapalat"/>
                    <a:ea typeface="GHEA Grapalat"/>
                    <a:cs typeface="GHEA Grapalat"/>
                  </a:defRPr>
                </a:pPr>
                <a:r>
                  <a:rPr lang="hy-AM"/>
                  <a:t>մլն ԱՄՆ դոլար</a:t>
                </a:r>
              </a:p>
            </c:rich>
          </c:tx>
          <c:overlay val="0"/>
          <c:spPr>
            <a:noFill/>
            <a:ln w="25400">
              <a:noFill/>
            </a:ln>
          </c:spPr>
        </c:title>
        <c:numFmt formatCode="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612017536"/>
        <c:crosses val="autoZero"/>
        <c:crossBetween val="between"/>
      </c:valAx>
      <c:spPr>
        <a:solidFill>
          <a:schemeClr val="bg1"/>
        </a:solidFill>
        <a:ln>
          <a:noFill/>
        </a:ln>
        <a:effectLst/>
      </c:spPr>
    </c:plotArea>
    <c:legend>
      <c:legendPos val="b"/>
      <c:layout>
        <c:manualLayout>
          <c:xMode val="edge"/>
          <c:yMode val="edge"/>
          <c:x val="0.29372692115063803"/>
          <c:y val="0.55105421424970891"/>
          <c:w val="0.37768972233424081"/>
          <c:h val="8.9202911765490334E-2"/>
        </c:manualLayout>
      </c:layout>
      <c:overlay val="0"/>
      <c:spPr>
        <a:noFill/>
        <a:ln w="25400">
          <a:noFill/>
        </a:ln>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12700" cap="flat" cmpd="sng" algn="ctr">
      <a:solidFill>
        <a:sysClr val="windowText" lastClr="000000">
          <a:lumMod val="15000"/>
          <a:lumOff val="85000"/>
        </a:sysClr>
      </a:solidFill>
      <a:round/>
    </a:ln>
    <a:effectLst/>
  </c:spPr>
  <c:txPr>
    <a:bodyPr/>
    <a:lstStyle/>
    <a:p>
      <a:pPr>
        <a:defRPr sz="1200">
          <a:latin typeface="GHEA Grapalat" panose="02000506050000020003" pitchFamily="50" charset="0"/>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7268531088786318E-2"/>
          <c:y val="4.3650793650793648E-2"/>
          <c:w val="0.90591154553956621"/>
          <c:h val="0.57743812243249826"/>
        </c:manualLayout>
      </c:layout>
      <c:barChart>
        <c:barDir val="col"/>
        <c:grouping val="stacked"/>
        <c:varyColors val="0"/>
        <c:ser>
          <c:idx val="1"/>
          <c:order val="0"/>
          <c:tx>
            <c:strRef>
              <c:f>Sheet1!$C$1</c:f>
              <c:strCache>
                <c:ptCount val="1"/>
                <c:pt idx="0">
                  <c:v>Դոլար</c:v>
                </c:pt>
              </c:strCache>
            </c:strRef>
          </c:tx>
          <c:spPr>
            <a:solidFill>
              <a:srgbClr val="F79646">
                <a:lumMod val="60000"/>
                <a:lumOff val="40000"/>
              </a:srgbClr>
            </a:solidFill>
            <a:ln>
              <a:noFill/>
            </a:ln>
            <a:effectLst>
              <a:outerShdw blurRad="40000" dist="23000" dir="5400000" rotWithShape="0">
                <a:srgbClr val="000000">
                  <a:alpha val="35000"/>
                </a:srgbClr>
              </a:outerShdw>
            </a:effectLst>
          </c:spPr>
          <c:invertIfNegative val="0"/>
          <c:cat>
            <c:multiLvlStrRef>
              <c:f>Sheet1!$A$6:$B$25</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Sheet1!$C$2:$C$25</c:f>
              <c:numCache>
                <c:formatCode>0</c:formatCode>
                <c:ptCount val="20"/>
                <c:pt idx="0">
                  <c:v>-35.189128699999998</c:v>
                </c:pt>
                <c:pt idx="1">
                  <c:v>4.9017405000000167</c:v>
                </c:pt>
                <c:pt idx="2">
                  <c:v>-50.032852900000051</c:v>
                </c:pt>
                <c:pt idx="3">
                  <c:v>-21.708400500000096</c:v>
                </c:pt>
                <c:pt idx="4">
                  <c:v>-28.478107999999992</c:v>
                </c:pt>
                <c:pt idx="5">
                  <c:v>4.258640000000014</c:v>
                </c:pt>
                <c:pt idx="6">
                  <c:v>5.1264299999999992</c:v>
                </c:pt>
                <c:pt idx="7">
                  <c:v>-90.218759999999975</c:v>
                </c:pt>
                <c:pt idx="8">
                  <c:v>-44.764182000000062</c:v>
                </c:pt>
                <c:pt idx="9">
                  <c:v>-47.872495999999956</c:v>
                </c:pt>
                <c:pt idx="10">
                  <c:v>-37.628922000000017</c:v>
                </c:pt>
                <c:pt idx="11">
                  <c:v>22.342673000000104</c:v>
                </c:pt>
                <c:pt idx="12">
                  <c:v>82.827041122292655</c:v>
                </c:pt>
                <c:pt idx="13">
                  <c:v>-50.18449343652253</c:v>
                </c:pt>
                <c:pt idx="14">
                  <c:v>-228.23183459037764</c:v>
                </c:pt>
                <c:pt idx="15">
                  <c:v>-326.58099857808588</c:v>
                </c:pt>
                <c:pt idx="16">
                  <c:v>-198.37948549629041</c:v>
                </c:pt>
                <c:pt idx="17">
                  <c:v>-28.113131581315599</c:v>
                </c:pt>
                <c:pt idx="18">
                  <c:v>-65.451362078463404</c:v>
                </c:pt>
                <c:pt idx="19">
                  <c:v>-277.075267131891</c:v>
                </c:pt>
              </c:numCache>
            </c:numRef>
          </c:val>
          <c:extLst>
            <c:ext xmlns:c16="http://schemas.microsoft.com/office/drawing/2014/chart" uri="{C3380CC4-5D6E-409C-BE32-E72D297353CC}">
              <c16:uniqueId val="{00000000-975E-4394-8023-CA0577D15D83}"/>
            </c:ext>
          </c:extLst>
        </c:ser>
        <c:ser>
          <c:idx val="2"/>
          <c:order val="1"/>
          <c:tx>
            <c:strRef>
              <c:f>Sheet1!$D$1</c:f>
              <c:strCache>
                <c:ptCount val="1"/>
                <c:pt idx="0">
                  <c:v>Եվրո</c:v>
                </c:pt>
              </c:strCache>
            </c:strRef>
          </c:tx>
          <c:spPr>
            <a:solidFill>
              <a:srgbClr val="4F81BD">
                <a:lumMod val="50000"/>
              </a:srgbClr>
            </a:solidFill>
            <a:ln>
              <a:noFill/>
            </a:ln>
            <a:effectLst>
              <a:outerShdw blurRad="40000" dist="23000" dir="5400000" rotWithShape="0">
                <a:srgbClr val="000000">
                  <a:alpha val="35000"/>
                </a:srgbClr>
              </a:outerShdw>
            </a:effectLst>
          </c:spPr>
          <c:invertIfNegative val="0"/>
          <c:cat>
            <c:multiLvlStrRef>
              <c:f>Sheet1!$A$6:$B$25</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Sheet1!$D$2:$D$25</c:f>
              <c:numCache>
                <c:formatCode>0</c:formatCode>
                <c:ptCount val="20"/>
                <c:pt idx="0">
                  <c:v>-21.804827599999978</c:v>
                </c:pt>
                <c:pt idx="1">
                  <c:v>-7.9430901000000205</c:v>
                </c:pt>
                <c:pt idx="2">
                  <c:v>-3.3764427999999995</c:v>
                </c:pt>
                <c:pt idx="3">
                  <c:v>-35.556790800000002</c:v>
                </c:pt>
                <c:pt idx="4">
                  <c:v>-57.345421499999993</c:v>
                </c:pt>
                <c:pt idx="5">
                  <c:v>-28.027285900000006</c:v>
                </c:pt>
                <c:pt idx="6">
                  <c:v>-27.659299799999985</c:v>
                </c:pt>
                <c:pt idx="7">
                  <c:v>-55.250605399999984</c:v>
                </c:pt>
                <c:pt idx="8">
                  <c:v>-37.588152999999991</c:v>
                </c:pt>
                <c:pt idx="9">
                  <c:v>-44.314930999999994</c:v>
                </c:pt>
                <c:pt idx="10">
                  <c:v>-3.6870990000000035</c:v>
                </c:pt>
                <c:pt idx="11">
                  <c:v>-47.701574000000008</c:v>
                </c:pt>
                <c:pt idx="12">
                  <c:v>38.055483617751023</c:v>
                </c:pt>
                <c:pt idx="13">
                  <c:v>-116.1097406218162</c:v>
                </c:pt>
                <c:pt idx="14">
                  <c:v>-151.48745476086947</c:v>
                </c:pt>
                <c:pt idx="15">
                  <c:v>-157.53865432476795</c:v>
                </c:pt>
                <c:pt idx="16">
                  <c:v>-174.38011295565173</c:v>
                </c:pt>
                <c:pt idx="17">
                  <c:v>-140.58972851489443</c:v>
                </c:pt>
                <c:pt idx="18">
                  <c:v>-123.25717668806097</c:v>
                </c:pt>
                <c:pt idx="19">
                  <c:v>-66.186420115155897</c:v>
                </c:pt>
              </c:numCache>
            </c:numRef>
          </c:val>
          <c:extLst>
            <c:ext xmlns:c16="http://schemas.microsoft.com/office/drawing/2014/chart" uri="{C3380CC4-5D6E-409C-BE32-E72D297353CC}">
              <c16:uniqueId val="{00000001-975E-4394-8023-CA0577D15D83}"/>
            </c:ext>
          </c:extLst>
        </c:ser>
        <c:ser>
          <c:idx val="3"/>
          <c:order val="2"/>
          <c:tx>
            <c:strRef>
              <c:f>Sheet1!$E$1</c:f>
              <c:strCache>
                <c:ptCount val="1"/>
                <c:pt idx="0">
                  <c:v>Ռուբլի</c:v>
                </c:pt>
              </c:strCache>
            </c:strRef>
          </c:tx>
          <c:spPr>
            <a:solidFill>
              <a:srgbClr val="4F81BD">
                <a:lumMod val="75000"/>
              </a:srgbClr>
            </a:solidFill>
          </c:spPr>
          <c:invertIfNegative val="0"/>
          <c:cat>
            <c:multiLvlStrRef>
              <c:f>Sheet1!$A$6:$B$25</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Sheet1!$E$2:$E$25</c:f>
              <c:numCache>
                <c:formatCode>0</c:formatCode>
                <c:ptCount val="20"/>
                <c:pt idx="0">
                  <c:v>0</c:v>
                </c:pt>
                <c:pt idx="1">
                  <c:v>0</c:v>
                </c:pt>
                <c:pt idx="2">
                  <c:v>0</c:v>
                </c:pt>
                <c:pt idx="3">
                  <c:v>0</c:v>
                </c:pt>
                <c:pt idx="4">
                  <c:v>0</c:v>
                </c:pt>
                <c:pt idx="5">
                  <c:v>0</c:v>
                </c:pt>
                <c:pt idx="6">
                  <c:v>0</c:v>
                </c:pt>
                <c:pt idx="7">
                  <c:v>0</c:v>
                </c:pt>
                <c:pt idx="8">
                  <c:v>5.1814139999999966</c:v>
                </c:pt>
                <c:pt idx="9">
                  <c:v>56.355378999999999</c:v>
                </c:pt>
                <c:pt idx="10">
                  <c:v>9.5786869999999951</c:v>
                </c:pt>
                <c:pt idx="11">
                  <c:v>13.216616999999999</c:v>
                </c:pt>
                <c:pt idx="12">
                  <c:v>-31.598552698007609</c:v>
                </c:pt>
                <c:pt idx="13">
                  <c:v>190.46627119187258</c:v>
                </c:pt>
                <c:pt idx="14">
                  <c:v>423.24379297671146</c:v>
                </c:pt>
                <c:pt idx="15">
                  <c:v>550.39308050890099</c:v>
                </c:pt>
                <c:pt idx="16">
                  <c:v>436.38517693931055</c:v>
                </c:pt>
                <c:pt idx="17">
                  <c:v>376.39776191044848</c:v>
                </c:pt>
                <c:pt idx="18">
                  <c:v>295.20506021620588</c:v>
                </c:pt>
                <c:pt idx="19">
                  <c:v>329.02931109999389</c:v>
                </c:pt>
              </c:numCache>
            </c:numRef>
          </c:val>
          <c:extLst>
            <c:ext xmlns:c16="http://schemas.microsoft.com/office/drawing/2014/chart" uri="{C3380CC4-5D6E-409C-BE32-E72D297353CC}">
              <c16:uniqueId val="{00000002-975E-4394-8023-CA0577D15D83}"/>
            </c:ext>
          </c:extLst>
        </c:ser>
        <c:dLbls>
          <c:showLegendKey val="0"/>
          <c:showVal val="0"/>
          <c:showCatName val="0"/>
          <c:showSerName val="0"/>
          <c:showPercent val="0"/>
          <c:showBubbleSize val="0"/>
        </c:dLbls>
        <c:gapWidth val="100"/>
        <c:overlap val="100"/>
        <c:axId val="806771312"/>
        <c:axId val="1"/>
      </c:barChart>
      <c:catAx>
        <c:axId val="806771312"/>
        <c:scaling>
          <c:orientation val="minMax"/>
        </c:scaling>
        <c:delete val="0"/>
        <c:axPos val="b"/>
        <c:numFmt formatCode="General" sourceLinked="1"/>
        <c:majorTickMark val="none"/>
        <c:minorTickMark val="none"/>
        <c:tickLblPos val="low"/>
        <c:spPr>
          <a:solidFill>
            <a:sysClr val="window" lastClr="FFFFFF"/>
          </a:solidFill>
          <a:ln w="9545" cap="flat" cmpd="sng" algn="ctr">
            <a:solidFill>
              <a:srgbClr val="1F497D">
                <a:lumMod val="15000"/>
                <a:lumOff val="85000"/>
              </a:srgbClr>
            </a:solidFill>
            <a:round/>
          </a:ln>
          <a:effectLst/>
        </c:spPr>
        <c:txPr>
          <a:bodyPr rot="-60000000" vert="horz"/>
          <a:lstStyle/>
          <a:p>
            <a:pPr>
              <a:defRPr sz="900"/>
            </a:pPr>
            <a:endParaRPr lang="en-US"/>
          </a:p>
        </c:txPr>
        <c:crossAx val="1"/>
        <c:crosses val="autoZero"/>
        <c:auto val="1"/>
        <c:lblAlgn val="ctr"/>
        <c:lblOffset val="200"/>
        <c:tickLblSkip val="1"/>
        <c:noMultiLvlLbl val="0"/>
      </c:catAx>
      <c:valAx>
        <c:axId val="1"/>
        <c:scaling>
          <c:orientation val="minMax"/>
          <c:max val="600"/>
        </c:scaling>
        <c:delete val="0"/>
        <c:axPos val="l"/>
        <c:majorGridlines>
          <c:spPr>
            <a:ln w="9545" cap="flat" cmpd="sng" algn="ctr">
              <a:solidFill>
                <a:sysClr val="window" lastClr="FFFFFF">
                  <a:lumMod val="75000"/>
                </a:sysClr>
              </a:solidFill>
              <a:round/>
            </a:ln>
            <a:effectLst/>
          </c:spPr>
        </c:majorGridlines>
        <c:numFmt formatCode="0" sourceLinked="1"/>
        <c:majorTickMark val="none"/>
        <c:minorTickMark val="none"/>
        <c:tickLblPos val="nextTo"/>
        <c:spPr>
          <a:ln w="9545">
            <a:noFill/>
          </a:ln>
        </c:spPr>
        <c:txPr>
          <a:bodyPr rot="-60000000" vert="horz"/>
          <a:lstStyle/>
          <a:p>
            <a:pPr>
              <a:defRPr/>
            </a:pPr>
            <a:endParaRPr lang="en-US"/>
          </a:p>
        </c:txPr>
        <c:crossAx val="806771312"/>
        <c:crosses val="autoZero"/>
        <c:crossBetween val="between"/>
      </c:valAx>
      <c:spPr>
        <a:solidFill>
          <a:schemeClr val="bg1"/>
        </a:solidFill>
        <a:ln>
          <a:noFill/>
        </a:ln>
        <a:effectLst/>
      </c:spPr>
    </c:plotArea>
    <c:legend>
      <c:legendPos val="b"/>
      <c:legendEntry>
        <c:idx val="0"/>
        <c:txPr>
          <a:bodyPr rot="0" vert="horz"/>
          <a:lstStyle/>
          <a:p>
            <a:pPr>
              <a:defRPr/>
            </a:pPr>
            <a:endParaRPr lang="en-US"/>
          </a:p>
        </c:txPr>
      </c:legendEntry>
      <c:legendEntry>
        <c:idx val="1"/>
        <c:txPr>
          <a:bodyPr rot="0" vert="horz"/>
          <a:lstStyle/>
          <a:p>
            <a:pPr>
              <a:defRPr/>
            </a:pPr>
            <a:endParaRPr lang="en-US"/>
          </a:p>
        </c:txPr>
      </c:legendEntry>
      <c:layout>
        <c:manualLayout>
          <c:xMode val="edge"/>
          <c:yMode val="edge"/>
          <c:x val="0.21404837908774915"/>
          <c:y val="0.9055290928140155"/>
          <c:w val="0.50140528884626423"/>
          <c:h val="9.4107467335813794E-2"/>
        </c:manualLayout>
      </c:layout>
      <c:overlay val="0"/>
      <c:spPr>
        <a:noFill/>
        <a:ln w="25453">
          <a:noFill/>
        </a:ln>
      </c:spPr>
      <c:txPr>
        <a:bodyPr rot="0" vert="horz"/>
        <a:lstStyle/>
        <a:p>
          <a:pPr>
            <a:defRPr/>
          </a:pPr>
          <a:endParaRPr lang="en-US"/>
        </a:p>
      </c:txPr>
    </c:legend>
    <c:plotVisOnly val="1"/>
    <c:dispBlanksAs val="gap"/>
    <c:showDLblsOverMax val="0"/>
  </c:chart>
  <c:spPr>
    <a:solidFill>
      <a:schemeClr val="bg1"/>
    </a:solidFill>
    <a:ln>
      <a:solidFill>
        <a:sysClr val="window" lastClr="FFFFFF">
          <a:lumMod val="85000"/>
        </a:sysClr>
      </a:solidFill>
    </a:ln>
    <a:effectLst/>
  </c:spPr>
  <c:txPr>
    <a:bodyPr/>
    <a:lstStyle/>
    <a:p>
      <a:pPr>
        <a:defRPr>
          <a:ln>
            <a:noFill/>
          </a:ln>
          <a:solidFill>
            <a:schemeClr val="tx1">
              <a:lumMod val="65000"/>
              <a:lumOff val="35000"/>
            </a:schemeClr>
          </a:solidFill>
          <a:latin typeface="GHEA Grapalat" panose="02000506050000020003" pitchFamily="50" charset="0"/>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929303715429006E-2"/>
          <c:y val="9.0331207537105523E-2"/>
          <c:w val="0.83647402898167145"/>
          <c:h val="0.52294092072846721"/>
        </c:manualLayout>
      </c:layout>
      <c:barChart>
        <c:barDir val="col"/>
        <c:grouping val="stacked"/>
        <c:varyColors val="0"/>
        <c:ser>
          <c:idx val="0"/>
          <c:order val="0"/>
          <c:tx>
            <c:strRef>
              <c:f>Sheet1!$C$1</c:f>
              <c:strCache>
                <c:ptCount val="1"/>
                <c:pt idx="0">
                  <c:v>ԿԲ միջամտություն, զուտ առք </c:v>
                </c:pt>
              </c:strCache>
            </c:strRef>
          </c:tx>
          <c:spPr>
            <a:solidFill>
              <a:schemeClr val="accent1">
                <a:lumMod val="75000"/>
              </a:schemeClr>
            </a:solidFill>
            <a:ln>
              <a:noFill/>
            </a:ln>
            <a:effectLst/>
          </c:spPr>
          <c:invertIfNegative val="0"/>
          <c:cat>
            <c:multiLvlStrRef>
              <c:f>Sheet1!$A$218:$B$277</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Sheet1!$C$2:$C$275</c:f>
              <c:numCache>
                <c:formatCode>0.0</c:formatCode>
                <c:ptCount val="58"/>
                <c:pt idx="0">
                  <c:v>0</c:v>
                </c:pt>
                <c:pt idx="1">
                  <c:v>0</c:v>
                </c:pt>
                <c:pt idx="2">
                  <c:v>5</c:v>
                </c:pt>
                <c:pt idx="3">
                  <c:v>56.65</c:v>
                </c:pt>
                <c:pt idx="4">
                  <c:v>27</c:v>
                </c:pt>
                <c:pt idx="5">
                  <c:v>96.6</c:v>
                </c:pt>
                <c:pt idx="6">
                  <c:v>94.9</c:v>
                </c:pt>
                <c:pt idx="7">
                  <c:v>29.6</c:v>
                </c:pt>
                <c:pt idx="8">
                  <c:v>123.25</c:v>
                </c:pt>
                <c:pt idx="9">
                  <c:v>61.7</c:v>
                </c:pt>
                <c:pt idx="10">
                  <c:v>27.1</c:v>
                </c:pt>
                <c:pt idx="11">
                  <c:v>43.8</c:v>
                </c:pt>
                <c:pt idx="12">
                  <c:v>37.799999999999997</c:v>
                </c:pt>
                <c:pt idx="13">
                  <c:v>20</c:v>
                </c:pt>
                <c:pt idx="14">
                  <c:v>-70</c:v>
                </c:pt>
                <c:pt idx="15">
                  <c:v>-23.9</c:v>
                </c:pt>
                <c:pt idx="16">
                  <c:v>0</c:v>
                </c:pt>
                <c:pt idx="17">
                  <c:v>0</c:v>
                </c:pt>
                <c:pt idx="18">
                  <c:v>0</c:v>
                </c:pt>
                <c:pt idx="19">
                  <c:v>0</c:v>
                </c:pt>
                <c:pt idx="20">
                  <c:v>0</c:v>
                </c:pt>
                <c:pt idx="21">
                  <c:v>0</c:v>
                </c:pt>
                <c:pt idx="22">
                  <c:v>-60</c:v>
                </c:pt>
                <c:pt idx="23">
                  <c:v>-50.85</c:v>
                </c:pt>
                <c:pt idx="24">
                  <c:v>-46.8</c:v>
                </c:pt>
                <c:pt idx="25">
                  <c:v>0</c:v>
                </c:pt>
                <c:pt idx="26">
                  <c:v>-34.799999999999997</c:v>
                </c:pt>
                <c:pt idx="27">
                  <c:v>-74.7</c:v>
                </c:pt>
                <c:pt idx="28">
                  <c:v>0</c:v>
                </c:pt>
                <c:pt idx="29">
                  <c:v>7</c:v>
                </c:pt>
                <c:pt idx="30">
                  <c:v>0</c:v>
                </c:pt>
                <c:pt idx="31">
                  <c:v>0</c:v>
                </c:pt>
                <c:pt idx="32">
                  <c:v>10</c:v>
                </c:pt>
                <c:pt idx="33">
                  <c:v>0</c:v>
                </c:pt>
                <c:pt idx="34">
                  <c:v>5</c:v>
                </c:pt>
                <c:pt idx="35">
                  <c:v>0</c:v>
                </c:pt>
                <c:pt idx="36">
                  <c:v>0</c:v>
                </c:pt>
                <c:pt idx="37">
                  <c:v>0</c:v>
                </c:pt>
                <c:pt idx="38">
                  <c:v>0</c:v>
                </c:pt>
                <c:pt idx="39">
                  <c:v>67</c:v>
                </c:pt>
                <c:pt idx="40">
                  <c:v>0</c:v>
                </c:pt>
                <c:pt idx="41">
                  <c:v>100</c:v>
                </c:pt>
                <c:pt idx="42">
                  <c:v>18.5</c:v>
                </c:pt>
                <c:pt idx="43">
                  <c:v>81.3</c:v>
                </c:pt>
                <c:pt idx="44">
                  <c:v>55</c:v>
                </c:pt>
                <c:pt idx="45">
                  <c:v>80</c:v>
                </c:pt>
                <c:pt idx="46">
                  <c:v>114.1</c:v>
                </c:pt>
                <c:pt idx="47">
                  <c:v>57.9</c:v>
                </c:pt>
                <c:pt idx="48">
                  <c:v>0</c:v>
                </c:pt>
                <c:pt idx="49">
                  <c:v>40</c:v>
                </c:pt>
                <c:pt idx="50">
                  <c:v>151.30000000000001</c:v>
                </c:pt>
                <c:pt idx="51">
                  <c:v>181.6</c:v>
                </c:pt>
                <c:pt idx="52">
                  <c:v>209.5</c:v>
                </c:pt>
                <c:pt idx="53">
                  <c:v>198.8</c:v>
                </c:pt>
                <c:pt idx="54">
                  <c:v>230</c:v>
                </c:pt>
                <c:pt idx="55">
                  <c:v>165.3</c:v>
                </c:pt>
                <c:pt idx="56">
                  <c:v>20</c:v>
                </c:pt>
                <c:pt idx="57">
                  <c:v>-50</c:v>
                </c:pt>
              </c:numCache>
            </c:numRef>
          </c:val>
          <c:extLst>
            <c:ext xmlns:c16="http://schemas.microsoft.com/office/drawing/2014/chart" uri="{C3380CC4-5D6E-409C-BE32-E72D297353CC}">
              <c16:uniqueId val="{00000000-89AD-4E16-882D-B7933E36FFD1}"/>
            </c:ext>
          </c:extLst>
        </c:ser>
        <c:dLbls>
          <c:showLegendKey val="0"/>
          <c:showVal val="0"/>
          <c:showCatName val="0"/>
          <c:showSerName val="0"/>
          <c:showPercent val="0"/>
          <c:showBubbleSize val="0"/>
        </c:dLbls>
        <c:gapWidth val="82"/>
        <c:overlap val="78"/>
        <c:axId val="806771728"/>
        <c:axId val="1"/>
      </c:barChart>
      <c:lineChart>
        <c:grouping val="standard"/>
        <c:varyColors val="0"/>
        <c:ser>
          <c:idx val="1"/>
          <c:order val="1"/>
          <c:tx>
            <c:strRef>
              <c:f>Sheet1!$D$1</c:f>
              <c:strCache>
                <c:ptCount val="1"/>
                <c:pt idx="0">
                  <c:v>Դրամ/դոլար (աջ առանցք)</c:v>
                </c:pt>
              </c:strCache>
            </c:strRef>
          </c:tx>
          <c:spPr>
            <a:ln w="28575" cap="rnd">
              <a:solidFill>
                <a:schemeClr val="accent6">
                  <a:lumMod val="60000"/>
                  <a:lumOff val="40000"/>
                </a:schemeClr>
              </a:solidFill>
              <a:round/>
            </a:ln>
            <a:effectLst/>
          </c:spPr>
          <c:marker>
            <c:symbol val="none"/>
          </c:marker>
          <c:cat>
            <c:multiLvlStrRef>
              <c:f>Sheet1!$A$1:$B$277</c:f>
              <c:multiLvlStrCache>
                <c:ptCount val="61"/>
                <c:lvl>
                  <c:pt idx="1">
                    <c:v>1</c:v>
                  </c:pt>
                  <c:pt idx="2">
                    <c:v>2</c:v>
                  </c:pt>
                  <c:pt idx="3">
                    <c:v>3</c:v>
                  </c:pt>
                  <c:pt idx="4">
                    <c:v>4</c:v>
                  </c:pt>
                  <c:pt idx="5">
                    <c:v>5</c:v>
                  </c:pt>
                  <c:pt idx="6">
                    <c:v>6</c:v>
                  </c:pt>
                  <c:pt idx="7">
                    <c:v>7</c:v>
                  </c:pt>
                  <c:pt idx="8">
                    <c:v>8</c:v>
                  </c:pt>
                  <c:pt idx="9">
                    <c:v>9</c:v>
                  </c:pt>
                  <c:pt idx="10">
                    <c:v>10</c:v>
                  </c:pt>
                  <c:pt idx="11">
                    <c:v>11</c:v>
                  </c:pt>
                  <c:pt idx="12">
                    <c:v>12</c:v>
                  </c:pt>
                  <c:pt idx="13">
                    <c:v>1</c:v>
                  </c:pt>
                  <c:pt idx="14">
                    <c:v>2</c:v>
                  </c:pt>
                  <c:pt idx="15">
                    <c:v>3</c:v>
                  </c:pt>
                  <c:pt idx="16">
                    <c:v>4</c:v>
                  </c:pt>
                  <c:pt idx="17">
                    <c:v>5</c:v>
                  </c:pt>
                  <c:pt idx="18">
                    <c:v>6</c:v>
                  </c:pt>
                  <c:pt idx="19">
                    <c:v>7</c:v>
                  </c:pt>
                  <c:pt idx="20">
                    <c:v>8</c:v>
                  </c:pt>
                  <c:pt idx="21">
                    <c:v>9</c:v>
                  </c:pt>
                  <c:pt idx="22">
                    <c:v>10</c:v>
                  </c:pt>
                  <c:pt idx="23">
                    <c:v>11</c:v>
                  </c:pt>
                  <c:pt idx="24">
                    <c:v>12</c:v>
                  </c:pt>
                  <c:pt idx="25">
                    <c:v>1</c:v>
                  </c:pt>
                  <c:pt idx="26">
                    <c:v>2</c:v>
                  </c:pt>
                  <c:pt idx="27">
                    <c:v>3</c:v>
                  </c:pt>
                  <c:pt idx="28">
                    <c:v>4</c:v>
                  </c:pt>
                  <c:pt idx="29">
                    <c:v>5</c:v>
                  </c:pt>
                  <c:pt idx="30">
                    <c:v>6</c:v>
                  </c:pt>
                  <c:pt idx="31">
                    <c:v>7</c:v>
                  </c:pt>
                  <c:pt idx="32">
                    <c:v>8</c:v>
                  </c:pt>
                  <c:pt idx="33">
                    <c:v>9</c:v>
                  </c:pt>
                  <c:pt idx="34">
                    <c:v>10</c:v>
                  </c:pt>
                  <c:pt idx="35">
                    <c:v>11</c:v>
                  </c:pt>
                  <c:pt idx="36">
                    <c:v>12</c:v>
                  </c:pt>
                  <c:pt idx="37">
                    <c:v>1</c:v>
                  </c:pt>
                  <c:pt idx="38">
                    <c:v>2</c:v>
                  </c:pt>
                  <c:pt idx="39">
                    <c:v>3</c:v>
                  </c:pt>
                  <c:pt idx="40">
                    <c:v>4</c:v>
                  </c:pt>
                  <c:pt idx="41">
                    <c:v>5</c:v>
                  </c:pt>
                  <c:pt idx="42">
                    <c:v>6</c:v>
                  </c:pt>
                  <c:pt idx="43">
                    <c:v>7</c:v>
                  </c:pt>
                  <c:pt idx="44">
                    <c:v>8</c:v>
                  </c:pt>
                  <c:pt idx="45">
                    <c:v>9</c:v>
                  </c:pt>
                  <c:pt idx="46">
                    <c:v>10</c:v>
                  </c:pt>
                  <c:pt idx="47">
                    <c:v>11</c:v>
                  </c:pt>
                  <c:pt idx="48">
                    <c:v>12</c:v>
                  </c:pt>
                  <c:pt idx="49">
                    <c:v>1</c:v>
                  </c:pt>
                  <c:pt idx="50">
                    <c:v>2</c:v>
                  </c:pt>
                  <c:pt idx="51">
                    <c:v>3</c:v>
                  </c:pt>
                  <c:pt idx="52">
                    <c:v>4</c:v>
                  </c:pt>
                  <c:pt idx="53">
                    <c:v>5</c:v>
                  </c:pt>
                  <c:pt idx="54">
                    <c:v>6</c:v>
                  </c:pt>
                  <c:pt idx="55">
                    <c:v>7</c:v>
                  </c:pt>
                  <c:pt idx="56">
                    <c:v>8</c:v>
                  </c:pt>
                  <c:pt idx="57">
                    <c:v>9</c:v>
                  </c:pt>
                  <c:pt idx="58">
                    <c:v>10</c:v>
                  </c:pt>
                  <c:pt idx="59">
                    <c:v>11</c:v>
                  </c:pt>
                  <c:pt idx="60">
                    <c:v>12</c:v>
                  </c:pt>
                </c:lvl>
                <c:lvl>
                  <c:pt idx="1">
                    <c:v>2019</c:v>
                  </c:pt>
                  <c:pt idx="13">
                    <c:v>2020</c:v>
                  </c:pt>
                  <c:pt idx="25">
                    <c:v>2021</c:v>
                  </c:pt>
                  <c:pt idx="37">
                    <c:v>2022</c:v>
                  </c:pt>
                  <c:pt idx="49">
                    <c:v>2023</c:v>
                  </c:pt>
                </c:lvl>
              </c:multiLvlStrCache>
            </c:multiLvlStrRef>
          </c:cat>
          <c:val>
            <c:numRef>
              <c:f>Sheet1!$D$2:$D$275</c:f>
              <c:numCache>
                <c:formatCode>0.0</c:formatCode>
                <c:ptCount val="58"/>
                <c:pt idx="0">
                  <c:v>485.79</c:v>
                </c:pt>
                <c:pt idx="1">
                  <c:v>488.41</c:v>
                </c:pt>
                <c:pt idx="2">
                  <c:v>487.48</c:v>
                </c:pt>
                <c:pt idx="3">
                  <c:v>484.29</c:v>
                </c:pt>
                <c:pt idx="4">
                  <c:v>480.55</c:v>
                </c:pt>
                <c:pt idx="5">
                  <c:v>478.47</c:v>
                </c:pt>
                <c:pt idx="6">
                  <c:v>476.5</c:v>
                </c:pt>
                <c:pt idx="7">
                  <c:v>476</c:v>
                </c:pt>
                <c:pt idx="8">
                  <c:v>476.23</c:v>
                </c:pt>
                <c:pt idx="9">
                  <c:v>476.3</c:v>
                </c:pt>
                <c:pt idx="10">
                  <c:v>477.08</c:v>
                </c:pt>
                <c:pt idx="11">
                  <c:v>478.24</c:v>
                </c:pt>
                <c:pt idx="12">
                  <c:v>479.21</c:v>
                </c:pt>
                <c:pt idx="13">
                  <c:v>478.74</c:v>
                </c:pt>
                <c:pt idx="14">
                  <c:v>489.01</c:v>
                </c:pt>
                <c:pt idx="15">
                  <c:v>488.66</c:v>
                </c:pt>
                <c:pt idx="16">
                  <c:v>484.12</c:v>
                </c:pt>
                <c:pt idx="17">
                  <c:v>481.27</c:v>
                </c:pt>
                <c:pt idx="18">
                  <c:v>484.65</c:v>
                </c:pt>
                <c:pt idx="19">
                  <c:v>485.49</c:v>
                </c:pt>
                <c:pt idx="20">
                  <c:v>486.69</c:v>
                </c:pt>
                <c:pt idx="21">
                  <c:v>491.74</c:v>
                </c:pt>
                <c:pt idx="22">
                  <c:v>499.62</c:v>
                </c:pt>
                <c:pt idx="23">
                  <c:v>518.91</c:v>
                </c:pt>
                <c:pt idx="24">
                  <c:v>521.20000000000005</c:v>
                </c:pt>
                <c:pt idx="25">
                  <c:v>523.54</c:v>
                </c:pt>
                <c:pt idx="26">
                  <c:v>527.66999999999996</c:v>
                </c:pt>
                <c:pt idx="27">
                  <c:v>525.62</c:v>
                </c:pt>
                <c:pt idx="28">
                  <c:v>521.35</c:v>
                </c:pt>
                <c:pt idx="29">
                  <c:v>513.09</c:v>
                </c:pt>
                <c:pt idx="30">
                  <c:v>490.87</c:v>
                </c:pt>
                <c:pt idx="31">
                  <c:v>491.73</c:v>
                </c:pt>
                <c:pt idx="32">
                  <c:v>488.12</c:v>
                </c:pt>
                <c:pt idx="33">
                  <c:v>479.25</c:v>
                </c:pt>
                <c:pt idx="34">
                  <c:v>477.66</c:v>
                </c:pt>
                <c:pt idx="35">
                  <c:v>485.14</c:v>
                </c:pt>
                <c:pt idx="36">
                  <c:v>481.99</c:v>
                </c:pt>
                <c:pt idx="37">
                  <c:v>480.24</c:v>
                </c:pt>
                <c:pt idx="38">
                  <c:v>496.96</c:v>
                </c:pt>
                <c:pt idx="39">
                  <c:v>470.99</c:v>
                </c:pt>
                <c:pt idx="40">
                  <c:v>456.54</c:v>
                </c:pt>
                <c:pt idx="41">
                  <c:v>422.69</c:v>
                </c:pt>
                <c:pt idx="42">
                  <c:v>411.03</c:v>
                </c:pt>
                <c:pt idx="43">
                  <c:v>405.75</c:v>
                </c:pt>
                <c:pt idx="44">
                  <c:v>409.15</c:v>
                </c:pt>
                <c:pt idx="45">
                  <c:v>402.73</c:v>
                </c:pt>
                <c:pt idx="46">
                  <c:v>395.38</c:v>
                </c:pt>
                <c:pt idx="47">
                  <c:v>394.54</c:v>
                </c:pt>
                <c:pt idx="48">
                  <c:v>395.89</c:v>
                </c:pt>
                <c:pt idx="49">
                  <c:v>393.45</c:v>
                </c:pt>
                <c:pt idx="50">
                  <c:v>388.44</c:v>
                </c:pt>
                <c:pt idx="51">
                  <c:v>387.74</c:v>
                </c:pt>
                <c:pt idx="52">
                  <c:v>386.56</c:v>
                </c:pt>
                <c:pt idx="53">
                  <c:v>386.67</c:v>
                </c:pt>
                <c:pt idx="54">
                  <c:v>386.54</c:v>
                </c:pt>
                <c:pt idx="55">
                  <c:v>386.17</c:v>
                </c:pt>
                <c:pt idx="56">
                  <c:v>386.94</c:v>
                </c:pt>
                <c:pt idx="57">
                  <c:v>404.33</c:v>
                </c:pt>
              </c:numCache>
            </c:numRef>
          </c:val>
          <c:smooth val="0"/>
          <c:extLst>
            <c:ext xmlns:c16="http://schemas.microsoft.com/office/drawing/2014/chart" uri="{C3380CC4-5D6E-409C-BE32-E72D297353CC}">
              <c16:uniqueId val="{00000001-89AD-4E16-882D-B7933E36FFD1}"/>
            </c:ext>
          </c:extLst>
        </c:ser>
        <c:dLbls>
          <c:showLegendKey val="0"/>
          <c:showVal val="0"/>
          <c:showCatName val="0"/>
          <c:showSerName val="0"/>
          <c:showPercent val="0"/>
          <c:showBubbleSize val="0"/>
        </c:dLbls>
        <c:marker val="1"/>
        <c:smooth val="0"/>
        <c:axId val="540092544"/>
        <c:axId val="540084224"/>
      </c:lineChart>
      <c:catAx>
        <c:axId val="8067717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
        <c:crosses val="autoZero"/>
        <c:auto val="0"/>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806771728"/>
        <c:crosses val="autoZero"/>
        <c:crossBetween val="between"/>
      </c:valAx>
      <c:valAx>
        <c:axId val="540084224"/>
        <c:scaling>
          <c:orientation val="minMax"/>
          <c:max val="550"/>
          <c:min val="38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40092544"/>
        <c:crosses val="max"/>
        <c:crossBetween val="between"/>
      </c:valAx>
      <c:catAx>
        <c:axId val="540092544"/>
        <c:scaling>
          <c:orientation val="minMax"/>
        </c:scaling>
        <c:delete val="1"/>
        <c:axPos val="b"/>
        <c:numFmt formatCode="General" sourceLinked="1"/>
        <c:majorTickMark val="out"/>
        <c:minorTickMark val="none"/>
        <c:tickLblPos val="nextTo"/>
        <c:crossAx val="540084224"/>
        <c:crosses val="autoZero"/>
        <c:auto val="1"/>
        <c:lblAlgn val="ctr"/>
        <c:lblOffset val="100"/>
        <c:noMultiLvlLbl val="0"/>
      </c:catAx>
      <c:spPr>
        <a:noFill/>
        <a:ln>
          <a:noFill/>
        </a:ln>
        <a:effectLst/>
      </c:spPr>
    </c:plotArea>
    <c:legend>
      <c:legendPos val="b"/>
      <c:layout>
        <c:manualLayout>
          <c:xMode val="edge"/>
          <c:yMode val="edge"/>
          <c:x val="2.2215555411962705E-2"/>
          <c:y val="0.83203001968503942"/>
          <c:w val="0.92821414615084019"/>
          <c:h val="0.13671998031496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929303715429006E-2"/>
          <c:y val="9.0331207537105523E-2"/>
          <c:w val="0.86669502325071102"/>
          <c:h val="0.60186772233581309"/>
        </c:manualLayout>
      </c:layout>
      <c:lineChart>
        <c:grouping val="standard"/>
        <c:varyColors val="0"/>
        <c:ser>
          <c:idx val="0"/>
          <c:order val="0"/>
          <c:tx>
            <c:strRef>
              <c:f>Sheet1!$C$1</c:f>
              <c:strCache>
                <c:ptCount val="1"/>
                <c:pt idx="0">
                  <c:v>Դոլար</c:v>
                </c:pt>
              </c:strCache>
            </c:strRef>
          </c:tx>
          <c:spPr>
            <a:ln w="28575" cap="rnd">
              <a:solidFill>
                <a:srgbClr val="1F497D"/>
              </a:solidFill>
              <a:round/>
            </a:ln>
            <a:effectLst/>
          </c:spPr>
          <c:marker>
            <c:symbol val="none"/>
          </c:marker>
          <c:cat>
            <c:multiLvlStrRef>
              <c:f>Sheet1!$A$2:$B$73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Sheet1!$C$2:$C$71</c:f>
              <c:numCache>
                <c:formatCode>_(* #,##0_);_(* \(#,##0\);_(* "-"??_);_(@_)</c:formatCode>
                <c:ptCount val="58"/>
                <c:pt idx="0">
                  <c:v>485.79</c:v>
                </c:pt>
                <c:pt idx="1">
                  <c:v>488.41</c:v>
                </c:pt>
                <c:pt idx="2">
                  <c:v>487.48</c:v>
                </c:pt>
                <c:pt idx="3">
                  <c:v>484.29</c:v>
                </c:pt>
                <c:pt idx="4">
                  <c:v>480.55</c:v>
                </c:pt>
                <c:pt idx="5">
                  <c:v>478.47</c:v>
                </c:pt>
                <c:pt idx="6">
                  <c:v>476.5</c:v>
                </c:pt>
                <c:pt idx="7">
                  <c:v>476</c:v>
                </c:pt>
                <c:pt idx="8">
                  <c:v>476.23</c:v>
                </c:pt>
                <c:pt idx="9">
                  <c:v>476.3</c:v>
                </c:pt>
                <c:pt idx="10">
                  <c:v>477.08</c:v>
                </c:pt>
                <c:pt idx="11">
                  <c:v>478.24</c:v>
                </c:pt>
                <c:pt idx="12">
                  <c:v>479.21</c:v>
                </c:pt>
                <c:pt idx="13">
                  <c:v>478.74</c:v>
                </c:pt>
                <c:pt idx="14">
                  <c:v>489.01</c:v>
                </c:pt>
                <c:pt idx="15">
                  <c:v>488.66</c:v>
                </c:pt>
                <c:pt idx="16">
                  <c:v>484.12</c:v>
                </c:pt>
                <c:pt idx="17">
                  <c:v>481.27</c:v>
                </c:pt>
                <c:pt idx="18">
                  <c:v>484.65</c:v>
                </c:pt>
                <c:pt idx="19">
                  <c:v>485.49</c:v>
                </c:pt>
                <c:pt idx="20">
                  <c:v>486.69</c:v>
                </c:pt>
                <c:pt idx="21">
                  <c:v>491.74</c:v>
                </c:pt>
                <c:pt idx="22">
                  <c:v>499.62</c:v>
                </c:pt>
                <c:pt idx="23">
                  <c:v>518.91</c:v>
                </c:pt>
                <c:pt idx="24">
                  <c:v>521.20000000000005</c:v>
                </c:pt>
                <c:pt idx="25">
                  <c:v>523.54</c:v>
                </c:pt>
                <c:pt idx="26">
                  <c:v>527.66999999999996</c:v>
                </c:pt>
                <c:pt idx="27">
                  <c:v>525.62</c:v>
                </c:pt>
                <c:pt idx="28">
                  <c:v>521.35</c:v>
                </c:pt>
                <c:pt idx="29">
                  <c:v>513.09</c:v>
                </c:pt>
                <c:pt idx="30">
                  <c:v>490.87</c:v>
                </c:pt>
                <c:pt idx="31">
                  <c:v>491.73</c:v>
                </c:pt>
                <c:pt idx="32">
                  <c:v>488.12</c:v>
                </c:pt>
                <c:pt idx="33">
                  <c:v>479.25</c:v>
                </c:pt>
                <c:pt idx="34">
                  <c:v>477.66</c:v>
                </c:pt>
                <c:pt idx="35">
                  <c:v>485.14</c:v>
                </c:pt>
                <c:pt idx="36">
                  <c:v>481.99</c:v>
                </c:pt>
                <c:pt idx="37">
                  <c:v>480.24</c:v>
                </c:pt>
                <c:pt idx="38">
                  <c:v>496.96</c:v>
                </c:pt>
                <c:pt idx="39">
                  <c:v>470.99</c:v>
                </c:pt>
                <c:pt idx="40">
                  <c:v>456.54</c:v>
                </c:pt>
                <c:pt idx="41">
                  <c:v>422.69</c:v>
                </c:pt>
                <c:pt idx="42">
                  <c:v>411.03</c:v>
                </c:pt>
                <c:pt idx="43">
                  <c:v>405.75</c:v>
                </c:pt>
                <c:pt idx="44">
                  <c:v>409.15</c:v>
                </c:pt>
                <c:pt idx="45">
                  <c:v>402.73</c:v>
                </c:pt>
                <c:pt idx="46">
                  <c:v>395.38</c:v>
                </c:pt>
                <c:pt idx="47">
                  <c:v>394.54</c:v>
                </c:pt>
                <c:pt idx="48" formatCode="0.0">
                  <c:v>395.89</c:v>
                </c:pt>
                <c:pt idx="49" formatCode="0.0">
                  <c:v>393.45</c:v>
                </c:pt>
                <c:pt idx="50" formatCode="0.0">
                  <c:v>388.44</c:v>
                </c:pt>
                <c:pt idx="51" formatCode="0.0">
                  <c:v>387.74</c:v>
                </c:pt>
                <c:pt idx="52" formatCode="0.0">
                  <c:v>386.56</c:v>
                </c:pt>
                <c:pt idx="53" formatCode="0.0">
                  <c:v>386.67</c:v>
                </c:pt>
                <c:pt idx="54" formatCode="0.0">
                  <c:v>386.54</c:v>
                </c:pt>
                <c:pt idx="55" formatCode="0.0">
                  <c:v>386.17</c:v>
                </c:pt>
                <c:pt idx="56" formatCode="0.0">
                  <c:v>386.94</c:v>
                </c:pt>
                <c:pt idx="57" formatCode="0.0">
                  <c:v>404.33</c:v>
                </c:pt>
              </c:numCache>
            </c:numRef>
          </c:val>
          <c:smooth val="0"/>
          <c:extLst>
            <c:ext xmlns:c16="http://schemas.microsoft.com/office/drawing/2014/chart" uri="{C3380CC4-5D6E-409C-BE32-E72D297353CC}">
              <c16:uniqueId val="{00000000-B962-40C6-B8E1-D091E805A6B6}"/>
            </c:ext>
          </c:extLst>
        </c:ser>
        <c:ser>
          <c:idx val="1"/>
          <c:order val="1"/>
          <c:tx>
            <c:strRef>
              <c:f>Sheet1!$D$1</c:f>
              <c:strCache>
                <c:ptCount val="1"/>
                <c:pt idx="0">
                  <c:v>Եվրո</c:v>
                </c:pt>
              </c:strCache>
            </c:strRef>
          </c:tx>
          <c:spPr>
            <a:ln w="28575" cap="rnd">
              <a:solidFill>
                <a:srgbClr val="F79646">
                  <a:lumMod val="60000"/>
                  <a:lumOff val="40000"/>
                </a:srgbClr>
              </a:solidFill>
              <a:round/>
            </a:ln>
            <a:effectLst/>
          </c:spPr>
          <c:marker>
            <c:symbol val="none"/>
          </c:marker>
          <c:cat>
            <c:multiLvlStrRef>
              <c:f>Sheet1!$A$2:$B$73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Sheet1!$D$2:$D$71</c:f>
              <c:numCache>
                <c:formatCode>_(* #,##0_);_(* \(#,##0\);_(* "-"??_);_(@_)</c:formatCode>
                <c:ptCount val="58"/>
                <c:pt idx="0">
                  <c:v>554.84</c:v>
                </c:pt>
                <c:pt idx="1">
                  <c:v>554.27</c:v>
                </c:pt>
                <c:pt idx="2">
                  <c:v>551.41</c:v>
                </c:pt>
                <c:pt idx="3">
                  <c:v>544.42999999999995</c:v>
                </c:pt>
                <c:pt idx="4">
                  <c:v>537.45000000000005</c:v>
                </c:pt>
                <c:pt idx="5">
                  <c:v>540.17999999999995</c:v>
                </c:pt>
                <c:pt idx="6">
                  <c:v>534.54</c:v>
                </c:pt>
                <c:pt idx="7">
                  <c:v>529.5</c:v>
                </c:pt>
                <c:pt idx="8">
                  <c:v>524.36</c:v>
                </c:pt>
                <c:pt idx="9">
                  <c:v>526.39</c:v>
                </c:pt>
                <c:pt idx="10">
                  <c:v>527.4</c:v>
                </c:pt>
                <c:pt idx="11">
                  <c:v>531.17999999999995</c:v>
                </c:pt>
                <c:pt idx="12">
                  <c:v>531.41</c:v>
                </c:pt>
                <c:pt idx="13">
                  <c:v>522.57000000000005</c:v>
                </c:pt>
                <c:pt idx="14">
                  <c:v>541.09</c:v>
                </c:pt>
                <c:pt idx="15">
                  <c:v>531.36</c:v>
                </c:pt>
                <c:pt idx="16">
                  <c:v>526.54</c:v>
                </c:pt>
                <c:pt idx="17">
                  <c:v>541.78</c:v>
                </c:pt>
                <c:pt idx="18">
                  <c:v>555.25</c:v>
                </c:pt>
                <c:pt idx="19">
                  <c:v>574.41</c:v>
                </c:pt>
                <c:pt idx="20">
                  <c:v>573.95000000000005</c:v>
                </c:pt>
                <c:pt idx="21">
                  <c:v>578.66999999999996</c:v>
                </c:pt>
                <c:pt idx="22">
                  <c:v>591.30999999999995</c:v>
                </c:pt>
                <c:pt idx="23">
                  <c:v>631.22</c:v>
                </c:pt>
                <c:pt idx="24">
                  <c:v>633.02</c:v>
                </c:pt>
                <c:pt idx="25">
                  <c:v>633.41999999999996</c:v>
                </c:pt>
                <c:pt idx="26">
                  <c:v>628.03</c:v>
                </c:pt>
                <c:pt idx="27">
                  <c:v>628.44000000000005</c:v>
                </c:pt>
                <c:pt idx="28">
                  <c:v>633.21</c:v>
                </c:pt>
                <c:pt idx="29">
                  <c:v>618.41999999999996</c:v>
                </c:pt>
                <c:pt idx="30">
                  <c:v>580.29</c:v>
                </c:pt>
                <c:pt idx="31">
                  <c:v>578.80999999999995</c:v>
                </c:pt>
                <c:pt idx="32">
                  <c:v>574.82000000000005</c:v>
                </c:pt>
                <c:pt idx="33">
                  <c:v>555.86</c:v>
                </c:pt>
                <c:pt idx="34">
                  <c:v>545.17999999999995</c:v>
                </c:pt>
                <c:pt idx="35">
                  <c:v>548.21</c:v>
                </c:pt>
                <c:pt idx="36">
                  <c:v>546.25</c:v>
                </c:pt>
                <c:pt idx="37">
                  <c:v>544.47</c:v>
                </c:pt>
                <c:pt idx="38">
                  <c:v>547.79999999999995</c:v>
                </c:pt>
                <c:pt idx="39">
                  <c:v>509.88</c:v>
                </c:pt>
                <c:pt idx="40">
                  <c:v>482.99</c:v>
                </c:pt>
                <c:pt idx="41">
                  <c:v>446.99</c:v>
                </c:pt>
                <c:pt idx="42">
                  <c:v>418.36</c:v>
                </c:pt>
                <c:pt idx="43">
                  <c:v>410.96</c:v>
                </c:pt>
                <c:pt idx="44">
                  <c:v>405.41</c:v>
                </c:pt>
                <c:pt idx="45">
                  <c:v>395.78</c:v>
                </c:pt>
                <c:pt idx="46">
                  <c:v>403.14</c:v>
                </c:pt>
                <c:pt idx="47">
                  <c:v>417.71</c:v>
                </c:pt>
                <c:pt idx="48" formatCode="0.0">
                  <c:v>427.28</c:v>
                </c:pt>
                <c:pt idx="49" formatCode="0.0">
                  <c:v>421.68</c:v>
                </c:pt>
                <c:pt idx="50" formatCode="0.0">
                  <c:v>416.08</c:v>
                </c:pt>
                <c:pt idx="51" formatCode="0.0">
                  <c:v>425.09</c:v>
                </c:pt>
                <c:pt idx="52" formatCode="0.0">
                  <c:v>419.8</c:v>
                </c:pt>
                <c:pt idx="53" formatCode="0.0">
                  <c:v>419.13</c:v>
                </c:pt>
                <c:pt idx="54" formatCode="0.0">
                  <c:v>427.81</c:v>
                </c:pt>
                <c:pt idx="55" formatCode="0.0">
                  <c:v>421.3</c:v>
                </c:pt>
                <c:pt idx="56" formatCode="0.0">
                  <c:v>413.53</c:v>
                </c:pt>
                <c:pt idx="57" formatCode="0.0">
                  <c:v>427.01</c:v>
                </c:pt>
              </c:numCache>
            </c:numRef>
          </c:val>
          <c:smooth val="0"/>
          <c:extLst>
            <c:ext xmlns:c16="http://schemas.microsoft.com/office/drawing/2014/chart" uri="{C3380CC4-5D6E-409C-BE32-E72D297353CC}">
              <c16:uniqueId val="{00000001-B962-40C6-B8E1-D091E805A6B6}"/>
            </c:ext>
          </c:extLst>
        </c:ser>
        <c:dLbls>
          <c:showLegendKey val="0"/>
          <c:showVal val="0"/>
          <c:showCatName val="0"/>
          <c:showSerName val="0"/>
          <c:showPercent val="0"/>
          <c:showBubbleSize val="0"/>
        </c:dLbls>
        <c:marker val="1"/>
        <c:smooth val="0"/>
        <c:axId val="175953408"/>
        <c:axId val="175954944"/>
      </c:lineChart>
      <c:lineChart>
        <c:grouping val="standard"/>
        <c:varyColors val="0"/>
        <c:ser>
          <c:idx val="2"/>
          <c:order val="2"/>
          <c:tx>
            <c:strRef>
              <c:f>Sheet1!$E$1</c:f>
              <c:strCache>
                <c:ptCount val="1"/>
                <c:pt idx="0">
                  <c:v>Ռուբլի, աջ առանցք</c:v>
                </c:pt>
              </c:strCache>
            </c:strRef>
          </c:tx>
          <c:spPr>
            <a:ln w="28575" cap="rnd">
              <a:solidFill>
                <a:schemeClr val="accent5"/>
              </a:solidFill>
              <a:round/>
            </a:ln>
            <a:effectLst/>
          </c:spPr>
          <c:marker>
            <c:symbol val="none"/>
          </c:marker>
          <c:cat>
            <c:multiLvlStrRef>
              <c:f>Sheet1!$A$2:$B$73</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Sheet1!$E$2:$E$71</c:f>
              <c:numCache>
                <c:formatCode>_(* #,##0_);_(* \(#,##0\);_(* "-"??_);_(@_)</c:formatCode>
                <c:ptCount val="58"/>
                <c:pt idx="0">
                  <c:v>7.3</c:v>
                </c:pt>
                <c:pt idx="1">
                  <c:v>7.42</c:v>
                </c:pt>
                <c:pt idx="2">
                  <c:v>7.49</c:v>
                </c:pt>
                <c:pt idx="3">
                  <c:v>7.5</c:v>
                </c:pt>
                <c:pt idx="4">
                  <c:v>7.4</c:v>
                </c:pt>
                <c:pt idx="5">
                  <c:v>7.46</c:v>
                </c:pt>
                <c:pt idx="6">
                  <c:v>7.54</c:v>
                </c:pt>
                <c:pt idx="7">
                  <c:v>7.24</c:v>
                </c:pt>
                <c:pt idx="8">
                  <c:v>7.34</c:v>
                </c:pt>
                <c:pt idx="9">
                  <c:v>7.41</c:v>
                </c:pt>
                <c:pt idx="10">
                  <c:v>7.47</c:v>
                </c:pt>
                <c:pt idx="11">
                  <c:v>7.61</c:v>
                </c:pt>
                <c:pt idx="12">
                  <c:v>7.75</c:v>
                </c:pt>
                <c:pt idx="13">
                  <c:v>7.47</c:v>
                </c:pt>
                <c:pt idx="14">
                  <c:v>6.61</c:v>
                </c:pt>
                <c:pt idx="15">
                  <c:v>6.51</c:v>
                </c:pt>
                <c:pt idx="16">
                  <c:v>6.65</c:v>
                </c:pt>
                <c:pt idx="17">
                  <c:v>6.95</c:v>
                </c:pt>
                <c:pt idx="18">
                  <c:v>6.78</c:v>
                </c:pt>
                <c:pt idx="19">
                  <c:v>6.58</c:v>
                </c:pt>
                <c:pt idx="20">
                  <c:v>6.41</c:v>
                </c:pt>
                <c:pt idx="21">
                  <c:v>6.33</c:v>
                </c:pt>
                <c:pt idx="22">
                  <c:v>6.5</c:v>
                </c:pt>
                <c:pt idx="23">
                  <c:v>7</c:v>
                </c:pt>
                <c:pt idx="24">
                  <c:v>7.01</c:v>
                </c:pt>
                <c:pt idx="25">
                  <c:v>7.04</c:v>
                </c:pt>
                <c:pt idx="26">
                  <c:v>7.09</c:v>
                </c:pt>
                <c:pt idx="27">
                  <c:v>6.91</c:v>
                </c:pt>
                <c:pt idx="28">
                  <c:v>7.04</c:v>
                </c:pt>
                <c:pt idx="29">
                  <c:v>7.07</c:v>
                </c:pt>
                <c:pt idx="30">
                  <c:v>6.64</c:v>
                </c:pt>
                <c:pt idx="31">
                  <c:v>6.68</c:v>
                </c:pt>
                <c:pt idx="32">
                  <c:v>6.7</c:v>
                </c:pt>
                <c:pt idx="33">
                  <c:v>6.71</c:v>
                </c:pt>
                <c:pt idx="34">
                  <c:v>6.56</c:v>
                </c:pt>
                <c:pt idx="35">
                  <c:v>6.58</c:v>
                </c:pt>
                <c:pt idx="36">
                  <c:v>6.32</c:v>
                </c:pt>
                <c:pt idx="37">
                  <c:v>6.16</c:v>
                </c:pt>
                <c:pt idx="38">
                  <c:v>4.83</c:v>
                </c:pt>
                <c:pt idx="39">
                  <c:v>6.1</c:v>
                </c:pt>
                <c:pt idx="40">
                  <c:v>7.17</c:v>
                </c:pt>
                <c:pt idx="41">
                  <c:v>7.48</c:v>
                </c:pt>
                <c:pt idx="42">
                  <c:v>7.04</c:v>
                </c:pt>
                <c:pt idx="43">
                  <c:v>6.72</c:v>
                </c:pt>
                <c:pt idx="44">
                  <c:v>6.9</c:v>
                </c:pt>
                <c:pt idx="45">
                  <c:v>6.56</c:v>
                </c:pt>
                <c:pt idx="46">
                  <c:v>6.5</c:v>
                </c:pt>
                <c:pt idx="47">
                  <c:v>5.99</c:v>
                </c:pt>
                <c:pt idx="48" formatCode="0.0">
                  <c:v>5.71</c:v>
                </c:pt>
                <c:pt idx="49" formatCode="0.0">
                  <c:v>5.37</c:v>
                </c:pt>
                <c:pt idx="50" formatCode="0.0">
                  <c:v>5.0999999999999996</c:v>
                </c:pt>
                <c:pt idx="51" formatCode="0.0">
                  <c:v>4.78</c:v>
                </c:pt>
                <c:pt idx="52" formatCode="0.0">
                  <c:v>4.88</c:v>
                </c:pt>
                <c:pt idx="53" formatCode="0.0">
                  <c:v>4.63</c:v>
                </c:pt>
                <c:pt idx="54" formatCode="0.0">
                  <c:v>4.2699999999999996</c:v>
                </c:pt>
                <c:pt idx="55" formatCode="0.0">
                  <c:v>4.04</c:v>
                </c:pt>
                <c:pt idx="56" formatCode="0.0">
                  <c:v>4</c:v>
                </c:pt>
                <c:pt idx="57" formatCode="0.0">
                  <c:v>4.18</c:v>
                </c:pt>
              </c:numCache>
            </c:numRef>
          </c:val>
          <c:smooth val="0"/>
          <c:extLst>
            <c:ext xmlns:c16="http://schemas.microsoft.com/office/drawing/2014/chart" uri="{C3380CC4-5D6E-409C-BE32-E72D297353CC}">
              <c16:uniqueId val="{00000002-B962-40C6-B8E1-D091E805A6B6}"/>
            </c:ext>
          </c:extLst>
        </c:ser>
        <c:dLbls>
          <c:showLegendKey val="0"/>
          <c:showVal val="0"/>
          <c:showCatName val="0"/>
          <c:showSerName val="0"/>
          <c:showPercent val="0"/>
          <c:showBubbleSize val="0"/>
        </c:dLbls>
        <c:marker val="1"/>
        <c:smooth val="0"/>
        <c:axId val="572781496"/>
        <c:axId val="572775736"/>
      </c:lineChart>
      <c:catAx>
        <c:axId val="175953408"/>
        <c:scaling>
          <c:orientation val="minMax"/>
        </c:scaling>
        <c:delete val="0"/>
        <c:axPos val="b"/>
        <c:numFmt formatCode="General" sourceLinked="1"/>
        <c:majorTickMark val="none"/>
        <c:minorTickMark val="none"/>
        <c:tickLblPos val="low"/>
        <c:spPr>
          <a:noFill/>
          <a:ln w="9525" cap="flat" cmpd="sng" algn="ctr">
            <a:solidFill>
              <a:sysClr val="window" lastClr="FFFFFF">
                <a:lumMod val="85000"/>
              </a:sysClr>
            </a:solidFill>
            <a:prstDash val="solid"/>
            <a:round/>
          </a:ln>
          <a:effectLst/>
        </c:spPr>
        <c:txPr>
          <a:bodyPr rot="0" spcFirstLastPara="1" vertOverflow="ellipsis" wrap="square" anchor="b" anchorCtr="0"/>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5954944"/>
        <c:crosses val="autoZero"/>
        <c:auto val="0"/>
        <c:lblAlgn val="ctr"/>
        <c:lblOffset val="100"/>
        <c:noMultiLvlLbl val="0"/>
      </c:catAx>
      <c:valAx>
        <c:axId val="175954944"/>
        <c:scaling>
          <c:orientation val="minMax"/>
          <c:min val="300"/>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5953408"/>
        <c:crosses val="autoZero"/>
        <c:crossBetween val="between"/>
      </c:valAx>
      <c:valAx>
        <c:axId val="572775736"/>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72781496"/>
        <c:crosses val="max"/>
        <c:crossBetween val="between"/>
      </c:valAx>
      <c:catAx>
        <c:axId val="572781496"/>
        <c:scaling>
          <c:orientation val="minMax"/>
        </c:scaling>
        <c:delete val="1"/>
        <c:axPos val="b"/>
        <c:numFmt formatCode="General" sourceLinked="1"/>
        <c:majorTickMark val="out"/>
        <c:minorTickMark val="none"/>
        <c:tickLblPos val="nextTo"/>
        <c:crossAx val="572775736"/>
        <c:crosses val="autoZero"/>
        <c:auto val="1"/>
        <c:lblAlgn val="ctr"/>
        <c:lblOffset val="100"/>
        <c:noMultiLvlLbl val="0"/>
      </c:catAx>
      <c:spPr>
        <a:noFill/>
        <a:ln>
          <a:noFill/>
        </a:ln>
        <a:effectLst/>
      </c:spPr>
    </c:plotArea>
    <c:legend>
      <c:legendPos val="b"/>
      <c:layout>
        <c:manualLayout>
          <c:xMode val="edge"/>
          <c:yMode val="edge"/>
          <c:x val="5.2159240964444659E-2"/>
          <c:y val="0.90165372974786995"/>
          <c:w val="0.9"/>
          <c:h val="9.44707878366033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1400">
          <a:latin typeface="GHEA Grapalat" panose="02000506050000020003" pitchFamily="50" charset="0"/>
        </a:defRPr>
      </a:pPr>
      <a:endParaRPr lang="en-US"/>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929303715429006E-2"/>
          <c:y val="3.176785222289203E-2"/>
          <c:w val="0.86669502325071102"/>
          <c:h val="0.67027077416427916"/>
        </c:manualLayout>
      </c:layout>
      <c:lineChart>
        <c:grouping val="standard"/>
        <c:varyColors val="0"/>
        <c:ser>
          <c:idx val="0"/>
          <c:order val="0"/>
          <c:tx>
            <c:strRef>
              <c:f>Sheet1!$C$1</c:f>
              <c:strCache>
                <c:ptCount val="1"/>
                <c:pt idx="0">
                  <c:v>Իրական</c:v>
                </c:pt>
              </c:strCache>
            </c:strRef>
          </c:tx>
          <c:spPr>
            <a:ln w="28575" cap="rnd">
              <a:solidFill>
                <a:srgbClr val="1F497D"/>
              </a:solidFill>
              <a:round/>
            </a:ln>
            <a:effectLst/>
          </c:spPr>
          <c:marker>
            <c:symbol val="none"/>
          </c:marker>
          <c:cat>
            <c:multiLvlStrRef>
              <c:f>Sheet1!$A$2:$B$61</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Sheet1!$C$2:$C$61</c:f>
              <c:numCache>
                <c:formatCode>0.0</c:formatCode>
                <c:ptCount val="60"/>
                <c:pt idx="0" formatCode="0">
                  <c:v>100</c:v>
                </c:pt>
                <c:pt idx="1">
                  <c:v>99.24558587479936</c:v>
                </c:pt>
                <c:pt idx="2">
                  <c:v>99.125200642054594</c:v>
                </c:pt>
                <c:pt idx="3">
                  <c:v>99.526484751203881</c:v>
                </c:pt>
                <c:pt idx="4">
                  <c:v>100.60192616372393</c:v>
                </c:pt>
                <c:pt idx="5">
                  <c:v>97.833065810593922</c:v>
                </c:pt>
                <c:pt idx="6">
                  <c:v>95.337078651685417</c:v>
                </c:pt>
                <c:pt idx="7">
                  <c:v>96.17174959871592</c:v>
                </c:pt>
                <c:pt idx="8">
                  <c:v>96.316211878009682</c:v>
                </c:pt>
                <c:pt idx="9">
                  <c:v>95.955056179775326</c:v>
                </c:pt>
                <c:pt idx="10">
                  <c:v>96.428571428571473</c:v>
                </c:pt>
                <c:pt idx="11">
                  <c:v>97.062600321027318</c:v>
                </c:pt>
                <c:pt idx="12">
                  <c:v>99.446227929374032</c:v>
                </c:pt>
                <c:pt idx="13">
                  <c:v>101.24398073836281</c:v>
                </c:pt>
                <c:pt idx="14">
                  <c:v>104.0690208667737</c:v>
                </c:pt>
                <c:pt idx="15">
                  <c:v>107.20706260032107</c:v>
                </c:pt>
                <c:pt idx="16">
                  <c:v>107.23113964687003</c:v>
                </c:pt>
                <c:pt idx="17">
                  <c:v>103.6837881219904</c:v>
                </c:pt>
                <c:pt idx="18">
                  <c:v>101.67736757624401</c:v>
                </c:pt>
                <c:pt idx="19">
                  <c:v>101.19582664526487</c:v>
                </c:pt>
                <c:pt idx="20">
                  <c:v>102.04654895666134</c:v>
                </c:pt>
                <c:pt idx="21">
                  <c:v>102.25521669341896</c:v>
                </c:pt>
                <c:pt idx="22">
                  <c:v>100.36115569823437</c:v>
                </c:pt>
                <c:pt idx="23">
                  <c:v>96.84590690208671</c:v>
                </c:pt>
                <c:pt idx="24">
                  <c:v>107.67255216693424</c:v>
                </c:pt>
                <c:pt idx="25">
                  <c:v>107.38362760834677</c:v>
                </c:pt>
                <c:pt idx="26">
                  <c:v>108.13001605136442</c:v>
                </c:pt>
                <c:pt idx="27">
                  <c:v>110.07223113964693</c:v>
                </c:pt>
                <c:pt idx="28">
                  <c:v>107.92937399678978</c:v>
                </c:pt>
                <c:pt idx="29">
                  <c:v>108.12199036918145</c:v>
                </c:pt>
                <c:pt idx="30">
                  <c:v>113.53130016051372</c:v>
                </c:pt>
                <c:pt idx="31">
                  <c:v>113.56340288924565</c:v>
                </c:pt>
                <c:pt idx="32">
                  <c:v>113.45906902086685</c:v>
                </c:pt>
                <c:pt idx="33">
                  <c:v>115.27287319422157</c:v>
                </c:pt>
                <c:pt idx="34">
                  <c:v>118.56340288924564</c:v>
                </c:pt>
                <c:pt idx="35">
                  <c:v>120.01605136436601</c:v>
                </c:pt>
                <c:pt idx="36">
                  <c:v>137.43178170144469</c:v>
                </c:pt>
                <c:pt idx="37">
                  <c:v>136.66934189406103</c:v>
                </c:pt>
                <c:pt idx="38">
                  <c:v>143.56340288924565</c:v>
                </c:pt>
                <c:pt idx="39">
                  <c:v>141.72552166934196</c:v>
                </c:pt>
                <c:pt idx="40">
                  <c:v>140.52166934189412</c:v>
                </c:pt>
                <c:pt idx="41">
                  <c:v>146.23595505617985</c:v>
                </c:pt>
                <c:pt idx="42">
                  <c:v>150.55377207062605</c:v>
                </c:pt>
                <c:pt idx="43">
                  <c:v>154.49438202247197</c:v>
                </c:pt>
                <c:pt idx="44">
                  <c:v>155.12841091492783</c:v>
                </c:pt>
                <c:pt idx="45">
                  <c:v>159.64686998394868</c:v>
                </c:pt>
                <c:pt idx="46">
                  <c:v>162.60834670947037</c:v>
                </c:pt>
                <c:pt idx="47">
                  <c:v>165.93900481540933</c:v>
                </c:pt>
                <c:pt idx="48">
                  <c:v>183.16211878009634</c:v>
                </c:pt>
                <c:pt idx="49">
                  <c:v>188.52327447833071</c:v>
                </c:pt>
                <c:pt idx="50">
                  <c:v>192.69662921348319</c:v>
                </c:pt>
                <c:pt idx="51">
                  <c:v>193.94060995184594</c:v>
                </c:pt>
                <c:pt idx="52">
                  <c:v>190.36115569823437</c:v>
                </c:pt>
                <c:pt idx="53">
                  <c:v>190.90690208667738</c:v>
                </c:pt>
                <c:pt idx="54">
                  <c:v>192.34349919743178</c:v>
                </c:pt>
                <c:pt idx="55">
                  <c:v>195.97913322632425</c:v>
                </c:pt>
                <c:pt idx="56">
                  <c:v>198.59550561797755</c:v>
                </c:pt>
                <c:pt idx="57">
                  <c:v>190.92295345104336</c:v>
                </c:pt>
                <c:pt idx="58">
                  <c:v>186.49277688603536</c:v>
                </c:pt>
                <c:pt idx="59">
                  <c:v>185.32102728731945</c:v>
                </c:pt>
              </c:numCache>
            </c:numRef>
          </c:val>
          <c:smooth val="0"/>
          <c:extLst>
            <c:ext xmlns:c16="http://schemas.microsoft.com/office/drawing/2014/chart" uri="{C3380CC4-5D6E-409C-BE32-E72D297353CC}">
              <c16:uniqueId val="{00000000-01E4-48D0-8B90-E0B0FE3D25E6}"/>
            </c:ext>
          </c:extLst>
        </c:ser>
        <c:ser>
          <c:idx val="1"/>
          <c:order val="1"/>
          <c:tx>
            <c:strRef>
              <c:f>Sheet1!$D$1</c:f>
              <c:strCache>
                <c:ptCount val="1"/>
                <c:pt idx="0">
                  <c:v>Անվանական</c:v>
                </c:pt>
              </c:strCache>
            </c:strRef>
          </c:tx>
          <c:spPr>
            <a:ln w="28575" cap="rnd">
              <a:solidFill>
                <a:srgbClr val="F79646">
                  <a:lumMod val="60000"/>
                  <a:lumOff val="40000"/>
                </a:srgbClr>
              </a:solidFill>
              <a:round/>
            </a:ln>
            <a:effectLst/>
          </c:spPr>
          <c:marker>
            <c:symbol val="none"/>
          </c:marker>
          <c:cat>
            <c:multiLvlStrRef>
              <c:f>Sheet1!$A$2:$B$61</c:f>
              <c:multiLvlStrCache>
                <c:ptCount val="60"/>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lvl>
                <c:lvl>
                  <c:pt idx="0">
                    <c:v>2019</c:v>
                  </c:pt>
                  <c:pt idx="12">
                    <c:v>2020</c:v>
                  </c:pt>
                  <c:pt idx="24">
                    <c:v>2021</c:v>
                  </c:pt>
                  <c:pt idx="36">
                    <c:v>2022</c:v>
                  </c:pt>
                  <c:pt idx="48">
                    <c:v>2023</c:v>
                  </c:pt>
                </c:lvl>
              </c:multiLvlStrCache>
            </c:multiLvlStrRef>
          </c:cat>
          <c:val>
            <c:numRef>
              <c:f>Sheet1!$D$2:$D$61</c:f>
              <c:numCache>
                <c:formatCode>0.0</c:formatCode>
                <c:ptCount val="60"/>
                <c:pt idx="0" formatCode="0">
                  <c:v>100</c:v>
                </c:pt>
                <c:pt idx="1">
                  <c:v>102.9882303192614</c:v>
                </c:pt>
                <c:pt idx="2">
                  <c:v>103.46042709140885</c:v>
                </c:pt>
                <c:pt idx="3">
                  <c:v>104.63739516526886</c:v>
                </c:pt>
                <c:pt idx="4">
                  <c:v>106.5543731059271</c:v>
                </c:pt>
                <c:pt idx="5">
                  <c:v>105.64521812671785</c:v>
                </c:pt>
                <c:pt idx="6">
                  <c:v>105.08844879836491</c:v>
                </c:pt>
                <c:pt idx="7">
                  <c:v>106.46275283670447</c:v>
                </c:pt>
                <c:pt idx="8">
                  <c:v>106.61780252308124</c:v>
                </c:pt>
                <c:pt idx="9">
                  <c:v>106.1737966030023</c:v>
                </c:pt>
                <c:pt idx="10">
                  <c:v>105.83550637818024</c:v>
                </c:pt>
                <c:pt idx="11">
                  <c:v>105.6593135527521</c:v>
                </c:pt>
                <c:pt idx="12">
                  <c:v>102.96708718021</c:v>
                </c:pt>
                <c:pt idx="13">
                  <c:v>105.3069279018958</c:v>
                </c:pt>
                <c:pt idx="14">
                  <c:v>107.89343857918104</c:v>
                </c:pt>
                <c:pt idx="15">
                  <c:v>110.47994925646624</c:v>
                </c:pt>
                <c:pt idx="16">
                  <c:v>110.81119176827116</c:v>
                </c:pt>
                <c:pt idx="17">
                  <c:v>109.03516808795544</c:v>
                </c:pt>
                <c:pt idx="18">
                  <c:v>109.56374656423989</c:v>
                </c:pt>
                <c:pt idx="19">
                  <c:v>109.56374656423989</c:v>
                </c:pt>
                <c:pt idx="20">
                  <c:v>110.99443230671646</c:v>
                </c:pt>
                <c:pt idx="21">
                  <c:v>111.43139051377828</c:v>
                </c:pt>
                <c:pt idx="22">
                  <c:v>108.44316019451688</c:v>
                </c:pt>
                <c:pt idx="23">
                  <c:v>101.83945309746987</c:v>
                </c:pt>
                <c:pt idx="24">
                  <c:v>113.19331876805977</c:v>
                </c:pt>
                <c:pt idx="25">
                  <c:v>112.97483966452887</c:v>
                </c:pt>
                <c:pt idx="26">
                  <c:v>113.40475015857356</c:v>
                </c:pt>
                <c:pt idx="27">
                  <c:v>114.67333850165623</c:v>
                </c:pt>
                <c:pt idx="28">
                  <c:v>113.39065473253929</c:v>
                </c:pt>
                <c:pt idx="29">
                  <c:v>115.14553527380366</c:v>
                </c:pt>
                <c:pt idx="30">
                  <c:v>122.12277116075835</c:v>
                </c:pt>
                <c:pt idx="31">
                  <c:v>122.24258228204948</c:v>
                </c:pt>
                <c:pt idx="32">
                  <c:v>123.01078300091622</c:v>
                </c:pt>
                <c:pt idx="33">
                  <c:v>125.54091197406444</c:v>
                </c:pt>
                <c:pt idx="34">
                  <c:v>128.06399323419555</c:v>
                </c:pt>
                <c:pt idx="35">
                  <c:v>128.93790964831913</c:v>
                </c:pt>
                <c:pt idx="36">
                  <c:v>148.29092959334699</c:v>
                </c:pt>
                <c:pt idx="37">
                  <c:v>149.00979632109383</c:v>
                </c:pt>
                <c:pt idx="38">
                  <c:v>159.01754880541264</c:v>
                </c:pt>
                <c:pt idx="39">
                  <c:v>155.61350341814082</c:v>
                </c:pt>
                <c:pt idx="40">
                  <c:v>155.21883148918178</c:v>
                </c:pt>
                <c:pt idx="41">
                  <c:v>162.87264782578055</c:v>
                </c:pt>
                <c:pt idx="42">
                  <c:v>170.70970470082457</c:v>
                </c:pt>
                <c:pt idx="43">
                  <c:v>175.42462470928183</c:v>
                </c:pt>
                <c:pt idx="44">
                  <c:v>176.3126365494397</c:v>
                </c:pt>
                <c:pt idx="45">
                  <c:v>182.36662203115091</c:v>
                </c:pt>
                <c:pt idx="46">
                  <c:v>184.32588624991197</c:v>
                </c:pt>
                <c:pt idx="47">
                  <c:v>186.6516315455635</c:v>
                </c:pt>
                <c:pt idx="48">
                  <c:v>206.6459933751498</c:v>
                </c:pt>
                <c:pt idx="49">
                  <c:v>213.83466065261831</c:v>
                </c:pt>
                <c:pt idx="50">
                  <c:v>220.25512721122004</c:v>
                </c:pt>
                <c:pt idx="51">
                  <c:v>223.78603143280012</c:v>
                </c:pt>
                <c:pt idx="52">
                  <c:v>224.2864190570161</c:v>
                </c:pt>
                <c:pt idx="53">
                  <c:v>229.3960109944324</c:v>
                </c:pt>
                <c:pt idx="54">
                  <c:v>234.96370427796188</c:v>
                </c:pt>
                <c:pt idx="55">
                  <c:v>240.65120868278254</c:v>
                </c:pt>
                <c:pt idx="56">
                  <c:v>243.25886249911918</c:v>
                </c:pt>
                <c:pt idx="57">
                  <c:v>234.53379378391722</c:v>
                </c:pt>
                <c:pt idx="58">
                  <c:v>228.85333709211375</c:v>
                </c:pt>
                <c:pt idx="59">
                  <c:v>226.54168722249642</c:v>
                </c:pt>
              </c:numCache>
            </c:numRef>
          </c:val>
          <c:smooth val="0"/>
          <c:extLst>
            <c:ext xmlns:c16="http://schemas.microsoft.com/office/drawing/2014/chart" uri="{C3380CC4-5D6E-409C-BE32-E72D297353CC}">
              <c16:uniqueId val="{00000001-01E4-48D0-8B90-E0B0FE3D25E6}"/>
            </c:ext>
          </c:extLst>
        </c:ser>
        <c:dLbls>
          <c:showLegendKey val="0"/>
          <c:showVal val="0"/>
          <c:showCatName val="0"/>
          <c:showSerName val="0"/>
          <c:showPercent val="0"/>
          <c:showBubbleSize val="0"/>
        </c:dLbls>
        <c:smooth val="0"/>
        <c:axId val="175953408"/>
        <c:axId val="175954944"/>
      </c:lineChart>
      <c:catAx>
        <c:axId val="175953408"/>
        <c:scaling>
          <c:orientation val="minMax"/>
        </c:scaling>
        <c:delete val="0"/>
        <c:axPos val="b"/>
        <c:numFmt formatCode="General" sourceLinked="1"/>
        <c:majorTickMark val="none"/>
        <c:minorTickMark val="none"/>
        <c:tickLblPos val="low"/>
        <c:spPr>
          <a:noFill/>
          <a:ln w="9525" cap="flat" cmpd="sng" algn="ctr">
            <a:solidFill>
              <a:sysClr val="window" lastClr="FFFFFF">
                <a:lumMod val="85000"/>
              </a:sysClr>
            </a:solidFill>
            <a:prstDash val="solid"/>
            <a:round/>
          </a:ln>
          <a:effectLst/>
        </c:spPr>
        <c:txPr>
          <a:bodyPr rot="0" spcFirstLastPara="1" vertOverflow="ellipsis" wrap="square" anchor="b" anchorCtr="0"/>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5954944"/>
        <c:crosses val="autoZero"/>
        <c:auto val="0"/>
        <c:lblAlgn val="ctr"/>
        <c:lblOffset val="100"/>
        <c:noMultiLvlLbl val="0"/>
      </c:catAx>
      <c:valAx>
        <c:axId val="175954944"/>
        <c:scaling>
          <c:orientation val="minMax"/>
          <c:min val="90"/>
        </c:scaling>
        <c:delete val="0"/>
        <c:axPos val="r"/>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low"/>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75953408"/>
        <c:crosses val="max"/>
        <c:crossBetween val="between"/>
      </c:valAx>
      <c:spPr>
        <a:noFill/>
        <a:ln>
          <a:noFill/>
        </a:ln>
        <a:effectLst/>
      </c:spPr>
    </c:plotArea>
    <c:legend>
      <c:legendPos val="b"/>
      <c:layout>
        <c:manualLayout>
          <c:xMode val="edge"/>
          <c:yMode val="edge"/>
          <c:x val="5.2159417572803402E-2"/>
          <c:y val="0.90165372974786995"/>
          <c:w val="0.9056316195769647"/>
          <c:h val="9.553308598856083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ysClr val="window" lastClr="FFFFFF">
          <a:lumMod val="85000"/>
        </a:sysClr>
      </a:solidFill>
      <a:round/>
    </a:ln>
    <a:effectLst/>
  </c:spPr>
  <c:txPr>
    <a:bodyPr/>
    <a:lstStyle/>
    <a:p>
      <a:pPr>
        <a:defRPr sz="1400">
          <a:latin typeface="GHEA Grapalat" panose="02000506050000020003" pitchFamily="50" charset="0"/>
        </a:defRPr>
      </a:pPr>
      <a:endParaRPr lang="en-US"/>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b="0"/>
            </a:pPr>
            <a:r>
              <a:rPr lang="en-US" b="0"/>
              <a:t>Վարկերի</a:t>
            </a:r>
            <a:r>
              <a:rPr lang="hy-AM" b="0"/>
              <a:t> </a:t>
            </a:r>
            <a:r>
              <a:rPr lang="en-US" b="0"/>
              <a:t>ծավալների աճ</a:t>
            </a:r>
            <a:r>
              <a:rPr lang="hy-AM" b="0"/>
              <a:t> </a:t>
            </a:r>
            <a:r>
              <a:rPr lang="ru-RU" b="0"/>
              <a:t>(</a:t>
            </a:r>
            <a:r>
              <a:rPr lang="hy-AM" b="0"/>
              <a:t>ռեզիդենտների</a:t>
            </a:r>
            <a:r>
              <a:rPr lang="ru-RU" b="0"/>
              <a:t>)</a:t>
            </a:r>
            <a:r>
              <a:rPr lang="en-US" b="0"/>
              <a:t>, 2022</a:t>
            </a:r>
            <a:r>
              <a:rPr lang="hy-AM" b="0"/>
              <a:t>-</a:t>
            </a:r>
            <a:r>
              <a:rPr lang="en-US" b="0"/>
              <a:t>20</a:t>
            </a:r>
            <a:r>
              <a:rPr lang="hy-AM" b="0"/>
              <a:t>2</a:t>
            </a:r>
            <a:r>
              <a:rPr lang="en-US" b="0"/>
              <a:t>3թ</a:t>
            </a:r>
            <a:r>
              <a:rPr lang="hy-AM" b="0"/>
              <a:t>թ․</a:t>
            </a:r>
            <a:endParaRPr lang="en-US" b="0"/>
          </a:p>
        </c:rich>
      </c:tx>
      <c:layout>
        <c:manualLayout>
          <c:xMode val="edge"/>
          <c:yMode val="edge"/>
          <c:x val="0.20221481930143348"/>
          <c:y val="1.126496453654429E-2"/>
        </c:manualLayout>
      </c:layout>
      <c:overlay val="0"/>
    </c:title>
    <c:autoTitleDeleted val="0"/>
    <c:plotArea>
      <c:layout>
        <c:manualLayout>
          <c:layoutTarget val="inner"/>
          <c:xMode val="edge"/>
          <c:yMode val="edge"/>
          <c:x val="8.5340863004369355E-2"/>
          <c:y val="0.20323084614423198"/>
          <c:w val="0.90073842810465021"/>
          <c:h val="0.48827266492460208"/>
        </c:manualLayout>
      </c:layout>
      <c:lineChart>
        <c:grouping val="standard"/>
        <c:varyColors val="0"/>
        <c:ser>
          <c:idx val="0"/>
          <c:order val="0"/>
          <c:tx>
            <c:strRef>
              <c:f>Sheet1!$B$1</c:f>
              <c:strCache>
                <c:ptCount val="1"/>
                <c:pt idx="0">
                  <c:v>2019</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Ref>
          </c:val>
          <c:smooth val="0"/>
          <c:extLst>
            <c:ext xmlns:c16="http://schemas.microsoft.com/office/drawing/2014/chart" uri="{C3380CC4-5D6E-409C-BE32-E72D297353CC}">
              <c16:uniqueId val="{00000000-B280-443B-81C2-CFF1ECCE84EA}"/>
            </c:ext>
          </c:extLst>
        </c:ser>
        <c:ser>
          <c:idx val="1"/>
          <c:order val="1"/>
          <c:tx>
            <c:strRef>
              <c:f>Sheet1!$C$1</c:f>
              <c:strCache>
                <c:ptCount val="1"/>
                <c:pt idx="0">
                  <c:v>2020</c:v>
                </c:pt>
              </c:strCache>
            </c:strRef>
          </c:tx>
          <c:marker>
            <c:spPr>
              <a:ln>
                <a:prstDash val="dash"/>
              </a:ln>
            </c:spPr>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Ref>
          </c:val>
          <c:smooth val="0"/>
          <c:extLst>
            <c:ext xmlns:c16="http://schemas.microsoft.com/office/drawing/2014/chart" uri="{C3380CC4-5D6E-409C-BE32-E72D297353CC}">
              <c16:uniqueId val="{00000001-B280-443B-81C2-CFF1ECCE84EA}"/>
            </c:ext>
          </c:extLst>
        </c:ser>
        <c:ser>
          <c:idx val="2"/>
          <c:order val="2"/>
          <c:tx>
            <c:strRef>
              <c:f>Sheet1!$D$1</c:f>
              <c:strCache>
                <c:ptCount val="1"/>
                <c:pt idx="0">
                  <c:v>2021</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Sheet1!$D$2:$D$13</c:f>
            </c:numRef>
          </c:val>
          <c:smooth val="0"/>
          <c:extLst>
            <c:ext xmlns:c16="http://schemas.microsoft.com/office/drawing/2014/chart" uri="{C3380CC4-5D6E-409C-BE32-E72D297353CC}">
              <c16:uniqueId val="{00000002-B280-443B-81C2-CFF1ECCE84EA}"/>
            </c:ext>
          </c:extLst>
        </c:ser>
        <c:ser>
          <c:idx val="3"/>
          <c:order val="3"/>
          <c:tx>
            <c:strRef>
              <c:f>Sheet1!$E$1</c:f>
              <c:strCache>
                <c:ptCount val="1"/>
                <c:pt idx="0">
                  <c:v>2022</c:v>
                </c:pt>
              </c:strCache>
            </c:strRef>
          </c:tx>
          <c:spPr>
            <a:ln>
              <a:solidFill>
                <a:srgbClr val="4F81BD">
                  <a:lumMod val="50000"/>
                </a:srgbClr>
              </a:solidFill>
            </a:ln>
          </c:spPr>
          <c:marker>
            <c:symbol val="circle"/>
            <c:size val="5"/>
            <c:spPr>
              <a:solidFill>
                <a:srgbClr val="4F81BD">
                  <a:lumMod val="50000"/>
                </a:srgbClr>
              </a:solidFill>
              <a:ln>
                <a:solidFill>
                  <a:srgbClr val="4F81BD">
                    <a:lumMod val="50000"/>
                  </a:srgbClr>
                </a:solidFill>
              </a:ln>
            </c:spPr>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Sheet1!$E$2:$E$13</c:f>
              <c:numCache>
                <c:formatCode>0.0</c:formatCode>
                <c:ptCount val="12"/>
                <c:pt idx="0">
                  <c:v>-1.1901198543983469</c:v>
                </c:pt>
                <c:pt idx="1">
                  <c:v>-0.15949466952658042</c:v>
                </c:pt>
                <c:pt idx="2">
                  <c:v>-0.41329430125270505</c:v>
                </c:pt>
                <c:pt idx="3">
                  <c:v>-1.5195504747755422</c:v>
                </c:pt>
                <c:pt idx="4">
                  <c:v>1.677357347216784</c:v>
                </c:pt>
                <c:pt idx="5">
                  <c:v>1.9391553925500915</c:v>
                </c:pt>
                <c:pt idx="6">
                  <c:v>3.3262968194340345</c:v>
                </c:pt>
                <c:pt idx="7">
                  <c:v>3.2736290383981412</c:v>
                </c:pt>
                <c:pt idx="8">
                  <c:v>4.3282569824322223</c:v>
                </c:pt>
                <c:pt idx="9">
                  <c:v>4.1514469114022319</c:v>
                </c:pt>
                <c:pt idx="10">
                  <c:v>4.858755125224306</c:v>
                </c:pt>
                <c:pt idx="11">
                  <c:v>6.0966030434863399</c:v>
                </c:pt>
              </c:numCache>
            </c:numRef>
          </c:val>
          <c:smooth val="0"/>
          <c:extLst>
            <c:ext xmlns:c16="http://schemas.microsoft.com/office/drawing/2014/chart" uri="{C3380CC4-5D6E-409C-BE32-E72D297353CC}">
              <c16:uniqueId val="{00000003-B280-443B-81C2-CFF1ECCE84EA}"/>
            </c:ext>
          </c:extLst>
        </c:ser>
        <c:ser>
          <c:idx val="4"/>
          <c:order val="4"/>
          <c:tx>
            <c:strRef>
              <c:f>Sheet1!$F$1</c:f>
              <c:strCache>
                <c:ptCount val="1"/>
                <c:pt idx="0">
                  <c:v>2022 (առանց դրամի արժևորման)</c:v>
                </c:pt>
              </c:strCache>
            </c:strRef>
          </c:tx>
          <c:spPr>
            <a:ln>
              <a:solidFill>
                <a:srgbClr val="4F81BD">
                  <a:lumMod val="50000"/>
                </a:srgbClr>
              </a:solidFill>
              <a:prstDash val="dash"/>
            </a:ln>
          </c:spPr>
          <c:marker>
            <c:symbol val="none"/>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Sheet1!$F$2:$F$13</c:f>
            </c:numRef>
          </c:val>
          <c:smooth val="0"/>
          <c:extLst>
            <c:ext xmlns:c16="http://schemas.microsoft.com/office/drawing/2014/chart" uri="{C3380CC4-5D6E-409C-BE32-E72D297353CC}">
              <c16:uniqueId val="{00000004-B280-443B-81C2-CFF1ECCE84EA}"/>
            </c:ext>
          </c:extLst>
        </c:ser>
        <c:ser>
          <c:idx val="5"/>
          <c:order val="5"/>
          <c:tx>
            <c:strRef>
              <c:f>Sheet1!$G$1</c:f>
              <c:strCache>
                <c:ptCount val="1"/>
                <c:pt idx="0">
                  <c:v>2023</c:v>
                </c:pt>
              </c:strCache>
            </c:strRef>
          </c:tx>
          <c:spPr>
            <a:ln>
              <a:solidFill>
                <a:srgbClr val="F79646">
                  <a:lumMod val="60000"/>
                  <a:lumOff val="40000"/>
                </a:srgbClr>
              </a:solidFill>
            </a:ln>
          </c:spPr>
          <c:marker>
            <c:symbol val="circle"/>
            <c:size val="5"/>
            <c:spPr>
              <a:solidFill>
                <a:srgbClr val="F79646">
                  <a:lumMod val="60000"/>
                  <a:lumOff val="40000"/>
                </a:srgbClr>
              </a:solidFill>
              <a:ln>
                <a:solidFill>
                  <a:srgbClr val="F79646">
                    <a:lumMod val="60000"/>
                    <a:lumOff val="40000"/>
                  </a:srgbClr>
                </a:solidFill>
              </a:ln>
            </c:spPr>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Sheet1!$G$2:$G$13</c:f>
              <c:numCache>
                <c:formatCode>0.0</c:formatCode>
                <c:ptCount val="12"/>
                <c:pt idx="0">
                  <c:v>5.6979284394144969</c:v>
                </c:pt>
                <c:pt idx="1">
                  <c:v>5.2865854045653293</c:v>
                </c:pt>
                <c:pt idx="2">
                  <c:v>7.6282926737736716</c:v>
                </c:pt>
                <c:pt idx="3">
                  <c:v>9.3662974721974166</c:v>
                </c:pt>
                <c:pt idx="4">
                  <c:v>10.46304494713975</c:v>
                </c:pt>
                <c:pt idx="5">
                  <c:v>15.06661467152594</c:v>
                </c:pt>
                <c:pt idx="6">
                  <c:v>16.883404380594726</c:v>
                </c:pt>
                <c:pt idx="7">
                  <c:v>17.629339494834497</c:v>
                </c:pt>
                <c:pt idx="8">
                  <c:v>19.215322528481437</c:v>
                </c:pt>
                <c:pt idx="9">
                  <c:v>22.054267288082315</c:v>
                </c:pt>
                <c:pt idx="10">
                  <c:v>21.804821857535799</c:v>
                </c:pt>
                <c:pt idx="11">
                  <c:v>21.870825725868201</c:v>
                </c:pt>
              </c:numCache>
            </c:numRef>
          </c:val>
          <c:smooth val="0"/>
          <c:extLst>
            <c:ext xmlns:c16="http://schemas.microsoft.com/office/drawing/2014/chart" uri="{C3380CC4-5D6E-409C-BE32-E72D297353CC}">
              <c16:uniqueId val="{00000005-B280-443B-81C2-CFF1ECCE84EA}"/>
            </c:ext>
          </c:extLst>
        </c:ser>
        <c:ser>
          <c:idx val="6"/>
          <c:order val="6"/>
          <c:tx>
            <c:strRef>
              <c:f>Sheet1!$H$1</c:f>
              <c:strCache>
                <c:ptCount val="1"/>
                <c:pt idx="0">
                  <c:v>2023 (առանց դրամի արժևորման)</c:v>
                </c:pt>
              </c:strCache>
            </c:strRef>
          </c:tx>
          <c:spPr>
            <a:ln>
              <a:solidFill>
                <a:srgbClr val="F79646">
                  <a:lumMod val="60000"/>
                  <a:lumOff val="40000"/>
                </a:srgbClr>
              </a:solidFill>
              <a:prstDash val="dash"/>
            </a:ln>
          </c:spPr>
          <c:marker>
            <c:symbol val="none"/>
          </c:marker>
          <c:dLbls>
            <c:dLbl>
              <c:idx val="8"/>
              <c:layout>
                <c:manualLayout>
                  <c:x val="-3.4985422740524783E-2"/>
                  <c:y val="-4.8511576626240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80-443B-81C2-CFF1ECCE84E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Sheet1!$H$2:$H$13</c:f>
            </c:numRef>
          </c:val>
          <c:smooth val="0"/>
          <c:extLst>
            <c:ext xmlns:c16="http://schemas.microsoft.com/office/drawing/2014/chart" uri="{C3380CC4-5D6E-409C-BE32-E72D297353CC}">
              <c16:uniqueId val="{00000007-B280-443B-81C2-CFF1ECCE84EA}"/>
            </c:ext>
          </c:extLst>
        </c:ser>
        <c:dLbls>
          <c:showLegendKey val="0"/>
          <c:showVal val="0"/>
          <c:showCatName val="0"/>
          <c:showSerName val="0"/>
          <c:showPercent val="0"/>
          <c:showBubbleSize val="0"/>
        </c:dLbls>
        <c:marker val="1"/>
        <c:smooth val="0"/>
        <c:axId val="341285120"/>
        <c:axId val="341303296"/>
      </c:lineChart>
      <c:catAx>
        <c:axId val="341285120"/>
        <c:scaling>
          <c:orientation val="minMax"/>
        </c:scaling>
        <c:delete val="0"/>
        <c:axPos val="b"/>
        <c:numFmt formatCode="General" sourceLinked="1"/>
        <c:majorTickMark val="out"/>
        <c:minorTickMark val="none"/>
        <c:tickLblPos val="low"/>
        <c:txPr>
          <a:bodyPr/>
          <a:lstStyle/>
          <a:p>
            <a:pPr>
              <a:defRPr baseline="0">
                <a:solidFill>
                  <a:schemeClr val="tx1">
                    <a:lumMod val="65000"/>
                    <a:lumOff val="35000"/>
                  </a:schemeClr>
                </a:solidFill>
              </a:defRPr>
            </a:pPr>
            <a:endParaRPr lang="en-US"/>
          </a:p>
        </c:txPr>
        <c:crossAx val="341303296"/>
        <c:crosses val="autoZero"/>
        <c:auto val="1"/>
        <c:lblAlgn val="ctr"/>
        <c:lblOffset val="400"/>
        <c:noMultiLvlLbl val="0"/>
      </c:catAx>
      <c:valAx>
        <c:axId val="341303296"/>
        <c:scaling>
          <c:orientation val="minMax"/>
          <c:min val="-3"/>
        </c:scaling>
        <c:delete val="0"/>
        <c:axPos val="l"/>
        <c:majorGridlines>
          <c:spPr>
            <a:ln>
              <a:solidFill>
                <a:sysClr val="window" lastClr="FFFFFF">
                  <a:lumMod val="85000"/>
                </a:sysClr>
              </a:solidFill>
            </a:ln>
          </c:spPr>
        </c:majorGridlines>
        <c:numFmt formatCode="0" sourceLinked="0"/>
        <c:majorTickMark val="out"/>
        <c:minorTickMark val="none"/>
        <c:tickLblPos val="nextTo"/>
        <c:txPr>
          <a:bodyPr/>
          <a:lstStyle/>
          <a:p>
            <a:pPr>
              <a:defRPr baseline="0">
                <a:solidFill>
                  <a:schemeClr val="tx1">
                    <a:lumMod val="65000"/>
                    <a:lumOff val="35000"/>
                  </a:schemeClr>
                </a:solidFill>
              </a:defRPr>
            </a:pPr>
            <a:endParaRPr lang="en-US"/>
          </a:p>
        </c:txPr>
        <c:crossAx val="341285120"/>
        <c:crosses val="autoZero"/>
        <c:crossBetween val="between"/>
      </c:valAx>
    </c:plotArea>
    <c:legend>
      <c:legendPos val="r"/>
      <c:layout>
        <c:manualLayout>
          <c:xMode val="edge"/>
          <c:yMode val="edge"/>
          <c:x val="1.6617922759655041E-2"/>
          <c:y val="0.80973701135040244"/>
          <c:w val="0.92972118510385693"/>
          <c:h val="0.19026295913672311"/>
        </c:manualLayout>
      </c:layout>
      <c:overlay val="0"/>
      <c:txPr>
        <a:bodyPr/>
        <a:lstStyle/>
        <a:p>
          <a:pPr>
            <a:defRPr baseline="0">
              <a:solidFill>
                <a:schemeClr val="tx1">
                  <a:lumMod val="65000"/>
                  <a:lumOff val="35000"/>
                </a:schemeClr>
              </a:solidFill>
            </a:defRPr>
          </a:pPr>
          <a:endParaRPr lang="en-US"/>
        </a:p>
      </c:txPr>
    </c:legend>
    <c:plotVisOnly val="1"/>
    <c:dispBlanksAs val="gap"/>
    <c:showDLblsOverMax val="0"/>
  </c:chart>
  <c:spPr>
    <a:noFill/>
    <a:ln w="6350">
      <a:solidFill>
        <a:sysClr val="window" lastClr="FFFFFF">
          <a:lumMod val="85000"/>
        </a:sysClr>
      </a:solidFill>
    </a:ln>
    <a:effectLst/>
  </c:spPr>
  <c:txPr>
    <a:bodyPr/>
    <a:lstStyle/>
    <a:p>
      <a:pPr>
        <a:defRPr sz="900">
          <a:latin typeface="GHEA Grapalat" panose="02000506050000020003" pitchFamily="50" charset="0"/>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b="0"/>
            </a:pPr>
            <a:r>
              <a:rPr lang="en-US" b="0"/>
              <a:t>Ավանդների ծավալների աճ</a:t>
            </a:r>
            <a:r>
              <a:rPr lang="hy-AM" b="0"/>
              <a:t> </a:t>
            </a:r>
            <a:r>
              <a:rPr lang="ru-RU" b="0"/>
              <a:t>(</a:t>
            </a:r>
            <a:r>
              <a:rPr lang="hy-AM" b="0"/>
              <a:t>ռեզիդենտների</a:t>
            </a:r>
            <a:r>
              <a:rPr lang="ru-RU" b="0"/>
              <a:t>)</a:t>
            </a:r>
            <a:r>
              <a:rPr lang="en-US" b="0"/>
              <a:t>, 20</a:t>
            </a:r>
            <a:r>
              <a:rPr lang="hy-AM" b="0"/>
              <a:t>22-</a:t>
            </a:r>
            <a:r>
              <a:rPr lang="en-US" b="0"/>
              <a:t>20</a:t>
            </a:r>
            <a:r>
              <a:rPr lang="hy-AM" b="0"/>
              <a:t>23</a:t>
            </a:r>
            <a:r>
              <a:rPr lang="en-US" b="0"/>
              <a:t>թ</a:t>
            </a:r>
            <a:r>
              <a:rPr lang="hy-AM" b="0"/>
              <a:t>թ</a:t>
            </a:r>
            <a:r>
              <a:rPr lang="en-US" sz="1080" b="0" i="0" u="none" strike="noStrike" kern="1200" baseline="0">
                <a:solidFill>
                  <a:sysClr val="windowText" lastClr="000000"/>
                </a:solidFill>
                <a:latin typeface="GHEA Grapalat" panose="02000506050000020003" pitchFamily="50" charset="0"/>
                <a:ea typeface="+mn-ea"/>
                <a:cs typeface="+mn-cs"/>
              </a:rPr>
              <a:t>.</a:t>
            </a:r>
            <a:endParaRPr lang="en-US" b="0"/>
          </a:p>
        </c:rich>
      </c:tx>
      <c:layout>
        <c:manualLayout>
          <c:xMode val="edge"/>
          <c:yMode val="edge"/>
          <c:x val="0.16384017215239399"/>
          <c:y val="2.147029930695855E-3"/>
        </c:manualLayout>
      </c:layout>
      <c:overlay val="0"/>
    </c:title>
    <c:autoTitleDeleted val="0"/>
    <c:plotArea>
      <c:layout>
        <c:manualLayout>
          <c:layoutTarget val="inner"/>
          <c:xMode val="edge"/>
          <c:yMode val="edge"/>
          <c:x val="4.3464888974767725E-2"/>
          <c:y val="0.17416003264200577"/>
          <c:w val="0.83504548144718005"/>
          <c:h val="0.53864414136766536"/>
        </c:manualLayout>
      </c:layout>
      <c:lineChart>
        <c:grouping val="standard"/>
        <c:varyColors val="0"/>
        <c:ser>
          <c:idx val="0"/>
          <c:order val="0"/>
          <c:tx>
            <c:strRef>
              <c:f>Sheet1!$B$1</c:f>
              <c:strCache>
                <c:ptCount val="1"/>
                <c:pt idx="0">
                  <c:v>2019</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Ref>
          </c:val>
          <c:smooth val="0"/>
          <c:extLst>
            <c:ext xmlns:c16="http://schemas.microsoft.com/office/drawing/2014/chart" uri="{C3380CC4-5D6E-409C-BE32-E72D297353CC}">
              <c16:uniqueId val="{00000000-FF4A-45C4-AF6A-635100E23BE4}"/>
            </c:ext>
          </c:extLst>
        </c:ser>
        <c:ser>
          <c:idx val="1"/>
          <c:order val="1"/>
          <c:tx>
            <c:strRef>
              <c:f>Sheet1!$C$1</c:f>
              <c:strCache>
                <c:ptCount val="1"/>
                <c:pt idx="0">
                  <c:v>2020</c:v>
                </c:pt>
              </c:strCache>
            </c:strRef>
          </c:tx>
          <c:marker>
            <c:spPr>
              <a:ln>
                <a:prstDash val="dash"/>
              </a:ln>
            </c:spPr>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Ref>
          </c:val>
          <c:smooth val="0"/>
          <c:extLst>
            <c:ext xmlns:c16="http://schemas.microsoft.com/office/drawing/2014/chart" uri="{C3380CC4-5D6E-409C-BE32-E72D297353CC}">
              <c16:uniqueId val="{00000001-FF4A-45C4-AF6A-635100E23BE4}"/>
            </c:ext>
          </c:extLst>
        </c:ser>
        <c:ser>
          <c:idx val="2"/>
          <c:order val="2"/>
          <c:tx>
            <c:strRef>
              <c:f>Sheet1!$D$1</c:f>
              <c:strCache>
                <c:ptCount val="1"/>
                <c:pt idx="0">
                  <c:v>2021</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Sheet1!$D$2:$D$13</c:f>
            </c:numRef>
          </c:val>
          <c:smooth val="0"/>
          <c:extLst>
            <c:ext xmlns:c16="http://schemas.microsoft.com/office/drawing/2014/chart" uri="{C3380CC4-5D6E-409C-BE32-E72D297353CC}">
              <c16:uniqueId val="{00000002-FF4A-45C4-AF6A-635100E23BE4}"/>
            </c:ext>
          </c:extLst>
        </c:ser>
        <c:ser>
          <c:idx val="3"/>
          <c:order val="3"/>
          <c:tx>
            <c:strRef>
              <c:f>Sheet1!$E$1</c:f>
              <c:strCache>
                <c:ptCount val="1"/>
                <c:pt idx="0">
                  <c:v>2022</c:v>
                </c:pt>
              </c:strCache>
            </c:strRef>
          </c:tx>
          <c:spPr>
            <a:ln>
              <a:solidFill>
                <a:srgbClr val="4F81BD">
                  <a:lumMod val="50000"/>
                </a:srgbClr>
              </a:solidFill>
            </a:ln>
          </c:spPr>
          <c:marker>
            <c:symbol val="circle"/>
            <c:size val="5"/>
            <c:spPr>
              <a:solidFill>
                <a:srgbClr val="4F81BD">
                  <a:lumMod val="50000"/>
                </a:srgbClr>
              </a:solidFill>
              <a:ln>
                <a:solidFill>
                  <a:srgbClr val="4F81BD">
                    <a:lumMod val="50000"/>
                  </a:srgbClr>
                </a:solidFill>
              </a:ln>
            </c:spPr>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Sheet1!$E$2:$E$13</c:f>
              <c:numCache>
                <c:formatCode>0.0</c:formatCode>
                <c:ptCount val="12"/>
                <c:pt idx="0">
                  <c:v>19.065893188817881</c:v>
                </c:pt>
                <c:pt idx="1">
                  <c:v>16.575865297662233</c:v>
                </c:pt>
                <c:pt idx="2">
                  <c:v>13.039110302972887</c:v>
                </c:pt>
                <c:pt idx="3">
                  <c:v>11.621666256055846</c:v>
                </c:pt>
                <c:pt idx="4">
                  <c:v>12.601440562088854</c:v>
                </c:pt>
                <c:pt idx="5">
                  <c:v>10.268789716692169</c:v>
                </c:pt>
                <c:pt idx="6">
                  <c:v>11.69913881315334</c:v>
                </c:pt>
                <c:pt idx="7">
                  <c:v>10.813897468549399</c:v>
                </c:pt>
                <c:pt idx="8">
                  <c:v>13.129466080747093</c:v>
                </c:pt>
                <c:pt idx="9">
                  <c:v>13.622120482284643</c:v>
                </c:pt>
                <c:pt idx="10">
                  <c:v>16.88865738870507</c:v>
                </c:pt>
                <c:pt idx="11">
                  <c:v>17.460421550041076</c:v>
                </c:pt>
              </c:numCache>
            </c:numRef>
          </c:val>
          <c:smooth val="0"/>
          <c:extLst>
            <c:ext xmlns:c16="http://schemas.microsoft.com/office/drawing/2014/chart" uri="{C3380CC4-5D6E-409C-BE32-E72D297353CC}">
              <c16:uniqueId val="{00000003-FF4A-45C4-AF6A-635100E23BE4}"/>
            </c:ext>
          </c:extLst>
        </c:ser>
        <c:ser>
          <c:idx val="4"/>
          <c:order val="4"/>
          <c:tx>
            <c:strRef>
              <c:f>Sheet1!$F$1</c:f>
              <c:strCache>
                <c:ptCount val="1"/>
                <c:pt idx="0">
                  <c:v>2022 (առանց դրամի արժևորման)</c:v>
                </c:pt>
              </c:strCache>
            </c:strRef>
          </c:tx>
          <c:spPr>
            <a:ln>
              <a:solidFill>
                <a:srgbClr val="4F81BD">
                  <a:lumMod val="50000"/>
                </a:srgbClr>
              </a:solidFill>
              <a:prstDash val="dash"/>
            </a:ln>
          </c:spPr>
          <c:marker>
            <c:symbol val="none"/>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Sheet1!$F$2:$F$13</c:f>
            </c:numRef>
          </c:val>
          <c:smooth val="0"/>
          <c:extLst>
            <c:ext xmlns:c16="http://schemas.microsoft.com/office/drawing/2014/chart" uri="{C3380CC4-5D6E-409C-BE32-E72D297353CC}">
              <c16:uniqueId val="{00000004-FF4A-45C4-AF6A-635100E23BE4}"/>
            </c:ext>
          </c:extLst>
        </c:ser>
        <c:ser>
          <c:idx val="5"/>
          <c:order val="5"/>
          <c:tx>
            <c:strRef>
              <c:f>Sheet1!$G$1</c:f>
              <c:strCache>
                <c:ptCount val="1"/>
                <c:pt idx="0">
                  <c:v>2023</c:v>
                </c:pt>
              </c:strCache>
            </c:strRef>
          </c:tx>
          <c:spPr>
            <a:ln>
              <a:solidFill>
                <a:srgbClr val="F79646">
                  <a:lumMod val="60000"/>
                  <a:lumOff val="40000"/>
                </a:srgbClr>
              </a:solidFill>
            </a:ln>
          </c:spPr>
          <c:marker>
            <c:symbol val="circle"/>
            <c:size val="5"/>
            <c:spPr>
              <a:solidFill>
                <a:srgbClr val="F79646">
                  <a:lumMod val="60000"/>
                  <a:lumOff val="40000"/>
                </a:srgbClr>
              </a:solidFill>
              <a:ln>
                <a:solidFill>
                  <a:srgbClr val="F79646">
                    <a:lumMod val="60000"/>
                    <a:lumOff val="40000"/>
                  </a:srgbClr>
                </a:solidFill>
              </a:ln>
            </c:spPr>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Sheet1!$G$2:$G$13</c:f>
              <c:numCache>
                <c:formatCode>0.0</c:formatCode>
                <c:ptCount val="12"/>
                <c:pt idx="0">
                  <c:v>17.058475215913887</c:v>
                </c:pt>
                <c:pt idx="1">
                  <c:v>17.790752935177849</c:v>
                </c:pt>
                <c:pt idx="2">
                  <c:v>20.812154357016539</c:v>
                </c:pt>
                <c:pt idx="3">
                  <c:v>23.964069061812765</c:v>
                </c:pt>
                <c:pt idx="4">
                  <c:v>21.764264904756686</c:v>
                </c:pt>
                <c:pt idx="5">
                  <c:v>23.935728122734261</c:v>
                </c:pt>
                <c:pt idx="6">
                  <c:v>22.762002166903599</c:v>
                </c:pt>
                <c:pt idx="7">
                  <c:v>23.825631230822282</c:v>
                </c:pt>
                <c:pt idx="8">
                  <c:v>21.880080300159847</c:v>
                </c:pt>
                <c:pt idx="9">
                  <c:v>22.073369101418578</c:v>
                </c:pt>
                <c:pt idx="10">
                  <c:v>19.03535943270343</c:v>
                </c:pt>
                <c:pt idx="11">
                  <c:v>16.950953302033199</c:v>
                </c:pt>
              </c:numCache>
            </c:numRef>
          </c:val>
          <c:smooth val="0"/>
          <c:extLst>
            <c:ext xmlns:c16="http://schemas.microsoft.com/office/drawing/2014/chart" uri="{C3380CC4-5D6E-409C-BE32-E72D297353CC}">
              <c16:uniqueId val="{00000005-FF4A-45C4-AF6A-635100E23BE4}"/>
            </c:ext>
          </c:extLst>
        </c:ser>
        <c:ser>
          <c:idx val="6"/>
          <c:order val="6"/>
          <c:tx>
            <c:strRef>
              <c:f>Sheet1!$H$1</c:f>
              <c:strCache>
                <c:ptCount val="1"/>
                <c:pt idx="0">
                  <c:v>2023 (առանց դրամի արժևորման)</c:v>
                </c:pt>
              </c:strCache>
            </c:strRef>
          </c:tx>
          <c:spPr>
            <a:ln>
              <a:solidFill>
                <a:srgbClr val="F79646">
                  <a:lumMod val="60000"/>
                  <a:lumOff val="40000"/>
                </a:srgbClr>
              </a:solidFill>
              <a:prstDash val="dash"/>
            </a:ln>
          </c:spPr>
          <c:marker>
            <c:symbol val="none"/>
          </c:marker>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Sheet1!$H$2:$H$13</c:f>
            </c:numRef>
          </c:val>
          <c:smooth val="0"/>
          <c:extLst>
            <c:ext xmlns:c16="http://schemas.microsoft.com/office/drawing/2014/chart" uri="{C3380CC4-5D6E-409C-BE32-E72D297353CC}">
              <c16:uniqueId val="{00000006-FF4A-45C4-AF6A-635100E23BE4}"/>
            </c:ext>
          </c:extLst>
        </c:ser>
        <c:dLbls>
          <c:showLegendKey val="0"/>
          <c:showVal val="0"/>
          <c:showCatName val="0"/>
          <c:showSerName val="0"/>
          <c:showPercent val="0"/>
          <c:showBubbleSize val="0"/>
        </c:dLbls>
        <c:marker val="1"/>
        <c:smooth val="0"/>
        <c:axId val="340384768"/>
        <c:axId val="340390656"/>
      </c:lineChart>
      <c:catAx>
        <c:axId val="340384768"/>
        <c:scaling>
          <c:orientation val="minMax"/>
        </c:scaling>
        <c:delete val="0"/>
        <c:axPos val="b"/>
        <c:numFmt formatCode="General" sourceLinked="1"/>
        <c:majorTickMark val="out"/>
        <c:minorTickMark val="none"/>
        <c:tickLblPos val="nextTo"/>
        <c:txPr>
          <a:bodyPr rot="0" vert="horz"/>
          <a:lstStyle/>
          <a:p>
            <a:pPr>
              <a:defRPr baseline="0">
                <a:solidFill>
                  <a:schemeClr val="tx1">
                    <a:lumMod val="65000"/>
                    <a:lumOff val="35000"/>
                  </a:schemeClr>
                </a:solidFill>
              </a:defRPr>
            </a:pPr>
            <a:endParaRPr lang="en-US"/>
          </a:p>
        </c:txPr>
        <c:crossAx val="340390656"/>
        <c:crosses val="autoZero"/>
        <c:auto val="1"/>
        <c:lblAlgn val="ctr"/>
        <c:lblOffset val="100"/>
        <c:noMultiLvlLbl val="0"/>
      </c:catAx>
      <c:valAx>
        <c:axId val="340390656"/>
        <c:scaling>
          <c:orientation val="minMax"/>
          <c:max val="35"/>
          <c:min val="8"/>
        </c:scaling>
        <c:delete val="0"/>
        <c:axPos val="l"/>
        <c:majorGridlines>
          <c:spPr>
            <a:ln>
              <a:solidFill>
                <a:sysClr val="window" lastClr="FFFFFF">
                  <a:lumMod val="85000"/>
                </a:sysClr>
              </a:solidFill>
            </a:ln>
          </c:spPr>
        </c:majorGridlines>
        <c:numFmt formatCode="0" sourceLinked="0"/>
        <c:majorTickMark val="out"/>
        <c:minorTickMark val="none"/>
        <c:tickLblPos val="nextTo"/>
        <c:txPr>
          <a:bodyPr/>
          <a:lstStyle/>
          <a:p>
            <a:pPr>
              <a:defRPr baseline="0">
                <a:solidFill>
                  <a:schemeClr val="tx1">
                    <a:lumMod val="65000"/>
                    <a:lumOff val="35000"/>
                  </a:schemeClr>
                </a:solidFill>
              </a:defRPr>
            </a:pPr>
            <a:endParaRPr lang="en-US"/>
          </a:p>
        </c:txPr>
        <c:crossAx val="340384768"/>
        <c:crosses val="autoZero"/>
        <c:crossBetween val="between"/>
      </c:valAx>
    </c:plotArea>
    <c:legend>
      <c:legendPos val="r"/>
      <c:layout>
        <c:manualLayout>
          <c:xMode val="edge"/>
          <c:yMode val="edge"/>
          <c:x val="5.9308102616205234E-2"/>
          <c:y val="0.78649715297215739"/>
          <c:w val="0.79112395704841809"/>
          <c:h val="0.21350267820712046"/>
        </c:manualLayout>
      </c:layout>
      <c:overlay val="0"/>
      <c:txPr>
        <a:bodyPr/>
        <a:lstStyle/>
        <a:p>
          <a:pPr>
            <a:defRPr baseline="0">
              <a:solidFill>
                <a:schemeClr val="tx1">
                  <a:lumMod val="65000"/>
                  <a:lumOff val="35000"/>
                </a:schemeClr>
              </a:solidFill>
            </a:defRPr>
          </a:pPr>
          <a:endParaRPr lang="en-US"/>
        </a:p>
      </c:txPr>
    </c:legend>
    <c:plotVisOnly val="1"/>
    <c:dispBlanksAs val="gap"/>
    <c:showDLblsOverMax val="0"/>
  </c:chart>
  <c:spPr>
    <a:noFill/>
    <a:ln w="6350">
      <a:solidFill>
        <a:sysClr val="window" lastClr="FFFFFF">
          <a:lumMod val="75000"/>
        </a:sysClr>
      </a:solidFill>
    </a:ln>
    <a:effectLst/>
  </c:spPr>
  <c:txPr>
    <a:bodyPr/>
    <a:lstStyle/>
    <a:p>
      <a:pPr>
        <a:defRPr sz="900">
          <a:latin typeface="GHEA Grapalat" panose="02000506050000020003" pitchFamily="50"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Sheet1!$C$1</c:f>
              <c:strCache>
                <c:ptCount val="1"/>
                <c:pt idx="0">
                  <c:v>ԱՄՆ</c:v>
                </c:pt>
              </c:strCache>
            </c:strRef>
          </c:tx>
          <c:spPr>
            <a:ln w="28575" cap="rnd">
              <a:solidFill>
                <a:schemeClr val="tx2"/>
              </a:solidFill>
              <a:round/>
            </a:ln>
            <a:effectLst/>
          </c:spPr>
          <c:marker>
            <c:symbol val="none"/>
          </c:marker>
          <c:val>
            <c:numRef>
              <c:f>Sheet1!$C$2:$C$67</c:f>
              <c:numCache>
                <c:formatCode>General</c:formatCode>
                <c:ptCount val="54"/>
              </c:numCache>
            </c:numRef>
          </c:val>
          <c:smooth val="0"/>
          <c:extLst>
            <c:ext xmlns:c15="http://schemas.microsoft.com/office/drawing/2012/chart" uri="{02D57815-91ED-43cb-92C2-25804820EDAC}">
              <c15:filteredCategoryTitle>
                <c15:cat>
                  <c:multiLvlStrRef>
                    <c:extLst xmlns:c16="http://schemas.microsoft.com/office/drawing/2014/chart">
                      <c:ext uri="{02D57815-91ED-43cb-92C2-25804820EDAC}">
                        <c15:formulaRef>
                          <c15:sqref>Sheet1!$A$2:$B$67</c15:sqref>
                        </c15:formulaRef>
                      </c:ext>
                    </c:extLst>
                  </c:multiLvlStrRef>
                </c15:cat>
              </c15:filteredCategoryTitle>
            </c:ext>
            <c:ext xmlns:c16="http://schemas.microsoft.com/office/drawing/2014/chart" uri="{C3380CC4-5D6E-409C-BE32-E72D297353CC}">
              <c16:uniqueId val="{00000000-94CC-4A42-B91B-6F94F154A53D}"/>
            </c:ext>
          </c:extLst>
        </c:ser>
        <c:ser>
          <c:idx val="1"/>
          <c:order val="1"/>
          <c:tx>
            <c:strRef>
              <c:f>Sheet1!$D$1</c:f>
              <c:strCache>
                <c:ptCount val="1"/>
                <c:pt idx="0">
                  <c:v>ԵԳ</c:v>
                </c:pt>
              </c:strCache>
            </c:strRef>
          </c:tx>
          <c:spPr>
            <a:ln w="28575" cap="rnd">
              <a:solidFill>
                <a:schemeClr val="accent1"/>
              </a:solidFill>
              <a:round/>
            </a:ln>
            <a:effectLst/>
          </c:spPr>
          <c:marker>
            <c:symbol val="none"/>
          </c:marker>
          <c:val>
            <c:numRef>
              <c:f>Sheet1!$D$2:$D$67</c:f>
              <c:numCache>
                <c:formatCode>General</c:formatCode>
                <c:ptCount val="54"/>
              </c:numCache>
            </c:numRef>
          </c:val>
          <c:smooth val="0"/>
          <c:extLst>
            <c:ext xmlns:c15="http://schemas.microsoft.com/office/drawing/2012/chart" uri="{02D57815-91ED-43cb-92C2-25804820EDAC}">
              <c15:filteredCategoryTitle>
                <c15:cat>
                  <c:multiLvlStrRef>
                    <c:extLst xmlns:c16="http://schemas.microsoft.com/office/drawing/2014/chart">
                      <c:ext uri="{02D57815-91ED-43cb-92C2-25804820EDAC}">
                        <c15:formulaRef>
                          <c15:sqref>Sheet1!$A$2:$B$67</c15:sqref>
                        </c15:formulaRef>
                      </c:ext>
                    </c:extLst>
                  </c:multiLvlStrRef>
                </c15:cat>
              </c15:filteredCategoryTitle>
            </c:ext>
            <c:ext xmlns:c16="http://schemas.microsoft.com/office/drawing/2014/chart" uri="{C3380CC4-5D6E-409C-BE32-E72D297353CC}">
              <c16:uniqueId val="{00000001-94CC-4A42-B91B-6F94F154A53D}"/>
            </c:ext>
          </c:extLst>
        </c:ser>
        <c:ser>
          <c:idx val="2"/>
          <c:order val="2"/>
          <c:tx>
            <c:strRef>
              <c:f>Sheet1!$E$1</c:f>
              <c:strCache>
                <c:ptCount val="1"/>
                <c:pt idx="0">
                  <c:v>Չինաստան</c:v>
                </c:pt>
              </c:strCache>
            </c:strRef>
          </c:tx>
          <c:spPr>
            <a:ln w="28575" cap="rnd">
              <a:solidFill>
                <a:schemeClr val="bg1">
                  <a:lumMod val="65000"/>
                </a:schemeClr>
              </a:solidFill>
              <a:round/>
            </a:ln>
            <a:effectLst/>
          </c:spPr>
          <c:marker>
            <c:symbol val="none"/>
          </c:marker>
          <c:val>
            <c:numRef>
              <c:f>Sheet1!$E$2:$E$67</c:f>
              <c:numCache>
                <c:formatCode>General</c:formatCode>
                <c:ptCount val="54"/>
              </c:numCache>
            </c:numRef>
          </c:val>
          <c:smooth val="0"/>
          <c:extLst>
            <c:ext xmlns:c15="http://schemas.microsoft.com/office/drawing/2012/chart" uri="{02D57815-91ED-43cb-92C2-25804820EDAC}">
              <c15:filteredCategoryTitle>
                <c15:cat>
                  <c:multiLvlStrRef>
                    <c:extLst xmlns:c16="http://schemas.microsoft.com/office/drawing/2014/chart">
                      <c:ext uri="{02D57815-91ED-43cb-92C2-25804820EDAC}">
                        <c15:formulaRef>
                          <c15:sqref>Sheet1!$A$2:$B$67</c15:sqref>
                        </c15:formulaRef>
                      </c:ext>
                    </c:extLst>
                  </c:multiLvlStrRef>
                </c15:cat>
              </c15:filteredCategoryTitle>
            </c:ext>
            <c:ext xmlns:c16="http://schemas.microsoft.com/office/drawing/2014/chart" uri="{C3380CC4-5D6E-409C-BE32-E72D297353CC}">
              <c16:uniqueId val="{00000002-94CC-4A42-B91B-6F94F154A53D}"/>
            </c:ext>
          </c:extLst>
        </c:ser>
        <c:ser>
          <c:idx val="3"/>
          <c:order val="3"/>
          <c:tx>
            <c:strRef>
              <c:f>Sheet1!$F$1</c:f>
              <c:strCache>
                <c:ptCount val="1"/>
                <c:pt idx="0">
                  <c:v>ՌԴ</c:v>
                </c:pt>
              </c:strCache>
            </c:strRef>
          </c:tx>
          <c:spPr>
            <a:ln w="28575" cap="rnd">
              <a:solidFill>
                <a:schemeClr val="accent6">
                  <a:lumMod val="60000"/>
                  <a:lumOff val="40000"/>
                </a:schemeClr>
              </a:solidFill>
              <a:round/>
            </a:ln>
            <a:effectLst/>
          </c:spPr>
          <c:marker>
            <c:symbol val="none"/>
          </c:marker>
          <c:val>
            <c:numRef>
              <c:f>Sheet1!$F$2:$F$67</c:f>
              <c:numCache>
                <c:formatCode>General</c:formatCode>
                <c:ptCount val="54"/>
              </c:numCache>
            </c:numRef>
          </c:val>
          <c:smooth val="0"/>
          <c:extLst>
            <c:ext xmlns:c15="http://schemas.microsoft.com/office/drawing/2012/chart" uri="{02D57815-91ED-43cb-92C2-25804820EDAC}">
              <c15:filteredCategoryTitle>
                <c15:cat>
                  <c:multiLvlStrRef>
                    <c:extLst xmlns:c16="http://schemas.microsoft.com/office/drawing/2014/chart">
                      <c:ext uri="{02D57815-91ED-43cb-92C2-25804820EDAC}">
                        <c15:formulaRef>
                          <c15:sqref>Sheet1!$A$2:$B$67</c15:sqref>
                        </c15:formulaRef>
                      </c:ext>
                    </c:extLst>
                  </c:multiLvlStrRef>
                </c15:cat>
              </c15:filteredCategoryTitle>
            </c:ext>
            <c:ext xmlns:c16="http://schemas.microsoft.com/office/drawing/2014/chart" uri="{C3380CC4-5D6E-409C-BE32-E72D297353CC}">
              <c16:uniqueId val="{00000003-94CC-4A42-B91B-6F94F154A53D}"/>
            </c:ext>
          </c:extLst>
        </c:ser>
        <c:dLbls>
          <c:showLegendKey val="0"/>
          <c:showVal val="0"/>
          <c:showCatName val="0"/>
          <c:showSerName val="0"/>
          <c:showPercent val="0"/>
          <c:showBubbleSize val="0"/>
        </c:dLbls>
        <c:smooth val="0"/>
        <c:axId val="126157280"/>
        <c:axId val="126154560"/>
      </c:lineChart>
      <c:catAx>
        <c:axId val="126157280"/>
        <c:scaling>
          <c:orientation val="minMax"/>
        </c:scaling>
        <c:delete val="1"/>
        <c:axPos val="b"/>
        <c:numFmt formatCode="General" sourceLinked="1"/>
        <c:majorTickMark val="none"/>
        <c:minorTickMark val="none"/>
        <c:tickLblPos val="low"/>
        <c:crossAx val="126154560"/>
        <c:crosses val="autoZero"/>
        <c:auto val="1"/>
        <c:lblAlgn val="ctr"/>
        <c:lblOffset val="100"/>
        <c:noMultiLvlLbl val="0"/>
      </c:catAx>
      <c:valAx>
        <c:axId val="126154560"/>
        <c:scaling>
          <c:orientation val="minMax"/>
          <c:max val="21"/>
        </c:scaling>
        <c:delete val="1"/>
        <c:axPos val="l"/>
        <c:numFmt formatCode="General" sourceLinked="1"/>
        <c:majorTickMark val="none"/>
        <c:minorTickMark val="none"/>
        <c:tickLblPos val="nextTo"/>
        <c:crossAx val="126157280"/>
        <c:crosses val="autoZero"/>
        <c:crossBetween val="between"/>
      </c:valAx>
      <c:spPr>
        <a:noFill/>
        <a:ln w="25400">
          <a:noFill/>
        </a:ln>
      </c:spPr>
    </c:plotArea>
    <c:legend>
      <c:legendPos val="b"/>
      <c:layout>
        <c:manualLayout>
          <c:xMode val="edge"/>
          <c:yMode val="edge"/>
          <c:x val="5.2930199264204017E-2"/>
          <c:y val="0.20734332189667515"/>
          <c:w val="0.9237377436699904"/>
          <c:h val="0.60456890380865402"/>
        </c:manualLayout>
      </c:layout>
      <c:overlay val="0"/>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solidFill>
                <a:latin typeface="GHEA Grapalat" panose="02000506050000020003" pitchFamily="50" charset="0"/>
                <a:ea typeface="+mn-ea"/>
                <a:cs typeface="+mn-cs"/>
              </a:defRPr>
            </a:pPr>
            <a:r>
              <a:rPr lang="hy-AM" baseline="0">
                <a:solidFill>
                  <a:schemeClr val="tx1"/>
                </a:solidFill>
              </a:rPr>
              <a:t>Ռեզիդենտների վարկային պորտֆելը, մլրդ ՀՀ դրամ</a:t>
            </a:r>
            <a:endParaRPr lang="en-US" baseline="0">
              <a:solidFill>
                <a:schemeClr val="tx1"/>
              </a:solidFill>
            </a:endParaRPr>
          </a:p>
        </c:rich>
      </c:tx>
      <c:layout>
        <c:manualLayout>
          <c:xMode val="edge"/>
          <c:yMode val="edge"/>
          <c:x val="0.17814659682631792"/>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0.12360858350919392"/>
          <c:y val="0.16673605986682757"/>
          <c:w val="0.79291716777477739"/>
          <c:h val="0.49505282622472629"/>
        </c:manualLayout>
      </c:layout>
      <c:areaChart>
        <c:grouping val="standard"/>
        <c:varyColors val="0"/>
        <c:ser>
          <c:idx val="5"/>
          <c:order val="5"/>
          <c:tx>
            <c:strRef>
              <c:f>Sheet1!$H$1</c:f>
              <c:strCache>
                <c:ptCount val="1"/>
                <c:pt idx="0">
                  <c:v>Column1</c:v>
                </c:pt>
              </c:strCache>
            </c:strRef>
          </c:tx>
          <c:spPr>
            <a:solidFill>
              <a:schemeClr val="accent6"/>
            </a:solidFill>
            <a:ln>
              <a:noFill/>
            </a:ln>
            <a:effectLst/>
          </c:spPr>
          <c:cat>
            <c:strRef>
              <c:f>Sheet1!$B$2:$B$72</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Sheet1!$H$2:$H$72</c:f>
              <c:numCache>
                <c:formatCode>General</c:formatCode>
                <c:ptCount val="20"/>
              </c:numCache>
            </c:numRef>
          </c:val>
          <c:extLst>
            <c:ext xmlns:c16="http://schemas.microsoft.com/office/drawing/2014/chart" uri="{C3380CC4-5D6E-409C-BE32-E72D297353CC}">
              <c16:uniqueId val="{00000000-A7EC-4423-8327-2049931E23F1}"/>
            </c:ext>
          </c:extLst>
        </c:ser>
        <c:ser>
          <c:idx val="6"/>
          <c:order val="6"/>
          <c:tx>
            <c:strRef>
              <c:f>Sheet1!$I$1</c:f>
              <c:strCache>
                <c:ptCount val="1"/>
                <c:pt idx="0">
                  <c:v>Column2</c:v>
                </c:pt>
              </c:strCache>
            </c:strRef>
          </c:tx>
          <c:spPr>
            <a:solidFill>
              <a:schemeClr val="tx2">
                <a:lumMod val="20000"/>
                <a:lumOff val="80000"/>
                <a:alpha val="50000"/>
              </a:schemeClr>
            </a:solidFill>
            <a:ln>
              <a:noFill/>
            </a:ln>
            <a:effectLst/>
          </c:spPr>
          <c:cat>
            <c:strRef>
              <c:f>Sheet1!$B$2:$B$72</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Sheet1!$I$2:$I$72</c:f>
              <c:numCache>
                <c:formatCode>General</c:formatCode>
                <c:ptCount val="20"/>
              </c:numCache>
            </c:numRef>
          </c:val>
          <c:extLst>
            <c:ext xmlns:c16="http://schemas.microsoft.com/office/drawing/2014/chart" uri="{C3380CC4-5D6E-409C-BE32-E72D297353CC}">
              <c16:uniqueId val="{00000001-A7EC-4423-8327-2049931E23F1}"/>
            </c:ext>
          </c:extLst>
        </c:ser>
        <c:dLbls>
          <c:showLegendKey val="0"/>
          <c:showVal val="0"/>
          <c:showCatName val="0"/>
          <c:showSerName val="0"/>
          <c:showPercent val="0"/>
          <c:showBubbleSize val="0"/>
        </c:dLbls>
        <c:axId val="795307992"/>
        <c:axId val="795308320"/>
      </c:areaChart>
      <c:barChart>
        <c:barDir val="col"/>
        <c:grouping val="stacked"/>
        <c:varyColors val="0"/>
        <c:ser>
          <c:idx val="0"/>
          <c:order val="0"/>
          <c:tx>
            <c:strRef>
              <c:f>Sheet1!$C$1</c:f>
              <c:strCache>
                <c:ptCount val="1"/>
                <c:pt idx="0">
                  <c:v>Տնտեսության ճյուղերին ուղղված վարկեր</c:v>
                </c:pt>
              </c:strCache>
            </c:strRef>
          </c:tx>
          <c:spPr>
            <a:solidFill>
              <a:srgbClr val="4F81BD">
                <a:lumMod val="50000"/>
              </a:srgbClr>
            </a:solidFill>
            <a:ln>
              <a:noFill/>
            </a:ln>
            <a:effectLst/>
          </c:spPr>
          <c:invertIfNegative val="0"/>
          <c:cat>
            <c:multiLvlStrRef>
              <c:f>Sheet1!$A$16:$B$72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Sheet1!$C$2:$C$72</c:f>
              <c:numCache>
                <c:formatCode>0.0</c:formatCode>
                <c:ptCount val="20"/>
                <c:pt idx="0">
                  <c:v>1608.4312749999999</c:v>
                </c:pt>
                <c:pt idx="1">
                  <c:v>1616.1906629999999</c:v>
                </c:pt>
                <c:pt idx="2">
                  <c:v>1656.5625790000001</c:v>
                </c:pt>
                <c:pt idx="3">
                  <c:v>1731.211025606</c:v>
                </c:pt>
                <c:pt idx="4">
                  <c:v>1815.7468719999999</c:v>
                </c:pt>
                <c:pt idx="5">
                  <c:v>1836.2722710000003</c:v>
                </c:pt>
                <c:pt idx="6">
                  <c:v>1959.0920599999997</c:v>
                </c:pt>
                <c:pt idx="7">
                  <c:v>2091.3401699999999</c:v>
                </c:pt>
                <c:pt idx="8">
                  <c:v>2086.7286224722147</c:v>
                </c:pt>
                <c:pt idx="9">
                  <c:v>1966.5195811297567</c:v>
                </c:pt>
                <c:pt idx="10">
                  <c:v>1937.0785153998636</c:v>
                </c:pt>
                <c:pt idx="11">
                  <c:v>1942.037</c:v>
                </c:pt>
                <c:pt idx="12">
                  <c:v>2005.4380839999999</c:v>
                </c:pt>
                <c:pt idx="13">
                  <c:v>1886.193053</c:v>
                </c:pt>
                <c:pt idx="14">
                  <c:v>1865.018071</c:v>
                </c:pt>
                <c:pt idx="15">
                  <c:v>1896.1247096419504</c:v>
                </c:pt>
                <c:pt idx="16">
                  <c:v>1952.0819837726899</c:v>
                </c:pt>
                <c:pt idx="17">
                  <c:v>2003.9120680061151</c:v>
                </c:pt>
                <c:pt idx="18">
                  <c:v>2120.1880922250002</c:v>
                </c:pt>
                <c:pt idx="19">
                  <c:v>2284.7222884820003</c:v>
                </c:pt>
              </c:numCache>
            </c:numRef>
          </c:val>
          <c:extLst>
            <c:ext xmlns:c16="http://schemas.microsoft.com/office/drawing/2014/chart" uri="{C3380CC4-5D6E-409C-BE32-E72D297353CC}">
              <c16:uniqueId val="{00000002-A7EC-4423-8327-2049931E23F1}"/>
            </c:ext>
          </c:extLst>
        </c:ser>
        <c:ser>
          <c:idx val="1"/>
          <c:order val="1"/>
          <c:tx>
            <c:strRef>
              <c:f>Sheet1!$D$1</c:f>
              <c:strCache>
                <c:ptCount val="1"/>
                <c:pt idx="0">
                  <c:v>Սպառողական վարկեր</c:v>
                </c:pt>
              </c:strCache>
            </c:strRef>
          </c:tx>
          <c:spPr>
            <a:solidFill>
              <a:srgbClr val="F79646">
                <a:lumMod val="60000"/>
                <a:lumOff val="40000"/>
              </a:srgbClr>
            </a:solidFill>
            <a:ln>
              <a:noFill/>
            </a:ln>
            <a:effectLst/>
          </c:spPr>
          <c:invertIfNegative val="0"/>
          <c:cat>
            <c:multiLvlStrRef>
              <c:f>Sheet1!$A$16:$B$72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Sheet1!$D$2:$D$72</c:f>
              <c:numCache>
                <c:formatCode>0.0</c:formatCode>
                <c:ptCount val="20"/>
                <c:pt idx="0">
                  <c:v>744.38430143326013</c:v>
                </c:pt>
                <c:pt idx="1">
                  <c:v>795.40906700000005</c:v>
                </c:pt>
                <c:pt idx="2">
                  <c:v>846.01199800000006</c:v>
                </c:pt>
                <c:pt idx="3">
                  <c:v>915.91808300000002</c:v>
                </c:pt>
                <c:pt idx="4">
                  <c:v>951.94207299999994</c:v>
                </c:pt>
                <c:pt idx="5">
                  <c:v>955.53028000000006</c:v>
                </c:pt>
                <c:pt idx="6">
                  <c:v>960.91446799999994</c:v>
                </c:pt>
                <c:pt idx="7">
                  <c:v>929.04224399999998</c:v>
                </c:pt>
                <c:pt idx="8">
                  <c:v>915.56433019917631</c:v>
                </c:pt>
                <c:pt idx="9">
                  <c:v>871.24731988103053</c:v>
                </c:pt>
                <c:pt idx="10">
                  <c:v>833.16175229414921</c:v>
                </c:pt>
                <c:pt idx="11">
                  <c:v>824.83699999999999</c:v>
                </c:pt>
                <c:pt idx="12">
                  <c:v>834.40724999999998</c:v>
                </c:pt>
                <c:pt idx="13">
                  <c:v>828.159403</c:v>
                </c:pt>
                <c:pt idx="14">
                  <c:v>837.56598800000006</c:v>
                </c:pt>
                <c:pt idx="15">
                  <c:v>895.46070828430993</c:v>
                </c:pt>
                <c:pt idx="16">
                  <c:v>928.58755423187995</c:v>
                </c:pt>
                <c:pt idx="17">
                  <c:v>962.64040905260003</c:v>
                </c:pt>
                <c:pt idx="18">
                  <c:v>1040.8464891979888</c:v>
                </c:pt>
                <c:pt idx="19">
                  <c:v>1085.6999280610123</c:v>
                </c:pt>
              </c:numCache>
            </c:numRef>
          </c:val>
          <c:extLst>
            <c:ext xmlns:c16="http://schemas.microsoft.com/office/drawing/2014/chart" uri="{C3380CC4-5D6E-409C-BE32-E72D297353CC}">
              <c16:uniqueId val="{00000003-A7EC-4423-8327-2049931E23F1}"/>
            </c:ext>
          </c:extLst>
        </c:ser>
        <c:ser>
          <c:idx val="2"/>
          <c:order val="2"/>
          <c:tx>
            <c:strRef>
              <c:f>Sheet1!$E$1</c:f>
              <c:strCache>
                <c:ptCount val="1"/>
                <c:pt idx="0">
                  <c:v>Հիպոթեքային վարկեր</c:v>
                </c:pt>
              </c:strCache>
            </c:strRef>
          </c:tx>
          <c:spPr>
            <a:solidFill>
              <a:schemeClr val="accent3"/>
            </a:solidFill>
            <a:ln>
              <a:noFill/>
            </a:ln>
            <a:effectLst/>
          </c:spPr>
          <c:invertIfNegative val="0"/>
          <c:cat>
            <c:multiLvlStrRef>
              <c:f>Sheet1!$A$16:$B$72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Sheet1!$E$2:$E$72</c:f>
              <c:numCache>
                <c:formatCode>0.0</c:formatCode>
                <c:ptCount val="20"/>
                <c:pt idx="0">
                  <c:v>270.24869000000001</c:v>
                </c:pt>
                <c:pt idx="1">
                  <c:v>295.33238899999998</c:v>
                </c:pt>
                <c:pt idx="2">
                  <c:v>321.58908500000001</c:v>
                </c:pt>
                <c:pt idx="3">
                  <c:v>358.75952899999999</c:v>
                </c:pt>
                <c:pt idx="4">
                  <c:v>394.95331799999997</c:v>
                </c:pt>
                <c:pt idx="5">
                  <c:v>404.61893999999995</c:v>
                </c:pt>
                <c:pt idx="6">
                  <c:v>441.16723500000001</c:v>
                </c:pt>
                <c:pt idx="7">
                  <c:v>481.21191599999997</c:v>
                </c:pt>
                <c:pt idx="8">
                  <c:v>517.18580457345661</c:v>
                </c:pt>
                <c:pt idx="9">
                  <c:v>551.45232219393165</c:v>
                </c:pt>
                <c:pt idx="10">
                  <c:v>587.25406379402125</c:v>
                </c:pt>
                <c:pt idx="11">
                  <c:v>654.66800000000001</c:v>
                </c:pt>
                <c:pt idx="12">
                  <c:v>698.01737800000001</c:v>
                </c:pt>
                <c:pt idx="13">
                  <c:v>721.901929</c:v>
                </c:pt>
                <c:pt idx="14">
                  <c:v>780.3971140000001</c:v>
                </c:pt>
                <c:pt idx="15">
                  <c:v>849.39562202326942</c:v>
                </c:pt>
                <c:pt idx="16">
                  <c:v>897.7484755981593</c:v>
                </c:pt>
                <c:pt idx="17">
                  <c:v>958.98347913076861</c:v>
                </c:pt>
                <c:pt idx="18">
                  <c:v>996.39323869900204</c:v>
                </c:pt>
                <c:pt idx="19">
                  <c:v>1073.8172222169969</c:v>
                </c:pt>
              </c:numCache>
            </c:numRef>
          </c:val>
          <c:extLst>
            <c:ext xmlns:c16="http://schemas.microsoft.com/office/drawing/2014/chart" uri="{C3380CC4-5D6E-409C-BE32-E72D297353CC}">
              <c16:uniqueId val="{00000004-A7EC-4423-8327-2049931E23F1}"/>
            </c:ext>
          </c:extLst>
        </c:ser>
        <c:ser>
          <c:idx val="3"/>
          <c:order val="3"/>
          <c:tx>
            <c:strRef>
              <c:f>Sheet1!$F$1</c:f>
              <c:strCache>
                <c:ptCount val="1"/>
                <c:pt idx="0">
                  <c:v>Այլ</c:v>
                </c:pt>
              </c:strCache>
            </c:strRef>
          </c:tx>
          <c:spPr>
            <a:solidFill>
              <a:schemeClr val="accent4"/>
            </a:solidFill>
            <a:ln>
              <a:noFill/>
            </a:ln>
            <a:effectLst/>
          </c:spPr>
          <c:invertIfNegative val="0"/>
          <c:cat>
            <c:multiLvlStrRef>
              <c:f>Sheet1!$A$16:$B$72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Sheet1!$F$2:$F$72</c:f>
              <c:numCache>
                <c:formatCode>0.0</c:formatCode>
                <c:ptCount val="20"/>
                <c:pt idx="0">
                  <c:v>216.54209100000003</c:v>
                </c:pt>
                <c:pt idx="1">
                  <c:v>227.567072</c:v>
                </c:pt>
                <c:pt idx="2">
                  <c:v>232.74833600000002</c:v>
                </c:pt>
                <c:pt idx="3">
                  <c:v>242.121814</c:v>
                </c:pt>
                <c:pt idx="4">
                  <c:v>248.97432500000002</c:v>
                </c:pt>
                <c:pt idx="5">
                  <c:v>258.95920799999999</c:v>
                </c:pt>
                <c:pt idx="6">
                  <c:v>256.17615900000004</c:v>
                </c:pt>
                <c:pt idx="7">
                  <c:v>233.249537</c:v>
                </c:pt>
                <c:pt idx="8">
                  <c:v>170.45870753685111</c:v>
                </c:pt>
                <c:pt idx="9">
                  <c:v>139.68690193375738</c:v>
                </c:pt>
                <c:pt idx="10">
                  <c:v>142.25712648839331</c:v>
                </c:pt>
                <c:pt idx="11">
                  <c:v>159.523</c:v>
                </c:pt>
                <c:pt idx="12">
                  <c:v>136.39778000000001</c:v>
                </c:pt>
                <c:pt idx="13">
                  <c:v>142.09570299999999</c:v>
                </c:pt>
                <c:pt idx="14">
                  <c:v>142.944087</c:v>
                </c:pt>
                <c:pt idx="15">
                  <c:v>154.99269228273002</c:v>
                </c:pt>
                <c:pt idx="16">
                  <c:v>166.44938810615997</c:v>
                </c:pt>
                <c:pt idx="17">
                  <c:v>180.29877700057</c:v>
                </c:pt>
                <c:pt idx="18">
                  <c:v>169.17829878299992</c:v>
                </c:pt>
                <c:pt idx="19">
                  <c:v>178.73143826099997</c:v>
                </c:pt>
              </c:numCache>
            </c:numRef>
          </c:val>
          <c:extLst>
            <c:ext xmlns:c16="http://schemas.microsoft.com/office/drawing/2014/chart" uri="{C3380CC4-5D6E-409C-BE32-E72D297353CC}">
              <c16:uniqueId val="{00000005-A7EC-4423-8327-2049931E23F1}"/>
            </c:ext>
          </c:extLst>
        </c:ser>
        <c:dLbls>
          <c:showLegendKey val="0"/>
          <c:showVal val="0"/>
          <c:showCatName val="0"/>
          <c:showSerName val="0"/>
          <c:showPercent val="0"/>
          <c:showBubbleSize val="0"/>
        </c:dLbls>
        <c:gapWidth val="150"/>
        <c:overlap val="100"/>
        <c:axId val="795307992"/>
        <c:axId val="795308320"/>
      </c:barChart>
      <c:lineChart>
        <c:grouping val="standard"/>
        <c:varyColors val="0"/>
        <c:ser>
          <c:idx val="4"/>
          <c:order val="4"/>
          <c:tx>
            <c:strRef>
              <c:f>Sheet1!$G$1</c:f>
              <c:strCache>
                <c:ptCount val="1"/>
                <c:pt idx="0">
                  <c:v>Դոլարայնացում (%, աջ առանցք)</c:v>
                </c:pt>
              </c:strCache>
            </c:strRef>
          </c:tx>
          <c:spPr>
            <a:ln w="28575" cap="rnd">
              <a:solidFill>
                <a:srgbClr val="1F497D">
                  <a:lumMod val="60000"/>
                  <a:lumOff val="40000"/>
                </a:srgbClr>
              </a:solidFill>
              <a:round/>
            </a:ln>
            <a:effectLst/>
          </c:spPr>
          <c:marker>
            <c:symbol val="none"/>
          </c:marker>
          <c:cat>
            <c:strRef>
              <c:f>Sheet1!$B$2:$B$72</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Sheet1!$G$2:$G$72</c:f>
              <c:numCache>
                <c:formatCode>0.0</c:formatCode>
                <c:ptCount val="20"/>
                <c:pt idx="0">
                  <c:v>52.518909648018365</c:v>
                </c:pt>
                <c:pt idx="1">
                  <c:v>51.391676926505028</c:v>
                </c:pt>
                <c:pt idx="2">
                  <c:v>50.509365982241782</c:v>
                </c:pt>
                <c:pt idx="3">
                  <c:v>49.322848145739393</c:v>
                </c:pt>
                <c:pt idx="4">
                  <c:v>50.124039514743281</c:v>
                </c:pt>
                <c:pt idx="5">
                  <c:v>48.479425114185922</c:v>
                </c:pt>
                <c:pt idx="6">
                  <c:v>48.137841294526851</c:v>
                </c:pt>
                <c:pt idx="7">
                  <c:v>49.511987263652472</c:v>
                </c:pt>
                <c:pt idx="8">
                  <c:v>49.360514110896666</c:v>
                </c:pt>
                <c:pt idx="9">
                  <c:v>46.436641172828367</c:v>
                </c:pt>
                <c:pt idx="10">
                  <c:v>45.230440273230847</c:v>
                </c:pt>
                <c:pt idx="11">
                  <c:v>43.773631182802802</c:v>
                </c:pt>
                <c:pt idx="12">
                  <c:v>44.228337680079136</c:v>
                </c:pt>
                <c:pt idx="13">
                  <c:v>38.958793125140616</c:v>
                </c:pt>
                <c:pt idx="14">
                  <c:v>36.988487672147144</c:v>
                </c:pt>
                <c:pt idx="15">
                  <c:v>35.590459031217357</c:v>
                </c:pt>
                <c:pt idx="16">
                  <c:v>35.416563649843262</c:v>
                </c:pt>
                <c:pt idx="17">
                  <c:v>34.174308617877578</c:v>
                </c:pt>
                <c:pt idx="18">
                  <c:v>34.219620758329327</c:v>
                </c:pt>
                <c:pt idx="19">
                  <c:v>34.219620758329327</c:v>
                </c:pt>
              </c:numCache>
            </c:numRef>
          </c:val>
          <c:smooth val="0"/>
          <c:extLst>
            <c:ext xmlns:c16="http://schemas.microsoft.com/office/drawing/2014/chart" uri="{C3380CC4-5D6E-409C-BE32-E72D297353CC}">
              <c16:uniqueId val="{00000006-A7EC-4423-8327-2049931E23F1}"/>
            </c:ext>
          </c:extLst>
        </c:ser>
        <c:dLbls>
          <c:showLegendKey val="0"/>
          <c:showVal val="0"/>
          <c:showCatName val="0"/>
          <c:showSerName val="0"/>
          <c:showPercent val="0"/>
          <c:showBubbleSize val="0"/>
        </c:dLbls>
        <c:marker val="1"/>
        <c:smooth val="0"/>
        <c:axId val="791721512"/>
        <c:axId val="791712984"/>
      </c:lineChart>
      <c:catAx>
        <c:axId val="79530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795308320"/>
        <c:crosses val="autoZero"/>
        <c:auto val="1"/>
        <c:lblAlgn val="ctr"/>
        <c:lblOffset val="100"/>
        <c:noMultiLvlLbl val="0"/>
      </c:catAx>
      <c:valAx>
        <c:axId val="795308320"/>
        <c:scaling>
          <c:orientation val="minMax"/>
          <c:max val="460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795307992"/>
        <c:crosses val="autoZero"/>
        <c:crossBetween val="between"/>
        <c:majorUnit val="1000"/>
        <c:minorUnit val="200"/>
      </c:valAx>
      <c:valAx>
        <c:axId val="79171298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791721512"/>
        <c:crosses val="max"/>
        <c:crossBetween val="between"/>
      </c:valAx>
      <c:catAx>
        <c:axId val="791721512"/>
        <c:scaling>
          <c:orientation val="minMax"/>
        </c:scaling>
        <c:delete val="1"/>
        <c:axPos val="b"/>
        <c:numFmt formatCode="General" sourceLinked="1"/>
        <c:majorTickMark val="out"/>
        <c:minorTickMark val="none"/>
        <c:tickLblPos val="nextTo"/>
        <c:crossAx val="791712984"/>
        <c:crosses val="autoZero"/>
        <c:auto val="1"/>
        <c:lblAlgn val="ctr"/>
        <c:lblOffset val="100"/>
        <c:noMultiLvlLbl val="0"/>
      </c:catAx>
      <c:spPr>
        <a:noFill/>
        <a:ln>
          <a:noFill/>
        </a:ln>
        <a:effectLst/>
      </c:spPr>
    </c:plotArea>
    <c:legend>
      <c:legendPos val="b"/>
      <c:legendEntry>
        <c:idx val="0"/>
        <c:delete val="1"/>
      </c:legendEntry>
      <c:legendEntry>
        <c:idx val="1"/>
        <c:delete val="1"/>
      </c:legendEntry>
      <c:layout>
        <c:manualLayout>
          <c:xMode val="edge"/>
          <c:yMode val="edge"/>
          <c:x val="1.3821309719462644E-2"/>
          <c:y val="0.78860767404074494"/>
          <c:w val="0.98481843975110583"/>
          <c:h val="0.211392325959255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GHEA Grapalat" panose="02000506050000020003" pitchFamily="50" charset="0"/>
        </a:defRPr>
      </a:pPr>
      <a:endParaRPr lang="en-US"/>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solidFill>
                <a:latin typeface="GHEA Grapalat" panose="02000506050000020003" pitchFamily="50" charset="0"/>
                <a:ea typeface="+mn-ea"/>
                <a:cs typeface="+mn-cs"/>
              </a:defRPr>
            </a:pPr>
            <a:r>
              <a:rPr lang="hy-AM" baseline="0">
                <a:solidFill>
                  <a:schemeClr val="tx1"/>
                </a:solidFill>
              </a:rPr>
              <a:t>Բանկերի ավանդային պորտֆելը, մլրդ ՀՀ դրամ</a:t>
            </a:r>
            <a:endParaRPr lang="en-US" baseline="0">
              <a:solidFill>
                <a:schemeClr val="tx1"/>
              </a:solidFill>
            </a:endParaRPr>
          </a:p>
        </c:rich>
      </c:tx>
      <c:layout>
        <c:manualLayout>
          <c:xMode val="edge"/>
          <c:yMode val="edge"/>
          <c:x val="0.14877753917123998"/>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0.12769178058936281"/>
          <c:y val="0.16673603299587553"/>
          <c:w val="0.77961336761560229"/>
          <c:h val="0.47087957755280591"/>
        </c:manualLayout>
      </c:layout>
      <c:areaChart>
        <c:grouping val="standard"/>
        <c:varyColors val="0"/>
        <c:ser>
          <c:idx val="3"/>
          <c:order val="3"/>
          <c:tx>
            <c:strRef>
              <c:f>Sheet1!$F$1</c:f>
              <c:strCache>
                <c:ptCount val="1"/>
                <c:pt idx="0">
                  <c:v>Column1</c:v>
                </c:pt>
              </c:strCache>
            </c:strRef>
          </c:tx>
          <c:spPr>
            <a:solidFill>
              <a:schemeClr val="accent4"/>
            </a:solidFill>
            <a:ln>
              <a:noFill/>
            </a:ln>
            <a:effectLst/>
          </c:spPr>
          <c:cat>
            <c:strRef>
              <c:f>Sheet1!$B$2:$B$72</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Sheet1!$F$2:$F$72</c:f>
              <c:numCache>
                <c:formatCode>General</c:formatCode>
                <c:ptCount val="20"/>
              </c:numCache>
            </c:numRef>
          </c:val>
          <c:extLst>
            <c:ext xmlns:c16="http://schemas.microsoft.com/office/drawing/2014/chart" uri="{C3380CC4-5D6E-409C-BE32-E72D297353CC}">
              <c16:uniqueId val="{00000000-3AB0-4D96-ABDE-5C624342D6DB}"/>
            </c:ext>
          </c:extLst>
        </c:ser>
        <c:dLbls>
          <c:showLegendKey val="0"/>
          <c:showVal val="0"/>
          <c:showCatName val="0"/>
          <c:showSerName val="0"/>
          <c:showPercent val="0"/>
          <c:showBubbleSize val="0"/>
        </c:dLbls>
        <c:axId val="1076518064"/>
        <c:axId val="1076521016"/>
      </c:areaChart>
      <c:barChart>
        <c:barDir val="col"/>
        <c:grouping val="stacked"/>
        <c:varyColors val="0"/>
        <c:ser>
          <c:idx val="0"/>
          <c:order val="0"/>
          <c:tx>
            <c:strRef>
              <c:f>Sheet1!$C$1</c:f>
              <c:strCache>
                <c:ptCount val="1"/>
                <c:pt idx="0">
                  <c:v>Ռեզիդենտների ավանդներ</c:v>
                </c:pt>
              </c:strCache>
            </c:strRef>
          </c:tx>
          <c:spPr>
            <a:solidFill>
              <a:srgbClr val="4F81BD">
                <a:lumMod val="50000"/>
              </a:srgbClr>
            </a:solidFill>
            <a:ln>
              <a:noFill/>
            </a:ln>
            <a:effectLst/>
          </c:spPr>
          <c:invertIfNegative val="0"/>
          <c:cat>
            <c:multiLvlStrRef>
              <c:f>Sheet1!$A$16:$B$72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Sheet1!$C$2:$C$72</c:f>
              <c:numCache>
                <c:formatCode>0.0</c:formatCode>
                <c:ptCount val="20"/>
                <c:pt idx="0">
                  <c:v>2227.6582098797699</c:v>
                </c:pt>
                <c:pt idx="1">
                  <c:v>2276.6775936783097</c:v>
                </c:pt>
                <c:pt idx="2">
                  <c:v>2355.6432610980196</c:v>
                </c:pt>
                <c:pt idx="3">
                  <c:v>2521.5284105547203</c:v>
                </c:pt>
                <c:pt idx="4">
                  <c:v>2540.5774855170202</c:v>
                </c:pt>
                <c:pt idx="5">
                  <c:v>2541.02599025066</c:v>
                </c:pt>
                <c:pt idx="6">
                  <c:v>2640.7820000000002</c:v>
                </c:pt>
                <c:pt idx="7">
                  <c:v>2675.0673828122303</c:v>
                </c:pt>
                <c:pt idx="8">
                  <c:v>2793.6608505633803</c:v>
                </c:pt>
                <c:pt idx="9">
                  <c:v>2836.3239767365799</c:v>
                </c:pt>
                <c:pt idx="10">
                  <c:v>2969.7320835893697</c:v>
                </c:pt>
                <c:pt idx="11">
                  <c:v>3144.9699810905099</c:v>
                </c:pt>
                <c:pt idx="12">
                  <c:v>3157.9293703593098</c:v>
                </c:pt>
                <c:pt idx="13">
                  <c:v>3127.58012159178</c:v>
                </c:pt>
                <c:pt idx="14">
                  <c:v>3359.6420501932998</c:v>
                </c:pt>
                <c:pt idx="15">
                  <c:v>3694.09499741116</c:v>
                </c:pt>
                <c:pt idx="16">
                  <c:v>3815.1625054040496</c:v>
                </c:pt>
                <c:pt idx="17">
                  <c:v>3876.1891963166695</c:v>
                </c:pt>
                <c:pt idx="18">
                  <c:v>4094.7344285735303</c:v>
                </c:pt>
                <c:pt idx="19">
                  <c:v>4320.2793153550701</c:v>
                </c:pt>
              </c:numCache>
            </c:numRef>
          </c:val>
          <c:extLst>
            <c:ext xmlns:c16="http://schemas.microsoft.com/office/drawing/2014/chart" uri="{C3380CC4-5D6E-409C-BE32-E72D297353CC}">
              <c16:uniqueId val="{00000001-3AB0-4D96-ABDE-5C624342D6DB}"/>
            </c:ext>
          </c:extLst>
        </c:ser>
        <c:ser>
          <c:idx val="1"/>
          <c:order val="1"/>
          <c:tx>
            <c:strRef>
              <c:f>Sheet1!$D$1</c:f>
              <c:strCache>
                <c:ptCount val="1"/>
                <c:pt idx="0">
                  <c:v>Ոչ ռեզիդենտների ավանդներ</c:v>
                </c:pt>
              </c:strCache>
            </c:strRef>
          </c:tx>
          <c:spPr>
            <a:solidFill>
              <a:srgbClr val="F79646">
                <a:lumMod val="60000"/>
                <a:lumOff val="40000"/>
              </a:srgbClr>
            </a:solidFill>
            <a:ln>
              <a:noFill/>
            </a:ln>
            <a:effectLst/>
          </c:spPr>
          <c:invertIfNegative val="0"/>
          <c:cat>
            <c:multiLvlStrRef>
              <c:f>Sheet1!$A$16:$B$72</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Sheet1!$D$2:$D$72</c:f>
              <c:numCache>
                <c:formatCode>0.0</c:formatCode>
                <c:ptCount val="20"/>
                <c:pt idx="0">
                  <c:v>751.71176640482997</c:v>
                </c:pt>
                <c:pt idx="1">
                  <c:v>813.91228849313006</c:v>
                </c:pt>
                <c:pt idx="2">
                  <c:v>916.44940017773001</c:v>
                </c:pt>
                <c:pt idx="3">
                  <c:v>1046.67857400558</c:v>
                </c:pt>
                <c:pt idx="4">
                  <c:v>988.57440186903023</c:v>
                </c:pt>
                <c:pt idx="5">
                  <c:v>915.01734963612</c:v>
                </c:pt>
                <c:pt idx="6">
                  <c:v>929.87400000000002</c:v>
                </c:pt>
                <c:pt idx="7">
                  <c:v>1033.95275626177</c:v>
                </c:pt>
                <c:pt idx="8">
                  <c:v>908.42658679641988</c:v>
                </c:pt>
                <c:pt idx="9">
                  <c:v>933.42867996081998</c:v>
                </c:pt>
                <c:pt idx="10">
                  <c:v>884.54700956330009</c:v>
                </c:pt>
                <c:pt idx="11">
                  <c:v>879.64579740889997</c:v>
                </c:pt>
                <c:pt idx="12">
                  <c:v>825.37567642600982</c:v>
                </c:pt>
                <c:pt idx="13">
                  <c:v>944.66289364885984</c:v>
                </c:pt>
                <c:pt idx="14">
                  <c:v>1121.91741065579</c:v>
                </c:pt>
                <c:pt idx="15">
                  <c:v>1428.48444855512</c:v>
                </c:pt>
                <c:pt idx="16">
                  <c:v>1276.6676620578501</c:v>
                </c:pt>
                <c:pt idx="17">
                  <c:v>1307.3610793673802</c:v>
                </c:pt>
                <c:pt idx="18">
                  <c:v>1286.03932946751</c:v>
                </c:pt>
                <c:pt idx="19">
                  <c:v>1356.88661356395</c:v>
                </c:pt>
              </c:numCache>
            </c:numRef>
          </c:val>
          <c:extLst>
            <c:ext xmlns:c16="http://schemas.microsoft.com/office/drawing/2014/chart" uri="{C3380CC4-5D6E-409C-BE32-E72D297353CC}">
              <c16:uniqueId val="{00000002-3AB0-4D96-ABDE-5C624342D6DB}"/>
            </c:ext>
          </c:extLst>
        </c:ser>
        <c:dLbls>
          <c:showLegendKey val="0"/>
          <c:showVal val="0"/>
          <c:showCatName val="0"/>
          <c:showSerName val="0"/>
          <c:showPercent val="0"/>
          <c:showBubbleSize val="0"/>
        </c:dLbls>
        <c:gapWidth val="150"/>
        <c:overlap val="100"/>
        <c:axId val="1076518064"/>
        <c:axId val="1076521016"/>
      </c:barChart>
      <c:lineChart>
        <c:grouping val="standard"/>
        <c:varyColors val="0"/>
        <c:ser>
          <c:idx val="2"/>
          <c:order val="2"/>
          <c:tx>
            <c:strRef>
              <c:f>Sheet1!$E$1</c:f>
              <c:strCache>
                <c:ptCount val="1"/>
                <c:pt idx="0">
                  <c:v>Դոլարայնացում (%, աջ առանցք)</c:v>
                </c:pt>
              </c:strCache>
            </c:strRef>
          </c:tx>
          <c:spPr>
            <a:ln w="28575" cap="rnd">
              <a:solidFill>
                <a:srgbClr val="1F497D">
                  <a:lumMod val="60000"/>
                  <a:lumOff val="40000"/>
                </a:srgbClr>
              </a:solidFill>
              <a:round/>
            </a:ln>
            <a:effectLst/>
          </c:spPr>
          <c:marker>
            <c:symbol val="none"/>
          </c:marker>
          <c:cat>
            <c:strRef>
              <c:f>Sheet1!$B$2:$B$72</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Sheet1!$E$2:$E$72</c:f>
              <c:numCache>
                <c:formatCode>0.0</c:formatCode>
                <c:ptCount val="20"/>
                <c:pt idx="0">
                  <c:v>60.129216759660729</c:v>
                </c:pt>
                <c:pt idx="1">
                  <c:v>59.211480271428584</c:v>
                </c:pt>
                <c:pt idx="2">
                  <c:v>59.405249421429509</c:v>
                </c:pt>
                <c:pt idx="3">
                  <c:v>57.609308749984066</c:v>
                </c:pt>
                <c:pt idx="4">
                  <c:v>56.983245785623971</c:v>
                </c:pt>
                <c:pt idx="5">
                  <c:v>54.046410207100045</c:v>
                </c:pt>
                <c:pt idx="6">
                  <c:v>53.378649147693693</c:v>
                </c:pt>
                <c:pt idx="7">
                  <c:v>54.464545081502891</c:v>
                </c:pt>
                <c:pt idx="8">
                  <c:v>53.22193901071163</c:v>
                </c:pt>
                <c:pt idx="9">
                  <c:v>52.148366016875549</c:v>
                </c:pt>
                <c:pt idx="10">
                  <c:v>51.044929965929676</c:v>
                </c:pt>
                <c:pt idx="11">
                  <c:v>50.002711393128706</c:v>
                </c:pt>
                <c:pt idx="12">
                  <c:v>50.387948204205976</c:v>
                </c:pt>
                <c:pt idx="13">
                  <c:v>50.383284880867492</c:v>
                </c:pt>
                <c:pt idx="14">
                  <c:v>53.173295648147914</c:v>
                </c:pt>
                <c:pt idx="15">
                  <c:v>55.144855057658283</c:v>
                </c:pt>
                <c:pt idx="16">
                  <c:v>53.570558762946419</c:v>
                </c:pt>
                <c:pt idx="17">
                  <c:v>51.683860715465279</c:v>
                </c:pt>
                <c:pt idx="18">
                  <c:v>51.092059603808224</c:v>
                </c:pt>
                <c:pt idx="19">
                  <c:v>50.503680746709556</c:v>
                </c:pt>
              </c:numCache>
            </c:numRef>
          </c:val>
          <c:smooth val="0"/>
          <c:extLst>
            <c:ext xmlns:c16="http://schemas.microsoft.com/office/drawing/2014/chart" uri="{C3380CC4-5D6E-409C-BE32-E72D297353CC}">
              <c16:uniqueId val="{00000003-3AB0-4D96-ABDE-5C624342D6DB}"/>
            </c:ext>
          </c:extLst>
        </c:ser>
        <c:dLbls>
          <c:showLegendKey val="0"/>
          <c:showVal val="0"/>
          <c:showCatName val="0"/>
          <c:showSerName val="0"/>
          <c:showPercent val="0"/>
          <c:showBubbleSize val="0"/>
        </c:dLbls>
        <c:marker val="1"/>
        <c:smooth val="0"/>
        <c:axId val="1076425896"/>
        <c:axId val="1076425240"/>
      </c:lineChart>
      <c:catAx>
        <c:axId val="107651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76521016"/>
        <c:crosses val="autoZero"/>
        <c:auto val="1"/>
        <c:lblAlgn val="ctr"/>
        <c:lblOffset val="100"/>
        <c:noMultiLvlLbl val="0"/>
      </c:catAx>
      <c:valAx>
        <c:axId val="1076521016"/>
        <c:scaling>
          <c:orientation val="minMax"/>
          <c:max val="570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76518064"/>
        <c:crosses val="autoZero"/>
        <c:crossBetween val="between"/>
      </c:valAx>
      <c:valAx>
        <c:axId val="1076425240"/>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76425896"/>
        <c:crosses val="max"/>
        <c:crossBetween val="between"/>
      </c:valAx>
      <c:catAx>
        <c:axId val="1076425896"/>
        <c:scaling>
          <c:orientation val="minMax"/>
        </c:scaling>
        <c:delete val="1"/>
        <c:axPos val="b"/>
        <c:numFmt formatCode="General" sourceLinked="1"/>
        <c:majorTickMark val="out"/>
        <c:minorTickMark val="none"/>
        <c:tickLblPos val="nextTo"/>
        <c:crossAx val="1076425240"/>
        <c:crosses val="autoZero"/>
        <c:auto val="1"/>
        <c:lblAlgn val="ctr"/>
        <c:lblOffset val="100"/>
        <c:noMultiLvlLbl val="0"/>
      </c:catAx>
      <c:spPr>
        <a:noFill/>
        <a:ln>
          <a:noFill/>
        </a:ln>
        <a:effectLst/>
      </c:spPr>
    </c:plotArea>
    <c:legend>
      <c:legendPos val="b"/>
      <c:legendEntry>
        <c:idx val="0"/>
        <c:delete val="1"/>
      </c:legendEntry>
      <c:layout>
        <c:manualLayout>
          <c:xMode val="edge"/>
          <c:yMode val="edge"/>
          <c:x val="0"/>
          <c:y val="0.78030746156730413"/>
          <c:w val="0.98709106816193426"/>
          <c:h val="0.21969253843269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GHEA Grapalat" panose="02000506050000020003" pitchFamily="50" charset="0"/>
        </a:defRPr>
      </a:pPr>
      <a:endParaRPr lang="en-US"/>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00"/>
              <a:t>Շուկայի ծավալները, մլրդ դրամ</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0.12752201545171415"/>
          <c:y val="0.14718253968253969"/>
          <c:w val="0.76804371915290282"/>
          <c:h val="0.53903230846144234"/>
        </c:manualLayout>
      </c:layout>
      <c:barChart>
        <c:barDir val="col"/>
        <c:grouping val="clustered"/>
        <c:varyColors val="0"/>
        <c:ser>
          <c:idx val="0"/>
          <c:order val="0"/>
          <c:tx>
            <c:strRef>
              <c:f>Sheet1!$B$1</c:f>
              <c:strCache>
                <c:ptCount val="1"/>
                <c:pt idx="0">
                  <c:v>Տեղաբաշխման ենթակա ծավալ</c:v>
                </c:pt>
              </c:strCache>
            </c:strRef>
          </c:tx>
          <c:spPr>
            <a:solidFill>
              <a:schemeClr val="accent1"/>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Sheet1!$B$2:$B$7</c:f>
            </c:numRef>
          </c:val>
          <c:extLst>
            <c:ext xmlns:c16="http://schemas.microsoft.com/office/drawing/2014/chart" uri="{C3380CC4-5D6E-409C-BE32-E72D297353CC}">
              <c16:uniqueId val="{00000000-52A7-4747-845C-7A22994E9770}"/>
            </c:ext>
          </c:extLst>
        </c:ser>
        <c:ser>
          <c:idx val="1"/>
          <c:order val="1"/>
          <c:tx>
            <c:strRef>
              <c:f>Sheet1!$C$1</c:f>
              <c:strCache>
                <c:ptCount val="1"/>
                <c:pt idx="0">
                  <c:v>Տեղաբաշխված ծավալ</c:v>
                </c:pt>
              </c:strCache>
            </c:strRef>
          </c:tx>
          <c:spPr>
            <a:solidFill>
              <a:srgbClr val="F79646">
                <a:lumMod val="60000"/>
                <a:lumOff val="40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206.54629800000001</c:v>
                </c:pt>
                <c:pt idx="1">
                  <c:v>388.28811999999999</c:v>
                </c:pt>
                <c:pt idx="2">
                  <c:v>394.31375400000002</c:v>
                </c:pt>
                <c:pt idx="3">
                  <c:v>435.92769399999997</c:v>
                </c:pt>
                <c:pt idx="4">
                  <c:v>619.84177499999998</c:v>
                </c:pt>
              </c:numCache>
            </c:numRef>
          </c:val>
          <c:extLst>
            <c:ext xmlns:c16="http://schemas.microsoft.com/office/drawing/2014/chart" uri="{C3380CC4-5D6E-409C-BE32-E72D297353CC}">
              <c16:uniqueId val="{00000001-52A7-4747-845C-7A22994E9770}"/>
            </c:ext>
          </c:extLst>
        </c:ser>
        <c:ser>
          <c:idx val="2"/>
          <c:order val="2"/>
          <c:tx>
            <c:strRef>
              <c:f>Sheet1!$D$1</c:f>
              <c:strCache>
                <c:ptCount val="1"/>
                <c:pt idx="0">
                  <c:v>Պահանջարկ</c:v>
                </c:pt>
              </c:strCache>
            </c:strRef>
          </c:tx>
          <c:spPr>
            <a:solidFill>
              <a:srgbClr val="4F81BD">
                <a:lumMod val="75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Sheet1!$D$2:$D$7</c:f>
              <c:numCache>
                <c:formatCode>0.0</c:formatCode>
                <c:ptCount val="5"/>
                <c:pt idx="0">
                  <c:v>430.330288</c:v>
                </c:pt>
                <c:pt idx="1">
                  <c:v>781.72255000000007</c:v>
                </c:pt>
                <c:pt idx="2">
                  <c:v>751.11215400000003</c:v>
                </c:pt>
                <c:pt idx="3">
                  <c:v>882.73538799999994</c:v>
                </c:pt>
                <c:pt idx="4">
                  <c:v>1302.8866459999999</c:v>
                </c:pt>
              </c:numCache>
            </c:numRef>
          </c:val>
          <c:extLst>
            <c:ext xmlns:c16="http://schemas.microsoft.com/office/drawing/2014/chart" uri="{C3380CC4-5D6E-409C-BE32-E72D297353CC}">
              <c16:uniqueId val="{00000002-52A7-4747-845C-7A22994E9770}"/>
            </c:ext>
          </c:extLst>
        </c:ser>
        <c:dLbls>
          <c:showLegendKey val="0"/>
          <c:showVal val="0"/>
          <c:showCatName val="0"/>
          <c:showSerName val="0"/>
          <c:showPercent val="0"/>
          <c:showBubbleSize val="0"/>
        </c:dLbls>
        <c:gapWidth val="219"/>
        <c:overlap val="-27"/>
        <c:axId val="1045060968"/>
        <c:axId val="1045061296"/>
      </c:barChart>
      <c:lineChart>
        <c:grouping val="standard"/>
        <c:varyColors val="0"/>
        <c:ser>
          <c:idx val="3"/>
          <c:order val="3"/>
          <c:tx>
            <c:strRef>
              <c:f>Sheet1!$E$1</c:f>
              <c:strCache>
                <c:ptCount val="1"/>
                <c:pt idx="0">
                  <c:v>Պահանջարկ/տեղաբաշխված ծավալ (%, աջ առանցք) </c:v>
                </c:pt>
              </c:strCache>
            </c:strRef>
          </c:tx>
          <c:spPr>
            <a:ln w="28575" cap="rnd">
              <a:solidFill>
                <a:schemeClr val="accent4"/>
              </a:solidFill>
              <a:round/>
            </a:ln>
            <a:effectLst/>
          </c:spPr>
          <c:marker>
            <c:symbol val="none"/>
          </c:marker>
          <c:cat>
            <c:numRef>
              <c:f>Sheet1!$A$2:$A$7</c:f>
              <c:numCache>
                <c:formatCode>General</c:formatCode>
                <c:ptCount val="5"/>
                <c:pt idx="0">
                  <c:v>2019</c:v>
                </c:pt>
                <c:pt idx="1">
                  <c:v>2020</c:v>
                </c:pt>
                <c:pt idx="2">
                  <c:v>2021</c:v>
                </c:pt>
                <c:pt idx="3">
                  <c:v>2022</c:v>
                </c:pt>
                <c:pt idx="4">
                  <c:v>2023</c:v>
                </c:pt>
              </c:numCache>
            </c:numRef>
          </c:cat>
          <c:val>
            <c:numRef>
              <c:f>Sheet1!$E$2:$E$7</c:f>
              <c:numCache>
                <c:formatCode>0.0</c:formatCode>
                <c:ptCount val="5"/>
                <c:pt idx="0">
                  <c:v>2.0834567947569798</c:v>
                </c:pt>
                <c:pt idx="1">
                  <c:v>2.0132538435633829</c:v>
                </c:pt>
                <c:pt idx="2">
                  <c:v>1.9048591290072017</c:v>
                </c:pt>
                <c:pt idx="3">
                  <c:v>2.0249582675057116</c:v>
                </c:pt>
                <c:pt idx="4">
                  <c:v>2.1019664994344724</c:v>
                </c:pt>
              </c:numCache>
            </c:numRef>
          </c:val>
          <c:smooth val="0"/>
          <c:extLst>
            <c:ext xmlns:c16="http://schemas.microsoft.com/office/drawing/2014/chart" uri="{C3380CC4-5D6E-409C-BE32-E72D297353CC}">
              <c16:uniqueId val="{00000003-52A7-4747-845C-7A22994E9770}"/>
            </c:ext>
          </c:extLst>
        </c:ser>
        <c:dLbls>
          <c:showLegendKey val="0"/>
          <c:showVal val="0"/>
          <c:showCatName val="0"/>
          <c:showSerName val="0"/>
          <c:showPercent val="0"/>
          <c:showBubbleSize val="0"/>
        </c:dLbls>
        <c:marker val="1"/>
        <c:smooth val="0"/>
        <c:axId val="1045117712"/>
        <c:axId val="1045118040"/>
      </c:lineChart>
      <c:catAx>
        <c:axId val="1045060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45061296"/>
        <c:crosses val="autoZero"/>
        <c:auto val="1"/>
        <c:lblAlgn val="ctr"/>
        <c:lblOffset val="100"/>
        <c:noMultiLvlLbl val="0"/>
      </c:catAx>
      <c:valAx>
        <c:axId val="1045061296"/>
        <c:scaling>
          <c:orientation val="minMax"/>
          <c:max val="1305"/>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45060968"/>
        <c:crosses val="autoZero"/>
        <c:crossBetween val="between"/>
      </c:valAx>
      <c:valAx>
        <c:axId val="1045118040"/>
        <c:scaling>
          <c:orientation val="minMax"/>
          <c:min val="0"/>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45117712"/>
        <c:crosses val="max"/>
        <c:crossBetween val="between"/>
      </c:valAx>
      <c:catAx>
        <c:axId val="1045117712"/>
        <c:scaling>
          <c:orientation val="minMax"/>
        </c:scaling>
        <c:delete val="1"/>
        <c:axPos val="b"/>
        <c:numFmt formatCode="General" sourceLinked="1"/>
        <c:majorTickMark val="out"/>
        <c:minorTickMark val="none"/>
        <c:tickLblPos val="nextTo"/>
        <c:crossAx val="1045118040"/>
        <c:crosses val="autoZero"/>
        <c:auto val="1"/>
        <c:lblAlgn val="ctr"/>
        <c:lblOffset val="100"/>
        <c:noMultiLvlLbl val="0"/>
      </c:catAx>
      <c:spPr>
        <a:noFill/>
        <a:ln>
          <a:noFill/>
        </a:ln>
        <a:effectLst/>
      </c:spPr>
    </c:plotArea>
    <c:legend>
      <c:legendPos val="b"/>
      <c:layout>
        <c:manualLayout>
          <c:xMode val="edge"/>
          <c:yMode val="edge"/>
          <c:x val="0"/>
          <c:y val="0.79811273590801168"/>
          <c:w val="0.97267677361225369"/>
          <c:h val="0.191995688038995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00"/>
              <a:t>Շուկայի եկամտաբերությունները, </a:t>
            </a:r>
            <a:r>
              <a:rPr lang="en-US" sz="1000"/>
              <a:t>%</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endParaRPr lang="en-US"/>
        </a:p>
      </c:txPr>
    </c:title>
    <c:autoTitleDeleted val="0"/>
    <c:plotArea>
      <c:layout/>
      <c:areaChart>
        <c:grouping val="standard"/>
        <c:varyColors val="0"/>
        <c:ser>
          <c:idx val="3"/>
          <c:order val="3"/>
          <c:tx>
            <c:strRef>
              <c:f>Sheet1!$F$1</c:f>
              <c:strCache>
                <c:ptCount val="1"/>
                <c:pt idx="0">
                  <c:v>Column1</c:v>
                </c:pt>
              </c:strCache>
            </c:strRef>
          </c:tx>
          <c:spPr>
            <a:solidFill>
              <a:schemeClr val="accent4"/>
            </a:solidFill>
            <a:ln w="25400">
              <a:noFill/>
            </a:ln>
            <a:effectLst/>
          </c:spPr>
          <c:cat>
            <c:strRef>
              <c:f>Sheet1!$B$2:$B$33</c:f>
              <c:strCache>
                <c:ptCount val="20"/>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strCache>
            </c:strRef>
          </c:cat>
          <c:val>
            <c:numRef>
              <c:f>Sheet1!$F$2:$F$33</c:f>
            </c:numRef>
          </c:val>
          <c:extLst>
            <c:ext xmlns:c16="http://schemas.microsoft.com/office/drawing/2014/chart" uri="{C3380CC4-5D6E-409C-BE32-E72D297353CC}">
              <c16:uniqueId val="{00000000-6DC9-4EA0-9887-6DEF77436950}"/>
            </c:ext>
          </c:extLst>
        </c:ser>
        <c:dLbls>
          <c:showLegendKey val="0"/>
          <c:showVal val="0"/>
          <c:showCatName val="0"/>
          <c:showSerName val="0"/>
          <c:showPercent val="0"/>
          <c:showBubbleSize val="0"/>
        </c:dLbls>
        <c:axId val="1045019312"/>
        <c:axId val="1045012424"/>
      </c:areaChart>
      <c:lineChart>
        <c:grouping val="standard"/>
        <c:varyColors val="0"/>
        <c:ser>
          <c:idx val="0"/>
          <c:order val="0"/>
          <c:tx>
            <c:strRef>
              <c:f>Sheet1!$C$1</c:f>
              <c:strCache>
                <c:ptCount val="1"/>
                <c:pt idx="0">
                  <c:v>Կարճաժամկետ ՊՊ</c:v>
                </c:pt>
              </c:strCache>
            </c:strRef>
          </c:tx>
          <c:spPr>
            <a:ln w="28575" cap="rnd">
              <a:noFill/>
              <a:round/>
            </a:ln>
            <a:effectLst/>
          </c:spPr>
          <c:marker>
            <c:symbol val="circle"/>
            <c:size val="5"/>
            <c:spPr>
              <a:solidFill>
                <a:srgbClr val="4F81BD">
                  <a:lumMod val="75000"/>
                </a:srgbClr>
              </a:solidFill>
              <a:ln w="9525">
                <a:noFill/>
              </a:ln>
              <a:effectLst/>
            </c:spPr>
          </c:marker>
          <c:cat>
            <c:multiLvlStrRef>
              <c:f>Sheet1!$A$14:$B$33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Sheet1!$C$2:$C$33</c:f>
              <c:numCache>
                <c:formatCode>0.0</c:formatCode>
                <c:ptCount val="20"/>
                <c:pt idx="0">
                  <c:v>6.1641493589904606</c:v>
                </c:pt>
                <c:pt idx="1">
                  <c:v>5.9442266126922192</c:v>
                </c:pt>
                <c:pt idx="2">
                  <c:v>5.8874555555555554</c:v>
                </c:pt>
                <c:pt idx="3">
                  <c:v>5.6843055555555546</c:v>
                </c:pt>
                <c:pt idx="4">
                  <c:v>5.5882862733333338</c:v>
                </c:pt>
                <c:pt idx="5">
                  <c:v>5.7439622626262627</c:v>
                </c:pt>
                <c:pt idx="6">
                  <c:v>5.6253015530933972</c:v>
                </c:pt>
                <c:pt idx="7">
                  <c:v>5.9185325342230302</c:v>
                </c:pt>
                <c:pt idx="8">
                  <c:v>6.854926799557032</c:v>
                </c:pt>
                <c:pt idx="9">
                  <c:v>7.1024616710317856</c:v>
                </c:pt>
                <c:pt idx="10">
                  <c:v>8.1943352976190482</c:v>
                </c:pt>
                <c:pt idx="11">
                  <c:v>8.8495017574280173</c:v>
                </c:pt>
                <c:pt idx="12">
                  <c:v>9.3270733333333329</c:v>
                </c:pt>
                <c:pt idx="13">
                  <c:v>10.475233333333334</c:v>
                </c:pt>
                <c:pt idx="14">
                  <c:v>10.657266666666667</c:v>
                </c:pt>
                <c:pt idx="15">
                  <c:v>11.512319015843817</c:v>
                </c:pt>
                <c:pt idx="16">
                  <c:v>11.5479466989476</c:v>
                </c:pt>
                <c:pt idx="17">
                  <c:v>11.433027414054733</c:v>
                </c:pt>
                <c:pt idx="18">
                  <c:v>10.608063631255433</c:v>
                </c:pt>
                <c:pt idx="19">
                  <c:v>10.551300357902667</c:v>
                </c:pt>
              </c:numCache>
            </c:numRef>
          </c:val>
          <c:smooth val="0"/>
          <c:extLst>
            <c:ext xmlns:c16="http://schemas.microsoft.com/office/drawing/2014/chart" uri="{C3380CC4-5D6E-409C-BE32-E72D297353CC}">
              <c16:uniqueId val="{00000001-6DC9-4EA0-9887-6DEF77436950}"/>
            </c:ext>
          </c:extLst>
        </c:ser>
        <c:ser>
          <c:idx val="1"/>
          <c:order val="1"/>
          <c:tx>
            <c:strRef>
              <c:f>Sheet1!$D$1</c:f>
              <c:strCache>
                <c:ptCount val="1"/>
                <c:pt idx="0">
                  <c:v>Միջնաժամկետ ՊՊ</c:v>
                </c:pt>
              </c:strCache>
            </c:strRef>
          </c:tx>
          <c:spPr>
            <a:ln w="28575" cap="rnd">
              <a:noFill/>
              <a:round/>
            </a:ln>
            <a:effectLst/>
          </c:spPr>
          <c:marker>
            <c:symbol val="circle"/>
            <c:size val="5"/>
            <c:spPr>
              <a:solidFill>
                <a:srgbClr val="00B050"/>
              </a:solidFill>
              <a:ln w="9525">
                <a:solidFill>
                  <a:srgbClr val="9BBB59">
                    <a:lumMod val="75000"/>
                  </a:srgbClr>
                </a:solidFill>
              </a:ln>
              <a:effectLst/>
            </c:spPr>
          </c:marker>
          <c:cat>
            <c:multiLvlStrRef>
              <c:f>Sheet1!$A$14:$B$33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Sheet1!$D$2:$D$33</c:f>
              <c:numCache>
                <c:formatCode>0.0</c:formatCode>
                <c:ptCount val="20"/>
                <c:pt idx="0">
                  <c:v>8.3414999999999999</c:v>
                </c:pt>
                <c:pt idx="1">
                  <c:v>7.8353999999999999</c:v>
                </c:pt>
                <c:pt idx="2">
                  <c:v>7.5621</c:v>
                </c:pt>
                <c:pt idx="3">
                  <c:v>6.82585</c:v>
                </c:pt>
                <c:pt idx="4">
                  <c:v>6.4605499999999996</c:v>
                </c:pt>
                <c:pt idx="5">
                  <c:v>6.8927070247933884</c:v>
                </c:pt>
                <c:pt idx="6">
                  <c:v>6.6683294666666661</c:v>
                </c:pt>
                <c:pt idx="7">
                  <c:v>7.3491743822447475</c:v>
                </c:pt>
                <c:pt idx="8">
                  <c:v>8.0319500000000001</c:v>
                </c:pt>
                <c:pt idx="9">
                  <c:v>8.543099999999999</c:v>
                </c:pt>
                <c:pt idx="10">
                  <c:v>9.4789999999999992</c:v>
                </c:pt>
                <c:pt idx="11">
                  <c:v>9.7094333333333314</c:v>
                </c:pt>
                <c:pt idx="12">
                  <c:v>10.17895</c:v>
                </c:pt>
                <c:pt idx="13">
                  <c:v>11.088666666666667</c:v>
                </c:pt>
                <c:pt idx="14">
                  <c:v>11.286049999999999</c:v>
                </c:pt>
                <c:pt idx="15">
                  <c:v>11.808</c:v>
                </c:pt>
                <c:pt idx="16">
                  <c:v>11.9323200507901</c:v>
                </c:pt>
                <c:pt idx="17">
                  <c:v>11.442941876642301</c:v>
                </c:pt>
                <c:pt idx="18">
                  <c:v>10.649850000000001</c:v>
                </c:pt>
                <c:pt idx="19">
                  <c:v>10.843333333333334</c:v>
                </c:pt>
              </c:numCache>
            </c:numRef>
          </c:val>
          <c:smooth val="0"/>
          <c:extLst>
            <c:ext xmlns:c16="http://schemas.microsoft.com/office/drawing/2014/chart" uri="{C3380CC4-5D6E-409C-BE32-E72D297353CC}">
              <c16:uniqueId val="{00000002-6DC9-4EA0-9887-6DEF77436950}"/>
            </c:ext>
          </c:extLst>
        </c:ser>
        <c:ser>
          <c:idx val="2"/>
          <c:order val="2"/>
          <c:tx>
            <c:strRef>
              <c:f>Sheet1!$E$1</c:f>
              <c:strCache>
                <c:ptCount val="1"/>
                <c:pt idx="0">
                  <c:v>Երկարաժամկետ ՊՊ</c:v>
                </c:pt>
              </c:strCache>
            </c:strRef>
          </c:tx>
          <c:spPr>
            <a:ln w="28575" cap="rnd">
              <a:noFill/>
              <a:round/>
            </a:ln>
            <a:effectLst/>
          </c:spPr>
          <c:marker>
            <c:symbol val="circle"/>
            <c:size val="5"/>
            <c:spPr>
              <a:solidFill>
                <a:srgbClr val="F79646"/>
              </a:solidFill>
              <a:ln w="9525">
                <a:solidFill>
                  <a:srgbClr val="F79646"/>
                </a:solidFill>
              </a:ln>
              <a:effectLst/>
            </c:spPr>
          </c:marker>
          <c:cat>
            <c:multiLvlStrRef>
              <c:f>Sheet1!$A$14:$B$33</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Sheet1!$E$2:$E$33</c:f>
              <c:numCache>
                <c:formatCode>0.0</c:formatCode>
                <c:ptCount val="20"/>
                <c:pt idx="0">
                  <c:v>9.7417999999999996</c:v>
                </c:pt>
                <c:pt idx="1">
                  <c:v>11.6442</c:v>
                </c:pt>
                <c:pt idx="2">
                  <c:v>9.6748999999999992</c:v>
                </c:pt>
                <c:pt idx="3">
                  <c:v>10.902100000000001</c:v>
                </c:pt>
                <c:pt idx="4">
                  <c:v>8.1011000000000006</c:v>
                </c:pt>
                <c:pt idx="5">
                  <c:v>9.3685051678535718</c:v>
                </c:pt>
                <c:pt idx="6">
                  <c:v>7.9247801446342399</c:v>
                </c:pt>
                <c:pt idx="7">
                  <c:v>9.0678438931297709</c:v>
                </c:pt>
                <c:pt idx="8">
                  <c:v>9.681431525610396</c:v>
                </c:pt>
                <c:pt idx="9">
                  <c:v>9.8704542865300873</c:v>
                </c:pt>
                <c:pt idx="10">
                  <c:v>9.9131</c:v>
                </c:pt>
                <c:pt idx="11">
                  <c:v>10.289874523669795</c:v>
                </c:pt>
                <c:pt idx="12">
                  <c:v>10.6031</c:v>
                </c:pt>
                <c:pt idx="13">
                  <c:v>11.6937</c:v>
                </c:pt>
                <c:pt idx="14">
                  <c:v>11.8903</c:v>
                </c:pt>
                <c:pt idx="16">
                  <c:v>11.9801</c:v>
                </c:pt>
                <c:pt idx="17">
                  <c:v>11.785450025631398</c:v>
                </c:pt>
                <c:pt idx="18">
                  <c:v>11.116300000000001</c:v>
                </c:pt>
                <c:pt idx="19">
                  <c:v>10.227523897900451</c:v>
                </c:pt>
              </c:numCache>
            </c:numRef>
          </c:val>
          <c:smooth val="0"/>
          <c:extLst>
            <c:ext xmlns:c16="http://schemas.microsoft.com/office/drawing/2014/chart" uri="{C3380CC4-5D6E-409C-BE32-E72D297353CC}">
              <c16:uniqueId val="{00000003-6DC9-4EA0-9887-6DEF77436950}"/>
            </c:ext>
          </c:extLst>
        </c:ser>
        <c:dLbls>
          <c:showLegendKey val="0"/>
          <c:showVal val="0"/>
          <c:showCatName val="0"/>
          <c:showSerName val="0"/>
          <c:showPercent val="0"/>
          <c:showBubbleSize val="0"/>
        </c:dLbls>
        <c:marker val="1"/>
        <c:smooth val="0"/>
        <c:axId val="1045019312"/>
        <c:axId val="1045012424"/>
      </c:lineChart>
      <c:catAx>
        <c:axId val="104501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45012424"/>
        <c:crosses val="autoZero"/>
        <c:auto val="1"/>
        <c:lblAlgn val="ctr"/>
        <c:lblOffset val="100"/>
        <c:noMultiLvlLbl val="0"/>
      </c:catAx>
      <c:valAx>
        <c:axId val="1045012424"/>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04501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100"/>
              <a:t>Եկամտաբերություններ, </a:t>
            </a:r>
            <a:r>
              <a:rPr lang="en-US" sz="1100"/>
              <a:t>%</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9.2693925803374932E-2"/>
          <c:y val="0.15405761779777527"/>
          <c:w val="0.83901202863166213"/>
          <c:h val="0.47725147366502008"/>
        </c:manualLayout>
      </c:layout>
      <c:lineChart>
        <c:grouping val="standard"/>
        <c:varyColors val="0"/>
        <c:ser>
          <c:idx val="0"/>
          <c:order val="0"/>
          <c:tx>
            <c:strRef>
              <c:f>Sheet1!$C$1</c:f>
              <c:strCache>
                <c:ptCount val="1"/>
                <c:pt idx="0">
                  <c:v>2020թ. մարվող պարտատոմսեր</c:v>
                </c:pt>
              </c:strCache>
            </c:strRef>
          </c:tx>
          <c:spPr>
            <a:ln w="28575" cap="rnd">
              <a:solidFill>
                <a:schemeClr val="accent1"/>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Sheet1!$C$16:$C$67</c:f>
            </c:numRef>
          </c:val>
          <c:smooth val="0"/>
          <c:extLst>
            <c:ext xmlns:c16="http://schemas.microsoft.com/office/drawing/2014/chart" uri="{C3380CC4-5D6E-409C-BE32-E72D297353CC}">
              <c16:uniqueId val="{00000000-ACD7-4ED9-BF58-064342AF5379}"/>
            </c:ext>
          </c:extLst>
        </c:ser>
        <c:ser>
          <c:idx val="1"/>
          <c:order val="1"/>
          <c:tx>
            <c:strRef>
              <c:f>Sheet1!$D$1</c:f>
              <c:strCache>
                <c:ptCount val="1"/>
                <c:pt idx="0">
                  <c:v>2025թ. մարվող պարտատոմսեր</c:v>
                </c:pt>
              </c:strCache>
            </c:strRef>
          </c:tx>
          <c:spPr>
            <a:ln w="28575" cap="rnd">
              <a:solidFill>
                <a:srgbClr val="F79646"/>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Sheet1!$D$16:$D$69</c:f>
              <c:numCache>
                <c:formatCode>0.0</c:formatCode>
                <c:ptCount val="20"/>
                <c:pt idx="0">
                  <c:v>5.0404285714285715</c:v>
                </c:pt>
                <c:pt idx="1">
                  <c:v>4.3403999999999989</c:v>
                </c:pt>
                <c:pt idx="2">
                  <c:v>3.9032857142857145</c:v>
                </c:pt>
                <c:pt idx="3">
                  <c:v>3.5483500000000001</c:v>
                </c:pt>
                <c:pt idx="4">
                  <c:v>5.1645909090909088</c:v>
                </c:pt>
                <c:pt idx="5">
                  <c:v>3.9795454545454545</c:v>
                </c:pt>
                <c:pt idx="6">
                  <c:v>3.6502727272727271</c:v>
                </c:pt>
                <c:pt idx="7">
                  <c:v>3.5371818181818182</c:v>
                </c:pt>
                <c:pt idx="8">
                  <c:v>4.046347826086957</c:v>
                </c:pt>
                <c:pt idx="9">
                  <c:v>3.4342272727272727</c:v>
                </c:pt>
                <c:pt idx="10">
                  <c:v>2.6846818181818177</c:v>
                </c:pt>
                <c:pt idx="11">
                  <c:v>3.1654285714285715</c:v>
                </c:pt>
                <c:pt idx="12">
                  <c:v>7.4899130434782624</c:v>
                </c:pt>
                <c:pt idx="13">
                  <c:v>7.4219500000000007</c:v>
                </c:pt>
                <c:pt idx="14">
                  <c:v>7.4047000000000001</c:v>
                </c:pt>
                <c:pt idx="15">
                  <c:v>6.4584761904761896</c:v>
                </c:pt>
                <c:pt idx="16">
                  <c:v>6.3918695652173918</c:v>
                </c:pt>
                <c:pt idx="17">
                  <c:v>6.3964999999999996</c:v>
                </c:pt>
                <c:pt idx="18">
                  <c:v>6.4304615384615404</c:v>
                </c:pt>
                <c:pt idx="19">
                  <c:v>6.0984603174603169</c:v>
                </c:pt>
              </c:numCache>
            </c:numRef>
          </c:val>
          <c:smooth val="0"/>
          <c:extLst>
            <c:ext xmlns:c16="http://schemas.microsoft.com/office/drawing/2014/chart" uri="{C3380CC4-5D6E-409C-BE32-E72D297353CC}">
              <c16:uniqueId val="{00000001-ACD7-4ED9-BF58-064342AF5379}"/>
            </c:ext>
          </c:extLst>
        </c:ser>
        <c:ser>
          <c:idx val="2"/>
          <c:order val="2"/>
          <c:tx>
            <c:strRef>
              <c:f>Sheet1!$E$1</c:f>
              <c:strCache>
                <c:ptCount val="1"/>
                <c:pt idx="0">
                  <c:v>2029թ. մարվող պարտատոմսեր</c:v>
                </c:pt>
              </c:strCache>
            </c:strRef>
          </c:tx>
          <c:spPr>
            <a:ln w="28575" cap="rnd">
              <a:solidFill>
                <a:srgbClr val="4F81BD">
                  <a:lumMod val="75000"/>
                </a:srgbClr>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Sheet1!$E$16:$E$69</c:f>
              <c:numCache>
                <c:formatCode>General</c:formatCode>
                <c:ptCount val="20"/>
                <c:pt idx="2" formatCode="0.0">
                  <c:v>4.1567999999999996</c:v>
                </c:pt>
                <c:pt idx="3" formatCode="0.0">
                  <c:v>4.0600000000000005</c:v>
                </c:pt>
                <c:pt idx="4" formatCode="0.0">
                  <c:v>4.9182272727272718</c:v>
                </c:pt>
                <c:pt idx="5" formatCode="0.0">
                  <c:v>4.1830000000000007</c:v>
                </c:pt>
                <c:pt idx="6" formatCode="0.0">
                  <c:v>3.7706363636363633</c:v>
                </c:pt>
                <c:pt idx="7" formatCode="0.0">
                  <c:v>3.9598636363636364</c:v>
                </c:pt>
                <c:pt idx="8" formatCode="0.0">
                  <c:v>4.4904782608695655</c:v>
                </c:pt>
                <c:pt idx="9" formatCode="0.0">
                  <c:v>4.2633181818181818</c:v>
                </c:pt>
                <c:pt idx="10" formatCode="0.0">
                  <c:v>4.0162272727272734</c:v>
                </c:pt>
                <c:pt idx="11" formatCode="0.0">
                  <c:v>4.3866190476190461</c:v>
                </c:pt>
                <c:pt idx="12" formatCode="0.0">
                  <c:v>6.8682173913043476</c:v>
                </c:pt>
                <c:pt idx="13" formatCode="0.0">
                  <c:v>8.2034500000000001</c:v>
                </c:pt>
                <c:pt idx="14" formatCode="0.0">
                  <c:v>8.7533500000000011</c:v>
                </c:pt>
                <c:pt idx="15" formatCode="0.0">
                  <c:v>7.0670952380952361</c:v>
                </c:pt>
                <c:pt idx="16" formatCode="0.0">
                  <c:v>7.5711739130434781</c:v>
                </c:pt>
                <c:pt idx="17" formatCode="0.0">
                  <c:v>7.398681818181819</c:v>
                </c:pt>
                <c:pt idx="18" formatCode="0.0">
                  <c:v>7.4433538461538475</c:v>
                </c:pt>
                <c:pt idx="19" formatCode="0.0">
                  <c:v>7.6833333333333345</c:v>
                </c:pt>
              </c:numCache>
            </c:numRef>
          </c:val>
          <c:smooth val="0"/>
          <c:extLst>
            <c:ext xmlns:c16="http://schemas.microsoft.com/office/drawing/2014/chart" uri="{C3380CC4-5D6E-409C-BE32-E72D297353CC}">
              <c16:uniqueId val="{00000002-ACD7-4ED9-BF58-064342AF5379}"/>
            </c:ext>
          </c:extLst>
        </c:ser>
        <c:ser>
          <c:idx val="3"/>
          <c:order val="3"/>
          <c:tx>
            <c:strRef>
              <c:f>Sheet1!$F$1</c:f>
              <c:strCache>
                <c:ptCount val="1"/>
                <c:pt idx="0">
                  <c:v>2031թ. մարվող պարտատոմսեր</c:v>
                </c:pt>
              </c:strCache>
            </c:strRef>
          </c:tx>
          <c:spPr>
            <a:ln w="28575" cap="rnd">
              <a:solidFill>
                <a:srgbClr val="9A0000"/>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Sheet1!$F$16:$F$69</c:f>
              <c:numCache>
                <c:formatCode>General</c:formatCode>
                <c:ptCount val="20"/>
                <c:pt idx="8" formatCode="0.0">
                  <c:v>4.6077826086956497</c:v>
                </c:pt>
                <c:pt idx="9" formatCode="0.0">
                  <c:v>4.4961363636363636</c:v>
                </c:pt>
                <c:pt idx="10" formatCode="0.0">
                  <c:v>4.1649090909090898</c:v>
                </c:pt>
                <c:pt idx="11" formatCode="0.0">
                  <c:v>4.5901428571428564</c:v>
                </c:pt>
                <c:pt idx="12" formatCode="0.0">
                  <c:v>7.189913043478259</c:v>
                </c:pt>
                <c:pt idx="13" formatCode="0.0">
                  <c:v>8.3145000000000007</c:v>
                </c:pt>
                <c:pt idx="14" formatCode="0.0">
                  <c:v>8.5759000000000007</c:v>
                </c:pt>
                <c:pt idx="15" formatCode="0.0">
                  <c:v>6.8412857142857133</c:v>
                </c:pt>
                <c:pt idx="16" formatCode="0.0">
                  <c:v>7.607956521739129</c:v>
                </c:pt>
                <c:pt idx="17" formatCode="0.0">
                  <c:v>7.484909090909091</c:v>
                </c:pt>
                <c:pt idx="18" formatCode="0.0">
                  <c:v>7.5491846153846156</c:v>
                </c:pt>
                <c:pt idx="19" formatCode="0.0">
                  <c:v>8.0171904761904749</c:v>
                </c:pt>
              </c:numCache>
            </c:numRef>
          </c:val>
          <c:smooth val="0"/>
          <c:extLst>
            <c:ext xmlns:c16="http://schemas.microsoft.com/office/drawing/2014/chart" uri="{C3380CC4-5D6E-409C-BE32-E72D297353CC}">
              <c16:uniqueId val="{00000003-ACD7-4ED9-BF58-064342AF5379}"/>
            </c:ext>
          </c:extLst>
        </c:ser>
        <c:dLbls>
          <c:showLegendKey val="0"/>
          <c:showVal val="0"/>
          <c:showCatName val="0"/>
          <c:showSerName val="0"/>
          <c:showPercent val="0"/>
          <c:showBubbleSize val="0"/>
        </c:dLbls>
        <c:smooth val="0"/>
        <c:axId val="1152193232"/>
        <c:axId val="1152193560"/>
      </c:lineChart>
      <c:catAx>
        <c:axId val="115219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2193560"/>
        <c:crosses val="autoZero"/>
        <c:auto val="1"/>
        <c:lblAlgn val="ctr"/>
        <c:lblOffset val="100"/>
        <c:noMultiLvlLbl val="0"/>
      </c:catAx>
      <c:valAx>
        <c:axId val="1152193560"/>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2193232"/>
        <c:crosses val="autoZero"/>
        <c:crossBetween val="between"/>
      </c:valAx>
      <c:spPr>
        <a:noFill/>
        <a:ln>
          <a:noFill/>
        </a:ln>
        <a:effectLst/>
      </c:spPr>
    </c:plotArea>
    <c:legend>
      <c:legendPos val="b"/>
      <c:layout>
        <c:manualLayout>
          <c:xMode val="edge"/>
          <c:yMode val="edge"/>
          <c:x val="4.2651574803149607E-2"/>
          <c:y val="0.79901379471998191"/>
          <c:w val="0.91893766404199473"/>
          <c:h val="0.200986205280018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100"/>
              <a:t>Ռիսկի հավելավճար, բազիսային կետ</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0.15363043161271508"/>
          <c:y val="0.14039812829350026"/>
          <c:w val="0.77950204141149027"/>
          <c:h val="0.49521429997656025"/>
        </c:manualLayout>
      </c:layout>
      <c:areaChart>
        <c:grouping val="standard"/>
        <c:varyColors val="0"/>
        <c:dLbls>
          <c:showLegendKey val="0"/>
          <c:showVal val="0"/>
          <c:showCatName val="0"/>
          <c:showSerName val="0"/>
          <c:showPercent val="0"/>
          <c:showBubbleSize val="0"/>
        </c:dLbls>
        <c:axId val="1152192904"/>
        <c:axId val="1152194872"/>
        <c:extLst>
          <c:ext xmlns:c15="http://schemas.microsoft.com/office/drawing/2012/chart" uri="{02D57815-91ED-43cb-92C2-25804820EDAC}">
            <c15:filteredAreaSeries>
              <c15:ser>
                <c:idx val="4"/>
                <c:order val="4"/>
                <c:tx>
                  <c:strRef>
                    <c:extLst>
                      <c:ext uri="{02D57815-91ED-43cb-92C2-25804820EDAC}">
                        <c15:formulaRef>
                          <c15:sqref>Sheet1!#REF!</c15:sqref>
                        </c15:formulaRef>
                      </c:ext>
                    </c:extLst>
                    <c:strCache>
                      <c:ptCount val="1"/>
                      <c:pt idx="0">
                        <c:v>#REF!</c:v>
                      </c:pt>
                    </c:strCache>
                  </c:strRef>
                </c:tx>
                <c:spPr>
                  <a:solidFill>
                    <a:schemeClr val="accent5"/>
                  </a:solidFill>
                  <a:ln>
                    <a:noFill/>
                  </a:ln>
                  <a:effectLst/>
                </c:spPr>
                <c:cat>
                  <c:strRef>
                    <c:extLst>
                      <c:ext uri="{02D57815-91ED-43cb-92C2-25804820EDAC}">
                        <c15:formulaRef>
                          <c15:sqref>Sheet1!$B$2:$B$68</c15:sqref>
                        </c15:formulaRef>
                      </c:ext>
                    </c:extLst>
                    <c:strCache>
                      <c:ptCount val="19"/>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strCache>
                  </c:strRef>
                </c:cat>
                <c:val>
                  <c:numRef>
                    <c:extLst>
                      <c:ext uri="{02D57815-91ED-43cb-92C2-25804820EDAC}">
                        <c15:formulaRef>
                          <c15:sqref>Sheet1!#REF!</c15:sqref>
                        </c15:formulaRef>
                      </c:ext>
                    </c:extLst>
                    <c:numCache>
                      <c:formatCode>General</c:formatCode>
                      <c:ptCount val="1"/>
                      <c:pt idx="0">
                        <c:v>1</c:v>
                      </c:pt>
                    </c:numCache>
                  </c:numRef>
                </c:val>
                <c:extLst>
                  <c:ext xmlns:c16="http://schemas.microsoft.com/office/drawing/2014/chart" uri="{C3380CC4-5D6E-409C-BE32-E72D297353CC}">
                    <c16:uniqueId val="{00000004-663A-4B41-BD98-B45ADCD3CD78}"/>
                  </c:ext>
                </c:extLst>
              </c15:ser>
            </c15:filteredAreaSeries>
          </c:ext>
        </c:extLst>
      </c:areaChart>
      <c:lineChart>
        <c:grouping val="standard"/>
        <c:varyColors val="0"/>
        <c:ser>
          <c:idx val="0"/>
          <c:order val="0"/>
          <c:tx>
            <c:strRef>
              <c:f>Sheet1!$C$1</c:f>
              <c:strCache>
                <c:ptCount val="1"/>
                <c:pt idx="0">
                  <c:v>2020թ. մարվող պարտատոմսեր</c:v>
                </c:pt>
              </c:strCache>
            </c:strRef>
          </c:tx>
          <c:spPr>
            <a:ln w="28575" cap="rnd">
              <a:solidFill>
                <a:schemeClr val="accent1"/>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Sheet1!$C$2:$C$68</c:f>
            </c:numRef>
          </c:val>
          <c:smooth val="0"/>
          <c:extLst>
            <c:ext xmlns:c16="http://schemas.microsoft.com/office/drawing/2014/chart" uri="{C3380CC4-5D6E-409C-BE32-E72D297353CC}">
              <c16:uniqueId val="{00000000-663A-4B41-BD98-B45ADCD3CD78}"/>
            </c:ext>
          </c:extLst>
        </c:ser>
        <c:ser>
          <c:idx val="1"/>
          <c:order val="1"/>
          <c:tx>
            <c:strRef>
              <c:f>Sheet1!$D$1</c:f>
              <c:strCache>
                <c:ptCount val="1"/>
                <c:pt idx="0">
                  <c:v>2025թ. մարվող պարտատոմսեր</c:v>
                </c:pt>
              </c:strCache>
            </c:strRef>
          </c:tx>
          <c:spPr>
            <a:ln w="28575" cap="rnd">
              <a:solidFill>
                <a:srgbClr val="F79646"/>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Sheet1!$D$16:$D$69</c:f>
              <c:numCache>
                <c:formatCode>0.0</c:formatCode>
                <c:ptCount val="20"/>
                <c:pt idx="0">
                  <c:v>266.59276190476191</c:v>
                </c:pt>
                <c:pt idx="1">
                  <c:v>251.38109999999992</c:v>
                </c:pt>
                <c:pt idx="2">
                  <c:v>234.45471428571429</c:v>
                </c:pt>
                <c:pt idx="3">
                  <c:v>187.30005</c:v>
                </c:pt>
                <c:pt idx="4">
                  <c:v>455.08540909090902</c:v>
                </c:pt>
                <c:pt idx="5">
                  <c:v>363.78313636363634</c:v>
                </c:pt>
                <c:pt idx="6">
                  <c:v>341.7038695652173</c:v>
                </c:pt>
                <c:pt idx="7">
                  <c:v>309.91835000000003</c:v>
                </c:pt>
                <c:pt idx="8">
                  <c:v>322.77860869565217</c:v>
                </c:pt>
                <c:pt idx="9">
                  <c:v>260.00977272727283</c:v>
                </c:pt>
                <c:pt idx="10">
                  <c:v>183.10550000000001</c:v>
                </c:pt>
                <c:pt idx="11">
                  <c:v>194.42571428571429</c:v>
                </c:pt>
                <c:pt idx="12">
                  <c:v>540.08386956521736</c:v>
                </c:pt>
                <c:pt idx="13">
                  <c:v>422.71915000000001</c:v>
                </c:pt>
                <c:pt idx="14">
                  <c:v>358.6154761904761</c:v>
                </c:pt>
                <c:pt idx="15">
                  <c:v>239.95066666666671</c:v>
                </c:pt>
                <c:pt idx="16">
                  <c:v>196.41682258064506</c:v>
                </c:pt>
                <c:pt idx="17">
                  <c:v>202.66291935483878</c:v>
                </c:pt>
                <c:pt idx="18">
                  <c:v>144.29619047619053</c:v>
                </c:pt>
                <c:pt idx="19">
                  <c:v>114.3223548387097</c:v>
                </c:pt>
              </c:numCache>
            </c:numRef>
          </c:val>
          <c:smooth val="0"/>
          <c:extLst>
            <c:ext xmlns:c16="http://schemas.microsoft.com/office/drawing/2014/chart" uri="{C3380CC4-5D6E-409C-BE32-E72D297353CC}">
              <c16:uniqueId val="{00000001-663A-4B41-BD98-B45ADCD3CD78}"/>
            </c:ext>
          </c:extLst>
        </c:ser>
        <c:ser>
          <c:idx val="2"/>
          <c:order val="2"/>
          <c:tx>
            <c:strRef>
              <c:f>Sheet1!$E$1</c:f>
              <c:strCache>
                <c:ptCount val="1"/>
                <c:pt idx="0">
                  <c:v>2029թ. մարվող պարտատոմսեր</c:v>
                </c:pt>
              </c:strCache>
            </c:strRef>
          </c:tx>
          <c:spPr>
            <a:ln w="28575" cap="rnd">
              <a:solidFill>
                <a:srgbClr val="4F81BD">
                  <a:lumMod val="75000"/>
                </a:srgbClr>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Sheet1!$E$16:$E$69</c:f>
              <c:numCache>
                <c:formatCode>General</c:formatCode>
                <c:ptCount val="20"/>
                <c:pt idx="2" formatCode="0.0">
                  <c:v>247.18040000000002</c:v>
                </c:pt>
                <c:pt idx="3" formatCode="0.0">
                  <c:v>220.29335</c:v>
                </c:pt>
                <c:pt idx="4" formatCode="0.0">
                  <c:v>405.31604545454542</c:v>
                </c:pt>
                <c:pt idx="5" formatCode="0.0">
                  <c:v>345.75059090909087</c:v>
                </c:pt>
                <c:pt idx="6" formatCode="0.0">
                  <c:v>310.69999999999993</c:v>
                </c:pt>
                <c:pt idx="7" formatCode="0.0">
                  <c:v>298.91015000000004</c:v>
                </c:pt>
                <c:pt idx="8" formatCode="0.0">
                  <c:v>288.58165217391308</c:v>
                </c:pt>
                <c:pt idx="9" formatCode="0.0">
                  <c:v>275.1784545454546</c:v>
                </c:pt>
                <c:pt idx="10" formatCode="0.0">
                  <c:v>264.96990909090908</c:v>
                </c:pt>
                <c:pt idx="11" formatCode="0.0">
                  <c:v>292.65804761904764</c:v>
                </c:pt>
                <c:pt idx="12" formatCode="0.0">
                  <c:v>474.19495652173907</c:v>
                </c:pt>
                <c:pt idx="13" formatCode="0.0">
                  <c:v>505.30729999999994</c:v>
                </c:pt>
                <c:pt idx="14" formatCode="0.0">
                  <c:v>527.93804761904767</c:v>
                </c:pt>
                <c:pt idx="15" formatCode="0.0">
                  <c:v>346.68850000000003</c:v>
                </c:pt>
                <c:pt idx="16" formatCode="0.0">
                  <c:v>344.51777419354835</c:v>
                </c:pt>
                <c:pt idx="17" formatCode="0.0">
                  <c:v>367.83704838709673</c:v>
                </c:pt>
                <c:pt idx="18" formatCode="0.0">
                  <c:v>311.25285714285712</c:v>
                </c:pt>
                <c:pt idx="19" formatCode="0.0">
                  <c:v>320.38603225806452</c:v>
                </c:pt>
              </c:numCache>
            </c:numRef>
          </c:val>
          <c:smooth val="0"/>
          <c:extLst>
            <c:ext xmlns:c16="http://schemas.microsoft.com/office/drawing/2014/chart" uri="{C3380CC4-5D6E-409C-BE32-E72D297353CC}">
              <c16:uniqueId val="{00000002-663A-4B41-BD98-B45ADCD3CD78}"/>
            </c:ext>
          </c:extLst>
        </c:ser>
        <c:ser>
          <c:idx val="3"/>
          <c:order val="3"/>
          <c:tx>
            <c:strRef>
              <c:f>Sheet1!$F$1</c:f>
              <c:strCache>
                <c:ptCount val="1"/>
                <c:pt idx="0">
                  <c:v>2031թ. մարվող պարտատոմսեր</c:v>
                </c:pt>
              </c:strCache>
            </c:strRef>
          </c:tx>
          <c:spPr>
            <a:ln w="28575" cap="rnd">
              <a:solidFill>
                <a:srgbClr val="9A0000"/>
              </a:solidFill>
              <a:round/>
            </a:ln>
            <a:effectLst/>
          </c:spPr>
          <c:marker>
            <c:symbol val="none"/>
          </c:marker>
          <c:cat>
            <c:multiLvlStrRef>
              <c:f>Sheet1!$A$16:$B$69</c:f>
              <c:multiLvlStrCache>
                <c:ptCount val="20"/>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lvl>
                <c:lvl>
                  <c:pt idx="0">
                    <c:v>2019</c:v>
                  </c:pt>
                  <c:pt idx="4">
                    <c:v>2020</c:v>
                  </c:pt>
                  <c:pt idx="8">
                    <c:v>2021</c:v>
                  </c:pt>
                  <c:pt idx="12">
                    <c:v>2022</c:v>
                  </c:pt>
                  <c:pt idx="16">
                    <c:v>2023</c:v>
                  </c:pt>
                </c:lvl>
              </c:multiLvlStrCache>
            </c:multiLvlStrRef>
          </c:cat>
          <c:val>
            <c:numRef>
              <c:f>Sheet1!$F$16:$F$69</c:f>
              <c:numCache>
                <c:formatCode>General</c:formatCode>
                <c:ptCount val="20"/>
                <c:pt idx="8" formatCode="0.0">
                  <c:v>293.64643478260865</c:v>
                </c:pt>
                <c:pt idx="9" formatCode="0.0">
                  <c:v>292.26331818181819</c:v>
                </c:pt>
                <c:pt idx="10" formatCode="0.0">
                  <c:v>274.45186363636361</c:v>
                </c:pt>
                <c:pt idx="11" formatCode="0.0">
                  <c:v>304.84927272727271</c:v>
                </c:pt>
                <c:pt idx="12" formatCode="0.0">
                  <c:v>494.65360869565217</c:v>
                </c:pt>
                <c:pt idx="13" formatCode="0.0">
                  <c:v>505.76620000000003</c:v>
                </c:pt>
                <c:pt idx="14" formatCode="0.0">
                  <c:v>496.96447619047615</c:v>
                </c:pt>
                <c:pt idx="15" formatCode="0.0">
                  <c:v>312.66779999999994</c:v>
                </c:pt>
                <c:pt idx="16" formatCode="0.0">
                  <c:v>364.13509677419353</c:v>
                </c:pt>
                <c:pt idx="17" formatCode="0.0">
                  <c:v>372.4433387096775</c:v>
                </c:pt>
                <c:pt idx="18" formatCode="0.0">
                  <c:v>326.68344444444443</c:v>
                </c:pt>
                <c:pt idx="19" formatCode="0.0">
                  <c:v>341.11614516129043</c:v>
                </c:pt>
              </c:numCache>
            </c:numRef>
          </c:val>
          <c:smooth val="0"/>
          <c:extLst>
            <c:ext xmlns:c16="http://schemas.microsoft.com/office/drawing/2014/chart" uri="{C3380CC4-5D6E-409C-BE32-E72D297353CC}">
              <c16:uniqueId val="{00000003-663A-4B41-BD98-B45ADCD3CD78}"/>
            </c:ext>
          </c:extLst>
        </c:ser>
        <c:dLbls>
          <c:showLegendKey val="0"/>
          <c:showVal val="0"/>
          <c:showCatName val="0"/>
          <c:showSerName val="0"/>
          <c:showPercent val="0"/>
          <c:showBubbleSize val="0"/>
        </c:dLbls>
        <c:marker val="1"/>
        <c:smooth val="0"/>
        <c:axId val="1152192904"/>
        <c:axId val="1152194872"/>
      </c:lineChart>
      <c:catAx>
        <c:axId val="1152192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2194872"/>
        <c:crosses val="autoZero"/>
        <c:auto val="1"/>
        <c:lblAlgn val="ctr"/>
        <c:lblOffset val="100"/>
        <c:noMultiLvlLbl val="0"/>
      </c:catAx>
      <c:valAx>
        <c:axId val="1152194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1152192904"/>
        <c:crosses val="autoZero"/>
        <c:crossBetween val="between"/>
      </c:valAx>
      <c:spPr>
        <a:noFill/>
        <a:ln>
          <a:noFill/>
        </a:ln>
        <a:effectLst/>
      </c:spPr>
    </c:plotArea>
    <c:legend>
      <c:legendPos val="b"/>
      <c:layout>
        <c:manualLayout>
          <c:xMode val="edge"/>
          <c:yMode val="edge"/>
          <c:x val="4.2615558471857676E-2"/>
          <c:y val="0.80816501575671285"/>
          <c:w val="0.91401606425702808"/>
          <c:h val="0.1918349842432870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a:pPr>
            <a:r>
              <a:rPr lang="hy-AM" sz="1200" b="0"/>
              <a:t>Եկամուտները</a:t>
            </a:r>
            <a:endParaRPr lang="en-US" sz="1200" b="0"/>
          </a:p>
        </c:rich>
      </c:tx>
      <c:layout>
        <c:manualLayout>
          <c:xMode val="edge"/>
          <c:yMode val="edge"/>
          <c:x val="0.34201937451472919"/>
          <c:y val="0"/>
        </c:manualLayout>
      </c:layout>
      <c:overlay val="0"/>
    </c:title>
    <c:autoTitleDeleted val="0"/>
    <c:plotArea>
      <c:layout>
        <c:manualLayout>
          <c:layoutTarget val="inner"/>
          <c:xMode val="edge"/>
          <c:yMode val="edge"/>
          <c:x val="0.1119659006331809"/>
          <c:y val="0.1133587408519911"/>
          <c:w val="0.78453242443506488"/>
          <c:h val="0.52148729479377376"/>
        </c:manualLayout>
      </c:layout>
      <c:barChart>
        <c:barDir val="col"/>
        <c:grouping val="clustered"/>
        <c:varyColors val="0"/>
        <c:ser>
          <c:idx val="0"/>
          <c:order val="0"/>
          <c:tx>
            <c:strRef>
              <c:f>Sheet1!$B$1</c:f>
              <c:strCache>
                <c:ptCount val="1"/>
                <c:pt idx="0">
                  <c:v>Ընդամենը եկամուտներ, մլրդ. դրամ</c:v>
                </c:pt>
              </c:strCache>
            </c:strRef>
          </c:tx>
          <c:spPr>
            <a:ln w="28575" cap="rnd">
              <a:solidFill>
                <a:schemeClr val="accent1"/>
              </a:solidFill>
              <a:round/>
            </a:ln>
            <a:effectLst/>
          </c:spPr>
          <c:invertIfNegative val="0"/>
          <c:dLbls>
            <c:dLbl>
              <c:idx val="0"/>
              <c:layout>
                <c:manualLayout>
                  <c:x val="-1.2048192771084319E-2"/>
                  <c:y val="0.26477987931920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45-4560-80CF-CD1F3AF12B0F}"/>
                </c:ext>
              </c:extLst>
            </c:dLbl>
            <c:dLbl>
              <c:idx val="1"/>
              <c:layout>
                <c:manualLayout>
                  <c:x val="-4.0160642570280757E-3"/>
                  <c:y val="0.2780214844278484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45-4560-80CF-CD1F3AF12B0F}"/>
                </c:ext>
              </c:extLst>
            </c:dLbl>
            <c:dLbl>
              <c:idx val="2"/>
              <c:layout>
                <c:manualLayout>
                  <c:x val="-4.0160642570281858E-3"/>
                  <c:y val="0.3080507075790783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A45-4560-80CF-CD1F3AF12B0F}"/>
                </c:ext>
              </c:extLst>
            </c:dLbl>
            <c:dLbl>
              <c:idx val="3"/>
              <c:layout>
                <c:manualLayout>
                  <c:x val="-8.0321285140562242E-3"/>
                  <c:y val="0.378534783667505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45-4560-80CF-CD1F3AF12B0F}"/>
                </c:ext>
              </c:extLst>
            </c:dLbl>
            <c:dLbl>
              <c:idx val="4"/>
              <c:layout>
                <c:manualLayout>
                  <c:x val="-1.2048192771084485E-2"/>
                  <c:y val="0.4334293909137645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A45-4560-80CF-CD1F3AF12B0F}"/>
                </c:ext>
              </c:extLst>
            </c:dLbl>
            <c:spPr>
              <a:noFill/>
              <a:ln>
                <a:noFill/>
              </a:ln>
              <a:effectLst/>
            </c:spPr>
            <c:txPr>
              <a:bodyPr wrap="square" lIns="38100" tIns="19050" rIns="38100" bIns="19050" anchor="ctr">
                <a:spAutoFit/>
              </a:bodyPr>
              <a:lstStyle/>
              <a:p>
                <a:pPr>
                  <a:defRPr sz="9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Sheet1!$B$2:$B$7</c:f>
              <c:numCache>
                <c:formatCode>#,##0</c:formatCode>
                <c:ptCount val="5"/>
                <c:pt idx="0">
                  <c:v>1565.4889168</c:v>
                </c:pt>
                <c:pt idx="1">
                  <c:v>1560.6553879319997</c:v>
                </c:pt>
                <c:pt idx="2">
                  <c:v>1683.83146315</c:v>
                </c:pt>
                <c:pt idx="3">
                  <c:v>2063.0953426249998</c:v>
                </c:pt>
                <c:pt idx="4">
                  <c:v>2358.7836064417006</c:v>
                </c:pt>
              </c:numCache>
            </c:numRef>
          </c:val>
          <c:extLst>
            <c:ext xmlns:c16="http://schemas.microsoft.com/office/drawing/2014/chart" uri="{C3380CC4-5D6E-409C-BE32-E72D297353CC}">
              <c16:uniqueId val="{00000005-2A45-4560-80CF-CD1F3AF12B0F}"/>
            </c:ext>
          </c:extLst>
        </c:ser>
        <c:ser>
          <c:idx val="2"/>
          <c:order val="2"/>
          <c:tx>
            <c:strRef>
              <c:f>Sheet1!$D$1</c:f>
              <c:strCache>
                <c:ptCount val="1"/>
                <c:pt idx="0">
                  <c:v>Հարկային եկամուտներ, մլրդ դրամ</c:v>
                </c:pt>
              </c:strCache>
            </c:strRef>
          </c:tx>
          <c:spPr>
            <a:solidFill>
              <a:srgbClr val="F79646"/>
            </a:solidFill>
          </c:spPr>
          <c:invertIfNegative val="0"/>
          <c:dLbls>
            <c:spPr>
              <a:noFill/>
              <a:ln w="25400">
                <a:noFill/>
              </a:ln>
            </c:spPr>
            <c:txPr>
              <a:bodyPr wrap="square" lIns="38100" tIns="19050" rIns="38100" bIns="19050" anchor="ctr">
                <a:spAutoFit/>
              </a:bodyPr>
              <a:lstStyle/>
              <a:p>
                <a:pPr>
                  <a:defRPr sz="900"/>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Sheet1!$D$2:$D$7</c:f>
              <c:numCache>
                <c:formatCode>#,##0</c:formatCode>
                <c:ptCount val="5"/>
                <c:pt idx="0">
                  <c:v>1464.3</c:v>
                </c:pt>
                <c:pt idx="1">
                  <c:v>1385.2</c:v>
                </c:pt>
                <c:pt idx="2">
                  <c:v>1586.9</c:v>
                </c:pt>
                <c:pt idx="3">
                  <c:v>1926</c:v>
                </c:pt>
                <c:pt idx="4">
                  <c:v>2221.9248348457004</c:v>
                </c:pt>
              </c:numCache>
            </c:numRef>
          </c:val>
          <c:extLst>
            <c:ext xmlns:c16="http://schemas.microsoft.com/office/drawing/2014/chart" uri="{C3380CC4-5D6E-409C-BE32-E72D297353CC}">
              <c16:uniqueId val="{00000006-2A45-4560-80CF-CD1F3AF12B0F}"/>
            </c:ext>
          </c:extLst>
        </c:ser>
        <c:dLbls>
          <c:showLegendKey val="0"/>
          <c:showVal val="0"/>
          <c:showCatName val="0"/>
          <c:showSerName val="0"/>
          <c:showPercent val="0"/>
          <c:showBubbleSize val="0"/>
        </c:dLbls>
        <c:gapWidth val="150"/>
        <c:axId val="612017536"/>
        <c:axId val="1"/>
      </c:barChart>
      <c:lineChart>
        <c:grouping val="standard"/>
        <c:varyColors val="0"/>
        <c:ser>
          <c:idx val="1"/>
          <c:order val="1"/>
          <c:tx>
            <c:strRef>
              <c:f>Sheet1!$C$1</c:f>
              <c:strCache>
                <c:ptCount val="1"/>
                <c:pt idx="0">
                  <c:v>Ընդամենը եկամուտներ, % ՀՆԱ-ում</c:v>
                </c:pt>
              </c:strCache>
            </c:strRef>
          </c:tx>
          <c:marker>
            <c:symbol val="square"/>
            <c:size val="7"/>
            <c:spPr>
              <a:ln>
                <a:noFill/>
              </a:ln>
            </c:spPr>
          </c:marker>
          <c:dLbls>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23.924987409300275</c:v>
                </c:pt>
                <c:pt idx="1">
                  <c:v>25.245551230975394</c:v>
                </c:pt>
                <c:pt idx="2">
                  <c:v>24.113425543241853</c:v>
                </c:pt>
                <c:pt idx="3">
                  <c:v>24.28091380785752</c:v>
                </c:pt>
                <c:pt idx="4">
                  <c:v>24.822041065354302</c:v>
                </c:pt>
              </c:numCache>
            </c:numRef>
          </c:val>
          <c:smooth val="0"/>
          <c:extLst>
            <c:ext xmlns:c16="http://schemas.microsoft.com/office/drawing/2014/chart" uri="{C3380CC4-5D6E-409C-BE32-E72D297353CC}">
              <c16:uniqueId val="{00000007-2A45-4560-80CF-CD1F3AF12B0F}"/>
            </c:ext>
          </c:extLst>
        </c:ser>
        <c:ser>
          <c:idx val="3"/>
          <c:order val="3"/>
          <c:tx>
            <c:strRef>
              <c:f>Sheet1!$E$1</c:f>
              <c:strCache>
                <c:ptCount val="1"/>
                <c:pt idx="0">
                  <c:v>Հարկային եկամուտներ, % ՀՆԱ-ում</c:v>
                </c:pt>
              </c:strCache>
            </c:strRef>
          </c:tx>
          <c:spPr>
            <a:ln>
              <a:solidFill>
                <a:srgbClr val="9BBB59"/>
              </a:solidFill>
            </a:ln>
          </c:spPr>
          <c:marker>
            <c:symbol val="diamond"/>
            <c:size val="7"/>
            <c:spPr>
              <a:solidFill>
                <a:srgbClr val="9BBB59"/>
              </a:solidFill>
              <a:ln>
                <a:noFill/>
              </a:ln>
            </c:spPr>
          </c:marker>
          <c:dLbls>
            <c:spPr>
              <a:noFill/>
              <a:ln>
                <a:noFill/>
              </a:ln>
              <a:effectLst/>
            </c:spPr>
            <c:txPr>
              <a:bodyPr wrap="square" lIns="38100" tIns="19050" rIns="38100" bIns="19050" anchor="ctr">
                <a:spAutoFit/>
              </a:bodyPr>
              <a:lstStyle/>
              <a:p>
                <a:pPr>
                  <a:defRPr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Sheet1!$E$2:$E$7</c:f>
              <c:numCache>
                <c:formatCode>General</c:formatCode>
                <c:ptCount val="5"/>
                <c:pt idx="0">
                  <c:v>22.4</c:v>
                </c:pt>
                <c:pt idx="1">
                  <c:v>22.4</c:v>
                </c:pt>
                <c:pt idx="2">
                  <c:v>22.7</c:v>
                </c:pt>
                <c:pt idx="3">
                  <c:v>22.7</c:v>
                </c:pt>
                <c:pt idx="4" formatCode="0.0">
                  <c:v>23.381843651978805</c:v>
                </c:pt>
              </c:numCache>
            </c:numRef>
          </c:val>
          <c:smooth val="0"/>
          <c:extLst>
            <c:ext xmlns:c16="http://schemas.microsoft.com/office/drawing/2014/chart" uri="{C3380CC4-5D6E-409C-BE32-E72D297353CC}">
              <c16:uniqueId val="{00000008-2A45-4560-80CF-CD1F3AF12B0F}"/>
            </c:ext>
          </c:extLst>
        </c:ser>
        <c:ser>
          <c:idx val="4"/>
          <c:order val="4"/>
          <c:tx>
            <c:strRef>
              <c:f>Sheet1!$F$1</c:f>
              <c:strCache>
                <c:ptCount val="1"/>
                <c:pt idx="0">
                  <c:v>Հարկեր և եկ․ հարկի վերադարձ, % ՀՆԱ-ում*</c:v>
                </c:pt>
              </c:strCache>
            </c:strRef>
          </c:tx>
          <c:spPr>
            <a:ln>
              <a:solidFill>
                <a:srgbClr val="9BBB59"/>
              </a:solidFill>
              <a:prstDash val="sysDash"/>
            </a:ln>
          </c:spPr>
          <c:marker>
            <c:symbol val="none"/>
          </c:marker>
          <c:cat>
            <c:numRef>
              <c:f>Sheet1!$A$2:$A$7</c:f>
              <c:numCache>
                <c:formatCode>General</c:formatCode>
                <c:ptCount val="5"/>
                <c:pt idx="0">
                  <c:v>2019</c:v>
                </c:pt>
                <c:pt idx="1">
                  <c:v>2020</c:v>
                </c:pt>
                <c:pt idx="2">
                  <c:v>2021</c:v>
                </c:pt>
                <c:pt idx="3">
                  <c:v>2022</c:v>
                </c:pt>
                <c:pt idx="4">
                  <c:v>2023</c:v>
                </c:pt>
              </c:numCache>
            </c:numRef>
          </c:cat>
          <c:val>
            <c:numRef>
              <c:f>Sheet1!$F$2:$F$7</c:f>
              <c:numCache>
                <c:formatCode>0.0</c:formatCode>
                <c:ptCount val="5"/>
                <c:pt idx="0">
                  <c:v>22.499394605657322</c:v>
                </c:pt>
                <c:pt idx="1">
                  <c:v>22.623301670912763</c:v>
                </c:pt>
                <c:pt idx="2">
                  <c:v>23.021935319368986</c:v>
                </c:pt>
                <c:pt idx="3">
                  <c:v>23.08398862434467</c:v>
                </c:pt>
                <c:pt idx="4">
                  <c:v>23.928487759495948</c:v>
                </c:pt>
              </c:numCache>
            </c:numRef>
          </c:val>
          <c:smooth val="0"/>
          <c:extLst>
            <c:ext xmlns:c16="http://schemas.microsoft.com/office/drawing/2014/chart" uri="{C3380CC4-5D6E-409C-BE32-E72D297353CC}">
              <c16:uniqueId val="{00000009-2A45-4560-80CF-CD1F3AF12B0F}"/>
            </c:ext>
          </c:extLst>
        </c:ser>
        <c:dLbls>
          <c:showLegendKey val="0"/>
          <c:showVal val="0"/>
          <c:showCatName val="0"/>
          <c:showSerName val="0"/>
          <c:showPercent val="0"/>
          <c:showBubbleSize val="0"/>
        </c:dLbls>
        <c:marker val="1"/>
        <c:smooth val="0"/>
        <c:axId val="3"/>
        <c:axId val="4"/>
      </c:lineChart>
      <c:catAx>
        <c:axId val="61201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ln w="9525">
            <a:noFill/>
          </a:ln>
        </c:spPr>
        <c:txPr>
          <a:bodyPr rot="-60000000" vert="horz"/>
          <a:lstStyle/>
          <a:p>
            <a:pPr>
              <a:defRPr sz="900"/>
            </a:pPr>
            <a:endParaRPr lang="en-US"/>
          </a:p>
        </c:txPr>
        <c:crossAx val="61201753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txPr>
          <a:bodyPr/>
          <a:lstStyle/>
          <a:p>
            <a:pPr>
              <a:defRPr sz="900"/>
            </a:pPr>
            <a:endParaRPr lang="en-US"/>
          </a:p>
        </c:txPr>
        <c:crossAx val="3"/>
        <c:crosses val="max"/>
        <c:crossBetween val="between"/>
      </c:valAx>
      <c:spPr>
        <a:solidFill>
          <a:schemeClr val="bg1"/>
        </a:solidFill>
        <a:ln>
          <a:solidFill>
            <a:sysClr val="window" lastClr="FFFFFF">
              <a:lumMod val="75000"/>
            </a:sysClr>
          </a:solidFill>
        </a:ln>
        <a:effectLst/>
      </c:spPr>
    </c:plotArea>
    <c:legend>
      <c:legendPos val="b"/>
      <c:layout>
        <c:manualLayout>
          <c:xMode val="edge"/>
          <c:yMode val="edge"/>
          <c:x val="0"/>
          <c:y val="0.71856400681873511"/>
          <c:w val="0.99337349397590358"/>
          <c:h val="0.28143572259653116"/>
        </c:manualLayout>
      </c:layout>
      <c:overlay val="0"/>
      <c:spPr>
        <a:noFill/>
        <a:ln w="25400">
          <a:noFill/>
        </a:ln>
      </c:spPr>
      <c:txPr>
        <a:bodyPr rot="0" vert="horz"/>
        <a:lstStyle/>
        <a:p>
          <a:pPr>
            <a:defRPr sz="1000"/>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0"/>
            </a:pPr>
            <a:r>
              <a:rPr lang="hy-AM" sz="1200" b="0"/>
              <a:t>Ծախսերը</a:t>
            </a:r>
            <a:endParaRPr lang="en-US" sz="1200" b="0"/>
          </a:p>
        </c:rich>
      </c:tx>
      <c:layout>
        <c:manualLayout>
          <c:xMode val="edge"/>
          <c:yMode val="edge"/>
          <c:x val="0.36872118808235077"/>
          <c:y val="0"/>
        </c:manualLayout>
      </c:layout>
      <c:overlay val="0"/>
    </c:title>
    <c:autoTitleDeleted val="0"/>
    <c:plotArea>
      <c:layout>
        <c:manualLayout>
          <c:layoutTarget val="inner"/>
          <c:xMode val="edge"/>
          <c:yMode val="edge"/>
          <c:x val="9.2032333167656355E-2"/>
          <c:y val="0.10008976551580447"/>
          <c:w val="0.80446595338373406"/>
          <c:h val="0.7052478969346031"/>
        </c:manualLayout>
      </c:layout>
      <c:barChart>
        <c:barDir val="col"/>
        <c:grouping val="clustered"/>
        <c:varyColors val="0"/>
        <c:ser>
          <c:idx val="0"/>
          <c:order val="0"/>
          <c:tx>
            <c:strRef>
              <c:f>Sheet1!$B$1</c:f>
              <c:strCache>
                <c:ptCount val="1"/>
                <c:pt idx="0">
                  <c:v>մլրդ դրամ</c:v>
                </c:pt>
              </c:strCache>
            </c:strRef>
          </c:tx>
          <c:spPr>
            <a:ln w="28575" cap="rnd">
              <a:solidFill>
                <a:schemeClr val="accent1"/>
              </a:solidFill>
              <a:round/>
            </a:ln>
            <a:effectLst/>
          </c:spPr>
          <c:invertIfNegative val="0"/>
          <c:dLbls>
            <c:dLbl>
              <c:idx val="0"/>
              <c:layout>
                <c:manualLayout>
                  <c:x val="4.1511000415109627E-3"/>
                  <c:y val="0.280009028639887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15-4F75-B640-83B374C7F55E}"/>
                </c:ext>
              </c:extLst>
            </c:dLbl>
            <c:dLbl>
              <c:idx val="1"/>
              <c:layout>
                <c:manualLayout>
                  <c:x val="-3.8051310808527998E-17"/>
                  <c:y val="0.288089314083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15-4F75-B640-83B374C7F55E}"/>
                </c:ext>
              </c:extLst>
            </c:dLbl>
            <c:dLbl>
              <c:idx val="2"/>
              <c:layout>
                <c:manualLayout>
                  <c:x val="0"/>
                  <c:y val="0.3034463360216686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15-4F75-B640-83B374C7F55E}"/>
                </c:ext>
              </c:extLst>
            </c:dLbl>
            <c:dLbl>
              <c:idx val="3"/>
              <c:layout>
                <c:manualLayout>
                  <c:x val="0"/>
                  <c:y val="0.270401514033458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15-4F75-B640-83B374C7F55E}"/>
                </c:ext>
              </c:extLst>
            </c:dLbl>
            <c:dLbl>
              <c:idx val="4"/>
              <c:layout>
                <c:manualLayout>
                  <c:x val="4.1511000415110008E-3"/>
                  <c:y val="0.277556016633532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15-4F75-B640-83B374C7F55E}"/>
                </c:ext>
              </c:extLst>
            </c:dLbl>
            <c:spPr>
              <a:noFill/>
              <a:ln w="25400">
                <a:noFill/>
              </a:ln>
            </c:spPr>
            <c:txPr>
              <a:bodyPr wrap="square" lIns="38100" tIns="19050" rIns="38100" bIns="19050" anchor="ctr">
                <a:spAutoFit/>
              </a:bodyPr>
              <a:lstStyle/>
              <a:p>
                <a:pPr>
                  <a:defRPr sz="9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Sheet1!$B$2:$B$7</c:f>
              <c:numCache>
                <c:formatCode>#,##0</c:formatCode>
                <c:ptCount val="5"/>
                <c:pt idx="0">
                  <c:v>1629.43686245</c:v>
                </c:pt>
                <c:pt idx="1">
                  <c:v>1894.6471421199999</c:v>
                </c:pt>
                <c:pt idx="2">
                  <c:v>2004.3009903699999</c:v>
                </c:pt>
                <c:pt idx="3">
                  <c:v>2242.62545361</c:v>
                </c:pt>
                <c:pt idx="4">
                  <c:v>2547.6498919400005</c:v>
                </c:pt>
              </c:numCache>
            </c:numRef>
          </c:val>
          <c:extLst>
            <c:ext xmlns:c16="http://schemas.microsoft.com/office/drawing/2014/chart" uri="{C3380CC4-5D6E-409C-BE32-E72D297353CC}">
              <c16:uniqueId val="{00000005-8815-4F75-B640-83B374C7F55E}"/>
            </c:ext>
          </c:extLst>
        </c:ser>
        <c:dLbls>
          <c:showLegendKey val="0"/>
          <c:showVal val="0"/>
          <c:showCatName val="0"/>
          <c:showSerName val="0"/>
          <c:showPercent val="0"/>
          <c:showBubbleSize val="0"/>
        </c:dLbls>
        <c:gapWidth val="150"/>
        <c:axId val="612015040"/>
        <c:axId val="1"/>
      </c:barChart>
      <c:lineChart>
        <c:grouping val="standard"/>
        <c:varyColors val="0"/>
        <c:ser>
          <c:idx val="1"/>
          <c:order val="1"/>
          <c:tx>
            <c:strRef>
              <c:f>Sheet1!$C$1</c:f>
              <c:strCache>
                <c:ptCount val="1"/>
                <c:pt idx="0">
                  <c:v>% ՀՆԱ-ում</c:v>
                </c:pt>
              </c:strCache>
            </c:strRef>
          </c:tx>
          <c:marker>
            <c:symbol val="square"/>
            <c:size val="7"/>
          </c:marker>
          <c:dLbls>
            <c:spPr>
              <a:noFill/>
              <a:ln w="25400">
                <a:noFill/>
              </a:ln>
            </c:spPr>
            <c:txPr>
              <a:bodyPr/>
              <a:lstStyle/>
              <a:p>
                <a:pPr>
                  <a:defRPr sz="1000"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24.902288352225018</c:v>
                </c:pt>
                <c:pt idx="1">
                  <c:v>30.648285240210676</c:v>
                </c:pt>
                <c:pt idx="2">
                  <c:v>28.702731689737703</c:v>
                </c:pt>
                <c:pt idx="3">
                  <c:v>26.393833681543761</c:v>
                </c:pt>
                <c:pt idx="4">
                  <c:v>26.809525920555494</c:v>
                </c:pt>
              </c:numCache>
            </c:numRef>
          </c:val>
          <c:smooth val="0"/>
          <c:extLst>
            <c:ext xmlns:c16="http://schemas.microsoft.com/office/drawing/2014/chart" uri="{C3380CC4-5D6E-409C-BE32-E72D297353CC}">
              <c16:uniqueId val="{00000006-8815-4F75-B640-83B374C7F55E}"/>
            </c:ext>
          </c:extLst>
        </c:ser>
        <c:dLbls>
          <c:showLegendKey val="0"/>
          <c:showVal val="0"/>
          <c:showCatName val="0"/>
          <c:showSerName val="0"/>
          <c:showPercent val="0"/>
          <c:showBubbleSize val="0"/>
        </c:dLbls>
        <c:marker val="1"/>
        <c:smooth val="0"/>
        <c:axId val="3"/>
        <c:axId val="4"/>
      </c:lineChart>
      <c:catAx>
        <c:axId val="612015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ln w="9525">
            <a:noFill/>
          </a:ln>
        </c:spPr>
        <c:txPr>
          <a:bodyPr rot="-60000000" vert="horz"/>
          <a:lstStyle/>
          <a:p>
            <a:pPr>
              <a:defRPr sz="900"/>
            </a:pPr>
            <a:endParaRPr lang="en-US"/>
          </a:p>
        </c:txPr>
        <c:crossAx val="612015040"/>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crossAx val="3"/>
        <c:crosses val="max"/>
        <c:crossBetween val="between"/>
      </c:valAx>
      <c:spPr>
        <a:solidFill>
          <a:schemeClr val="bg1"/>
        </a:solidFill>
        <a:ln>
          <a:solidFill>
            <a:sysClr val="window" lastClr="FFFFFF">
              <a:lumMod val="75000"/>
            </a:sysClr>
          </a:solidFill>
        </a:ln>
        <a:effectLst/>
      </c:spPr>
    </c:plotArea>
    <c:legend>
      <c:legendPos val="b"/>
      <c:layout>
        <c:manualLayout>
          <c:xMode val="edge"/>
          <c:yMode val="edge"/>
          <c:x val="0"/>
          <c:y val="0.90373715975282143"/>
          <c:w val="0.99706158658396382"/>
          <c:h val="8.8326772802859055E-2"/>
        </c:manualLayout>
      </c:layout>
      <c:overlay val="0"/>
      <c:spPr>
        <a:noFill/>
        <a:ln w="25400">
          <a:noFill/>
        </a:ln>
      </c:spPr>
      <c:txPr>
        <a:bodyPr rot="0" vert="horz"/>
        <a:lstStyle/>
        <a:p>
          <a:pPr>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3" b="0" i="0" u="none" strike="noStrike" kern="1200" spc="0" baseline="0">
                <a:solidFill>
                  <a:sysClr val="windowText" lastClr="000000"/>
                </a:solidFill>
                <a:latin typeface="GHEA Grapalat" panose="02000506050000020003" pitchFamily="50" charset="0"/>
                <a:ea typeface="+mn-ea"/>
                <a:cs typeface="+mn-cs"/>
              </a:defRPr>
            </a:pPr>
            <a:r>
              <a:rPr lang="hy-AM" sz="1003" b="0" baseline="0">
                <a:solidFill>
                  <a:sysClr val="windowText" lastClr="000000"/>
                </a:solidFill>
                <a:latin typeface="GHEA Grapalat" panose="02000506050000020003" pitchFamily="50" charset="0"/>
              </a:rPr>
              <a:t>Հարկատեսակների կշիռը ՀՆԱ-ում, </a:t>
            </a:r>
            <a:r>
              <a:rPr lang="ru-RU" sz="1003" b="0" baseline="0">
                <a:solidFill>
                  <a:sysClr val="windowText" lastClr="000000"/>
                </a:solidFill>
                <a:latin typeface="GHEA Grapalat" panose="02000506050000020003" pitchFamily="50" charset="0"/>
              </a:rPr>
              <a:t>%</a:t>
            </a:r>
            <a:endParaRPr lang="en-US" sz="1000" b="0">
              <a:solidFill>
                <a:sysClr val="windowText" lastClr="000000"/>
              </a:solidFill>
              <a:latin typeface="GHEA Grapalat" panose="02000506050000020003" pitchFamily="50" charset="0"/>
            </a:endParaRPr>
          </a:p>
        </c:rich>
      </c:tx>
      <c:overlay val="0"/>
      <c:spPr>
        <a:noFill/>
        <a:ln w="25464">
          <a:noFill/>
        </a:ln>
      </c:spPr>
    </c:title>
    <c:autoTitleDeleted val="0"/>
    <c:plotArea>
      <c:layout>
        <c:manualLayout>
          <c:layoutTarget val="inner"/>
          <c:xMode val="edge"/>
          <c:yMode val="edge"/>
          <c:x val="0.1119659006331809"/>
          <c:y val="0.11262613484789812"/>
          <c:w val="0.78453242443506488"/>
          <c:h val="0.64769189527795179"/>
        </c:manualLayout>
      </c:layout>
      <c:barChart>
        <c:barDir val="col"/>
        <c:grouping val="stacked"/>
        <c:varyColors val="0"/>
        <c:ser>
          <c:idx val="1"/>
          <c:order val="1"/>
          <c:tx>
            <c:strRef>
              <c:f>Sheet1!$A$3</c:f>
              <c:strCache>
                <c:ptCount val="1"/>
                <c:pt idx="0">
                  <c:v>ավելացված արժեքի 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Sheet1!$B$3:$C$3</c:f>
              <c:numCache>
                <c:formatCode>0.0</c:formatCode>
                <c:ptCount val="2"/>
                <c:pt idx="0">
                  <c:v>7.9978038733035053</c:v>
                </c:pt>
                <c:pt idx="1">
                  <c:v>8.0731493413305468</c:v>
                </c:pt>
              </c:numCache>
            </c:numRef>
          </c:val>
          <c:extLst>
            <c:ext xmlns:c16="http://schemas.microsoft.com/office/drawing/2014/chart" uri="{C3380CC4-5D6E-409C-BE32-E72D297353CC}">
              <c16:uniqueId val="{00000000-B279-4BEF-8B93-E19C947CD9B2}"/>
            </c:ext>
          </c:extLst>
        </c:ser>
        <c:ser>
          <c:idx val="2"/>
          <c:order val="2"/>
          <c:tx>
            <c:strRef>
              <c:f>Sheet1!$A$4</c:f>
              <c:strCache>
                <c:ptCount val="1"/>
                <c:pt idx="0">
                  <c:v>ակցիզային 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Sheet1!$B$4:$C$4</c:f>
              <c:numCache>
                <c:formatCode>0.0</c:formatCode>
                <c:ptCount val="2"/>
                <c:pt idx="0">
                  <c:v>1.5005605143502632</c:v>
                </c:pt>
                <c:pt idx="1">
                  <c:v>1.5726560694679346</c:v>
                </c:pt>
              </c:numCache>
            </c:numRef>
          </c:val>
          <c:extLst>
            <c:ext xmlns:c16="http://schemas.microsoft.com/office/drawing/2014/chart" uri="{C3380CC4-5D6E-409C-BE32-E72D297353CC}">
              <c16:uniqueId val="{00000001-B279-4BEF-8B93-E19C947CD9B2}"/>
            </c:ext>
          </c:extLst>
        </c:ser>
        <c:ser>
          <c:idx val="3"/>
          <c:order val="3"/>
          <c:tx>
            <c:strRef>
              <c:f>Sheet1!$A$5</c:f>
              <c:strCache>
                <c:ptCount val="1"/>
                <c:pt idx="0">
                  <c:v>եկամտային 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Sheet1!$B$5:$C$5</c:f>
              <c:numCache>
                <c:formatCode>0.0</c:formatCode>
                <c:ptCount val="2"/>
                <c:pt idx="0">
                  <c:v>5.5879060889904384</c:v>
                </c:pt>
                <c:pt idx="1">
                  <c:v>5.8355284338098761</c:v>
                </c:pt>
              </c:numCache>
            </c:numRef>
          </c:val>
          <c:extLst>
            <c:ext xmlns:c16="http://schemas.microsoft.com/office/drawing/2014/chart" uri="{C3380CC4-5D6E-409C-BE32-E72D297353CC}">
              <c16:uniqueId val="{00000002-B279-4BEF-8B93-E19C947CD9B2}"/>
            </c:ext>
          </c:extLst>
        </c:ser>
        <c:ser>
          <c:idx val="4"/>
          <c:order val="4"/>
          <c:tx>
            <c:strRef>
              <c:f>Sheet1!$A$6</c:f>
              <c:strCache>
                <c:ptCount val="1"/>
                <c:pt idx="0">
                  <c:v>շահութահարկ</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Sheet1!$B$6:$C$6</c:f>
              <c:numCache>
                <c:formatCode>0.0</c:formatCode>
                <c:ptCount val="2"/>
                <c:pt idx="0">
                  <c:v>2.6222349673017229</c:v>
                </c:pt>
                <c:pt idx="1">
                  <c:v>3.3834387525286549</c:v>
                </c:pt>
              </c:numCache>
            </c:numRef>
          </c:val>
          <c:extLst>
            <c:ext xmlns:c16="http://schemas.microsoft.com/office/drawing/2014/chart" uri="{C3380CC4-5D6E-409C-BE32-E72D297353CC}">
              <c16:uniqueId val="{00000003-B279-4BEF-8B93-E19C947CD9B2}"/>
            </c:ext>
          </c:extLst>
        </c:ser>
        <c:ser>
          <c:idx val="5"/>
          <c:order val="5"/>
          <c:tx>
            <c:strRef>
              <c:f>Sheet1!$A$7</c:f>
              <c:strCache>
                <c:ptCount val="1"/>
                <c:pt idx="0">
                  <c:v>մաքսատուրք</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Sheet1!$B$7:$C$7</c:f>
              <c:numCache>
                <c:formatCode>0.0</c:formatCode>
                <c:ptCount val="2"/>
                <c:pt idx="0">
                  <c:v>0.66714492964274219</c:v>
                </c:pt>
                <c:pt idx="1">
                  <c:v>0.79225564787019265</c:v>
                </c:pt>
              </c:numCache>
            </c:numRef>
          </c:val>
          <c:extLst>
            <c:ext xmlns:c16="http://schemas.microsoft.com/office/drawing/2014/chart" uri="{C3380CC4-5D6E-409C-BE32-E72D297353CC}">
              <c16:uniqueId val="{00000004-B279-4BEF-8B93-E19C947CD9B2}"/>
            </c:ext>
          </c:extLst>
        </c:ser>
        <c:ser>
          <c:idx val="6"/>
          <c:order val="6"/>
          <c:tx>
            <c:strRef>
              <c:f>Sheet1!$A$8</c:f>
              <c:strCache>
                <c:ptCount val="1"/>
                <c:pt idx="0">
                  <c:v>այլ հարկային եկամուտներ</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Sheet1!$B$8:$C$8</c:f>
              <c:numCache>
                <c:formatCode>0.0</c:formatCode>
                <c:ptCount val="2"/>
                <c:pt idx="0">
                  <c:v>3.0347240801160158</c:v>
                </c:pt>
                <c:pt idx="1">
                  <c:v>3.0150358249070437</c:v>
                </c:pt>
              </c:numCache>
            </c:numRef>
          </c:val>
          <c:extLst>
            <c:ext xmlns:c16="http://schemas.microsoft.com/office/drawing/2014/chart" uri="{C3380CC4-5D6E-409C-BE32-E72D297353CC}">
              <c16:uniqueId val="{00000005-B279-4BEF-8B93-E19C947CD9B2}"/>
            </c:ext>
          </c:extLst>
        </c:ser>
        <c:ser>
          <c:idx val="7"/>
          <c:order val="7"/>
          <c:tx>
            <c:strRef>
              <c:f>Sheet1!$A$9</c:f>
              <c:strCache>
                <c:ptCount val="1"/>
                <c:pt idx="0">
                  <c:v>պետական տուրք</c:v>
                </c:pt>
              </c:strCache>
            </c:strRef>
          </c:tx>
          <c:invertIfNegative val="0"/>
          <c:dLbls>
            <c:spPr>
              <a:noFill/>
              <a:ln w="25464">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Sheet1!$B$9:$C$9</c:f>
              <c:numCache>
                <c:formatCode>0.0</c:formatCode>
                <c:ptCount val="2"/>
                <c:pt idx="0">
                  <c:v>1.2571937395563353</c:v>
                </c:pt>
                <c:pt idx="1">
                  <c:v>0.70977958206455538</c:v>
                </c:pt>
              </c:numCache>
            </c:numRef>
          </c:val>
          <c:extLst>
            <c:ext xmlns:c16="http://schemas.microsoft.com/office/drawing/2014/chart" uri="{C3380CC4-5D6E-409C-BE32-E72D297353CC}">
              <c16:uniqueId val="{00000006-B279-4BEF-8B93-E19C947CD9B2}"/>
            </c:ext>
          </c:extLst>
        </c:ser>
        <c:dLbls>
          <c:showLegendKey val="0"/>
          <c:showVal val="0"/>
          <c:showCatName val="0"/>
          <c:showSerName val="0"/>
          <c:showPercent val="0"/>
          <c:showBubbleSize val="0"/>
        </c:dLbls>
        <c:gapWidth val="150"/>
        <c:overlap val="100"/>
        <c:axId val="612017952"/>
        <c:axId val="1"/>
      </c:barChart>
      <c:lineChart>
        <c:grouping val="standard"/>
        <c:varyColors val="0"/>
        <c:ser>
          <c:idx val="0"/>
          <c:order val="0"/>
          <c:tx>
            <c:strRef>
              <c:f>Sheet1!$A$2</c:f>
              <c:strCache>
                <c:ptCount val="1"/>
                <c:pt idx="0">
                  <c:v>Հարկային եկամուտներ և տուրքեր</c:v>
                </c:pt>
              </c:strCache>
            </c:strRef>
          </c:tx>
          <c:spPr>
            <a:ln>
              <a:noFill/>
            </a:ln>
          </c:spPr>
          <c:marker>
            <c:symbol val="square"/>
            <c:size val="10"/>
          </c:marker>
          <c:dLbls>
            <c:spPr>
              <a:noFill/>
              <a:ln w="25464">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Sheet1!$B$1:$C$1</c:f>
              <c:strCache>
                <c:ptCount val="2"/>
                <c:pt idx="0">
                  <c:v>2022</c:v>
                </c:pt>
                <c:pt idx="1">
                  <c:v>2023</c:v>
                </c:pt>
              </c:strCache>
            </c:strRef>
          </c:cat>
          <c:val>
            <c:numRef>
              <c:f>Sheet1!$B$2:$C$2</c:f>
              <c:numCache>
                <c:formatCode>0.0</c:formatCode>
                <c:ptCount val="2"/>
                <c:pt idx="0">
                  <c:v>22.667047168067707</c:v>
                </c:pt>
                <c:pt idx="1">
                  <c:v>23.381843651978805</c:v>
                </c:pt>
              </c:numCache>
            </c:numRef>
          </c:val>
          <c:smooth val="0"/>
          <c:extLst>
            <c:ext xmlns:c16="http://schemas.microsoft.com/office/drawing/2014/chart" uri="{C3380CC4-5D6E-409C-BE32-E72D297353CC}">
              <c16:uniqueId val="{00000007-B279-4BEF-8B93-E19C947CD9B2}"/>
            </c:ext>
          </c:extLst>
        </c:ser>
        <c:dLbls>
          <c:showLegendKey val="0"/>
          <c:showVal val="0"/>
          <c:showCatName val="0"/>
          <c:showSerName val="0"/>
          <c:showPercent val="0"/>
          <c:showBubbleSize val="0"/>
        </c:dLbls>
        <c:marker val="1"/>
        <c:smooth val="0"/>
        <c:axId val="612017952"/>
        <c:axId val="1"/>
      </c:lineChart>
      <c:catAx>
        <c:axId val="612017952"/>
        <c:scaling>
          <c:orientation val="minMax"/>
        </c:scaling>
        <c:delete val="0"/>
        <c:axPos val="b"/>
        <c:numFmt formatCode="General" sourceLinked="1"/>
        <c:majorTickMark val="none"/>
        <c:minorTickMark val="none"/>
        <c:tickLblPos val="nextTo"/>
        <c:spPr>
          <a:noFill/>
          <a:ln w="9549" cap="flat" cmpd="sng" algn="ctr">
            <a:solidFill>
              <a:schemeClr val="tx1">
                <a:lumMod val="15000"/>
                <a:lumOff val="85000"/>
              </a:schemeClr>
            </a:solidFill>
            <a:round/>
          </a:ln>
          <a:effectLst/>
        </c:spPr>
        <c:txPr>
          <a:bodyPr rot="-60000000" spcFirstLastPara="1" vertOverflow="ellipsis" vert="horz" wrap="square" anchor="ctr" anchorCtr="1"/>
          <a:lstStyle/>
          <a:p>
            <a:pPr>
              <a:defRPr sz="902" b="1" i="0" u="none" strike="noStrike" kern="1200" baseline="0">
                <a:solidFill>
                  <a:sysClr val="windowText" lastClr="000000"/>
                </a:solidFill>
                <a:latin typeface="GHEA Grapalat"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549">
            <a:noFill/>
          </a:ln>
        </c:spPr>
        <c:txPr>
          <a:bodyPr rot="-60000000" spcFirstLastPara="1" vertOverflow="ellipsis" vert="horz" wrap="square" anchor="ctr" anchorCtr="1"/>
          <a:lstStyle/>
          <a:p>
            <a:pPr>
              <a:defRPr sz="802" b="0" i="0" u="none" strike="noStrike" kern="1200" baseline="0">
                <a:solidFill>
                  <a:sysClr val="windowText" lastClr="000000"/>
                </a:solidFill>
                <a:latin typeface="GHEA Grapalat" pitchFamily="50" charset="0"/>
                <a:ea typeface="+mn-ea"/>
                <a:cs typeface="+mn-cs"/>
              </a:defRPr>
            </a:pPr>
            <a:endParaRPr lang="en-US"/>
          </a:p>
        </c:txPr>
        <c:crossAx val="612017952"/>
        <c:crosses val="autoZero"/>
        <c:crossBetween val="between"/>
      </c:valAx>
      <c:spPr>
        <a:solidFill>
          <a:schemeClr val="bg1"/>
        </a:solidFill>
        <a:ln>
          <a:solidFill>
            <a:sysClr val="window" lastClr="FFFFFF">
              <a:lumMod val="75000"/>
            </a:sysClr>
          </a:solidFill>
        </a:ln>
        <a:effectLst/>
      </c:spPr>
    </c:plotArea>
    <c:legend>
      <c:legendPos val="b"/>
      <c:layout>
        <c:manualLayout>
          <c:xMode val="edge"/>
          <c:yMode val="edge"/>
          <c:x val="0"/>
          <c:y val="0.83046761521123036"/>
          <c:w val="1"/>
          <c:h val="0.16953238478876953"/>
        </c:manualLayout>
      </c:layout>
      <c:overlay val="0"/>
      <c:spPr>
        <a:noFill/>
        <a:ln w="25464">
          <a:noFill/>
        </a:ln>
      </c:spPr>
      <c:txPr>
        <a:bodyPr rot="0" spcFirstLastPara="1" vertOverflow="ellipsis" vert="horz" wrap="square" anchor="ctr" anchorCtr="1"/>
        <a:lstStyle/>
        <a:p>
          <a:pPr>
            <a:defRPr sz="800" b="0" i="0" u="none" strike="noStrike" kern="1200" baseline="0">
              <a:solidFill>
                <a:sysClr val="windowText" lastClr="000000"/>
              </a:solidFill>
              <a:latin typeface="GHEA Grapalat" pitchFamily="50" charset="0"/>
              <a:ea typeface="+mn-ea"/>
              <a:cs typeface="+mn-cs"/>
            </a:defRPr>
          </a:pPr>
          <a:endParaRPr lang="en-US"/>
        </a:p>
      </c:txPr>
    </c:legend>
    <c:plotVisOnly val="1"/>
    <c:dispBlanksAs val="gap"/>
    <c:showDLblsOverMax val="0"/>
  </c:chart>
  <c:spPr>
    <a:noFill/>
    <a:ln w="9549"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baseline="0">
                <a:solidFill>
                  <a:sysClr val="windowText" lastClr="000000"/>
                </a:solidFill>
                <a:latin typeface="GHEA Grapalat" panose="02000506050000020003" pitchFamily="50" charset="0"/>
                <a:ea typeface="+mn-ea"/>
                <a:cs typeface="+mn-cs"/>
              </a:defRPr>
            </a:pPr>
            <a:r>
              <a:rPr lang="hy-AM" sz="1000" b="0">
                <a:solidFill>
                  <a:sysClr val="windowText" lastClr="000000"/>
                </a:solidFill>
              </a:rPr>
              <a:t>ՀՆԱ-ի նկատմամբ փոփոխություն, տ.կ. </a:t>
            </a:r>
            <a:endParaRPr lang="en-US" sz="1000" b="0">
              <a:solidFill>
                <a:sysClr val="windowText" lastClr="000000"/>
              </a:solidFill>
            </a:endParaRPr>
          </a:p>
        </c:rich>
      </c:tx>
      <c:layout>
        <c:manualLayout>
          <c:xMode val="edge"/>
          <c:yMode val="edge"/>
          <c:x val="0.23819617876118468"/>
          <c:y val="0"/>
        </c:manualLayout>
      </c:layout>
      <c:overlay val="0"/>
      <c:spPr>
        <a:noFill/>
        <a:ln w="25402">
          <a:noFill/>
        </a:ln>
      </c:spPr>
    </c:title>
    <c:autoTitleDeleted val="0"/>
    <c:plotArea>
      <c:layout>
        <c:manualLayout>
          <c:layoutTarget val="inner"/>
          <c:xMode val="edge"/>
          <c:yMode val="edge"/>
          <c:x val="7.6255357320841224E-2"/>
          <c:y val="0.135460850071462"/>
          <c:w val="0.49933884846672649"/>
          <c:h val="0.72580563167829459"/>
        </c:manualLayout>
      </c:layout>
      <c:barChart>
        <c:barDir val="bar"/>
        <c:grouping val="clustered"/>
        <c:varyColors val="0"/>
        <c:ser>
          <c:idx val="0"/>
          <c:order val="0"/>
          <c:tx>
            <c:strRef>
              <c:f>Sheet1!$B$1</c:f>
              <c:strCache>
                <c:ptCount val="1"/>
                <c:pt idx="0">
                  <c:v>2021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w="25402">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Ընդամենը</c:v>
                </c:pt>
                <c:pt idx="1">
                  <c:v>ավելացված արժեքի հարկ</c:v>
                </c:pt>
                <c:pt idx="2">
                  <c:v>ակցիզային հարկ</c:v>
                </c:pt>
                <c:pt idx="3">
                  <c:v>եկամտային հարկ</c:v>
                </c:pt>
                <c:pt idx="4">
                  <c:v>շահութահարկ</c:v>
                </c:pt>
                <c:pt idx="5">
                  <c:v>մաքսատուրք</c:v>
                </c:pt>
                <c:pt idx="6">
                  <c:v>այլ հարկային եկամուտներ</c:v>
                </c:pt>
                <c:pt idx="7">
                  <c:v>պետական տուրք</c:v>
                </c:pt>
              </c:strCache>
            </c:strRef>
          </c:cat>
          <c:val>
            <c:numRef>
              <c:f>Sheet1!$B$2:$B$9</c:f>
            </c:numRef>
          </c:val>
          <c:extLst>
            <c:ext xmlns:c16="http://schemas.microsoft.com/office/drawing/2014/chart" uri="{C3380CC4-5D6E-409C-BE32-E72D297353CC}">
              <c16:uniqueId val="{00000000-FBAC-41E1-91C8-FF89634C659D}"/>
            </c:ext>
          </c:extLst>
        </c:ser>
        <c:ser>
          <c:idx val="1"/>
          <c:order val="1"/>
          <c:tx>
            <c:strRef>
              <c:f>Sheet1!$C$1</c:f>
              <c:strCache>
                <c:ptCount val="1"/>
                <c:pt idx="0">
                  <c:v>2023</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w="25402">
                <a:noFill/>
              </a:ln>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Ընդամենը</c:v>
                </c:pt>
                <c:pt idx="1">
                  <c:v>ավելացված արժեքի հարկ</c:v>
                </c:pt>
                <c:pt idx="2">
                  <c:v>ակցիզային հարկ</c:v>
                </c:pt>
                <c:pt idx="3">
                  <c:v>եկամտային հարկ</c:v>
                </c:pt>
                <c:pt idx="4">
                  <c:v>շահութահարկ</c:v>
                </c:pt>
                <c:pt idx="5">
                  <c:v>մաքսատուրք</c:v>
                </c:pt>
                <c:pt idx="6">
                  <c:v>այլ հարկային եկամուտներ</c:v>
                </c:pt>
                <c:pt idx="7">
                  <c:v>պետական տուրք</c:v>
                </c:pt>
              </c:strCache>
            </c:strRef>
          </c:cat>
          <c:val>
            <c:numRef>
              <c:f>Sheet1!$C$2:$C$9</c:f>
              <c:numCache>
                <c:formatCode>0.0</c:formatCode>
                <c:ptCount val="8"/>
                <c:pt idx="0">
                  <c:v>0.71479648386402062</c:v>
                </c:pt>
                <c:pt idx="1">
                  <c:v>7.5345468027041562E-2</c:v>
                </c:pt>
                <c:pt idx="2">
                  <c:v>7.2095555117671406E-2</c:v>
                </c:pt>
                <c:pt idx="3">
                  <c:v>0.24762234481943768</c:v>
                </c:pt>
                <c:pt idx="4">
                  <c:v>0.76120378522693199</c:v>
                </c:pt>
                <c:pt idx="5">
                  <c:v>0.12511071822745046</c:v>
                </c:pt>
                <c:pt idx="6">
                  <c:v>-1.9688255208972105E-2</c:v>
                </c:pt>
                <c:pt idx="7">
                  <c:v>-0.54741415749178457</c:v>
                </c:pt>
              </c:numCache>
            </c:numRef>
          </c:val>
          <c:extLst>
            <c:ext xmlns:c16="http://schemas.microsoft.com/office/drawing/2014/chart" uri="{C3380CC4-5D6E-409C-BE32-E72D297353CC}">
              <c16:uniqueId val="{00000001-FBAC-41E1-91C8-FF89634C659D}"/>
            </c:ext>
          </c:extLst>
        </c:ser>
        <c:dLbls>
          <c:showLegendKey val="0"/>
          <c:showVal val="0"/>
          <c:showCatName val="0"/>
          <c:showSerName val="0"/>
          <c:showPercent val="0"/>
          <c:showBubbleSize val="0"/>
        </c:dLbls>
        <c:gapWidth val="115"/>
        <c:overlap val="-20"/>
        <c:axId val="612019200"/>
        <c:axId val="1"/>
      </c:barChart>
      <c:catAx>
        <c:axId val="612019200"/>
        <c:scaling>
          <c:orientation val="minMax"/>
        </c:scaling>
        <c:delete val="0"/>
        <c:axPos val="l"/>
        <c:numFmt formatCode="General" sourceLinked="1"/>
        <c:majorTickMark val="none"/>
        <c:minorTickMark val="none"/>
        <c:tickLblPos val="high"/>
        <c:spPr>
          <a:noFill/>
          <a:ln w="12701"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b"/>
        <c:numFmt formatCode="0.0" sourceLinked="1"/>
        <c:majorTickMark val="none"/>
        <c:minorTickMark val="none"/>
        <c:tickLblPos val="nextTo"/>
        <c:spPr>
          <a:ln w="9526">
            <a:noFill/>
          </a:ln>
        </c:spPr>
        <c:txPr>
          <a:bodyPr rot="-60000000" spcFirstLastPara="1" vertOverflow="ellipsis" vert="horz" wrap="square" anchor="ctr" anchorCtr="1"/>
          <a:lstStyle/>
          <a:p>
            <a:pPr>
              <a:defRPr sz="900" b="0" i="0" u="none" strike="noStrike" kern="1200" baseline="0">
                <a:solidFill>
                  <a:sysClr val="windowText" lastClr="000000"/>
                </a:solidFill>
                <a:latin typeface="GHEA Grapalat" panose="02000506050000020003" pitchFamily="50" charset="0"/>
                <a:ea typeface="+mn-ea"/>
                <a:cs typeface="+mn-cs"/>
              </a:defRPr>
            </a:pPr>
            <a:endParaRPr lang="en-US"/>
          </a:p>
        </c:txPr>
        <c:crossAx val="612019200"/>
        <c:crosses val="autoZero"/>
        <c:crossBetween val="between"/>
      </c:valAx>
      <c:spPr>
        <a:solidFill>
          <a:schemeClr val="bg1"/>
        </a:solidFill>
        <a:ln>
          <a:solidFill>
            <a:schemeClr val="bg1">
              <a:lumMod val="75000"/>
            </a:schemeClr>
          </a:solidFill>
        </a:ln>
        <a:effectLst/>
      </c:spPr>
    </c:plotArea>
    <c:legend>
      <c:legendPos val="b"/>
      <c:layout>
        <c:manualLayout>
          <c:xMode val="edge"/>
          <c:yMode val="edge"/>
          <c:x val="0.32391002283518971"/>
          <c:y val="0.94593737062840222"/>
          <c:w val="0.26226963237266226"/>
          <c:h val="5.406262937159767E-2"/>
        </c:manualLayout>
      </c:layout>
      <c:overlay val="0"/>
      <c:spPr>
        <a:noFill/>
        <a:ln w="25402">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6" cap="flat" cmpd="sng" algn="ctr">
      <a:solidFill>
        <a:schemeClr val="bg1">
          <a:lumMod val="7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r>
              <a:rPr lang="hy-AM" sz="1000" b="0" i="0" baseline="0" dirty="0">
                <a:effectLst/>
                <a:latin typeface="GHEA Grapalat" panose="02000506050000020003" pitchFamily="50" charset="0"/>
              </a:rPr>
              <a:t>Նավթի</a:t>
            </a:r>
            <a:r>
              <a:rPr lang="hy-AM" sz="1000" b="0" i="0" u="none" strike="noStrike" kern="1200" spc="0" baseline="0" dirty="0">
                <a:solidFill>
                  <a:sysClr val="windowText" lastClr="000000">
                    <a:lumMod val="65000"/>
                    <a:lumOff val="35000"/>
                  </a:sysClr>
                </a:solidFill>
                <a:effectLst/>
                <a:latin typeface="GHEA Grapalat" panose="02000506050000020003" pitchFamily="50" charset="0"/>
                <a:ea typeface="+mn-ea"/>
                <a:cs typeface="+mn-cs"/>
              </a:rPr>
              <a:t> </a:t>
            </a:r>
            <a:r>
              <a:rPr lang="hy-AM" sz="1000" b="0" i="0" baseline="0" dirty="0">
                <a:effectLst/>
                <a:latin typeface="GHEA Grapalat" panose="02000506050000020003" pitchFamily="50" charset="0"/>
              </a:rPr>
              <a:t>և մետաղների միջազգային գներ</a:t>
            </a:r>
            <a:endParaRPr lang="en-US" sz="1000" dirty="0">
              <a:effectLst/>
              <a:latin typeface="GHEA Grapalat" panose="02000506050000020003" pitchFamily="50" charset="0"/>
            </a:endParaRPr>
          </a:p>
        </c:rich>
      </c:tx>
      <c:layout>
        <c:manualLayout>
          <c:xMode val="edge"/>
          <c:yMode val="edge"/>
          <c:x val="0.21500133014704381"/>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GHEA Grapalat" panose="02000506050000020003" pitchFamily="50" charset="0"/>
              <a:ea typeface="+mn-ea"/>
              <a:cs typeface="+mn-cs"/>
            </a:defRPr>
          </a:pPr>
          <a:endParaRPr lang="en-US"/>
        </a:p>
      </c:txPr>
    </c:title>
    <c:autoTitleDeleted val="0"/>
    <c:plotArea>
      <c:layout>
        <c:manualLayout>
          <c:layoutTarget val="inner"/>
          <c:xMode val="edge"/>
          <c:yMode val="edge"/>
          <c:x val="0.105599577990955"/>
          <c:y val="0.13848012850852659"/>
          <c:w val="0.7351598056352936"/>
          <c:h val="0.51073390416361886"/>
        </c:manualLayout>
      </c:layout>
      <c:lineChart>
        <c:grouping val="standard"/>
        <c:varyColors val="0"/>
        <c:ser>
          <c:idx val="1"/>
          <c:order val="1"/>
          <c:tx>
            <c:strRef>
              <c:f>Sheet1!$D$1</c:f>
              <c:strCache>
                <c:ptCount val="1"/>
                <c:pt idx="0">
                  <c:v>Պղինձ, դոլար/տոննա</c:v>
                </c:pt>
              </c:strCache>
            </c:strRef>
          </c:tx>
          <c:spPr>
            <a:ln w="31750" cap="rnd">
              <a:solidFill>
                <a:schemeClr val="accent1"/>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Sheet1!$D$14:$D$73</c:f>
              <c:numCache>
                <c:formatCode>0.0</c:formatCode>
                <c:ptCount val="60"/>
                <c:pt idx="0">
                  <c:v>5939.1</c:v>
                </c:pt>
                <c:pt idx="1">
                  <c:v>6300.49</c:v>
                </c:pt>
                <c:pt idx="2">
                  <c:v>6439.46</c:v>
                </c:pt>
                <c:pt idx="3">
                  <c:v>6438.36</c:v>
                </c:pt>
                <c:pt idx="4">
                  <c:v>6017.9</c:v>
                </c:pt>
                <c:pt idx="5">
                  <c:v>5882.23</c:v>
                </c:pt>
                <c:pt idx="6">
                  <c:v>5941.2</c:v>
                </c:pt>
                <c:pt idx="7">
                  <c:v>5709.44</c:v>
                </c:pt>
                <c:pt idx="8">
                  <c:v>5759.25</c:v>
                </c:pt>
                <c:pt idx="9">
                  <c:v>5757.3</c:v>
                </c:pt>
                <c:pt idx="10">
                  <c:v>5859.95</c:v>
                </c:pt>
                <c:pt idx="11">
                  <c:v>6077.06</c:v>
                </c:pt>
                <c:pt idx="12">
                  <c:v>6031.21</c:v>
                </c:pt>
                <c:pt idx="13">
                  <c:v>5687.75</c:v>
                </c:pt>
                <c:pt idx="14">
                  <c:v>5182.63</c:v>
                </c:pt>
                <c:pt idx="15">
                  <c:v>5057.97</c:v>
                </c:pt>
                <c:pt idx="16">
                  <c:v>5239.83</c:v>
                </c:pt>
                <c:pt idx="17">
                  <c:v>5754.6</c:v>
                </c:pt>
                <c:pt idx="18">
                  <c:v>6372.46</c:v>
                </c:pt>
                <c:pt idx="19">
                  <c:v>6498.94</c:v>
                </c:pt>
                <c:pt idx="20">
                  <c:v>6704.9</c:v>
                </c:pt>
                <c:pt idx="21">
                  <c:v>6713.81</c:v>
                </c:pt>
                <c:pt idx="22">
                  <c:v>7068.91</c:v>
                </c:pt>
                <c:pt idx="23">
                  <c:v>7772.24</c:v>
                </c:pt>
                <c:pt idx="24" formatCode="0">
                  <c:v>7972.15</c:v>
                </c:pt>
                <c:pt idx="25" formatCode="0">
                  <c:v>8470.94</c:v>
                </c:pt>
                <c:pt idx="26" formatCode="0">
                  <c:v>8988.25</c:v>
                </c:pt>
                <c:pt idx="27" formatCode="0">
                  <c:v>9324.82</c:v>
                </c:pt>
                <c:pt idx="28" formatCode="0">
                  <c:v>10161.969999999999</c:v>
                </c:pt>
                <c:pt idx="29" formatCode="0">
                  <c:v>9631.5</c:v>
                </c:pt>
                <c:pt idx="30" formatCode="0">
                  <c:v>9450.82</c:v>
                </c:pt>
                <c:pt idx="31" formatCode="0">
                  <c:v>9370.14</c:v>
                </c:pt>
                <c:pt idx="32" formatCode="0">
                  <c:v>9324.7099999999991</c:v>
                </c:pt>
                <c:pt idx="33" formatCode="0">
                  <c:v>9829.2199999999993</c:v>
                </c:pt>
                <c:pt idx="34" formatCode="0">
                  <c:v>9728.9</c:v>
                </c:pt>
                <c:pt idx="35" formatCode="0">
                  <c:v>9551.18</c:v>
                </c:pt>
                <c:pt idx="36" formatCode="0">
                  <c:v>9782.34</c:v>
                </c:pt>
                <c:pt idx="37" formatCode="0">
                  <c:v>9943.17</c:v>
                </c:pt>
                <c:pt idx="38" formatCode="0">
                  <c:v>10230.89</c:v>
                </c:pt>
                <c:pt idx="39" formatCode="0">
                  <c:v>10161.379999999999</c:v>
                </c:pt>
                <c:pt idx="40" formatCode="0">
                  <c:v>9377.15</c:v>
                </c:pt>
                <c:pt idx="41" formatCode="0">
                  <c:v>9024.4599999999991</c:v>
                </c:pt>
                <c:pt idx="42" formatCode="0">
                  <c:v>7544.81</c:v>
                </c:pt>
                <c:pt idx="43" formatCode="0">
                  <c:v>7981.84</c:v>
                </c:pt>
                <c:pt idx="44" formatCode="0">
                  <c:v>7746.01</c:v>
                </c:pt>
                <c:pt idx="45" formatCode="0">
                  <c:v>7651.08</c:v>
                </c:pt>
                <c:pt idx="46" formatCode="0">
                  <c:v>8049.86</c:v>
                </c:pt>
                <c:pt idx="47" formatCode="0">
                  <c:v>8375.4</c:v>
                </c:pt>
                <c:pt idx="48" formatCode="0">
                  <c:v>9037.9500000000007</c:v>
                </c:pt>
                <c:pt idx="49" formatCode="0">
                  <c:v>8936.59</c:v>
                </c:pt>
                <c:pt idx="50" formatCode="0">
                  <c:v>8856.31</c:v>
                </c:pt>
                <c:pt idx="51" formatCode="0">
                  <c:v>8809.42</c:v>
                </c:pt>
                <c:pt idx="52" formatCode="0">
                  <c:v>8217.4699999999993</c:v>
                </c:pt>
                <c:pt idx="53" formatCode="0">
                  <c:v>8396.52</c:v>
                </c:pt>
                <c:pt idx="54" formatCode="0">
                  <c:v>8476.68</c:v>
                </c:pt>
                <c:pt idx="55" formatCode="0">
                  <c:v>8349.1299999999992</c:v>
                </c:pt>
                <c:pt idx="56" formatCode="0">
                  <c:v>8276.7099999999991</c:v>
                </c:pt>
                <c:pt idx="57" formatCode="0">
                  <c:v>7937.18</c:v>
                </c:pt>
                <c:pt idx="58" formatCode="0">
                  <c:v>8189.59</c:v>
                </c:pt>
                <c:pt idx="59" formatCode="0">
                  <c:v>8399.94</c:v>
                </c:pt>
              </c:numCache>
            </c:numRef>
          </c:val>
          <c:smooth val="0"/>
          <c:extLst>
            <c:ext xmlns:c16="http://schemas.microsoft.com/office/drawing/2014/chart" uri="{C3380CC4-5D6E-409C-BE32-E72D297353CC}">
              <c16:uniqueId val="{00000000-DF84-46C1-BE47-9C0997C5DC0A}"/>
            </c:ext>
          </c:extLst>
        </c:ser>
        <c:dLbls>
          <c:showLegendKey val="0"/>
          <c:showVal val="0"/>
          <c:showCatName val="0"/>
          <c:showSerName val="0"/>
          <c:showPercent val="0"/>
          <c:showBubbleSize val="0"/>
        </c:dLbls>
        <c:marker val="1"/>
        <c:smooth val="0"/>
        <c:axId val="553691280"/>
        <c:axId val="553687472"/>
      </c:lineChart>
      <c:lineChart>
        <c:grouping val="standard"/>
        <c:varyColors val="0"/>
        <c:ser>
          <c:idx val="0"/>
          <c:order val="0"/>
          <c:tx>
            <c:strRef>
              <c:f>Sheet1!$C$1</c:f>
              <c:strCache>
                <c:ptCount val="1"/>
                <c:pt idx="0">
                  <c:v>Նավթ, դոլար/բարել, աջ առանցք</c:v>
                </c:pt>
              </c:strCache>
            </c:strRef>
          </c:tx>
          <c:spPr>
            <a:ln w="31750" cap="rnd">
              <a:solidFill>
                <a:schemeClr val="accent6">
                  <a:lumMod val="60000"/>
                  <a:lumOff val="40000"/>
                </a:schemeClr>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Sheet1!$C$14:$C$73</c:f>
              <c:numCache>
                <c:formatCode>0.0</c:formatCode>
                <c:ptCount val="60"/>
                <c:pt idx="0">
                  <c:v>59.27</c:v>
                </c:pt>
                <c:pt idx="1">
                  <c:v>64.13</c:v>
                </c:pt>
                <c:pt idx="2">
                  <c:v>66.41</c:v>
                </c:pt>
                <c:pt idx="3">
                  <c:v>71.2</c:v>
                </c:pt>
                <c:pt idx="4">
                  <c:v>70.53</c:v>
                </c:pt>
                <c:pt idx="5">
                  <c:v>63.3</c:v>
                </c:pt>
                <c:pt idx="6">
                  <c:v>64</c:v>
                </c:pt>
                <c:pt idx="7">
                  <c:v>59.25</c:v>
                </c:pt>
                <c:pt idx="8">
                  <c:v>62.33</c:v>
                </c:pt>
                <c:pt idx="9">
                  <c:v>59.37</c:v>
                </c:pt>
                <c:pt idx="10">
                  <c:v>62.74</c:v>
                </c:pt>
                <c:pt idx="11">
                  <c:v>65.849999999999994</c:v>
                </c:pt>
                <c:pt idx="12">
                  <c:v>63.6</c:v>
                </c:pt>
                <c:pt idx="13">
                  <c:v>55</c:v>
                </c:pt>
                <c:pt idx="14">
                  <c:v>32.979999999999997</c:v>
                </c:pt>
                <c:pt idx="15">
                  <c:v>23.34</c:v>
                </c:pt>
                <c:pt idx="16">
                  <c:v>31.02</c:v>
                </c:pt>
                <c:pt idx="17">
                  <c:v>39.93</c:v>
                </c:pt>
                <c:pt idx="18">
                  <c:v>42.81</c:v>
                </c:pt>
                <c:pt idx="19">
                  <c:v>44.26</c:v>
                </c:pt>
                <c:pt idx="20">
                  <c:v>41.09</c:v>
                </c:pt>
                <c:pt idx="21">
                  <c:v>40.47</c:v>
                </c:pt>
                <c:pt idx="22">
                  <c:v>43.23</c:v>
                </c:pt>
                <c:pt idx="23">
                  <c:v>49.87</c:v>
                </c:pt>
                <c:pt idx="24" formatCode="0">
                  <c:v>54.55</c:v>
                </c:pt>
                <c:pt idx="25" formatCode="0">
                  <c:v>61.96</c:v>
                </c:pt>
                <c:pt idx="26" formatCode="0">
                  <c:v>65.19</c:v>
                </c:pt>
                <c:pt idx="27" formatCode="0">
                  <c:v>64.77</c:v>
                </c:pt>
                <c:pt idx="28" formatCode="0">
                  <c:v>68.040000000000006</c:v>
                </c:pt>
                <c:pt idx="29" formatCode="0">
                  <c:v>73.069999999999993</c:v>
                </c:pt>
                <c:pt idx="30" formatCode="0">
                  <c:v>74.39</c:v>
                </c:pt>
                <c:pt idx="31" formatCode="0">
                  <c:v>70.02</c:v>
                </c:pt>
                <c:pt idx="32" formatCode="0">
                  <c:v>74.599999999999994</c:v>
                </c:pt>
                <c:pt idx="33" formatCode="0">
                  <c:v>83.65</c:v>
                </c:pt>
                <c:pt idx="34" formatCode="0">
                  <c:v>80.77</c:v>
                </c:pt>
                <c:pt idx="35" formatCode="0">
                  <c:v>74.31</c:v>
                </c:pt>
                <c:pt idx="36" formatCode="0">
                  <c:v>85.53</c:v>
                </c:pt>
                <c:pt idx="37" formatCode="0">
                  <c:v>95.76</c:v>
                </c:pt>
                <c:pt idx="38" formatCode="0">
                  <c:v>115.59</c:v>
                </c:pt>
                <c:pt idx="39" formatCode="0">
                  <c:v>105.78</c:v>
                </c:pt>
                <c:pt idx="40" formatCode="0">
                  <c:v>112.37</c:v>
                </c:pt>
                <c:pt idx="41" formatCode="0">
                  <c:v>120.08</c:v>
                </c:pt>
                <c:pt idx="42" formatCode="0">
                  <c:v>108.92</c:v>
                </c:pt>
                <c:pt idx="43" formatCode="0">
                  <c:v>98.6</c:v>
                </c:pt>
                <c:pt idx="44" formatCode="0">
                  <c:v>90.16</c:v>
                </c:pt>
                <c:pt idx="45" formatCode="0">
                  <c:v>93.13</c:v>
                </c:pt>
                <c:pt idx="46" formatCode="0">
                  <c:v>91.07</c:v>
                </c:pt>
                <c:pt idx="47" formatCode="0">
                  <c:v>80.900000000000006</c:v>
                </c:pt>
                <c:pt idx="48" formatCode="0">
                  <c:v>83.09</c:v>
                </c:pt>
                <c:pt idx="49" formatCode="0">
                  <c:v>82.71</c:v>
                </c:pt>
                <c:pt idx="50" formatCode="0">
                  <c:v>78.53</c:v>
                </c:pt>
                <c:pt idx="51" formatCode="0">
                  <c:v>84.11</c:v>
                </c:pt>
                <c:pt idx="52" formatCode="0">
                  <c:v>75.7</c:v>
                </c:pt>
                <c:pt idx="53" formatCode="0">
                  <c:v>74.89</c:v>
                </c:pt>
                <c:pt idx="54" formatCode="0">
                  <c:v>80.099999999999994</c:v>
                </c:pt>
                <c:pt idx="55" formatCode="0">
                  <c:v>86.162999999999997</c:v>
                </c:pt>
                <c:pt idx="56" formatCode="0">
                  <c:v>94</c:v>
                </c:pt>
                <c:pt idx="57" formatCode="0">
                  <c:v>91.061000000000007</c:v>
                </c:pt>
                <c:pt idx="58" formatCode="0">
                  <c:v>83.183000000000007</c:v>
                </c:pt>
                <c:pt idx="59" formatCode="0">
                  <c:v>77.858000000000004</c:v>
                </c:pt>
              </c:numCache>
            </c:numRef>
          </c:val>
          <c:smooth val="0"/>
          <c:extLst>
            <c:ext xmlns:c16="http://schemas.microsoft.com/office/drawing/2014/chart" uri="{C3380CC4-5D6E-409C-BE32-E72D297353CC}">
              <c16:uniqueId val="{00000001-DF84-46C1-BE47-9C0997C5DC0A}"/>
            </c:ext>
          </c:extLst>
        </c:ser>
        <c:ser>
          <c:idx val="2"/>
          <c:order val="2"/>
          <c:tx>
            <c:strRef>
              <c:f>Sheet1!$E$1</c:f>
              <c:strCache>
                <c:ptCount val="1"/>
                <c:pt idx="0">
                  <c:v>Մոլիբդեն, հազար դոլար/տոննա, աջ առանցք</c:v>
                </c:pt>
              </c:strCache>
            </c:strRef>
          </c:tx>
          <c:spPr>
            <a:ln w="31750" cap="rnd">
              <a:solidFill>
                <a:schemeClr val="tx2"/>
              </a:solidFill>
              <a:round/>
            </a:ln>
            <a:effectLst/>
          </c:spPr>
          <c:marker>
            <c:symbol val="none"/>
          </c:marker>
          <c:cat>
            <c:multiLvlStrRef>
              <c:f>Sheet1!$A$14:$B$73</c:f>
              <c:multiLvlStrCache>
                <c:ptCount val="60"/>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3">
                    <c:v>6</c:v>
                  </c:pt>
                  <c:pt idx="56">
                    <c:v>9</c:v>
                  </c:pt>
                  <c:pt idx="59">
                    <c:v>12</c:v>
                  </c:pt>
                </c:lvl>
                <c:lvl>
                  <c:pt idx="0">
                    <c:v>2019</c:v>
                  </c:pt>
                  <c:pt idx="12">
                    <c:v>2020</c:v>
                  </c:pt>
                  <c:pt idx="24">
                    <c:v>2021</c:v>
                  </c:pt>
                  <c:pt idx="36">
                    <c:v>2022</c:v>
                  </c:pt>
                  <c:pt idx="48">
                    <c:v>2023</c:v>
                  </c:pt>
                </c:lvl>
              </c:multiLvlStrCache>
            </c:multiLvlStrRef>
          </c:cat>
          <c:val>
            <c:numRef>
              <c:f>Sheet1!$E$14:$E$73</c:f>
              <c:numCache>
                <c:formatCode>General</c:formatCode>
                <c:ptCount val="60"/>
                <c:pt idx="0">
                  <c:v>27.59</c:v>
                </c:pt>
                <c:pt idx="1">
                  <c:v>27.349</c:v>
                </c:pt>
                <c:pt idx="2">
                  <c:v>29.277000000000001</c:v>
                </c:pt>
                <c:pt idx="3">
                  <c:v>29.518000000000001</c:v>
                </c:pt>
                <c:pt idx="4">
                  <c:v>28.553999999999998</c:v>
                </c:pt>
                <c:pt idx="5">
                  <c:v>28.553999999999998</c:v>
                </c:pt>
                <c:pt idx="6">
                  <c:v>27.59</c:v>
                </c:pt>
                <c:pt idx="7">
                  <c:v>27.831</c:v>
                </c:pt>
                <c:pt idx="8">
                  <c:v>28.071999999999999</c:v>
                </c:pt>
                <c:pt idx="9">
                  <c:v>27.349</c:v>
                </c:pt>
                <c:pt idx="10">
                  <c:v>20.843</c:v>
                </c:pt>
                <c:pt idx="11">
                  <c:v>22.289000000000001</c:v>
                </c:pt>
                <c:pt idx="12">
                  <c:v>24.457999999999998</c:v>
                </c:pt>
                <c:pt idx="13">
                  <c:v>26.145</c:v>
                </c:pt>
                <c:pt idx="14">
                  <c:v>26.145</c:v>
                </c:pt>
                <c:pt idx="15">
                  <c:v>21.324999999999999</c:v>
                </c:pt>
                <c:pt idx="16">
                  <c:v>20.602</c:v>
                </c:pt>
                <c:pt idx="17">
                  <c:v>19.398</c:v>
                </c:pt>
                <c:pt idx="18">
                  <c:v>19.638999999999999</c:v>
                </c:pt>
                <c:pt idx="19">
                  <c:v>18.916</c:v>
                </c:pt>
                <c:pt idx="20">
                  <c:v>21.324999999999999</c:v>
                </c:pt>
                <c:pt idx="21">
                  <c:v>22.289000000000001</c:v>
                </c:pt>
                <c:pt idx="22">
                  <c:v>23.734999999999999</c:v>
                </c:pt>
                <c:pt idx="23">
                  <c:v>23.494</c:v>
                </c:pt>
                <c:pt idx="24" formatCode="0">
                  <c:v>22.438650000000003</c:v>
                </c:pt>
                <c:pt idx="25" formatCode="0">
                  <c:v>25.669520000000002</c:v>
                </c:pt>
                <c:pt idx="26" formatCode="0">
                  <c:v>26.593499999999999</c:v>
                </c:pt>
                <c:pt idx="27" formatCode="0">
                  <c:v>24.53304</c:v>
                </c:pt>
                <c:pt idx="28" formatCode="0">
                  <c:v>28.057130000000001</c:v>
                </c:pt>
                <c:pt idx="29" formatCode="0">
                  <c:v>38.750300000000003</c:v>
                </c:pt>
                <c:pt idx="30" formatCode="0">
                  <c:v>40.744430000000001</c:v>
                </c:pt>
                <c:pt idx="31" formatCode="0">
                  <c:v>41.846890000000002</c:v>
                </c:pt>
                <c:pt idx="32" formatCode="0">
                  <c:v>43.57837</c:v>
                </c:pt>
                <c:pt idx="33" formatCode="0">
                  <c:v>41.836390000000002</c:v>
                </c:pt>
                <c:pt idx="34" formatCode="0">
                  <c:v>41.931919999999998</c:v>
                </c:pt>
                <c:pt idx="35" formatCode="0">
                  <c:v>44.75</c:v>
                </c:pt>
                <c:pt idx="36" formatCode="0">
                  <c:v>44.75</c:v>
                </c:pt>
                <c:pt idx="37" formatCode="0">
                  <c:v>46.499724999999998</c:v>
                </c:pt>
                <c:pt idx="38" formatCode="0">
                  <c:v>48.317864247499998</c:v>
                </c:pt>
                <c:pt idx="39" formatCode="0">
                  <c:v>46.539000000000001</c:v>
                </c:pt>
                <c:pt idx="40" formatCode="0">
                  <c:v>45.773857142857146</c:v>
                </c:pt>
                <c:pt idx="41" formatCode="0">
                  <c:v>43.546999999999997</c:v>
                </c:pt>
                <c:pt idx="42" formatCode="0">
                  <c:v>43.432000000000002</c:v>
                </c:pt>
                <c:pt idx="43" formatCode="0">
                  <c:v>38.496499999999997</c:v>
                </c:pt>
                <c:pt idx="44" formatCode="0">
                  <c:v>40.328000000000003</c:v>
                </c:pt>
                <c:pt idx="45" formatCode="0">
                  <c:v>45.180999999999997</c:v>
                </c:pt>
                <c:pt idx="46" formatCode="0">
                  <c:v>46.866999999999997</c:v>
                </c:pt>
                <c:pt idx="47" formatCode="0">
                  <c:v>46.627000000000002</c:v>
                </c:pt>
                <c:pt idx="48" formatCode="0">
                  <c:v>73.566000000000003</c:v>
                </c:pt>
                <c:pt idx="49" formatCode="0">
                  <c:v>96.120999999999995</c:v>
                </c:pt>
                <c:pt idx="50" formatCode="0">
                  <c:v>74.144999999999996</c:v>
                </c:pt>
                <c:pt idx="51" formatCode="0">
                  <c:v>52.481999999999999</c:v>
                </c:pt>
                <c:pt idx="52" formatCode="0">
                  <c:v>52.091000000000001</c:v>
                </c:pt>
                <c:pt idx="53" formatCode="0">
                  <c:v>53.149000000000001</c:v>
                </c:pt>
                <c:pt idx="54" formatCode="0">
                  <c:v>52.884999999999998</c:v>
                </c:pt>
                <c:pt idx="55" formatCode="0">
                  <c:v>58.64</c:v>
                </c:pt>
                <c:pt idx="56" formatCode="0">
                  <c:v>56.222000000000001</c:v>
                </c:pt>
                <c:pt idx="57" formatCode="0">
                  <c:v>55.616999999999997</c:v>
                </c:pt>
                <c:pt idx="58" formatCode="0">
                  <c:v>55.616999999999997</c:v>
                </c:pt>
                <c:pt idx="59" formatCode="0">
                  <c:v>43.223999999999997</c:v>
                </c:pt>
              </c:numCache>
            </c:numRef>
          </c:val>
          <c:smooth val="0"/>
          <c:extLst>
            <c:ext xmlns:c16="http://schemas.microsoft.com/office/drawing/2014/chart" uri="{C3380CC4-5D6E-409C-BE32-E72D297353CC}">
              <c16:uniqueId val="{00000002-DF84-46C1-BE47-9C0997C5DC0A}"/>
            </c:ext>
          </c:extLst>
        </c:ser>
        <c:dLbls>
          <c:showLegendKey val="0"/>
          <c:showVal val="0"/>
          <c:showCatName val="0"/>
          <c:showSerName val="0"/>
          <c:showPercent val="0"/>
          <c:showBubbleSize val="0"/>
        </c:dLbls>
        <c:marker val="1"/>
        <c:smooth val="0"/>
        <c:axId val="553682576"/>
        <c:axId val="553697264"/>
      </c:lineChart>
      <c:catAx>
        <c:axId val="55369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53687472"/>
        <c:crosses val="autoZero"/>
        <c:auto val="1"/>
        <c:lblAlgn val="ctr"/>
        <c:lblOffset val="0"/>
        <c:noMultiLvlLbl val="0"/>
      </c:catAx>
      <c:valAx>
        <c:axId val="553687472"/>
        <c:scaling>
          <c:orientation val="minMax"/>
          <c:max val="1500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53691280"/>
        <c:crosses val="autoZero"/>
        <c:crossBetween val="between"/>
        <c:majorUnit val="5000"/>
      </c:valAx>
      <c:valAx>
        <c:axId val="553697264"/>
        <c:scaling>
          <c:orientation val="minMax"/>
          <c:max val="150"/>
          <c:min val="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53682576"/>
        <c:crosses val="max"/>
        <c:crossBetween val="between"/>
        <c:majorUnit val="50"/>
      </c:valAx>
      <c:catAx>
        <c:axId val="553682576"/>
        <c:scaling>
          <c:orientation val="minMax"/>
        </c:scaling>
        <c:delete val="1"/>
        <c:axPos val="b"/>
        <c:numFmt formatCode="General" sourceLinked="1"/>
        <c:majorTickMark val="out"/>
        <c:minorTickMark val="none"/>
        <c:tickLblPos val="nextTo"/>
        <c:crossAx val="553697264"/>
        <c:crosses val="autoZero"/>
        <c:auto val="1"/>
        <c:lblAlgn val="ctr"/>
        <c:lblOffset val="100"/>
        <c:noMultiLvlLbl val="0"/>
      </c:catAx>
      <c:spPr>
        <a:noFill/>
        <a:ln>
          <a:noFill/>
        </a:ln>
        <a:effectLst/>
      </c:spPr>
    </c:plotArea>
    <c:legend>
      <c:legendPos val="b"/>
      <c:layout>
        <c:manualLayout>
          <c:xMode val="edge"/>
          <c:yMode val="edge"/>
          <c:x val="1.5087732860998498E-2"/>
          <c:y val="0.80418380538253609"/>
          <c:w val="0.97829235665236636"/>
          <c:h val="0.190943073849408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69790116441631E-2"/>
          <c:y val="4.2318276918803015E-2"/>
          <c:w val="0.66902866561515173"/>
          <c:h val="0.72230577572511268"/>
        </c:manualLayout>
      </c:layout>
      <c:barChart>
        <c:barDir val="col"/>
        <c:grouping val="clustered"/>
        <c:varyColors val="0"/>
        <c:ser>
          <c:idx val="0"/>
          <c:order val="0"/>
          <c:tx>
            <c:strRef>
              <c:f>Sheet1!$B$1</c:f>
              <c:strCache>
                <c:ptCount val="1"/>
                <c:pt idx="0">
                  <c:v>Ծավալը, մլրդ դրամ</c:v>
                </c:pt>
              </c:strCache>
            </c:strRef>
          </c:tx>
          <c:invertIfNegative val="0"/>
          <c:dLbls>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0</c:formatCode>
                <c:ptCount val="5"/>
                <c:pt idx="0">
                  <c:v>2019</c:v>
                </c:pt>
                <c:pt idx="1">
                  <c:v>2020</c:v>
                </c:pt>
                <c:pt idx="2">
                  <c:v>2021</c:v>
                </c:pt>
                <c:pt idx="3">
                  <c:v>2022</c:v>
                </c:pt>
                <c:pt idx="4">
                  <c:v>2023</c:v>
                </c:pt>
              </c:numCache>
            </c:numRef>
          </c:cat>
          <c:val>
            <c:numRef>
              <c:f>Sheet1!$B$2:$B$7</c:f>
              <c:numCache>
                <c:formatCode>0.0</c:formatCode>
                <c:ptCount val="5"/>
                <c:pt idx="0">
                  <c:v>1437.1428978499998</c:v>
                </c:pt>
                <c:pt idx="1">
                  <c:v>1668.4583739799998</c:v>
                </c:pt>
                <c:pt idx="2">
                  <c:v>1787.9663948099999</c:v>
                </c:pt>
                <c:pt idx="3">
                  <c:v>1862.2313212700003</c:v>
                </c:pt>
                <c:pt idx="4">
                  <c:v>2075.0603464800001</c:v>
                </c:pt>
              </c:numCache>
            </c:numRef>
          </c:val>
          <c:extLst>
            <c:ext xmlns:c16="http://schemas.microsoft.com/office/drawing/2014/chart" uri="{C3380CC4-5D6E-409C-BE32-E72D297353CC}">
              <c16:uniqueId val="{00000000-1AC8-4096-A0F2-103F6848DABB}"/>
            </c:ext>
          </c:extLst>
        </c:ser>
        <c:dLbls>
          <c:showLegendKey val="0"/>
          <c:showVal val="0"/>
          <c:showCatName val="0"/>
          <c:showSerName val="0"/>
          <c:showPercent val="0"/>
          <c:showBubbleSize val="0"/>
        </c:dLbls>
        <c:gapWidth val="150"/>
        <c:axId val="296445440"/>
        <c:axId val="296446976"/>
      </c:barChart>
      <c:lineChart>
        <c:grouping val="standard"/>
        <c:varyColors val="0"/>
        <c:ser>
          <c:idx val="2"/>
          <c:order val="1"/>
          <c:tx>
            <c:strRef>
              <c:f>Sheet1!$C$1</c:f>
              <c:strCache>
                <c:ptCount val="1"/>
                <c:pt idx="0">
                  <c:v>Աճը, %</c:v>
                </c:pt>
              </c:strCache>
            </c:strRef>
          </c:tx>
          <c:spPr>
            <a:ln>
              <a:solidFill>
                <a:srgbClr val="9BBB59"/>
              </a:solidFill>
            </a:ln>
          </c:spPr>
          <c:marker>
            <c:symbol val="diamond"/>
            <c:size val="7"/>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0</c:formatCode>
                <c:ptCount val="5"/>
                <c:pt idx="0">
                  <c:v>2019</c:v>
                </c:pt>
                <c:pt idx="1">
                  <c:v>2020</c:v>
                </c:pt>
                <c:pt idx="2">
                  <c:v>2021</c:v>
                </c:pt>
                <c:pt idx="3">
                  <c:v>2022</c:v>
                </c:pt>
                <c:pt idx="4">
                  <c:v>2023</c:v>
                </c:pt>
              </c:numCache>
            </c:numRef>
          </c:cat>
          <c:val>
            <c:numRef>
              <c:f>Sheet1!$C$2:$C$7</c:f>
              <c:numCache>
                <c:formatCode>0.0</c:formatCode>
                <c:ptCount val="5"/>
                <c:pt idx="0">
                  <c:v>10.636442451717443</c:v>
                </c:pt>
                <c:pt idx="1">
                  <c:v>16.095509811588911</c:v>
                </c:pt>
                <c:pt idx="2">
                  <c:v>7.1627810854472358</c:v>
                </c:pt>
                <c:pt idx="3">
                  <c:v>4.1535974431942293</c:v>
                </c:pt>
                <c:pt idx="4">
                  <c:v>11.428710428136029</c:v>
                </c:pt>
              </c:numCache>
            </c:numRef>
          </c:val>
          <c:smooth val="0"/>
          <c:extLst>
            <c:ext xmlns:c16="http://schemas.microsoft.com/office/drawing/2014/chart" uri="{C3380CC4-5D6E-409C-BE32-E72D297353CC}">
              <c16:uniqueId val="{00000001-1AC8-4096-A0F2-103F6848DABB}"/>
            </c:ext>
          </c:extLst>
        </c:ser>
        <c:dLbls>
          <c:showLegendKey val="0"/>
          <c:showVal val="0"/>
          <c:showCatName val="0"/>
          <c:showSerName val="0"/>
          <c:showPercent val="0"/>
          <c:showBubbleSize val="0"/>
        </c:dLbls>
        <c:marker val="1"/>
        <c:smooth val="0"/>
        <c:axId val="296462592"/>
        <c:axId val="296461056"/>
      </c:lineChart>
      <c:catAx>
        <c:axId val="296445440"/>
        <c:scaling>
          <c:orientation val="minMax"/>
        </c:scaling>
        <c:delete val="0"/>
        <c:axPos val="b"/>
        <c:numFmt formatCode="General" sourceLinked="0"/>
        <c:majorTickMark val="in"/>
        <c:minorTickMark val="in"/>
        <c:tickLblPos val="nextTo"/>
        <c:spPr>
          <a:ln/>
        </c:spPr>
        <c:txPr>
          <a:bodyPr rot="-5400000" vert="horz"/>
          <a:lstStyle/>
          <a:p>
            <a:pPr>
              <a:defRPr/>
            </a:pPr>
            <a:endParaRPr lang="en-US"/>
          </a:p>
        </c:txPr>
        <c:crossAx val="296446976"/>
        <c:crosses val="autoZero"/>
        <c:auto val="1"/>
        <c:lblAlgn val="ctr"/>
        <c:lblOffset val="100"/>
        <c:tickLblSkip val="1"/>
        <c:noMultiLvlLbl val="0"/>
      </c:catAx>
      <c:valAx>
        <c:axId val="296446976"/>
        <c:scaling>
          <c:orientation val="minMax"/>
        </c:scaling>
        <c:delete val="0"/>
        <c:axPos val="l"/>
        <c:numFmt formatCode="0.0" sourceLinked="1"/>
        <c:majorTickMark val="none"/>
        <c:minorTickMark val="none"/>
        <c:tickLblPos val="nextTo"/>
        <c:txPr>
          <a:bodyPr rot="0" vert="horz"/>
          <a:lstStyle/>
          <a:p>
            <a:pPr>
              <a:defRPr/>
            </a:pPr>
            <a:endParaRPr lang="en-US"/>
          </a:p>
        </c:txPr>
        <c:crossAx val="296445440"/>
        <c:crossesAt val="1"/>
        <c:crossBetween val="between"/>
      </c:valAx>
      <c:valAx>
        <c:axId val="296461056"/>
        <c:scaling>
          <c:orientation val="minMax"/>
        </c:scaling>
        <c:delete val="0"/>
        <c:axPos val="r"/>
        <c:numFmt formatCode="0.0" sourceLinked="1"/>
        <c:majorTickMark val="out"/>
        <c:minorTickMark val="none"/>
        <c:tickLblPos val="nextTo"/>
        <c:crossAx val="296462592"/>
        <c:crosses val="max"/>
        <c:crossBetween val="between"/>
      </c:valAx>
      <c:catAx>
        <c:axId val="296462592"/>
        <c:scaling>
          <c:orientation val="minMax"/>
        </c:scaling>
        <c:delete val="1"/>
        <c:axPos val="b"/>
        <c:numFmt formatCode="0" sourceLinked="1"/>
        <c:majorTickMark val="out"/>
        <c:minorTickMark val="none"/>
        <c:tickLblPos val="nextTo"/>
        <c:crossAx val="296461056"/>
        <c:crosses val="autoZero"/>
        <c:auto val="1"/>
        <c:lblAlgn val="ctr"/>
        <c:lblOffset val="100"/>
        <c:noMultiLvlLbl val="0"/>
      </c:catAx>
      <c:spPr>
        <a:ln w="6350">
          <a:solidFill>
            <a:sysClr val="window" lastClr="FFFFFF">
              <a:lumMod val="75000"/>
            </a:sysClr>
          </a:solidFill>
        </a:ln>
      </c:spPr>
    </c:plotArea>
    <c:legend>
      <c:legendPos val="r"/>
      <c:layout>
        <c:manualLayout>
          <c:xMode val="edge"/>
          <c:yMode val="edge"/>
          <c:x val="5.1009457478459344E-3"/>
          <c:y val="0.89607294663388315"/>
          <c:w val="0.95037756202804746"/>
          <c:h val="0.10392721810095282"/>
        </c:manualLayout>
      </c:layout>
      <c:overlay val="0"/>
    </c:legend>
    <c:plotVisOnly val="1"/>
    <c:dispBlanksAs val="gap"/>
    <c:showDLblsOverMax val="0"/>
  </c:chart>
  <c:spPr>
    <a:noFill/>
    <a:ln>
      <a:solidFill>
        <a:sysClr val="window" lastClr="FFFFFF">
          <a:lumMod val="75000"/>
        </a:sysClr>
      </a:solidFill>
    </a:ln>
  </c:spPr>
  <c:txPr>
    <a:bodyPr/>
    <a:lstStyle/>
    <a:p>
      <a:pPr>
        <a:defRPr sz="900"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47162915886005"/>
          <c:y val="6.8779136896752302E-2"/>
          <c:w val="0.72553576334122483"/>
          <c:h val="0.68261448575818873"/>
        </c:manualLayout>
      </c:layout>
      <c:barChart>
        <c:barDir val="col"/>
        <c:grouping val="clustered"/>
        <c:varyColors val="0"/>
        <c:ser>
          <c:idx val="0"/>
          <c:order val="0"/>
          <c:tx>
            <c:strRef>
              <c:f>Sheet1!$B$1</c:f>
              <c:strCache>
                <c:ptCount val="1"/>
                <c:pt idx="0">
                  <c:v>Ծավալը, մլրդ դրամ</c:v>
                </c:pt>
              </c:strCache>
            </c:strRef>
          </c:tx>
          <c:invertIfNegative val="0"/>
          <c:dLbls>
            <c:spPr>
              <a:noFill/>
              <a:ln>
                <a:noFill/>
              </a:ln>
              <a:effectLst/>
            </c:spPr>
            <c:txPr>
              <a:bodyPr rot="0" vert="horz"/>
              <a:lstStyle/>
              <a:p>
                <a:pPr>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0</c:formatCode>
                <c:ptCount val="5"/>
                <c:pt idx="0">
                  <c:v>2019</c:v>
                </c:pt>
                <c:pt idx="1">
                  <c:v>2020</c:v>
                </c:pt>
                <c:pt idx="2">
                  <c:v>2021</c:v>
                </c:pt>
                <c:pt idx="3">
                  <c:v>2022</c:v>
                </c:pt>
                <c:pt idx="4">
                  <c:v>2023</c:v>
                </c:pt>
              </c:numCache>
            </c:numRef>
          </c:cat>
          <c:val>
            <c:numRef>
              <c:f>Sheet1!$B$2:$B$7</c:f>
              <c:numCache>
                <c:formatCode>0.0</c:formatCode>
                <c:ptCount val="5"/>
                <c:pt idx="0">
                  <c:v>193.01702710000001</c:v>
                </c:pt>
                <c:pt idx="1">
                  <c:v>227.69831293999999</c:v>
                </c:pt>
                <c:pt idx="2">
                  <c:v>218.39952757</c:v>
                </c:pt>
                <c:pt idx="3">
                  <c:v>389.11973379</c:v>
                </c:pt>
                <c:pt idx="4">
                  <c:v>494.35393634000002</c:v>
                </c:pt>
              </c:numCache>
            </c:numRef>
          </c:val>
          <c:extLst>
            <c:ext xmlns:c16="http://schemas.microsoft.com/office/drawing/2014/chart" uri="{C3380CC4-5D6E-409C-BE32-E72D297353CC}">
              <c16:uniqueId val="{00000000-9A9B-4E1D-B80B-A4C9991B5E4B}"/>
            </c:ext>
          </c:extLst>
        </c:ser>
        <c:dLbls>
          <c:showLegendKey val="0"/>
          <c:showVal val="0"/>
          <c:showCatName val="0"/>
          <c:showSerName val="0"/>
          <c:showPercent val="0"/>
          <c:showBubbleSize val="0"/>
        </c:dLbls>
        <c:gapWidth val="150"/>
        <c:axId val="296659968"/>
        <c:axId val="296661760"/>
      </c:barChart>
      <c:lineChart>
        <c:grouping val="standard"/>
        <c:varyColors val="0"/>
        <c:ser>
          <c:idx val="2"/>
          <c:order val="1"/>
          <c:tx>
            <c:strRef>
              <c:f>Sheet1!$C$1</c:f>
              <c:strCache>
                <c:ptCount val="1"/>
                <c:pt idx="0">
                  <c:v>աճը, %</c:v>
                </c:pt>
              </c:strCache>
            </c:strRef>
          </c:tx>
          <c:spPr>
            <a:ln>
              <a:solidFill>
                <a:srgbClr val="70AD47"/>
              </a:solidFill>
            </a:ln>
          </c:spPr>
          <c:marker>
            <c:symbol val="diamond"/>
            <c:size val="7"/>
          </c:marker>
          <c:dLbls>
            <c:dLbl>
              <c:idx val="0"/>
              <c:layout>
                <c:manualLayout>
                  <c:x val="-0.10277110442141184"/>
                  <c:y val="-0.141289880110080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9B-4E1D-B80B-A4C9991B5E4B}"/>
                </c:ext>
              </c:extLst>
            </c:dLbl>
            <c:dLbl>
              <c:idx val="2"/>
              <c:layout>
                <c:manualLayout>
                  <c:x val="9.2021964522172872E-3"/>
                  <c:y val="-5.74971568465739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9B-4E1D-B80B-A4C9991B5E4B}"/>
                </c:ext>
              </c:extLst>
            </c:dLbl>
            <c:dLbl>
              <c:idx val="6"/>
              <c:layout>
                <c:manualLayout>
                  <c:x val="-0.12930676629306781"/>
                  <c:y val="-0.1148290201321307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9B-4E1D-B80B-A4C9991B5E4B}"/>
                </c:ext>
              </c:extLst>
            </c:dLbl>
            <c:dLbl>
              <c:idx val="7"/>
              <c:layout>
                <c:manualLayout>
                  <c:x val="-9.257999039036699E-2"/>
                  <c:y val="-0.163340596758371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9B-4E1D-B80B-A4C9991B5E4B}"/>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0</c:formatCode>
                <c:ptCount val="5"/>
                <c:pt idx="0">
                  <c:v>2019</c:v>
                </c:pt>
                <c:pt idx="1">
                  <c:v>2020</c:v>
                </c:pt>
                <c:pt idx="2">
                  <c:v>2021</c:v>
                </c:pt>
                <c:pt idx="3">
                  <c:v>2022</c:v>
                </c:pt>
                <c:pt idx="4">
                  <c:v>2023</c:v>
                </c:pt>
              </c:numCache>
            </c:numRef>
          </c:cat>
          <c:val>
            <c:numRef>
              <c:f>Sheet1!$C$2:$C$7</c:f>
              <c:numCache>
                <c:formatCode>0.0</c:formatCode>
                <c:ptCount val="5"/>
                <c:pt idx="0">
                  <c:v>26.994835635333075</c:v>
                </c:pt>
                <c:pt idx="1">
                  <c:v>17.96799295951854</c:v>
                </c:pt>
                <c:pt idx="2">
                  <c:v>-4.0838182988427718</c:v>
                </c:pt>
                <c:pt idx="3">
                  <c:v>78.1687616816304</c:v>
                </c:pt>
                <c:pt idx="4">
                  <c:v>27.044170061750904</c:v>
                </c:pt>
              </c:numCache>
            </c:numRef>
          </c:val>
          <c:smooth val="0"/>
          <c:extLst>
            <c:ext xmlns:c16="http://schemas.microsoft.com/office/drawing/2014/chart" uri="{C3380CC4-5D6E-409C-BE32-E72D297353CC}">
              <c16:uniqueId val="{00000005-9A9B-4E1D-B80B-A4C9991B5E4B}"/>
            </c:ext>
          </c:extLst>
        </c:ser>
        <c:dLbls>
          <c:showLegendKey val="0"/>
          <c:showVal val="0"/>
          <c:showCatName val="0"/>
          <c:showSerName val="0"/>
          <c:showPercent val="0"/>
          <c:showBubbleSize val="0"/>
        </c:dLbls>
        <c:marker val="1"/>
        <c:smooth val="0"/>
        <c:axId val="297074688"/>
        <c:axId val="296663296"/>
      </c:lineChart>
      <c:catAx>
        <c:axId val="296659968"/>
        <c:scaling>
          <c:orientation val="minMax"/>
        </c:scaling>
        <c:delete val="0"/>
        <c:axPos val="b"/>
        <c:numFmt formatCode="General" sourceLinked="0"/>
        <c:majorTickMark val="in"/>
        <c:minorTickMark val="in"/>
        <c:tickLblPos val="nextTo"/>
        <c:spPr>
          <a:ln/>
        </c:spPr>
        <c:txPr>
          <a:bodyPr rot="-5400000" vert="horz"/>
          <a:lstStyle/>
          <a:p>
            <a:pPr>
              <a:defRPr/>
            </a:pPr>
            <a:endParaRPr lang="en-US"/>
          </a:p>
        </c:txPr>
        <c:crossAx val="296661760"/>
        <c:crosses val="autoZero"/>
        <c:auto val="1"/>
        <c:lblAlgn val="ctr"/>
        <c:lblOffset val="100"/>
        <c:noMultiLvlLbl val="0"/>
      </c:catAx>
      <c:valAx>
        <c:axId val="296661760"/>
        <c:scaling>
          <c:orientation val="minMax"/>
        </c:scaling>
        <c:delete val="0"/>
        <c:axPos val="l"/>
        <c:numFmt formatCode="0.0" sourceLinked="1"/>
        <c:majorTickMark val="none"/>
        <c:minorTickMark val="none"/>
        <c:tickLblPos val="nextTo"/>
        <c:txPr>
          <a:bodyPr rot="0" vert="horz"/>
          <a:lstStyle/>
          <a:p>
            <a:pPr>
              <a:defRPr/>
            </a:pPr>
            <a:endParaRPr lang="en-US"/>
          </a:p>
        </c:txPr>
        <c:crossAx val="296659968"/>
        <c:crossesAt val="1"/>
        <c:crossBetween val="between"/>
      </c:valAx>
      <c:valAx>
        <c:axId val="296663296"/>
        <c:scaling>
          <c:orientation val="minMax"/>
        </c:scaling>
        <c:delete val="0"/>
        <c:axPos val="r"/>
        <c:numFmt formatCode="0.0" sourceLinked="1"/>
        <c:majorTickMark val="out"/>
        <c:minorTickMark val="none"/>
        <c:tickLblPos val="nextTo"/>
        <c:crossAx val="297074688"/>
        <c:crosses val="max"/>
        <c:crossBetween val="between"/>
      </c:valAx>
      <c:catAx>
        <c:axId val="297074688"/>
        <c:scaling>
          <c:orientation val="minMax"/>
        </c:scaling>
        <c:delete val="1"/>
        <c:axPos val="b"/>
        <c:numFmt formatCode="0" sourceLinked="1"/>
        <c:majorTickMark val="out"/>
        <c:minorTickMark val="none"/>
        <c:tickLblPos val="nextTo"/>
        <c:crossAx val="296663296"/>
        <c:crosses val="autoZero"/>
        <c:auto val="1"/>
        <c:lblAlgn val="ctr"/>
        <c:lblOffset val="100"/>
        <c:noMultiLvlLbl val="0"/>
      </c:catAx>
      <c:spPr>
        <a:ln w="6350">
          <a:solidFill>
            <a:sysClr val="window" lastClr="FFFFFF">
              <a:lumMod val="75000"/>
            </a:sysClr>
          </a:solidFill>
        </a:ln>
      </c:spPr>
    </c:plotArea>
    <c:legend>
      <c:legendPos val="r"/>
      <c:layout>
        <c:manualLayout>
          <c:xMode val="edge"/>
          <c:yMode val="edge"/>
          <c:x val="8.7085764764841284E-2"/>
          <c:y val="0.89607278189904715"/>
          <c:w val="0.82365704286964125"/>
          <c:h val="0.10392721810095282"/>
        </c:manualLayout>
      </c:layout>
      <c:overlay val="0"/>
    </c:legend>
    <c:plotVisOnly val="1"/>
    <c:dispBlanksAs val="gap"/>
    <c:showDLblsOverMax val="0"/>
  </c:chart>
  <c:spPr>
    <a:noFill/>
    <a:ln>
      <a:solidFill>
        <a:sysClr val="window" lastClr="FFFFFF">
          <a:lumMod val="75000"/>
        </a:sysClr>
      </a:solidFill>
    </a:ln>
  </c:spPr>
  <c:txPr>
    <a:bodyPr/>
    <a:lstStyle/>
    <a:p>
      <a:pPr>
        <a:defRPr sz="900"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000" b="0"/>
            </a:pPr>
            <a:r>
              <a:rPr lang="hy-AM" sz="1000" b="0"/>
              <a:t>ՀՀ պետական բյուջեի պակասուրդ</a:t>
            </a:r>
            <a:endParaRPr lang="en-US" sz="1000" b="0"/>
          </a:p>
        </c:rich>
      </c:tx>
      <c:layout>
        <c:manualLayout>
          <c:xMode val="edge"/>
          <c:yMode val="edge"/>
          <c:x val="0.16406301379813321"/>
          <c:y val="0"/>
        </c:manualLayout>
      </c:layout>
      <c:overlay val="0"/>
      <c:spPr>
        <a:noFill/>
        <a:ln w="25399">
          <a:noFill/>
        </a:ln>
      </c:spPr>
    </c:title>
    <c:autoTitleDeleted val="0"/>
    <c:plotArea>
      <c:layout>
        <c:manualLayout>
          <c:layoutTarget val="inner"/>
          <c:xMode val="edge"/>
          <c:yMode val="edge"/>
          <c:x val="0.1119659006331809"/>
          <c:y val="0.14415640081280162"/>
          <c:w val="0.78453242443506488"/>
          <c:h val="0.58361934848869701"/>
        </c:manualLayout>
      </c:layout>
      <c:barChart>
        <c:barDir val="col"/>
        <c:grouping val="clustered"/>
        <c:varyColors val="0"/>
        <c:ser>
          <c:idx val="1"/>
          <c:order val="1"/>
          <c:tx>
            <c:strRef>
              <c:f>Sheet1!$C$1</c:f>
              <c:strCache>
                <c:ptCount val="1"/>
                <c:pt idx="0">
                  <c:v>մլրդ դրամ</c:v>
                </c:pt>
              </c:strCache>
            </c:strRef>
          </c:tx>
          <c:spPr>
            <a:solidFill>
              <a:srgbClr val="C0504D"/>
            </a:solidFill>
            <a:ln w="25399">
              <a:noFill/>
            </a:ln>
          </c:spPr>
          <c:invertIfNegative val="0"/>
          <c:cat>
            <c:numRef>
              <c:f>Sheet1!$A$2:$A$9</c:f>
              <c:numCache>
                <c:formatCode>General</c:formatCode>
                <c:ptCount val="5"/>
                <c:pt idx="0">
                  <c:v>2019</c:v>
                </c:pt>
                <c:pt idx="1">
                  <c:v>2020</c:v>
                </c:pt>
                <c:pt idx="2">
                  <c:v>2021</c:v>
                </c:pt>
                <c:pt idx="3">
                  <c:v>2022</c:v>
                </c:pt>
                <c:pt idx="4">
                  <c:v>2023</c:v>
                </c:pt>
              </c:numCache>
            </c:numRef>
          </c:cat>
          <c:val>
            <c:numRef>
              <c:f>Sheet1!$C$2:$C$9</c:f>
              <c:numCache>
                <c:formatCode>0</c:formatCode>
                <c:ptCount val="5"/>
                <c:pt idx="0">
                  <c:v>63.948029346999988</c:v>
                </c:pt>
                <c:pt idx="1">
                  <c:v>333.99175224000004</c:v>
                </c:pt>
                <c:pt idx="2">
                  <c:v>320.46961205000002</c:v>
                </c:pt>
                <c:pt idx="3">
                  <c:v>179.53</c:v>
                </c:pt>
                <c:pt idx="4">
                  <c:v>188.86628549829999</c:v>
                </c:pt>
              </c:numCache>
            </c:numRef>
          </c:val>
          <c:extLst>
            <c:ext xmlns:c16="http://schemas.microsoft.com/office/drawing/2014/chart" uri="{C3380CC4-5D6E-409C-BE32-E72D297353CC}">
              <c16:uniqueId val="{00000000-9335-48F6-AAC2-F080FEC8C10E}"/>
            </c:ext>
          </c:extLst>
        </c:ser>
        <c:dLbls>
          <c:showLegendKey val="0"/>
          <c:showVal val="0"/>
          <c:showCatName val="0"/>
          <c:showSerName val="0"/>
          <c:showPercent val="0"/>
          <c:showBubbleSize val="0"/>
        </c:dLbls>
        <c:gapWidth val="219"/>
        <c:overlap val="-27"/>
        <c:axId val="612020032"/>
        <c:axId val="1"/>
      </c:barChart>
      <c:lineChart>
        <c:grouping val="standard"/>
        <c:varyColors val="0"/>
        <c:ser>
          <c:idx val="0"/>
          <c:order val="0"/>
          <c:tx>
            <c:strRef>
              <c:f>Sheet1!$B$1</c:f>
              <c:strCache>
                <c:ptCount val="1"/>
                <c:pt idx="0">
                  <c:v>% ՀՆԱ-ում (աջ առանցք)</c:v>
                </c:pt>
              </c:strCache>
            </c:strRef>
          </c:tx>
          <c:spPr>
            <a:ln w="28574" cap="rnd">
              <a:solidFill>
                <a:schemeClr val="accent1"/>
              </a:solidFill>
              <a:round/>
            </a:ln>
            <a:effectLst/>
          </c:spPr>
          <c:marker>
            <c:symbol val="circle"/>
            <c:size val="6"/>
            <c:spPr>
              <a:solidFill>
                <a:schemeClr val="accent1"/>
              </a:solidFill>
              <a:ln w="9525">
                <a:solidFill>
                  <a:schemeClr val="accent1"/>
                </a:solidFill>
              </a:ln>
              <a:effectLst/>
            </c:spPr>
          </c:marker>
          <c:dLbls>
            <c:dLbl>
              <c:idx val="2"/>
              <c:layout>
                <c:manualLayout>
                  <c:x val="-0.10453875395089936"/>
                  <c:y val="-4.632810515621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335-48F6-AAC2-F080FEC8C10E}"/>
                </c:ext>
              </c:extLst>
            </c:dLbl>
            <c:spPr>
              <a:noFill/>
              <a:ln w="25399">
                <a:noFill/>
              </a:ln>
            </c:spPr>
            <c:txPr>
              <a:bodyPr/>
              <a:lstStyle/>
              <a:p>
                <a:pPr>
                  <a:defRPr b="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5"/>
                <c:pt idx="0">
                  <c:v>2019</c:v>
                </c:pt>
                <c:pt idx="1">
                  <c:v>2020</c:v>
                </c:pt>
                <c:pt idx="2">
                  <c:v>2021</c:v>
                </c:pt>
                <c:pt idx="3">
                  <c:v>2022</c:v>
                </c:pt>
                <c:pt idx="4">
                  <c:v>2023</c:v>
                </c:pt>
              </c:numCache>
            </c:numRef>
          </c:cat>
          <c:val>
            <c:numRef>
              <c:f>Sheet1!$B$2:$B$9</c:f>
              <c:numCache>
                <c:formatCode>0.0</c:formatCode>
                <c:ptCount val="5"/>
                <c:pt idx="0">
                  <c:v>0.97347611233608666</c:v>
                </c:pt>
                <c:pt idx="1">
                  <c:v>5.4011268385206446</c:v>
                </c:pt>
                <c:pt idx="2">
                  <c:v>4.5893822193137623</c:v>
                </c:pt>
                <c:pt idx="3">
                  <c:v>2.1</c:v>
                </c:pt>
                <c:pt idx="4">
                  <c:v>1.9874848552011899</c:v>
                </c:pt>
              </c:numCache>
            </c:numRef>
          </c:val>
          <c:smooth val="0"/>
          <c:extLst>
            <c:ext xmlns:c16="http://schemas.microsoft.com/office/drawing/2014/chart" uri="{C3380CC4-5D6E-409C-BE32-E72D297353CC}">
              <c16:uniqueId val="{00000002-9335-48F6-AAC2-F080FEC8C10E}"/>
            </c:ext>
          </c:extLst>
        </c:ser>
        <c:dLbls>
          <c:showLegendKey val="0"/>
          <c:showVal val="0"/>
          <c:showCatName val="0"/>
          <c:showSerName val="0"/>
          <c:showPercent val="0"/>
          <c:showBubbleSize val="0"/>
        </c:dLbls>
        <c:marker val="1"/>
        <c:smooth val="0"/>
        <c:axId val="3"/>
        <c:axId val="4"/>
      </c:lineChart>
      <c:catAx>
        <c:axId val="6120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0" sourceLinked="1"/>
        <c:majorTickMark val="none"/>
        <c:minorTickMark val="none"/>
        <c:tickLblPos val="nextTo"/>
        <c:spPr>
          <a:ln w="9525">
            <a:noFill/>
          </a:ln>
        </c:spPr>
        <c:txPr>
          <a:bodyPr rot="-60000000" vert="horz"/>
          <a:lstStyle/>
          <a:p>
            <a:pPr>
              <a:defRPr/>
            </a:pPr>
            <a:endParaRPr lang="en-US"/>
          </a:p>
        </c:txPr>
        <c:crossAx val="61202003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0.0" sourceLinked="1"/>
        <c:majorTickMark val="out"/>
        <c:minorTickMark val="none"/>
        <c:tickLblPos val="nextTo"/>
        <c:spPr>
          <a:ln w="9525">
            <a:noFill/>
          </a:ln>
        </c:spPr>
        <c:txPr>
          <a:bodyPr rot="-60000000" vert="horz"/>
          <a:lstStyle/>
          <a:p>
            <a:pPr>
              <a:defRPr/>
            </a:pPr>
            <a:endParaRPr lang="en-US"/>
          </a:p>
        </c:txPr>
        <c:crossAx val="3"/>
        <c:crosses val="max"/>
        <c:crossBetween val="between"/>
      </c:valAx>
      <c:spPr>
        <a:solidFill>
          <a:schemeClr val="bg1"/>
        </a:solidFill>
        <a:ln w="6350">
          <a:solidFill>
            <a:sysClr val="window" lastClr="FFFFFF">
              <a:lumMod val="85000"/>
            </a:sysClr>
          </a:solidFill>
        </a:ln>
        <a:effectLst/>
      </c:spPr>
    </c:plotArea>
    <c:legend>
      <c:legendPos val="b"/>
      <c:layout>
        <c:manualLayout>
          <c:xMode val="edge"/>
          <c:yMode val="edge"/>
          <c:x val="0"/>
          <c:y val="0.87117547085600633"/>
          <c:w val="0.99706179041665977"/>
          <c:h val="0.12088822243230091"/>
        </c:manualLayout>
      </c:layout>
      <c:overlay val="0"/>
      <c:spPr>
        <a:noFill/>
        <a:ln w="25399">
          <a:noFill/>
        </a:ln>
      </c:spPr>
      <c:txPr>
        <a:bodyPr rot="0" vert="horz"/>
        <a:lstStyle/>
        <a:p>
          <a:pPr>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000" b="0"/>
            </a:pPr>
            <a:r>
              <a:rPr lang="hy-AM" sz="1000" b="0"/>
              <a:t>ՀՀ կառավարության պարտք</a:t>
            </a:r>
            <a:endParaRPr lang="en-US" sz="1000" b="0"/>
          </a:p>
        </c:rich>
      </c:tx>
      <c:layout>
        <c:manualLayout>
          <c:xMode val="edge"/>
          <c:yMode val="edge"/>
          <c:x val="0.18065476541273337"/>
          <c:y val="3.0910559257015949E-3"/>
        </c:manualLayout>
      </c:layout>
      <c:overlay val="0"/>
      <c:spPr>
        <a:noFill/>
        <a:ln w="25438">
          <a:noFill/>
        </a:ln>
      </c:spPr>
    </c:title>
    <c:autoTitleDeleted val="0"/>
    <c:plotArea>
      <c:layout>
        <c:manualLayout>
          <c:layoutTarget val="inner"/>
          <c:xMode val="edge"/>
          <c:yMode val="edge"/>
          <c:x val="0.20030584500290757"/>
          <c:y val="0.15318016573533147"/>
          <c:w val="0.62270168324767783"/>
          <c:h val="0.58960304483108972"/>
        </c:manualLayout>
      </c:layout>
      <c:barChart>
        <c:barDir val="col"/>
        <c:grouping val="clustered"/>
        <c:varyColors val="0"/>
        <c:ser>
          <c:idx val="1"/>
          <c:order val="1"/>
          <c:tx>
            <c:strRef>
              <c:f>Sheet1!$C$1</c:f>
              <c:strCache>
                <c:ptCount val="1"/>
                <c:pt idx="0">
                  <c:v>մլրդ դրամ</c:v>
                </c:pt>
              </c:strCache>
            </c:strRef>
          </c:tx>
          <c:spPr>
            <a:solidFill>
              <a:srgbClr val="C0504D"/>
            </a:solidFill>
            <a:ln w="25438">
              <a:noFill/>
            </a:ln>
          </c:spPr>
          <c:invertIfNegative val="0"/>
          <c:cat>
            <c:numRef>
              <c:f>Sheet1!$A$2:$A$9</c:f>
              <c:numCache>
                <c:formatCode>General</c:formatCode>
                <c:ptCount val="5"/>
                <c:pt idx="0">
                  <c:v>2019</c:v>
                </c:pt>
                <c:pt idx="1">
                  <c:v>2020</c:v>
                </c:pt>
                <c:pt idx="2">
                  <c:v>2021</c:v>
                </c:pt>
                <c:pt idx="3">
                  <c:v>2022</c:v>
                </c:pt>
                <c:pt idx="4">
                  <c:v>2023</c:v>
                </c:pt>
              </c:numCache>
            </c:numRef>
          </c:cat>
          <c:val>
            <c:numRef>
              <c:f>Sheet1!$C$2:$C$9</c:f>
              <c:numCache>
                <c:formatCode>_(* #,##0_);_(* \(#,##0\);_(* "-"??_);_(@_)</c:formatCode>
                <c:ptCount val="5"/>
                <c:pt idx="0">
                  <c:v>3277.2813769668851</c:v>
                </c:pt>
                <c:pt idx="1">
                  <c:v>3923.8890671175195</c:v>
                </c:pt>
                <c:pt idx="2">
                  <c:v>4209.8379084366843</c:v>
                </c:pt>
                <c:pt idx="3" formatCode="_(* #,##0.0_);_(* \(#,##0.0\);_(* &quot;-&quot;??_);_(@_)">
                  <c:v>3969.6861616986098</c:v>
                </c:pt>
                <c:pt idx="4" formatCode="#,##0.0">
                  <c:v>4571.9458306086499</c:v>
                </c:pt>
              </c:numCache>
            </c:numRef>
          </c:val>
          <c:extLst>
            <c:ext xmlns:c16="http://schemas.microsoft.com/office/drawing/2014/chart" uri="{C3380CC4-5D6E-409C-BE32-E72D297353CC}">
              <c16:uniqueId val="{00000000-B704-4AB0-B203-0C242A550DEC}"/>
            </c:ext>
          </c:extLst>
        </c:ser>
        <c:dLbls>
          <c:showLegendKey val="0"/>
          <c:showVal val="0"/>
          <c:showCatName val="0"/>
          <c:showSerName val="0"/>
          <c:showPercent val="0"/>
          <c:showBubbleSize val="0"/>
        </c:dLbls>
        <c:gapWidth val="219"/>
        <c:overlap val="-27"/>
        <c:axId val="612014624"/>
        <c:axId val="1"/>
      </c:barChart>
      <c:lineChart>
        <c:grouping val="standard"/>
        <c:varyColors val="0"/>
        <c:ser>
          <c:idx val="0"/>
          <c:order val="0"/>
          <c:tx>
            <c:strRef>
              <c:f>Sheet1!$B$1</c:f>
              <c:strCache>
                <c:ptCount val="1"/>
                <c:pt idx="0">
                  <c:v>% ՀՆԱ-ում (աջ առանցք)</c:v>
                </c:pt>
              </c:strCache>
            </c:strRef>
          </c:tx>
          <c:spPr>
            <a:ln w="28619" cap="rnd">
              <a:solidFill>
                <a:schemeClr val="accent1"/>
              </a:solidFill>
              <a:round/>
            </a:ln>
            <a:effectLst/>
          </c:spPr>
          <c:marker>
            <c:symbol val="circle"/>
            <c:size val="6"/>
            <c:spPr>
              <a:solidFill>
                <a:schemeClr val="accent1"/>
              </a:solidFill>
              <a:ln w="9539">
                <a:solidFill>
                  <a:schemeClr val="accent1"/>
                </a:solidFill>
              </a:ln>
              <a:effectLst/>
            </c:spPr>
          </c:marker>
          <c:dLbls>
            <c:spPr>
              <a:noFill/>
              <a:ln w="2544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Sheet1!$A$2:$A$9</c:f>
              <c:numCache>
                <c:formatCode>General</c:formatCode>
                <c:ptCount val="5"/>
                <c:pt idx="0">
                  <c:v>2019</c:v>
                </c:pt>
                <c:pt idx="1">
                  <c:v>2020</c:v>
                </c:pt>
                <c:pt idx="2">
                  <c:v>2021</c:v>
                </c:pt>
                <c:pt idx="3">
                  <c:v>2022</c:v>
                </c:pt>
                <c:pt idx="4">
                  <c:v>2023</c:v>
                </c:pt>
              </c:numCache>
            </c:numRef>
          </c:cat>
          <c:val>
            <c:numRef>
              <c:f>Sheet1!$B$2:$B$9</c:f>
              <c:numCache>
                <c:formatCode>0.0</c:formatCode>
                <c:ptCount val="5"/>
                <c:pt idx="0" formatCode="_(* #,##0.0_);_(* \(#,##0.0\);_(* &quot;-&quot;??_);_(@_)">
                  <c:v>50.1</c:v>
                </c:pt>
                <c:pt idx="1">
                  <c:v>63.473809294852337</c:v>
                </c:pt>
                <c:pt idx="2">
                  <c:v>60.211265701788832</c:v>
                </c:pt>
                <c:pt idx="3">
                  <c:v>46.69430429353595</c:v>
                </c:pt>
                <c:pt idx="4">
                  <c:v>48.11167368046069</c:v>
                </c:pt>
              </c:numCache>
            </c:numRef>
          </c:val>
          <c:smooth val="0"/>
          <c:extLst>
            <c:ext xmlns:c16="http://schemas.microsoft.com/office/drawing/2014/chart" uri="{C3380CC4-5D6E-409C-BE32-E72D297353CC}">
              <c16:uniqueId val="{00000001-B704-4AB0-B203-0C242A550DEC}"/>
            </c:ext>
          </c:extLst>
        </c:ser>
        <c:dLbls>
          <c:showLegendKey val="0"/>
          <c:showVal val="0"/>
          <c:showCatName val="0"/>
          <c:showSerName val="0"/>
          <c:showPercent val="0"/>
          <c:showBubbleSize val="0"/>
        </c:dLbls>
        <c:marker val="1"/>
        <c:smooth val="0"/>
        <c:axId val="3"/>
        <c:axId val="4"/>
      </c:lineChart>
      <c:catAx>
        <c:axId val="612014624"/>
        <c:scaling>
          <c:orientation val="minMax"/>
        </c:scaling>
        <c:delete val="0"/>
        <c:axPos val="b"/>
        <c:numFmt formatCode="General" sourceLinked="1"/>
        <c:majorTickMark val="none"/>
        <c:minorTickMark val="none"/>
        <c:tickLblPos val="nextTo"/>
        <c:spPr>
          <a:noFill/>
          <a:ln w="9539"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numFmt formatCode="_(* #,##0_);_(* \(#,##0\);_(* &quot;-&quot;??_);_(@_)" sourceLinked="1"/>
        <c:majorTickMark val="none"/>
        <c:minorTickMark val="none"/>
        <c:tickLblPos val="nextTo"/>
        <c:spPr>
          <a:ln w="9539">
            <a:noFill/>
          </a:ln>
        </c:spPr>
        <c:txPr>
          <a:bodyPr rot="-60000000" vert="horz"/>
          <a:lstStyle/>
          <a:p>
            <a:pPr>
              <a:defRPr/>
            </a:pPr>
            <a:endParaRPr lang="en-US"/>
          </a:p>
        </c:txPr>
        <c:crossAx val="61201462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numFmt formatCode="_(* #,##0.0_);_(* \(#,##0.0\);_(* &quot;-&quot;??_);_(@_)" sourceLinked="1"/>
        <c:majorTickMark val="out"/>
        <c:minorTickMark val="none"/>
        <c:tickLblPos val="nextTo"/>
        <c:spPr>
          <a:ln w="9539">
            <a:noFill/>
          </a:ln>
        </c:spPr>
        <c:txPr>
          <a:bodyPr rot="-60000000" vert="horz"/>
          <a:lstStyle/>
          <a:p>
            <a:pPr>
              <a:defRPr/>
            </a:pPr>
            <a:endParaRPr lang="en-US"/>
          </a:p>
        </c:txPr>
        <c:crossAx val="3"/>
        <c:crosses val="max"/>
        <c:crossBetween val="between"/>
      </c:valAx>
      <c:spPr>
        <a:solidFill>
          <a:schemeClr val="bg1"/>
        </a:solidFill>
        <a:ln w="6350">
          <a:solidFill>
            <a:sysClr val="window" lastClr="FFFFFF">
              <a:lumMod val="85000"/>
            </a:sysClr>
          </a:solidFill>
        </a:ln>
        <a:effectLst/>
      </c:spPr>
    </c:plotArea>
    <c:legend>
      <c:legendPos val="b"/>
      <c:layout>
        <c:manualLayout>
          <c:xMode val="edge"/>
          <c:yMode val="edge"/>
          <c:x val="1.9821548088964101E-2"/>
          <c:y val="0.87886775691500096"/>
          <c:w val="0.9769734023253096"/>
          <c:h val="0.10922794266101354"/>
        </c:manualLayout>
      </c:layout>
      <c:overlay val="0"/>
      <c:spPr>
        <a:noFill/>
        <a:ln w="25438">
          <a:noFill/>
        </a:ln>
      </c:spPr>
      <c:txPr>
        <a:bodyPr rot="0" vert="horz"/>
        <a:lstStyle/>
        <a:p>
          <a:pPr>
            <a:defRPr/>
          </a:pPr>
          <a:endParaRPr lang="en-US"/>
        </a:p>
      </c:txPr>
    </c:legend>
    <c:plotVisOnly val="1"/>
    <c:dispBlanksAs val="gap"/>
    <c:showDLblsOverMax val="0"/>
  </c:chart>
  <c:spPr>
    <a:noFill/>
    <a:ln w="9539" cap="flat" cmpd="sng" algn="ctr">
      <a:solidFill>
        <a:schemeClr val="tx1">
          <a:lumMod val="15000"/>
          <a:lumOff val="85000"/>
        </a:schemeClr>
      </a:solidFill>
      <a:round/>
    </a:ln>
    <a:effectLst/>
  </c:spPr>
  <c:txPr>
    <a:bodyPr/>
    <a:lstStyle/>
    <a:p>
      <a:pPr>
        <a:defRPr>
          <a:latin typeface="GHEA Grapalat" panose="02000506050000020003" pitchFamily="50" charset="0"/>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2940564252396001E-2"/>
          <c:y val="5.526148783640851E-2"/>
          <c:w val="0.58595805697720971"/>
          <c:h val="0.83521996317624481"/>
        </c:manualLayout>
      </c:layout>
      <c:barChart>
        <c:barDir val="col"/>
        <c:grouping val="stacked"/>
        <c:varyColors val="0"/>
        <c:ser>
          <c:idx val="0"/>
          <c:order val="0"/>
          <c:tx>
            <c:strRef>
              <c:f>Sheet1!$B$1</c:f>
              <c:strCache>
                <c:ptCount val="1"/>
                <c:pt idx="0">
                  <c:v>Մնացորդ</c:v>
                </c:pt>
              </c:strCache>
            </c:strRef>
          </c:tx>
          <c:spPr>
            <a:ln w="28589" cap="rnd">
              <a:noFill/>
              <a:round/>
            </a:ln>
            <a:effectLst/>
          </c:spPr>
          <c:invertIfNegative val="0"/>
          <c:cat>
            <c:numRef>
              <c:f>Sheet1!$A$2:$A$8</c:f>
              <c:numCache>
                <c:formatCode>0</c:formatCode>
                <c:ptCount val="6"/>
                <c:pt idx="0" formatCode="General">
                  <c:v>2018</c:v>
                </c:pt>
                <c:pt idx="1">
                  <c:v>2019</c:v>
                </c:pt>
                <c:pt idx="2">
                  <c:v>2020</c:v>
                </c:pt>
                <c:pt idx="3">
                  <c:v>2021</c:v>
                </c:pt>
                <c:pt idx="4">
                  <c:v>2022</c:v>
                </c:pt>
                <c:pt idx="5">
                  <c:v>2023</c:v>
                </c:pt>
              </c:numCache>
            </c:numRef>
          </c:cat>
          <c:val>
            <c:numRef>
              <c:f>Sheet1!$B$2:$B$8</c:f>
              <c:numCache>
                <c:formatCode>0.0</c:formatCode>
                <c:ptCount val="6"/>
                <c:pt idx="0">
                  <c:v>-0.90772701057372629</c:v>
                </c:pt>
                <c:pt idx="1">
                  <c:v>1.3324296052555091</c:v>
                </c:pt>
                <c:pt idx="2">
                  <c:v>-5.0748245695246004</c:v>
                </c:pt>
                <c:pt idx="3">
                  <c:v>3.1360876258242971</c:v>
                </c:pt>
                <c:pt idx="4">
                  <c:v>3.9951204682078298</c:v>
                </c:pt>
                <c:pt idx="5">
                  <c:v>-0.67897468998909605</c:v>
                </c:pt>
              </c:numCache>
            </c:numRef>
          </c:val>
          <c:extLst>
            <c:ext xmlns:c16="http://schemas.microsoft.com/office/drawing/2014/chart" uri="{C3380CC4-5D6E-409C-BE32-E72D297353CC}">
              <c16:uniqueId val="{00000000-2755-4CF4-A7A1-623715C1CE90}"/>
            </c:ext>
          </c:extLst>
        </c:ser>
        <c:ser>
          <c:idx val="1"/>
          <c:order val="1"/>
          <c:tx>
            <c:strRef>
              <c:f>Sheet1!$C$1</c:f>
              <c:strCache>
                <c:ptCount val="1"/>
                <c:pt idx="0">
                  <c:v>Այլ հոսքեր (այդ թվում՝ զուտ վարկավորում)*</c:v>
                </c:pt>
              </c:strCache>
            </c:strRef>
          </c:tx>
          <c:spPr>
            <a:solidFill>
              <a:srgbClr val="C0504D"/>
            </a:solidFill>
            <a:ln w="25412">
              <a:noFill/>
            </a:ln>
          </c:spPr>
          <c:invertIfNegative val="0"/>
          <c:cat>
            <c:numRef>
              <c:f>Sheet1!$A$2:$A$8</c:f>
              <c:numCache>
                <c:formatCode>0</c:formatCode>
                <c:ptCount val="6"/>
                <c:pt idx="0" formatCode="General">
                  <c:v>2018</c:v>
                </c:pt>
                <c:pt idx="1">
                  <c:v>2019</c:v>
                </c:pt>
                <c:pt idx="2">
                  <c:v>2020</c:v>
                </c:pt>
                <c:pt idx="3">
                  <c:v>2021</c:v>
                </c:pt>
                <c:pt idx="4">
                  <c:v>2022</c:v>
                </c:pt>
                <c:pt idx="5">
                  <c:v>2023</c:v>
                </c:pt>
              </c:numCache>
            </c:numRef>
          </c:cat>
          <c:val>
            <c:numRef>
              <c:f>Sheet1!$C$2:$C$8</c:f>
              <c:numCache>
                <c:formatCode>0.0</c:formatCode>
                <c:ptCount val="6"/>
                <c:pt idx="0">
                  <c:v>0.81037920761112525</c:v>
                </c:pt>
                <c:pt idx="1">
                  <c:v>1.0104016885491129</c:v>
                </c:pt>
                <c:pt idx="2">
                  <c:v>2.21635856273718</c:v>
                </c:pt>
                <c:pt idx="3">
                  <c:v>2.0044311451919463</c:v>
                </c:pt>
                <c:pt idx="4">
                  <c:v>1.9356766900099158</c:v>
                </c:pt>
                <c:pt idx="5">
                  <c:v>3.5245699008498432</c:v>
                </c:pt>
              </c:numCache>
            </c:numRef>
          </c:val>
          <c:extLst>
            <c:ext xmlns:c16="http://schemas.microsoft.com/office/drawing/2014/chart" uri="{C3380CC4-5D6E-409C-BE32-E72D297353CC}">
              <c16:uniqueId val="{00000001-2755-4CF4-A7A1-623715C1CE90}"/>
            </c:ext>
          </c:extLst>
        </c:ser>
        <c:ser>
          <c:idx val="2"/>
          <c:order val="2"/>
          <c:tx>
            <c:strRef>
              <c:f>Sheet1!$D$1</c:f>
              <c:strCache>
                <c:ptCount val="1"/>
                <c:pt idx="0">
                  <c:v>Փոխարժեքի արժեզրկում</c:v>
                </c:pt>
              </c:strCache>
            </c:strRef>
          </c:tx>
          <c:invertIfNegative val="0"/>
          <c:cat>
            <c:numRef>
              <c:f>Sheet1!$A$2:$A$8</c:f>
              <c:numCache>
                <c:formatCode>0</c:formatCode>
                <c:ptCount val="6"/>
                <c:pt idx="0" formatCode="General">
                  <c:v>2018</c:v>
                </c:pt>
                <c:pt idx="1">
                  <c:v>2019</c:v>
                </c:pt>
                <c:pt idx="2">
                  <c:v>2020</c:v>
                </c:pt>
                <c:pt idx="3">
                  <c:v>2021</c:v>
                </c:pt>
                <c:pt idx="4">
                  <c:v>2022</c:v>
                </c:pt>
                <c:pt idx="5">
                  <c:v>2023</c:v>
                </c:pt>
              </c:numCache>
            </c:numRef>
          </c:cat>
          <c:val>
            <c:numRef>
              <c:f>Sheet1!$D$2:$D$8</c:f>
              <c:numCache>
                <c:formatCode>0.0</c:formatCode>
                <c:ptCount val="6"/>
                <c:pt idx="0">
                  <c:v>-3.0355942288865109E-2</c:v>
                </c:pt>
                <c:pt idx="1">
                  <c:v>-0.33045922768254016</c:v>
                </c:pt>
                <c:pt idx="2">
                  <c:v>7.7276045913410369</c:v>
                </c:pt>
                <c:pt idx="3">
                  <c:v>-4.1064127374131729</c:v>
                </c:pt>
                <c:pt idx="4">
                  <c:v>-11.08439534939259</c:v>
                </c:pt>
                <c:pt idx="5">
                  <c:v>1.6449462201647991</c:v>
                </c:pt>
              </c:numCache>
            </c:numRef>
          </c:val>
          <c:extLst>
            <c:ext xmlns:c16="http://schemas.microsoft.com/office/drawing/2014/chart" uri="{C3380CC4-5D6E-409C-BE32-E72D297353CC}">
              <c16:uniqueId val="{00000002-2755-4CF4-A7A1-623715C1CE90}"/>
            </c:ext>
          </c:extLst>
        </c:ser>
        <c:ser>
          <c:idx val="3"/>
          <c:order val="3"/>
          <c:tx>
            <c:strRef>
              <c:f>Sheet1!$E$1</c:f>
              <c:strCache>
                <c:ptCount val="1"/>
                <c:pt idx="0">
                  <c:v>Իրական ՀՆԱ աճ</c:v>
                </c:pt>
              </c:strCache>
            </c:strRef>
          </c:tx>
          <c:invertIfNegative val="0"/>
          <c:cat>
            <c:numRef>
              <c:f>Sheet1!$A$2:$A$8</c:f>
              <c:numCache>
                <c:formatCode>0</c:formatCode>
                <c:ptCount val="6"/>
                <c:pt idx="0" formatCode="General">
                  <c:v>2018</c:v>
                </c:pt>
                <c:pt idx="1">
                  <c:v>2019</c:v>
                </c:pt>
                <c:pt idx="2">
                  <c:v>2020</c:v>
                </c:pt>
                <c:pt idx="3">
                  <c:v>2021</c:v>
                </c:pt>
                <c:pt idx="4">
                  <c:v>2022</c:v>
                </c:pt>
                <c:pt idx="5">
                  <c:v>2023</c:v>
                </c:pt>
              </c:numCache>
            </c:numRef>
          </c:cat>
          <c:val>
            <c:numRef>
              <c:f>Sheet1!$E$2:$E$8</c:f>
              <c:numCache>
                <c:formatCode>0.0</c:formatCode>
                <c:ptCount val="6"/>
                <c:pt idx="0">
                  <c:v>-2.6039370723394306</c:v>
                </c:pt>
                <c:pt idx="1">
                  <c:v>-3.5727954124852048</c:v>
                </c:pt>
                <c:pt idx="2">
                  <c:v>3.926057975495334</c:v>
                </c:pt>
                <c:pt idx="3">
                  <c:v>-3.18050947021265</c:v>
                </c:pt>
                <c:pt idx="4">
                  <c:v>-6.2428320794759395</c:v>
                </c:pt>
                <c:pt idx="5">
                  <c:v>-3.6343338154475808</c:v>
                </c:pt>
              </c:numCache>
            </c:numRef>
          </c:val>
          <c:extLst>
            <c:ext xmlns:c16="http://schemas.microsoft.com/office/drawing/2014/chart" uri="{C3380CC4-5D6E-409C-BE32-E72D297353CC}">
              <c16:uniqueId val="{00000003-2755-4CF4-A7A1-623715C1CE90}"/>
            </c:ext>
          </c:extLst>
        </c:ser>
        <c:ser>
          <c:idx val="4"/>
          <c:order val="4"/>
          <c:tx>
            <c:strRef>
              <c:f>Sheet1!$F$1</c:f>
              <c:strCache>
                <c:ptCount val="1"/>
                <c:pt idx="0">
                  <c:v>Իրական տոկոսադրույք</c:v>
                </c:pt>
              </c:strCache>
            </c:strRef>
          </c:tx>
          <c:invertIfNegative val="0"/>
          <c:cat>
            <c:numRef>
              <c:f>Sheet1!$A$2:$A$8</c:f>
              <c:numCache>
                <c:formatCode>0</c:formatCode>
                <c:ptCount val="6"/>
                <c:pt idx="0" formatCode="General">
                  <c:v>2018</c:v>
                </c:pt>
                <c:pt idx="1">
                  <c:v>2019</c:v>
                </c:pt>
                <c:pt idx="2">
                  <c:v>2020</c:v>
                </c:pt>
                <c:pt idx="3">
                  <c:v>2021</c:v>
                </c:pt>
                <c:pt idx="4">
                  <c:v>2022</c:v>
                </c:pt>
                <c:pt idx="5">
                  <c:v>2023</c:v>
                </c:pt>
              </c:numCache>
            </c:numRef>
          </c:cat>
          <c:val>
            <c:numRef>
              <c:f>Sheet1!$F$2:$F$8</c:f>
              <c:numCache>
                <c:formatCode>0.0</c:formatCode>
                <c:ptCount val="6"/>
                <c:pt idx="0">
                  <c:v>0.98012789078743601</c:v>
                </c:pt>
                <c:pt idx="1">
                  <c:v>1.6930478859443168</c:v>
                </c:pt>
                <c:pt idx="2">
                  <c:v>1.8892831418731026</c:v>
                </c:pt>
                <c:pt idx="3">
                  <c:v>-2.710557332184548</c:v>
                </c:pt>
                <c:pt idx="4">
                  <c:v>-1.6238836096552516</c:v>
                </c:pt>
                <c:pt idx="5">
                  <c:v>1.6000367001661333</c:v>
                </c:pt>
              </c:numCache>
            </c:numRef>
          </c:val>
          <c:extLst>
            <c:ext xmlns:c16="http://schemas.microsoft.com/office/drawing/2014/chart" uri="{C3380CC4-5D6E-409C-BE32-E72D297353CC}">
              <c16:uniqueId val="{00000004-2755-4CF4-A7A1-623715C1CE90}"/>
            </c:ext>
          </c:extLst>
        </c:ser>
        <c:ser>
          <c:idx val="5"/>
          <c:order val="5"/>
          <c:tx>
            <c:strRef>
              <c:f>Sheet1!$G$1</c:f>
              <c:strCache>
                <c:ptCount val="1"/>
                <c:pt idx="0">
                  <c:v>Առաջնային պակասուրդ</c:v>
                </c:pt>
              </c:strCache>
            </c:strRef>
          </c:tx>
          <c:invertIfNegative val="0"/>
          <c:cat>
            <c:numRef>
              <c:f>Sheet1!$A$2:$A$8</c:f>
              <c:numCache>
                <c:formatCode>0</c:formatCode>
                <c:ptCount val="6"/>
                <c:pt idx="0" formatCode="General">
                  <c:v>2018</c:v>
                </c:pt>
                <c:pt idx="1">
                  <c:v>2019</c:v>
                </c:pt>
                <c:pt idx="2">
                  <c:v>2020</c:v>
                </c:pt>
                <c:pt idx="3">
                  <c:v>2021</c:v>
                </c:pt>
                <c:pt idx="4">
                  <c:v>2022</c:v>
                </c:pt>
                <c:pt idx="5">
                  <c:v>2023</c:v>
                </c:pt>
              </c:numCache>
            </c:numRef>
          </c:cat>
          <c:val>
            <c:numRef>
              <c:f>Sheet1!$G$2:$G$8</c:f>
              <c:numCache>
                <c:formatCode>0.0</c:formatCode>
                <c:ptCount val="6"/>
                <c:pt idx="0">
                  <c:v>-0.57258085880967613</c:v>
                </c:pt>
                <c:pt idx="1">
                  <c:v>-1.4284363292094469</c:v>
                </c:pt>
                <c:pt idx="2">
                  <c:v>2.7058821432047737</c:v>
                </c:pt>
                <c:pt idx="3">
                  <c:v>1.9996616027161203</c:v>
                </c:pt>
                <c:pt idx="4">
                  <c:v>-0.37885727665999819</c:v>
                </c:pt>
                <c:pt idx="5">
                  <c:v>-0.67897468998909594</c:v>
                </c:pt>
              </c:numCache>
            </c:numRef>
          </c:val>
          <c:extLst>
            <c:ext xmlns:c16="http://schemas.microsoft.com/office/drawing/2014/chart" uri="{C3380CC4-5D6E-409C-BE32-E72D297353CC}">
              <c16:uniqueId val="{00000005-2755-4CF4-A7A1-623715C1CE90}"/>
            </c:ext>
          </c:extLst>
        </c:ser>
        <c:dLbls>
          <c:showLegendKey val="0"/>
          <c:showVal val="0"/>
          <c:showCatName val="0"/>
          <c:showSerName val="0"/>
          <c:showPercent val="0"/>
          <c:showBubbleSize val="0"/>
        </c:dLbls>
        <c:gapWidth val="219"/>
        <c:overlap val="100"/>
        <c:axId val="612018368"/>
        <c:axId val="1"/>
      </c:barChart>
      <c:lineChart>
        <c:grouping val="standard"/>
        <c:varyColors val="0"/>
        <c:ser>
          <c:idx val="6"/>
          <c:order val="6"/>
          <c:tx>
            <c:strRef>
              <c:f>Sheet1!$H$1</c:f>
              <c:strCache>
                <c:ptCount val="1"/>
                <c:pt idx="0">
                  <c:v>Պարտք/ՀՆԱ փոփոխություն, %-ային կետ </c:v>
                </c:pt>
              </c:strCache>
            </c:strRef>
          </c:tx>
          <c:marker>
            <c:symbol val="square"/>
            <c:size val="5"/>
          </c:marker>
          <c:dLbls>
            <c:spPr>
              <a:noFill/>
              <a:ln w="25414">
                <a:noFill/>
              </a:ln>
            </c:spPr>
            <c:txPr>
              <a:bodyPr wrap="square" lIns="38100" tIns="19050" rIns="38100" bIns="19050" anchor="ctr">
                <a:spAutoFit/>
              </a:bodyPr>
              <a:lstStyle/>
              <a:p>
                <a:pPr>
                  <a:defRPr sz="1051" b="1">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Sheet1!$A$2:$A$8</c:f>
              <c:numCache>
                <c:formatCode>0</c:formatCode>
                <c:ptCount val="6"/>
                <c:pt idx="0" formatCode="General">
                  <c:v>2018</c:v>
                </c:pt>
                <c:pt idx="1">
                  <c:v>2019</c:v>
                </c:pt>
                <c:pt idx="2">
                  <c:v>2020</c:v>
                </c:pt>
                <c:pt idx="3">
                  <c:v>2021</c:v>
                </c:pt>
                <c:pt idx="4">
                  <c:v>2022</c:v>
                </c:pt>
                <c:pt idx="5">
                  <c:v>2023</c:v>
                </c:pt>
              </c:numCache>
            </c:numRef>
          </c:cat>
          <c:val>
            <c:numRef>
              <c:f>Sheet1!$H$2:$H$8</c:f>
              <c:numCache>
                <c:formatCode>0.0</c:formatCode>
                <c:ptCount val="6"/>
                <c:pt idx="0">
                  <c:v>-2.3240937856131367</c:v>
                </c:pt>
                <c:pt idx="1">
                  <c:v>-1.2958117896282531</c:v>
                </c:pt>
                <c:pt idx="2">
                  <c:v>13.390361845126819</c:v>
                </c:pt>
                <c:pt idx="3">
                  <c:v>-3.1879983880129572</c:v>
                </c:pt>
                <c:pt idx="4">
                  <c:v>-13.567376196087373</c:v>
                </c:pt>
                <c:pt idx="5">
                  <c:v>1.4173693869247401</c:v>
                </c:pt>
              </c:numCache>
            </c:numRef>
          </c:val>
          <c:smooth val="0"/>
          <c:extLst>
            <c:ext xmlns:c16="http://schemas.microsoft.com/office/drawing/2014/chart" uri="{C3380CC4-5D6E-409C-BE32-E72D297353CC}">
              <c16:uniqueId val="{00000006-2755-4CF4-A7A1-623715C1CE90}"/>
            </c:ext>
          </c:extLst>
        </c:ser>
        <c:dLbls>
          <c:showLegendKey val="0"/>
          <c:showVal val="0"/>
          <c:showCatName val="0"/>
          <c:showSerName val="0"/>
          <c:showPercent val="0"/>
          <c:showBubbleSize val="0"/>
        </c:dLbls>
        <c:marker val="1"/>
        <c:smooth val="0"/>
        <c:axId val="612018368"/>
        <c:axId val="1"/>
      </c:lineChart>
      <c:catAx>
        <c:axId val="612018368"/>
        <c:scaling>
          <c:orientation val="minMax"/>
        </c:scaling>
        <c:delete val="0"/>
        <c:axPos val="b"/>
        <c:numFmt formatCode="General" sourceLinked="1"/>
        <c:majorTickMark val="none"/>
        <c:minorTickMark val="none"/>
        <c:tickLblPos val="low"/>
        <c:spPr>
          <a:noFill/>
          <a:ln w="9529" cap="flat" cmpd="sng" algn="ctr">
            <a:solidFill>
              <a:schemeClr val="tx1">
                <a:lumMod val="15000"/>
                <a:lumOff val="85000"/>
              </a:schemeClr>
            </a:solidFill>
            <a:round/>
          </a:ln>
          <a:effectLst/>
        </c:spPr>
        <c:txPr>
          <a:bodyPr rot="-60000000" spcFirstLastPara="1" vertOverflow="ellipsis" vert="horz" wrap="square" anchor="ctr" anchorCtr="1"/>
          <a:lstStyle/>
          <a:p>
            <a:pPr>
              <a:defRPr sz="1001" b="0" i="0" u="none" strike="noStrike" kern="1200" baseline="0">
                <a:solidFill>
                  <a:sysClr val="windowText" lastClr="000000"/>
                </a:solidFill>
                <a:latin typeface="GHEA Grapalat" pitchFamily="50" charset="0"/>
                <a:ea typeface="+mn-ea"/>
                <a:cs typeface="+mn-cs"/>
              </a:defRPr>
            </a:pPr>
            <a:endParaRPr lang="en-US"/>
          </a:p>
        </c:txPr>
        <c:crossAx val="1"/>
        <c:crosses val="autoZero"/>
        <c:auto val="1"/>
        <c:lblAlgn val="ctr"/>
        <c:lblOffset val="100"/>
        <c:noMultiLvlLbl val="0"/>
      </c:catAx>
      <c:valAx>
        <c:axId val="1"/>
        <c:scaling>
          <c:orientation val="minMax"/>
        </c:scaling>
        <c:delete val="0"/>
        <c:axPos val="l"/>
        <c:numFmt formatCode="0.0" sourceLinked="1"/>
        <c:majorTickMark val="none"/>
        <c:minorTickMark val="none"/>
        <c:tickLblPos val="nextTo"/>
        <c:spPr>
          <a:ln w="9529">
            <a:noFill/>
          </a:ln>
        </c:spPr>
        <c:txPr>
          <a:bodyPr rot="-60000000" spcFirstLastPara="1" vertOverflow="ellipsis" vert="horz" wrap="square" anchor="ctr" anchorCtr="1"/>
          <a:lstStyle/>
          <a:p>
            <a:pPr>
              <a:defRPr sz="800" b="0" i="0" u="none" strike="noStrike" kern="1200" baseline="0">
                <a:solidFill>
                  <a:sysClr val="windowText" lastClr="000000"/>
                </a:solidFill>
                <a:latin typeface="GHEA Grapalat" pitchFamily="50" charset="0"/>
                <a:ea typeface="+mn-ea"/>
                <a:cs typeface="+mn-cs"/>
              </a:defRPr>
            </a:pPr>
            <a:endParaRPr lang="en-US"/>
          </a:p>
        </c:txPr>
        <c:crossAx val="612018368"/>
        <c:crosses val="autoZero"/>
        <c:crossBetween val="between"/>
      </c:valAx>
      <c:spPr>
        <a:solidFill>
          <a:schemeClr val="bg1"/>
        </a:solidFill>
        <a:ln w="6354">
          <a:solidFill>
            <a:sysClr val="window" lastClr="FFFFFF">
              <a:lumMod val="85000"/>
            </a:sysClr>
          </a:solidFill>
        </a:ln>
        <a:effectLst/>
      </c:spPr>
    </c:plotArea>
    <c:legend>
      <c:legendPos val="r"/>
      <c:layout>
        <c:manualLayout>
          <c:xMode val="edge"/>
          <c:yMode val="edge"/>
          <c:x val="0.68027204744203362"/>
          <c:y val="5.2015707338908215E-2"/>
          <c:w val="0.30790307320182264"/>
          <c:h val="0.92339620338155393"/>
        </c:manualLayout>
      </c:layout>
      <c:overlay val="0"/>
      <c:spPr>
        <a:noFill/>
        <a:ln w="25412">
          <a:noFill/>
        </a:ln>
      </c:spPr>
      <c:txPr>
        <a:bodyPr rot="0" spcFirstLastPara="1" vertOverflow="ellipsis" vert="horz" wrap="square" anchor="ctr" anchorCtr="1"/>
        <a:lstStyle/>
        <a:p>
          <a:pPr>
            <a:defRPr sz="901" b="0" i="0" u="none" strike="noStrike" kern="1200" baseline="0">
              <a:solidFill>
                <a:sysClr val="windowText" lastClr="000000"/>
              </a:solidFill>
              <a:latin typeface="GHEA Grapalat" pitchFamily="50" charset="0"/>
              <a:ea typeface="+mn-ea"/>
              <a:cs typeface="+mn-cs"/>
            </a:defRPr>
          </a:pPr>
          <a:endParaRPr lang="en-US"/>
        </a:p>
      </c:txPr>
    </c:legend>
    <c:plotVisOnly val="1"/>
    <c:dispBlanksAs val="gap"/>
    <c:showDLblsOverMax val="0"/>
  </c:chart>
  <c:spPr>
    <a:noFill/>
    <a:ln w="9529"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hy-AM" sz="1100"/>
              <a:t>Կապիտալ ծախսերի </a:t>
            </a:r>
            <a:r>
              <a:rPr lang="en-US" sz="1100"/>
              <a:t>/ </a:t>
            </a:r>
            <a:r>
              <a:rPr lang="hy-AM" sz="1100"/>
              <a:t>պակասուրդի կանոն</a:t>
            </a:r>
            <a:endParaRPr lang="en-US" sz="1100"/>
          </a:p>
        </c:rich>
      </c:tx>
      <c:layout>
        <c:manualLayout>
          <c:xMode val="edge"/>
          <c:yMode val="edge"/>
          <c:x val="0.20234355880928703"/>
          <c:y val="0"/>
        </c:manualLayout>
      </c:layout>
      <c:overlay val="0"/>
      <c:spPr>
        <a:noFill/>
        <a:ln w="25394">
          <a:noFill/>
        </a:ln>
      </c:spPr>
    </c:title>
    <c:autoTitleDeleted val="0"/>
    <c:plotArea>
      <c:layout>
        <c:manualLayout>
          <c:layoutTarget val="inner"/>
          <c:xMode val="edge"/>
          <c:yMode val="edge"/>
          <c:x val="0.2687539966595085"/>
          <c:y val="0.14425632782061412"/>
          <c:w val="0.7232698639942734"/>
          <c:h val="0.59580779046217847"/>
        </c:manualLayout>
      </c:layout>
      <c:barChart>
        <c:barDir val="col"/>
        <c:grouping val="clustered"/>
        <c:varyColors val="0"/>
        <c:ser>
          <c:idx val="0"/>
          <c:order val="0"/>
          <c:tx>
            <c:strRef>
              <c:f>Sheet1!$B$1</c:f>
              <c:strCache>
                <c:ptCount val="1"/>
                <c:pt idx="0">
                  <c:v>Կապիտալ ծախսեր, մլրդ դրամ</c:v>
                </c:pt>
              </c:strCache>
            </c:strRef>
          </c:tx>
          <c:spPr>
            <a:solidFill>
              <a:srgbClr val="4F81BD"/>
            </a:solidFill>
          </c:spPr>
          <c:invertIfNegative val="0"/>
          <c:cat>
            <c:numRef>
              <c:f>Sheet1!$A$2:$A$9</c:f>
              <c:numCache>
                <c:formatCode>General</c:formatCode>
                <c:ptCount val="5"/>
                <c:pt idx="0">
                  <c:v>2019</c:v>
                </c:pt>
                <c:pt idx="1">
                  <c:v>2020</c:v>
                </c:pt>
                <c:pt idx="2">
                  <c:v>2021</c:v>
                </c:pt>
                <c:pt idx="3">
                  <c:v>2022</c:v>
                </c:pt>
                <c:pt idx="4">
                  <c:v>2023</c:v>
                </c:pt>
              </c:numCache>
            </c:numRef>
          </c:cat>
          <c:val>
            <c:numRef>
              <c:f>Sheet1!$B$2:$B$9</c:f>
              <c:numCache>
                <c:formatCode>0.0</c:formatCode>
                <c:ptCount val="5"/>
                <c:pt idx="0">
                  <c:v>192.29396460000001</c:v>
                </c:pt>
                <c:pt idx="1">
                  <c:v>226.18871941</c:v>
                </c:pt>
                <c:pt idx="2">
                  <c:v>216.33459556000003</c:v>
                </c:pt>
                <c:pt idx="3">
                  <c:v>380.38691836000004</c:v>
                </c:pt>
                <c:pt idx="4">
                  <c:v>472.58954546000001</c:v>
                </c:pt>
              </c:numCache>
            </c:numRef>
          </c:val>
          <c:extLst>
            <c:ext xmlns:c16="http://schemas.microsoft.com/office/drawing/2014/chart" uri="{C3380CC4-5D6E-409C-BE32-E72D297353CC}">
              <c16:uniqueId val="{00000000-7F31-4F5A-9458-2645E2DB3627}"/>
            </c:ext>
          </c:extLst>
        </c:ser>
        <c:ser>
          <c:idx val="1"/>
          <c:order val="1"/>
          <c:tx>
            <c:strRef>
              <c:f>Sheet1!$C$1</c:f>
              <c:strCache>
                <c:ptCount val="1"/>
                <c:pt idx="0">
                  <c:v>Պետական բյուջեի պակասուրդ, մլրդ դրամ</c:v>
                </c:pt>
              </c:strCache>
            </c:strRef>
          </c:tx>
          <c:spPr>
            <a:solidFill>
              <a:srgbClr val="F79646"/>
            </a:solidFill>
            <a:ln>
              <a:solidFill>
                <a:srgbClr val="C00000"/>
              </a:solidFill>
            </a:ln>
          </c:spPr>
          <c:invertIfNegative val="0"/>
          <c:cat>
            <c:numRef>
              <c:f>Sheet1!$A$2:$A$9</c:f>
              <c:numCache>
                <c:formatCode>General</c:formatCode>
                <c:ptCount val="5"/>
                <c:pt idx="0">
                  <c:v>2019</c:v>
                </c:pt>
                <c:pt idx="1">
                  <c:v>2020</c:v>
                </c:pt>
                <c:pt idx="2">
                  <c:v>2021</c:v>
                </c:pt>
                <c:pt idx="3">
                  <c:v>2022</c:v>
                </c:pt>
                <c:pt idx="4">
                  <c:v>2023</c:v>
                </c:pt>
              </c:numCache>
            </c:numRef>
          </c:cat>
          <c:val>
            <c:numRef>
              <c:f>Sheet1!$C$2:$C$9</c:f>
              <c:numCache>
                <c:formatCode>0.0</c:formatCode>
                <c:ptCount val="5"/>
                <c:pt idx="0">
                  <c:v>63.963703050000049</c:v>
                </c:pt>
                <c:pt idx="1">
                  <c:v>333.99175418800019</c:v>
                </c:pt>
                <c:pt idx="2">
                  <c:v>320.46961205000002</c:v>
                </c:pt>
                <c:pt idx="3">
                  <c:v>179.46318335640001</c:v>
                </c:pt>
                <c:pt idx="4">
                  <c:v>188.866285498</c:v>
                </c:pt>
              </c:numCache>
            </c:numRef>
          </c:val>
          <c:extLst>
            <c:ext xmlns:c16="http://schemas.microsoft.com/office/drawing/2014/chart" uri="{C3380CC4-5D6E-409C-BE32-E72D297353CC}">
              <c16:uniqueId val="{00000001-7F31-4F5A-9458-2645E2DB3627}"/>
            </c:ext>
          </c:extLst>
        </c:ser>
        <c:ser>
          <c:idx val="2"/>
          <c:order val="2"/>
          <c:tx>
            <c:strRef>
              <c:f>Sheet1!$D$1</c:f>
              <c:strCache>
                <c:ptCount val="1"/>
                <c:pt idx="0">
                  <c:v>Շեղում կանոնից, մլրդ դրամ</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5"/>
                <c:pt idx="0">
                  <c:v>2019</c:v>
                </c:pt>
                <c:pt idx="1">
                  <c:v>2020</c:v>
                </c:pt>
                <c:pt idx="2">
                  <c:v>2021</c:v>
                </c:pt>
                <c:pt idx="3">
                  <c:v>2022</c:v>
                </c:pt>
                <c:pt idx="4">
                  <c:v>2023</c:v>
                </c:pt>
              </c:numCache>
            </c:numRef>
          </c:cat>
          <c:val>
            <c:numRef>
              <c:f>Sheet1!$D$2:$D$9</c:f>
              <c:numCache>
                <c:formatCode>0.0</c:formatCode>
                <c:ptCount val="5"/>
                <c:pt idx="0">
                  <c:v>-128.33026154999996</c:v>
                </c:pt>
                <c:pt idx="1">
                  <c:v>107.80303477800018</c:v>
                </c:pt>
                <c:pt idx="2">
                  <c:v>104.13501649</c:v>
                </c:pt>
                <c:pt idx="3">
                  <c:v>-200.92373500360003</c:v>
                </c:pt>
                <c:pt idx="4">
                  <c:v>-283.72325996200004</c:v>
                </c:pt>
              </c:numCache>
            </c:numRef>
          </c:val>
          <c:extLst>
            <c:ext xmlns:c16="http://schemas.microsoft.com/office/drawing/2014/chart" uri="{C3380CC4-5D6E-409C-BE32-E72D297353CC}">
              <c16:uniqueId val="{00000002-7F31-4F5A-9458-2645E2DB3627}"/>
            </c:ext>
          </c:extLst>
        </c:ser>
        <c:dLbls>
          <c:showLegendKey val="0"/>
          <c:showVal val="0"/>
          <c:showCatName val="0"/>
          <c:showSerName val="0"/>
          <c:showPercent val="0"/>
          <c:showBubbleSize val="0"/>
        </c:dLbls>
        <c:gapWidth val="150"/>
        <c:axId val="612019200"/>
        <c:axId val="1"/>
      </c:barChart>
      <c:catAx>
        <c:axId val="612019200"/>
        <c:scaling>
          <c:orientation val="minMax"/>
        </c:scaling>
        <c:delete val="0"/>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numFmt formatCode="0.0" sourceLinked="1"/>
        <c:majorTickMark val="out"/>
        <c:minorTickMark val="none"/>
        <c:tickLblPos val="nextTo"/>
        <c:spPr>
          <a:ln>
            <a:noFill/>
          </a:ln>
        </c:spPr>
        <c:crossAx val="612019200"/>
        <c:crosses val="autoZero"/>
        <c:crossBetween val="between"/>
      </c:valAx>
      <c:spPr>
        <a:noFill/>
        <a:ln w="25400">
          <a:noFill/>
        </a:ln>
      </c:spPr>
    </c:plotArea>
    <c:legend>
      <c:legendPos val="r"/>
      <c:layout>
        <c:manualLayout>
          <c:xMode val="edge"/>
          <c:yMode val="edge"/>
          <c:x val="0"/>
          <c:y val="0.84674817529952628"/>
          <c:w val="0.93542416288872987"/>
          <c:h val="0.15325177778383239"/>
        </c:manualLayout>
      </c:layout>
      <c:overlay val="0"/>
      <c:spPr>
        <a:ln>
          <a:noFill/>
        </a:ln>
      </c:spPr>
      <c:txPr>
        <a:bodyPr/>
        <a:lstStyle/>
        <a:p>
          <a:pPr>
            <a:defRPr sz="900"/>
          </a:pPr>
          <a:endParaRPr lang="en-US"/>
        </a:p>
      </c:txPr>
    </c:legend>
    <c:plotVisOnly val="1"/>
    <c:dispBlanksAs val="gap"/>
    <c:showDLblsOverMax val="0"/>
  </c:chart>
  <c:spPr>
    <a:noFill/>
    <a:ln w="9523">
      <a:solidFill>
        <a:sysClr val="windowText" lastClr="000000">
          <a:alpha val="20000"/>
        </a:sysClr>
      </a:solidFill>
    </a:ln>
  </c:spPr>
  <c:txPr>
    <a:bodyPr/>
    <a:lstStyle/>
    <a:p>
      <a:pPr>
        <a:defRPr sz="1000">
          <a:latin typeface="GHEA Grapalat" panose="02000506050000020003" pitchFamily="50" charset="0"/>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89"/>
            </a:pPr>
            <a:r>
              <a:rPr lang="hy-AM" sz="1089"/>
              <a:t>Ընթացիկ ծախսերի կանոն</a:t>
            </a:r>
            <a:endParaRPr lang="en-US" sz="1100"/>
          </a:p>
        </c:rich>
      </c:tx>
      <c:overlay val="0"/>
      <c:spPr>
        <a:noFill/>
        <a:ln w="25149">
          <a:noFill/>
        </a:ln>
      </c:spPr>
    </c:title>
    <c:autoTitleDeleted val="0"/>
    <c:plotArea>
      <c:layout>
        <c:manualLayout>
          <c:layoutTarget val="inner"/>
          <c:xMode val="edge"/>
          <c:yMode val="edge"/>
          <c:x val="0.17534831081894581"/>
          <c:y val="0.15136176159798206"/>
          <c:w val="0.84534030535631255"/>
          <c:h val="0.59284899339206654"/>
        </c:manualLayout>
      </c:layout>
      <c:barChart>
        <c:barDir val="col"/>
        <c:grouping val="clustered"/>
        <c:varyColors val="0"/>
        <c:ser>
          <c:idx val="0"/>
          <c:order val="0"/>
          <c:tx>
            <c:strRef>
              <c:f>Sheet1!$B$1</c:f>
              <c:strCache>
                <c:ptCount val="1"/>
                <c:pt idx="0">
                  <c:v>Ընթացիկ առաջնային ծախսերն ըստ կանոնի, մլրդ դրամ</c:v>
                </c:pt>
              </c:strCache>
            </c:strRef>
          </c:tx>
          <c:spPr>
            <a:solidFill>
              <a:srgbClr val="4F81BD"/>
            </a:solidFill>
          </c:spPr>
          <c:invertIfNegative val="0"/>
          <c:cat>
            <c:numRef>
              <c:f>Sheet1!$A$2:$A$9</c:f>
              <c:numCache>
                <c:formatCode>General</c:formatCode>
                <c:ptCount val="5"/>
                <c:pt idx="0">
                  <c:v>2019</c:v>
                </c:pt>
                <c:pt idx="1">
                  <c:v>2020</c:v>
                </c:pt>
                <c:pt idx="2">
                  <c:v>2021</c:v>
                </c:pt>
                <c:pt idx="3">
                  <c:v>2022</c:v>
                </c:pt>
                <c:pt idx="4">
                  <c:v>2023</c:v>
                </c:pt>
              </c:numCache>
            </c:numRef>
          </c:cat>
          <c:val>
            <c:numRef>
              <c:f>Sheet1!$B$2:$B$9</c:f>
              <c:numCache>
                <c:formatCode>0.0</c:formatCode>
                <c:ptCount val="5"/>
                <c:pt idx="0">
                  <c:v>1284.9599445369749</c:v>
                </c:pt>
                <c:pt idx="1">
                  <c:v>1297.6170272401653</c:v>
                </c:pt>
                <c:pt idx="2">
                  <c:v>1441.8595177494344</c:v>
                </c:pt>
                <c:pt idx="3">
                  <c:v>1634.0108834794851</c:v>
                </c:pt>
                <c:pt idx="4">
                  <c:v>1779.0488274241902</c:v>
                </c:pt>
              </c:numCache>
            </c:numRef>
          </c:val>
          <c:extLst>
            <c:ext xmlns:c16="http://schemas.microsoft.com/office/drawing/2014/chart" uri="{C3380CC4-5D6E-409C-BE32-E72D297353CC}">
              <c16:uniqueId val="{00000000-DBAF-46C4-97DC-481A4A700B67}"/>
            </c:ext>
          </c:extLst>
        </c:ser>
        <c:ser>
          <c:idx val="1"/>
          <c:order val="1"/>
          <c:tx>
            <c:strRef>
              <c:f>Sheet1!$C$1</c:f>
              <c:strCache>
                <c:ptCount val="1"/>
                <c:pt idx="0">
                  <c:v>Փաստացի ընթացիկ առաջնային ծախսեր, մլրդ դրամ</c:v>
                </c:pt>
              </c:strCache>
            </c:strRef>
          </c:tx>
          <c:spPr>
            <a:solidFill>
              <a:srgbClr val="F79646"/>
            </a:solidFill>
            <a:ln>
              <a:noFill/>
            </a:ln>
          </c:spPr>
          <c:invertIfNegative val="0"/>
          <c:cat>
            <c:numRef>
              <c:f>Sheet1!$A$2:$A$9</c:f>
              <c:numCache>
                <c:formatCode>General</c:formatCode>
                <c:ptCount val="5"/>
                <c:pt idx="0">
                  <c:v>2019</c:v>
                </c:pt>
                <c:pt idx="1">
                  <c:v>2020</c:v>
                </c:pt>
                <c:pt idx="2">
                  <c:v>2021</c:v>
                </c:pt>
                <c:pt idx="3">
                  <c:v>2022</c:v>
                </c:pt>
                <c:pt idx="4">
                  <c:v>2023</c:v>
                </c:pt>
              </c:numCache>
            </c:numRef>
          </c:cat>
          <c:val>
            <c:numRef>
              <c:f>Sheet1!$C$2:$C$9</c:f>
              <c:numCache>
                <c:formatCode>0.0</c:formatCode>
                <c:ptCount val="5"/>
                <c:pt idx="0">
                  <c:v>1279.59019345</c:v>
                </c:pt>
                <c:pt idx="1">
                  <c:v>1503.45265997</c:v>
                </c:pt>
                <c:pt idx="2">
                  <c:v>1607.1302098200001</c:v>
                </c:pt>
                <c:pt idx="3">
                  <c:v>1663.89061302</c:v>
                </c:pt>
                <c:pt idx="4">
                  <c:v>1821.6476180899999</c:v>
                </c:pt>
              </c:numCache>
            </c:numRef>
          </c:val>
          <c:extLst>
            <c:ext xmlns:c16="http://schemas.microsoft.com/office/drawing/2014/chart" uri="{C3380CC4-5D6E-409C-BE32-E72D297353CC}">
              <c16:uniqueId val="{00000001-DBAF-46C4-97DC-481A4A700B67}"/>
            </c:ext>
          </c:extLst>
        </c:ser>
        <c:ser>
          <c:idx val="2"/>
          <c:order val="2"/>
          <c:tx>
            <c:strRef>
              <c:f>Sheet1!$D$1</c:f>
              <c:strCache>
                <c:ptCount val="1"/>
                <c:pt idx="0">
                  <c:v>Շեղում կանոնից, մլրդ դրամ</c:v>
                </c:pt>
              </c:strCache>
            </c:strRef>
          </c:tx>
          <c:spPr>
            <a:solidFill>
              <a:srgbClr val="FF00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Sheet1!$A$2:$A$9</c:f>
              <c:numCache>
                <c:formatCode>General</c:formatCode>
                <c:ptCount val="5"/>
                <c:pt idx="0">
                  <c:v>2019</c:v>
                </c:pt>
                <c:pt idx="1">
                  <c:v>2020</c:v>
                </c:pt>
                <c:pt idx="2">
                  <c:v>2021</c:v>
                </c:pt>
                <c:pt idx="3">
                  <c:v>2022</c:v>
                </c:pt>
                <c:pt idx="4">
                  <c:v>2023</c:v>
                </c:pt>
              </c:numCache>
            </c:numRef>
          </c:cat>
          <c:val>
            <c:numRef>
              <c:f>Sheet1!$D$2:$D$9</c:f>
              <c:numCache>
                <c:formatCode>0.0</c:formatCode>
                <c:ptCount val="5"/>
                <c:pt idx="0">
                  <c:v>5.3697510869749294</c:v>
                </c:pt>
                <c:pt idx="1">
                  <c:v>-205.83563272983474</c:v>
                </c:pt>
                <c:pt idx="2">
                  <c:v>-165.2706920705657</c:v>
                </c:pt>
                <c:pt idx="3">
                  <c:v>-29.879729540514973</c:v>
                </c:pt>
                <c:pt idx="4">
                  <c:v>-42.598790665809702</c:v>
                </c:pt>
              </c:numCache>
            </c:numRef>
          </c:val>
          <c:extLst>
            <c:ext xmlns:c16="http://schemas.microsoft.com/office/drawing/2014/chart" uri="{C3380CC4-5D6E-409C-BE32-E72D297353CC}">
              <c16:uniqueId val="{00000002-DBAF-46C4-97DC-481A4A700B67}"/>
            </c:ext>
          </c:extLst>
        </c:ser>
        <c:dLbls>
          <c:showLegendKey val="0"/>
          <c:showVal val="0"/>
          <c:showCatName val="0"/>
          <c:showSerName val="0"/>
          <c:showPercent val="0"/>
          <c:showBubbleSize val="0"/>
        </c:dLbls>
        <c:gapWidth val="150"/>
        <c:axId val="612017536"/>
        <c:axId val="1"/>
      </c:barChart>
      <c:catAx>
        <c:axId val="612017536"/>
        <c:scaling>
          <c:orientation val="minMax"/>
        </c:scaling>
        <c:delete val="0"/>
        <c:axPos val="b"/>
        <c:numFmt formatCode="General" sourceLinked="1"/>
        <c:majorTickMark val="out"/>
        <c:minorTickMark val="none"/>
        <c:tickLblPos val="low"/>
        <c:crossAx val="1"/>
        <c:crosses val="autoZero"/>
        <c:auto val="1"/>
        <c:lblAlgn val="ctr"/>
        <c:lblOffset val="100"/>
        <c:noMultiLvlLbl val="0"/>
      </c:catAx>
      <c:valAx>
        <c:axId val="1"/>
        <c:scaling>
          <c:orientation val="minMax"/>
          <c:max val="2000"/>
        </c:scaling>
        <c:delete val="0"/>
        <c:axPos val="l"/>
        <c:numFmt formatCode="0.0" sourceLinked="1"/>
        <c:majorTickMark val="out"/>
        <c:minorTickMark val="none"/>
        <c:tickLblPos val="nextTo"/>
        <c:spPr>
          <a:ln>
            <a:noFill/>
          </a:ln>
        </c:spPr>
        <c:crossAx val="612017536"/>
        <c:crosses val="autoZero"/>
        <c:crossBetween val="between"/>
      </c:valAx>
      <c:spPr>
        <a:ln w="6350">
          <a:solidFill>
            <a:sysClr val="window" lastClr="FFFFFF">
              <a:lumMod val="85000"/>
            </a:sysClr>
          </a:solidFill>
        </a:ln>
      </c:spPr>
    </c:plotArea>
    <c:legend>
      <c:legendPos val="r"/>
      <c:layout>
        <c:manualLayout>
          <c:xMode val="edge"/>
          <c:yMode val="edge"/>
          <c:x val="0"/>
          <c:y val="0.85601721981486045"/>
          <c:w val="0.98288071789191489"/>
          <c:h val="0.1439827806991254"/>
        </c:manualLayout>
      </c:layout>
      <c:overlay val="0"/>
      <c:spPr>
        <a:ln>
          <a:noFill/>
        </a:ln>
      </c:spPr>
      <c:txPr>
        <a:bodyPr/>
        <a:lstStyle/>
        <a:p>
          <a:pPr>
            <a:defRPr sz="800"/>
          </a:pPr>
          <a:endParaRPr lang="en-US"/>
        </a:p>
      </c:txPr>
    </c:legend>
    <c:plotVisOnly val="1"/>
    <c:dispBlanksAs val="gap"/>
    <c:showDLblsOverMax val="0"/>
  </c:chart>
  <c:spPr>
    <a:noFill/>
    <a:ln w="9431">
      <a:solidFill>
        <a:sysClr val="windowText" lastClr="000000">
          <a:alpha val="20000"/>
        </a:sysClr>
      </a:solidFill>
    </a:ln>
  </c:spPr>
  <c:txPr>
    <a:bodyPr/>
    <a:lstStyle/>
    <a:p>
      <a:pPr>
        <a:defRPr sz="990">
          <a:ln>
            <a:noFill/>
          </a:ln>
          <a:latin typeface="GHEA Grapalat" panose="02000506050000020003" pitchFamily="50" charset="0"/>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87" b="0"/>
            </a:pPr>
            <a:r>
              <a:rPr lang="hy-AM" sz="999" b="0" i="0" baseline="0">
                <a:effectLst/>
              </a:rPr>
              <a:t>Պետական բյուջեի պակասուրդի դինամիկան</a:t>
            </a:r>
            <a:endParaRPr lang="en-US" sz="600" b="0">
              <a:effectLst/>
            </a:endParaRPr>
          </a:p>
        </c:rich>
      </c:tx>
      <c:layout>
        <c:manualLayout>
          <c:xMode val="edge"/>
          <c:yMode val="edge"/>
          <c:x val="0.16806880272041466"/>
          <c:y val="0"/>
        </c:manualLayout>
      </c:layout>
      <c:overlay val="0"/>
      <c:spPr>
        <a:noFill/>
        <a:ln w="25113">
          <a:noFill/>
        </a:ln>
      </c:spPr>
    </c:title>
    <c:autoTitleDeleted val="0"/>
    <c:plotArea>
      <c:layout>
        <c:manualLayout>
          <c:layoutTarget val="inner"/>
          <c:xMode val="edge"/>
          <c:yMode val="edge"/>
          <c:x val="0.13415845955035438"/>
          <c:y val="0.14277245836003377"/>
          <c:w val="0.84534030535631255"/>
          <c:h val="0.47108729725297116"/>
        </c:manualLayout>
      </c:layout>
      <c:barChart>
        <c:barDir val="col"/>
        <c:grouping val="clustered"/>
        <c:varyColors val="0"/>
        <c:ser>
          <c:idx val="0"/>
          <c:order val="0"/>
          <c:tx>
            <c:strRef>
              <c:f>Sheet1!$B$1</c:f>
              <c:strCache>
                <c:ptCount val="1"/>
                <c:pt idx="0">
                  <c:v>Պետական բյուջեի պակասուրդ/ՀՆԱ,  %</c:v>
                </c:pt>
              </c:strCache>
            </c:strRef>
          </c:tx>
          <c:spPr>
            <a:solidFill>
              <a:srgbClr val="C00000"/>
            </a:solidFill>
          </c:spPr>
          <c:invertIfNegative val="0"/>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Sheet1!$B$2:$B$12</c:f>
              <c:numCache>
                <c:formatCode>0.0</c:formatCode>
                <c:ptCount val="11"/>
                <c:pt idx="0">
                  <c:v>1.6</c:v>
                </c:pt>
                <c:pt idx="1">
                  <c:v>1.9</c:v>
                </c:pt>
                <c:pt idx="2">
                  <c:v>4.8</c:v>
                </c:pt>
                <c:pt idx="3">
                  <c:v>5.5</c:v>
                </c:pt>
                <c:pt idx="4">
                  <c:v>4.8</c:v>
                </c:pt>
                <c:pt idx="5">
                  <c:v>1.8</c:v>
                </c:pt>
                <c:pt idx="6">
                  <c:v>1</c:v>
                </c:pt>
                <c:pt idx="7">
                  <c:v>5.4</c:v>
                </c:pt>
                <c:pt idx="8">
                  <c:v>4.5999999999999996</c:v>
                </c:pt>
                <c:pt idx="9">
                  <c:v>2.1121322161004099</c:v>
                </c:pt>
                <c:pt idx="10">
                  <c:v>2</c:v>
                </c:pt>
              </c:numCache>
            </c:numRef>
          </c:val>
          <c:extLst>
            <c:ext xmlns:c16="http://schemas.microsoft.com/office/drawing/2014/chart" uri="{C3380CC4-5D6E-409C-BE32-E72D297353CC}">
              <c16:uniqueId val="{00000000-7FFA-41F2-BE31-385D34958B7E}"/>
            </c:ext>
          </c:extLst>
        </c:ser>
        <c:ser>
          <c:idx val="1"/>
          <c:order val="1"/>
          <c:tx>
            <c:strRef>
              <c:f>Sheet1!$C$1</c:f>
              <c:strCache>
                <c:ptCount val="1"/>
                <c:pt idx="0">
                  <c:v>Պետական բյուջեի առաջնային պակասուրդ/ՀՆԱ,  %</c:v>
                </c:pt>
              </c:strCache>
            </c:strRef>
          </c:tx>
          <c:spPr>
            <a:solidFill>
              <a:srgbClr val="4F81BD"/>
            </a:solidFill>
            <a:ln>
              <a:noFill/>
            </a:ln>
          </c:spPr>
          <c:invertIfNegative val="0"/>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Sheet1!$C$2:$C$12</c:f>
              <c:numCache>
                <c:formatCode>0.0</c:formatCode>
                <c:ptCount val="11"/>
                <c:pt idx="0">
                  <c:v>0.5</c:v>
                </c:pt>
                <c:pt idx="1">
                  <c:v>0.6</c:v>
                </c:pt>
                <c:pt idx="2">
                  <c:v>3.3</c:v>
                </c:pt>
                <c:pt idx="3">
                  <c:v>3.5</c:v>
                </c:pt>
                <c:pt idx="4">
                  <c:v>2.6</c:v>
                </c:pt>
                <c:pt idx="5">
                  <c:v>-0.6</c:v>
                </c:pt>
                <c:pt idx="6">
                  <c:v>-1.4</c:v>
                </c:pt>
                <c:pt idx="7">
                  <c:v>2.7</c:v>
                </c:pt>
                <c:pt idx="8">
                  <c:v>2</c:v>
                </c:pt>
                <c:pt idx="9">
                  <c:v>0.22184541687973436</c:v>
                </c:pt>
                <c:pt idx="10" formatCode="_(* #,##0.0_);_(* \(#,##0.0\);_(* &quot;-&quot;??_);_(@_)">
                  <c:v>0.67923757469946788</c:v>
                </c:pt>
              </c:numCache>
            </c:numRef>
          </c:val>
          <c:extLst>
            <c:ext xmlns:c16="http://schemas.microsoft.com/office/drawing/2014/chart" uri="{C3380CC4-5D6E-409C-BE32-E72D297353CC}">
              <c16:uniqueId val="{00000001-7FFA-41F2-BE31-385D34958B7E}"/>
            </c:ext>
          </c:extLst>
        </c:ser>
        <c:dLbls>
          <c:showLegendKey val="0"/>
          <c:showVal val="0"/>
          <c:showCatName val="0"/>
          <c:showSerName val="0"/>
          <c:showPercent val="0"/>
          <c:showBubbleSize val="0"/>
        </c:dLbls>
        <c:gapWidth val="150"/>
        <c:axId val="612020032"/>
        <c:axId val="1"/>
      </c:barChart>
      <c:lineChart>
        <c:grouping val="standard"/>
        <c:varyColors val="0"/>
        <c:ser>
          <c:idx val="2"/>
          <c:order val="2"/>
          <c:tx>
            <c:strRef>
              <c:f>Sheet1!$D$1</c:f>
              <c:strCache>
                <c:ptCount val="1"/>
                <c:pt idx="0">
                  <c:v>10տ․ միջին պակասուրդ </c:v>
                </c:pt>
              </c:strCache>
            </c:strRef>
          </c:tx>
          <c:spPr>
            <a:ln w="25363">
              <a:solidFill>
                <a:srgbClr val="C00000"/>
              </a:solidFill>
              <a:prstDash val="dash"/>
            </a:ln>
          </c:spPr>
          <c:marker>
            <c:symbol val="none"/>
          </c:marker>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Sheet1!$D$2:$D$12</c:f>
              <c:numCache>
                <c:formatCode>0.0</c:formatCode>
                <c:ptCount val="11"/>
                <c:pt idx="0">
                  <c:v>3.3912132216100419</c:v>
                </c:pt>
                <c:pt idx="1">
                  <c:v>3.3912132216100419</c:v>
                </c:pt>
                <c:pt idx="2">
                  <c:v>3.3912132216100419</c:v>
                </c:pt>
                <c:pt idx="3">
                  <c:v>3.3912132216100419</c:v>
                </c:pt>
                <c:pt idx="4">
                  <c:v>3.3912132216100419</c:v>
                </c:pt>
                <c:pt idx="5">
                  <c:v>3.3912132216100419</c:v>
                </c:pt>
                <c:pt idx="6">
                  <c:v>3.3912132216100419</c:v>
                </c:pt>
                <c:pt idx="7">
                  <c:v>3.3912132216100419</c:v>
                </c:pt>
                <c:pt idx="8">
                  <c:v>3.3912132216100419</c:v>
                </c:pt>
                <c:pt idx="9">
                  <c:v>3.3912132216100419</c:v>
                </c:pt>
                <c:pt idx="10">
                  <c:v>3.3912132216100419</c:v>
                </c:pt>
              </c:numCache>
            </c:numRef>
          </c:val>
          <c:smooth val="0"/>
          <c:extLst>
            <c:ext xmlns:c16="http://schemas.microsoft.com/office/drawing/2014/chart" uri="{C3380CC4-5D6E-409C-BE32-E72D297353CC}">
              <c16:uniqueId val="{00000002-7FFA-41F2-BE31-385D34958B7E}"/>
            </c:ext>
          </c:extLst>
        </c:ser>
        <c:ser>
          <c:idx val="3"/>
          <c:order val="3"/>
          <c:tx>
            <c:strRef>
              <c:f>Sheet1!$E$1</c:f>
              <c:strCache>
                <c:ptCount val="1"/>
                <c:pt idx="0">
                  <c:v>10տ․ միջին առաջնային պակասուրդ</c:v>
                </c:pt>
              </c:strCache>
            </c:strRef>
          </c:tx>
          <c:spPr>
            <a:ln w="25363">
              <a:solidFill>
                <a:srgbClr val="4F81BD"/>
              </a:solidFill>
              <a:prstDash val="dash"/>
            </a:ln>
          </c:spPr>
          <c:marker>
            <c:symbol val="none"/>
          </c:marker>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Sheet1!$E$2:$E$12</c:f>
              <c:numCache>
                <c:formatCode>0.0</c:formatCode>
                <c:ptCount val="11"/>
                <c:pt idx="0">
                  <c:v>1.2819166355981091</c:v>
                </c:pt>
                <c:pt idx="1">
                  <c:v>1.2819166355981091</c:v>
                </c:pt>
                <c:pt idx="2">
                  <c:v>1.2819166355981091</c:v>
                </c:pt>
                <c:pt idx="3">
                  <c:v>1.2819166355981091</c:v>
                </c:pt>
                <c:pt idx="4">
                  <c:v>1.2819166355981091</c:v>
                </c:pt>
                <c:pt idx="5">
                  <c:v>1.2819166355981091</c:v>
                </c:pt>
                <c:pt idx="6">
                  <c:v>1.2819166355981091</c:v>
                </c:pt>
                <c:pt idx="7">
                  <c:v>1.2819166355981091</c:v>
                </c:pt>
                <c:pt idx="8">
                  <c:v>1.2819166355981091</c:v>
                </c:pt>
                <c:pt idx="9">
                  <c:v>1.2819166355981091</c:v>
                </c:pt>
                <c:pt idx="10">
                  <c:v>1.2819166355981091</c:v>
                </c:pt>
              </c:numCache>
            </c:numRef>
          </c:val>
          <c:smooth val="0"/>
          <c:extLst>
            <c:ext xmlns:c16="http://schemas.microsoft.com/office/drawing/2014/chart" uri="{C3380CC4-5D6E-409C-BE32-E72D297353CC}">
              <c16:uniqueId val="{00000003-7FFA-41F2-BE31-385D34958B7E}"/>
            </c:ext>
          </c:extLst>
        </c:ser>
        <c:ser>
          <c:idx val="4"/>
          <c:order val="4"/>
          <c:tx>
            <c:strRef>
              <c:f>Sheet1!$F$1</c:f>
              <c:strCache>
                <c:ptCount val="1"/>
                <c:pt idx="0">
                  <c:v>5տ․ միջին պակասուրդ</c:v>
                </c:pt>
              </c:strCache>
            </c:strRef>
          </c:tx>
          <c:marker>
            <c:symbol val="none"/>
          </c:marker>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Sheet1!$F$2:$F$12</c:f>
            </c:numRef>
          </c:val>
          <c:smooth val="0"/>
          <c:extLst>
            <c:ext xmlns:c16="http://schemas.microsoft.com/office/drawing/2014/chart" uri="{C3380CC4-5D6E-409C-BE32-E72D297353CC}">
              <c16:uniqueId val="{00000004-7FFA-41F2-BE31-385D34958B7E}"/>
            </c:ext>
          </c:extLst>
        </c:ser>
        <c:ser>
          <c:idx val="5"/>
          <c:order val="5"/>
          <c:tx>
            <c:strRef>
              <c:f>Sheet1!$G$1</c:f>
              <c:strCache>
                <c:ptCount val="1"/>
                <c:pt idx="0">
                  <c:v>5տ․ միջին առաջնային պակասուրդ2</c:v>
                </c:pt>
              </c:strCache>
            </c:strRef>
          </c:tx>
          <c:marker>
            <c:symbol val="none"/>
          </c:marker>
          <c:cat>
            <c:numRef>
              <c:f>Sheet1!$A$2:$A$12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Sheet1!$G$2:$G$12</c:f>
            </c:numRef>
          </c:val>
          <c:smooth val="0"/>
          <c:extLst>
            <c:ext xmlns:c16="http://schemas.microsoft.com/office/drawing/2014/chart" uri="{C3380CC4-5D6E-409C-BE32-E72D297353CC}">
              <c16:uniqueId val="{00000005-7FFA-41F2-BE31-385D34958B7E}"/>
            </c:ext>
          </c:extLst>
        </c:ser>
        <c:dLbls>
          <c:showLegendKey val="0"/>
          <c:showVal val="0"/>
          <c:showCatName val="0"/>
          <c:showSerName val="0"/>
          <c:showPercent val="0"/>
          <c:showBubbleSize val="0"/>
        </c:dLbls>
        <c:marker val="1"/>
        <c:smooth val="0"/>
        <c:axId val="612020032"/>
        <c:axId val="1"/>
      </c:lineChart>
      <c:catAx>
        <c:axId val="612020032"/>
        <c:scaling>
          <c:orientation val="minMax"/>
        </c:scaling>
        <c:delete val="0"/>
        <c:axPos val="b"/>
        <c:numFmt formatCode="General" sourceLinked="1"/>
        <c:majorTickMark val="out"/>
        <c:minorTickMark val="none"/>
        <c:tickLblPos val="low"/>
        <c:crossAx val="1"/>
        <c:crosses val="autoZero"/>
        <c:auto val="1"/>
        <c:lblAlgn val="ctr"/>
        <c:lblOffset val="100"/>
        <c:noMultiLvlLbl val="0"/>
      </c:catAx>
      <c:valAx>
        <c:axId val="1"/>
        <c:scaling>
          <c:orientation val="minMax"/>
        </c:scaling>
        <c:delete val="0"/>
        <c:axPos val="l"/>
        <c:numFmt formatCode="0.0" sourceLinked="1"/>
        <c:majorTickMark val="out"/>
        <c:minorTickMark val="none"/>
        <c:tickLblPos val="nextTo"/>
        <c:spPr>
          <a:ln>
            <a:noFill/>
          </a:ln>
        </c:spPr>
        <c:crossAx val="612020032"/>
        <c:crosses val="autoZero"/>
        <c:crossBetween val="between"/>
      </c:valAx>
      <c:spPr>
        <a:ln w="6341">
          <a:solidFill>
            <a:sysClr val="window" lastClr="FFFFFF">
              <a:lumMod val="85000"/>
            </a:sysClr>
          </a:solidFill>
        </a:ln>
      </c:spPr>
    </c:plotArea>
    <c:legend>
      <c:legendPos val="r"/>
      <c:layout>
        <c:manualLayout>
          <c:xMode val="edge"/>
          <c:yMode val="edge"/>
          <c:x val="0"/>
          <c:y val="0.77218626823590508"/>
          <c:w val="0.97608379141286583"/>
          <c:h val="0.22781373176409481"/>
        </c:manualLayout>
      </c:layout>
      <c:overlay val="0"/>
      <c:spPr>
        <a:ln>
          <a:noFill/>
        </a:ln>
      </c:spPr>
      <c:txPr>
        <a:bodyPr/>
        <a:lstStyle/>
        <a:p>
          <a:pPr>
            <a:defRPr sz="799"/>
          </a:pPr>
          <a:endParaRPr lang="en-US"/>
        </a:p>
      </c:txPr>
    </c:legend>
    <c:plotVisOnly val="1"/>
    <c:dispBlanksAs val="gap"/>
    <c:showDLblsOverMax val="0"/>
  </c:chart>
  <c:spPr>
    <a:noFill/>
    <a:ln w="9417">
      <a:solidFill>
        <a:sysClr val="windowText" lastClr="000000">
          <a:alpha val="20000"/>
        </a:sysClr>
      </a:solidFill>
    </a:ln>
  </c:spPr>
  <c:txPr>
    <a:bodyPr/>
    <a:lstStyle/>
    <a:p>
      <a:pPr>
        <a:defRPr sz="989">
          <a:ln>
            <a:noFill/>
          </a:ln>
          <a:latin typeface="GHEA Grapalat" panose="02000506050000020003" pitchFamily="50" charset="0"/>
        </a:defRPr>
      </a:pPr>
      <a:endParaRPr lang="en-US"/>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a:pPr>
            <a:r>
              <a:rPr lang="hy-AM" sz="1000" b="0"/>
              <a:t>Հարկաբյուջետային ազդակը</a:t>
            </a:r>
            <a:endParaRPr lang="en-US" sz="1000" b="0"/>
          </a:p>
        </c:rich>
      </c:tx>
      <c:overlay val="0"/>
    </c:title>
    <c:autoTitleDeleted val="0"/>
    <c:plotArea>
      <c:layout>
        <c:manualLayout>
          <c:layoutTarget val="inner"/>
          <c:xMode val="edge"/>
          <c:yMode val="edge"/>
          <c:x val="8.9862204724409506E-2"/>
          <c:y val="0.14036310747780731"/>
          <c:w val="0.85071756247860364"/>
          <c:h val="0.57930688600230706"/>
        </c:manualLayout>
      </c:layout>
      <c:barChart>
        <c:barDir val="col"/>
        <c:grouping val="stacked"/>
        <c:varyColors val="0"/>
        <c:ser>
          <c:idx val="0"/>
          <c:order val="0"/>
          <c:tx>
            <c:strRef>
              <c:f>Sheet1!$B$1</c:f>
              <c:strCache>
                <c:ptCount val="1"/>
                <c:pt idx="0">
                  <c:v>Եկամուտների ազդակ</c:v>
                </c:pt>
              </c:strCache>
            </c:strRef>
          </c:tx>
          <c:invertIfNegative val="0"/>
          <c:cat>
            <c:numRef>
              <c:f>Sheet1!$A$2:$A$7</c:f>
              <c:numCache>
                <c:formatCode>General</c:formatCode>
                <c:ptCount val="5"/>
                <c:pt idx="0">
                  <c:v>2019</c:v>
                </c:pt>
                <c:pt idx="1">
                  <c:v>2020</c:v>
                </c:pt>
                <c:pt idx="2">
                  <c:v>2021</c:v>
                </c:pt>
                <c:pt idx="3">
                  <c:v>2022</c:v>
                </c:pt>
                <c:pt idx="4">
                  <c:v>2023</c:v>
                </c:pt>
              </c:numCache>
            </c:numRef>
          </c:cat>
          <c:val>
            <c:numRef>
              <c:f>Sheet1!$B$2:$B$7</c:f>
              <c:numCache>
                <c:formatCode>0.0</c:formatCode>
                <c:ptCount val="5"/>
                <c:pt idx="0">
                  <c:v>-1.1945068607324307</c:v>
                </c:pt>
                <c:pt idx="1">
                  <c:v>0.49525040611649429</c:v>
                </c:pt>
                <c:pt idx="2">
                  <c:v>-0.56171925685512492</c:v>
                </c:pt>
                <c:pt idx="3">
                  <c:v>-0.27087199169642684</c:v>
                </c:pt>
                <c:pt idx="4">
                  <c:v>-0.70973845933450397</c:v>
                </c:pt>
              </c:numCache>
            </c:numRef>
          </c:val>
          <c:extLst>
            <c:ext xmlns:c16="http://schemas.microsoft.com/office/drawing/2014/chart" uri="{C3380CC4-5D6E-409C-BE32-E72D297353CC}">
              <c16:uniqueId val="{00000000-31C0-4E84-8CD3-96C1FFA5F5B9}"/>
            </c:ext>
          </c:extLst>
        </c:ser>
        <c:ser>
          <c:idx val="1"/>
          <c:order val="1"/>
          <c:tx>
            <c:strRef>
              <c:f>Sheet1!$C$1</c:f>
              <c:strCache>
                <c:ptCount val="1"/>
                <c:pt idx="0">
                  <c:v>Ծախսերի ազդակ</c:v>
                </c:pt>
              </c:strCache>
            </c:strRef>
          </c:tx>
          <c:spPr>
            <a:pattFill prst="wdUpDiag">
              <a:fgClr>
                <a:srgbClr val="4F81BD"/>
              </a:fgClr>
              <a:bgClr>
                <a:sysClr val="window" lastClr="FFFFFF"/>
              </a:bgClr>
            </a:pattFill>
            <a:ln w="25094"/>
          </c:spPr>
          <c:invertIfNegative val="0"/>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1.5645275788138342</c:v>
                </c:pt>
                <c:pt idx="1">
                  <c:v>3.3294474596275139</c:v>
                </c:pt>
                <c:pt idx="2">
                  <c:v>-0.51116565567798233</c:v>
                </c:pt>
                <c:pt idx="3">
                  <c:v>-1.6269069561809613</c:v>
                </c:pt>
                <c:pt idx="4">
                  <c:v>-0.15407578709964834</c:v>
                </c:pt>
              </c:numCache>
            </c:numRef>
          </c:val>
          <c:extLst>
            <c:ext xmlns:c16="http://schemas.microsoft.com/office/drawing/2014/chart" uri="{C3380CC4-5D6E-409C-BE32-E72D297353CC}">
              <c16:uniqueId val="{00000001-31C0-4E84-8CD3-96C1FFA5F5B9}"/>
            </c:ext>
          </c:extLst>
        </c:ser>
        <c:dLbls>
          <c:showLegendKey val="0"/>
          <c:showVal val="0"/>
          <c:showCatName val="0"/>
          <c:showSerName val="0"/>
          <c:showPercent val="0"/>
          <c:showBubbleSize val="0"/>
        </c:dLbls>
        <c:gapWidth val="150"/>
        <c:overlap val="100"/>
        <c:axId val="612016288"/>
        <c:axId val="1"/>
      </c:barChart>
      <c:lineChart>
        <c:grouping val="standard"/>
        <c:varyColors val="0"/>
        <c:ser>
          <c:idx val="2"/>
          <c:order val="2"/>
          <c:tx>
            <c:strRef>
              <c:f>Sheet1!$D$1</c:f>
              <c:strCache>
                <c:ptCount val="1"/>
                <c:pt idx="0">
                  <c:v>Հարկաբյուջետային ազդակ՝ փաստացի</c:v>
                </c:pt>
              </c:strCache>
            </c:strRef>
          </c:tx>
          <c:dLbls>
            <c:dLbl>
              <c:idx val="0"/>
              <c:layout>
                <c:manualLayout>
                  <c:x val="-3.8588237218011301E-2"/>
                  <c:y val="4.4183091763211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C0-4E84-8CD3-96C1FFA5F5B9}"/>
                </c:ext>
              </c:extLst>
            </c:dLbl>
            <c:dLbl>
              <c:idx val="1"/>
              <c:layout>
                <c:manualLayout>
                  <c:x val="-4.1944959688151304E-2"/>
                  <c:y val="-0.10774840474020059"/>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1C0-4E84-8CD3-96C1FFA5F5B9}"/>
                </c:ext>
              </c:extLst>
            </c:dLbl>
            <c:dLbl>
              <c:idx val="2"/>
              <c:layout>
                <c:manualLayout>
                  <c:x val="-3.5486219448777952E-2"/>
                  <c:y val="-4.3868031854379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C0-4E84-8CD3-96C1FFA5F5B9}"/>
                </c:ext>
              </c:extLst>
            </c:dLbl>
            <c:dLbl>
              <c:idx val="3"/>
              <c:layout>
                <c:manualLayout>
                  <c:x val="-3.0540060997048268E-2"/>
                  <c:y val="3.9999999999999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C0-4E84-8CD3-96C1FFA5F5B9}"/>
                </c:ext>
              </c:extLst>
            </c:dLbl>
            <c:dLbl>
              <c:idx val="4"/>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1C0-4E84-8CD3-96C1FFA5F5B9}"/>
                </c:ext>
              </c:extLst>
            </c:dLbl>
            <c:spPr>
              <a:noFill/>
              <a:ln w="25162">
                <a:noFill/>
              </a:ln>
            </c:spPr>
            <c:txPr>
              <a:bodyPr/>
              <a:lstStyle/>
              <a:p>
                <a:pPr>
                  <a:defRPr sz="991"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5"/>
                <c:pt idx="0">
                  <c:v>2019</c:v>
                </c:pt>
                <c:pt idx="1">
                  <c:v>2020</c:v>
                </c:pt>
                <c:pt idx="2">
                  <c:v>2021</c:v>
                </c:pt>
                <c:pt idx="3">
                  <c:v>2022</c:v>
                </c:pt>
                <c:pt idx="4">
                  <c:v>2023</c:v>
                </c:pt>
              </c:numCache>
            </c:numRef>
          </c:cat>
          <c:val>
            <c:numRef>
              <c:f>Sheet1!$D$2:$D$7</c:f>
              <c:numCache>
                <c:formatCode>0.0</c:formatCode>
                <c:ptCount val="5"/>
                <c:pt idx="0">
                  <c:v>0.37002071808140347</c:v>
                </c:pt>
                <c:pt idx="1">
                  <c:v>3.8246978657440081</c:v>
                </c:pt>
                <c:pt idx="2">
                  <c:v>-1.0728849125331072</c:v>
                </c:pt>
                <c:pt idx="3">
                  <c:v>-1.8977789478773881</c:v>
                </c:pt>
                <c:pt idx="4">
                  <c:v>-0.86381424643415228</c:v>
                </c:pt>
              </c:numCache>
            </c:numRef>
          </c:val>
          <c:smooth val="0"/>
          <c:extLst>
            <c:ext xmlns:c16="http://schemas.microsoft.com/office/drawing/2014/chart" uri="{C3380CC4-5D6E-409C-BE32-E72D297353CC}">
              <c16:uniqueId val="{00000007-31C0-4E84-8CD3-96C1FFA5F5B9}"/>
            </c:ext>
          </c:extLst>
        </c:ser>
        <c:dLbls>
          <c:showLegendKey val="0"/>
          <c:showVal val="0"/>
          <c:showCatName val="0"/>
          <c:showSerName val="0"/>
          <c:showPercent val="0"/>
          <c:showBubbleSize val="0"/>
        </c:dLbls>
        <c:marker val="1"/>
        <c:smooth val="0"/>
        <c:axId val="612016288"/>
        <c:axId val="1"/>
      </c:lineChart>
      <c:catAx>
        <c:axId val="612016288"/>
        <c:scaling>
          <c:orientation val="minMax"/>
        </c:scaling>
        <c:delete val="0"/>
        <c:axPos val="b"/>
        <c:numFmt formatCode="General" sourceLinked="0"/>
        <c:majorTickMark val="none"/>
        <c:minorTickMark val="none"/>
        <c:tickLblPos val="low"/>
        <c:txPr>
          <a:bodyPr rot="0" vert="horz"/>
          <a:lstStyle/>
          <a:p>
            <a:pPr>
              <a:defRPr sz="990" b="0" i="0" u="none" strike="noStrike" baseline="0">
                <a:solidFill>
                  <a:srgbClr val="000000"/>
                </a:solidFill>
                <a:latin typeface="GHEA Grapalat"/>
                <a:ea typeface="GHEA Grapalat"/>
                <a:cs typeface="GHEA Grapalat"/>
              </a:defRPr>
            </a:pPr>
            <a:endParaRPr lang="en-US"/>
          </a:p>
        </c:txPr>
        <c:crossAx val="1"/>
        <c:crosses val="autoZero"/>
        <c:auto val="1"/>
        <c:lblAlgn val="ctr"/>
        <c:lblOffset val="100"/>
        <c:tickLblSkip val="1"/>
        <c:noMultiLvlLbl val="0"/>
      </c:catAx>
      <c:valAx>
        <c:axId val="1"/>
        <c:scaling>
          <c:orientation val="minMax"/>
        </c:scaling>
        <c:delete val="0"/>
        <c:axPos val="l"/>
        <c:numFmt formatCode="0.0" sourceLinked="1"/>
        <c:majorTickMark val="none"/>
        <c:minorTickMark val="none"/>
        <c:tickLblPos val="nextTo"/>
        <c:spPr>
          <a:ln w="6350"/>
        </c:spPr>
        <c:txPr>
          <a:bodyPr rot="0" vert="horz"/>
          <a:lstStyle/>
          <a:p>
            <a:pPr>
              <a:defRPr sz="985" b="0" i="0" u="none" strike="noStrike" baseline="0">
                <a:solidFill>
                  <a:srgbClr val="000000"/>
                </a:solidFill>
                <a:latin typeface="GHEA Grapalat"/>
                <a:ea typeface="GHEA Grapalat"/>
                <a:cs typeface="GHEA Grapalat"/>
              </a:defRPr>
            </a:pPr>
            <a:endParaRPr lang="en-US"/>
          </a:p>
        </c:txPr>
        <c:crossAx val="612016288"/>
        <c:crosses val="autoZero"/>
        <c:crossBetween val="between"/>
      </c:valAx>
      <c:spPr>
        <a:ln w="6350">
          <a:solidFill>
            <a:sysClr val="window" lastClr="FFFFFF">
              <a:lumMod val="85000"/>
            </a:sysClr>
          </a:solidFill>
        </a:ln>
      </c:spPr>
    </c:plotArea>
    <c:legend>
      <c:legendPos val="b"/>
      <c:layout>
        <c:manualLayout>
          <c:xMode val="edge"/>
          <c:yMode val="edge"/>
          <c:x val="0"/>
          <c:y val="0.82410448608086195"/>
          <c:w val="1"/>
          <c:h val="0.15635168878387329"/>
        </c:manualLayout>
      </c:layout>
      <c:overlay val="0"/>
      <c:txPr>
        <a:bodyPr/>
        <a:lstStyle/>
        <a:p>
          <a:pPr>
            <a:defRPr sz="792" b="0" i="0" u="none" strike="noStrike" baseline="0">
              <a:solidFill>
                <a:sysClr val="windowText" lastClr="000000"/>
              </a:solidFill>
              <a:latin typeface="GHEA Grapalat"/>
              <a:ea typeface="GHEA Grapalat"/>
              <a:cs typeface="GHEA Grapalat"/>
            </a:defRPr>
          </a:pPr>
          <a:endParaRPr lang="en-US"/>
        </a:p>
      </c:txPr>
    </c:legend>
    <c:plotVisOnly val="1"/>
    <c:dispBlanksAs val="gap"/>
    <c:showDLblsOverMax val="0"/>
  </c:chart>
  <c:spPr>
    <a:noFill/>
    <a:ln w="6350">
      <a:solidFill>
        <a:sysClr val="window" lastClr="FFFFFF">
          <a:lumMod val="85000"/>
        </a:sysClr>
      </a:solidFill>
    </a:ln>
  </c:spPr>
  <c:txPr>
    <a:bodyPr/>
    <a:lstStyle/>
    <a:p>
      <a:pPr>
        <a:defRPr sz="985" b="0" i="0" u="none" strike="noStrike" baseline="0">
          <a:solidFill>
            <a:srgbClr val="000000"/>
          </a:solidFill>
          <a:latin typeface="GHEA Grapalat"/>
          <a:ea typeface="GHEA Grapalat"/>
          <a:cs typeface="GHEA Grapalat"/>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0238095238096"/>
          <c:y val="3.3434455872169082E-2"/>
          <c:w val="0.90870169874599005"/>
          <c:h val="0.70065780430812719"/>
        </c:manualLayout>
      </c:layout>
      <c:barChart>
        <c:barDir val="col"/>
        <c:grouping val="clustered"/>
        <c:varyColors val="0"/>
        <c:ser>
          <c:idx val="0"/>
          <c:order val="0"/>
          <c:tx>
            <c:strRef>
              <c:f>Sheet1!$B$1</c:f>
              <c:strCache>
                <c:ptCount val="1"/>
                <c:pt idx="0">
                  <c:v>2022թ. փաստ</c:v>
                </c:pt>
              </c:strCache>
            </c:strRef>
          </c:tx>
          <c:spPr>
            <a:solidFill>
              <a:srgbClr val="8064A2"/>
            </a:solidFill>
            <a:scene3d>
              <a:camera prst="orthographicFront"/>
              <a:lightRig rig="threePt" dir="t"/>
            </a:scene3d>
          </c:spPr>
          <c:invertIfNegative val="0"/>
          <c:dPt>
            <c:idx val="0"/>
            <c:invertIfNegative val="0"/>
            <c:bubble3D val="0"/>
            <c:spPr>
              <a:solidFill>
                <a:srgbClr val="8064A2">
                  <a:lumMod val="60000"/>
                  <a:lumOff val="40000"/>
                </a:srgbClr>
              </a:solidFill>
              <a:scene3d>
                <a:camera prst="orthographicFront"/>
                <a:lightRig rig="threePt" dir="t"/>
              </a:scene3d>
            </c:spPr>
            <c:extLst>
              <c:ext xmlns:c16="http://schemas.microsoft.com/office/drawing/2014/chart" uri="{C3380CC4-5D6E-409C-BE32-E72D297353CC}">
                <c16:uniqueId val="{00000001-9E7E-456F-9760-5AD159E37E53}"/>
              </c:ext>
            </c:extLst>
          </c:dPt>
          <c:dPt>
            <c:idx val="1"/>
            <c:invertIfNegative val="0"/>
            <c:bubble3D val="0"/>
            <c:spPr>
              <a:solidFill>
                <a:srgbClr val="8064A2">
                  <a:lumMod val="60000"/>
                  <a:lumOff val="40000"/>
                </a:srgbClr>
              </a:solidFill>
              <a:scene3d>
                <a:camera prst="orthographicFront"/>
                <a:lightRig rig="threePt" dir="t"/>
              </a:scene3d>
            </c:spPr>
            <c:extLst>
              <c:ext xmlns:c16="http://schemas.microsoft.com/office/drawing/2014/chart" uri="{C3380CC4-5D6E-409C-BE32-E72D297353CC}">
                <c16:uniqueId val="{00000003-9E7E-456F-9760-5AD159E37E53}"/>
              </c:ext>
            </c:extLst>
          </c:dPt>
          <c:dPt>
            <c:idx val="2"/>
            <c:invertIfNegative val="0"/>
            <c:bubble3D val="0"/>
            <c:spPr>
              <a:solidFill>
                <a:srgbClr val="8064A2">
                  <a:lumMod val="60000"/>
                  <a:lumOff val="40000"/>
                </a:srgbClr>
              </a:solidFill>
              <a:scene3d>
                <a:camera prst="orthographicFront"/>
                <a:lightRig rig="threePt" dir="t"/>
              </a:scene3d>
            </c:spPr>
            <c:extLst>
              <c:ext xmlns:c16="http://schemas.microsoft.com/office/drawing/2014/chart" uri="{C3380CC4-5D6E-409C-BE32-E72D297353CC}">
                <c16:uniqueId val="{00000005-9E7E-456F-9760-5AD159E37E53}"/>
              </c:ext>
            </c:extLst>
          </c:dPt>
          <c:dLbls>
            <c:dLbl>
              <c:idx val="0"/>
              <c:layout>
                <c:manualLayout>
                  <c:x val="-2.2158225614698778E-2"/>
                  <c:y val="5.2117687773048467E-3"/>
                </c:manualLayout>
              </c:layout>
              <c:spPr>
                <a:noFill/>
                <a:ln w="25399">
                  <a:noFill/>
                </a:ln>
              </c:spPr>
              <c:txPr>
                <a:bodyPr/>
                <a:lstStyle/>
                <a:p>
                  <a:pPr>
                    <a:defRPr sz="90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7E-456F-9760-5AD159E37E53}"/>
                </c:ext>
              </c:extLst>
            </c:dLbl>
            <c:dLbl>
              <c:idx val="1"/>
              <c:layout>
                <c:manualLayout>
                  <c:x val="-1.5306122448979612E-2"/>
                  <c:y val="0"/>
                </c:manualLayout>
              </c:layout>
              <c:spPr>
                <a:noFill/>
                <a:ln w="25399">
                  <a:noFill/>
                </a:ln>
              </c:spPr>
              <c:txPr>
                <a:bodyPr/>
                <a:lstStyle/>
                <a:p>
                  <a:pPr>
                    <a:defRPr sz="90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7E-456F-9760-5AD159E37E53}"/>
                </c:ext>
              </c:extLst>
            </c:dLbl>
            <c:dLbl>
              <c:idx val="2"/>
              <c:layout>
                <c:manualLayout>
                  <c:x val="-2.2951661093195606E-2"/>
                  <c:y val="3.5884043172907626E-3"/>
                </c:manualLayout>
              </c:layout>
              <c:spPr>
                <a:noFill/>
                <a:ln w="25399">
                  <a:noFill/>
                </a:ln>
              </c:spPr>
              <c:txPr>
                <a:bodyPr/>
                <a:lstStyle/>
                <a:p>
                  <a:pPr>
                    <a:defRPr sz="90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7E-456F-9760-5AD159E37E53}"/>
                </c:ext>
              </c:extLst>
            </c:dLbl>
            <c:dLbl>
              <c:idx val="3"/>
              <c:layout>
                <c:manualLayout>
                  <c:x val="-6.9443998071669647E-3"/>
                  <c:y val="1.0423452768729647E-2"/>
                </c:manualLayout>
              </c:layout>
              <c:spPr>
                <a:noFill/>
                <a:ln w="25399">
                  <a:noFill/>
                </a:ln>
              </c:spPr>
              <c:txPr>
                <a:bodyPr/>
                <a:lstStyle/>
                <a:p>
                  <a:pPr>
                    <a:defRPr sz="90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7E-456F-9760-5AD159E37E53}"/>
                </c:ext>
              </c:extLst>
            </c:dLbl>
            <c:dLbl>
              <c:idx val="4"/>
              <c:layout>
                <c:manualLayout>
                  <c:x val="-1.700680272108844E-2"/>
                  <c:y val="2.6058631921824131E-3"/>
                </c:manualLayout>
              </c:layout>
              <c:spPr>
                <a:noFill/>
                <a:ln w="25399">
                  <a:noFill/>
                </a:ln>
              </c:spPr>
              <c:txPr>
                <a:bodyPr/>
                <a:lstStyle/>
                <a:p>
                  <a:pPr>
                    <a:defRPr sz="90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7E-456F-9760-5AD159E37E53}"/>
                </c:ext>
              </c:extLst>
            </c:dLbl>
            <c:spPr>
              <a:noFill/>
              <a:ln w="25399">
                <a:noFill/>
              </a:ln>
            </c:spPr>
            <c:txPr>
              <a:bodyPr wrap="square" lIns="38100" tIns="19050" rIns="38100" bIns="19050" anchor="ctr">
                <a:spAutoFit/>
              </a:bodyPr>
              <a:lstStyle/>
              <a:p>
                <a:pPr>
                  <a:defRPr sz="900" b="1" i="0" u="none" strike="noStrike" baseline="0">
                    <a:solidFill>
                      <a:srgbClr val="6666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Եկամուտներ</c:v>
                </c:pt>
                <c:pt idx="1">
                  <c:v>Ծախսեր</c:v>
                </c:pt>
                <c:pt idx="2">
                  <c:v>Պակասուրդ</c:v>
                </c:pt>
              </c:strCache>
            </c:strRef>
          </c:cat>
          <c:val>
            <c:numRef>
              <c:f>Sheet1!$B$2:$B$4</c:f>
              <c:numCache>
                <c:formatCode>_(* #,##0.0_);_(* \(#,##0.0\);_(* "-"??_);_(@_)</c:formatCode>
                <c:ptCount val="3"/>
                <c:pt idx="0">
                  <c:v>2063.0953426249998</c:v>
                </c:pt>
                <c:pt idx="1">
                  <c:v>2242.62545361</c:v>
                </c:pt>
                <c:pt idx="2">
                  <c:v>179.53011098500036</c:v>
                </c:pt>
              </c:numCache>
            </c:numRef>
          </c:val>
          <c:extLst>
            <c:ext xmlns:c16="http://schemas.microsoft.com/office/drawing/2014/chart" uri="{C3380CC4-5D6E-409C-BE32-E72D297353CC}">
              <c16:uniqueId val="{00000008-9E7E-456F-9760-5AD159E37E53}"/>
            </c:ext>
          </c:extLst>
        </c:ser>
        <c:ser>
          <c:idx val="1"/>
          <c:order val="1"/>
          <c:tx>
            <c:strRef>
              <c:f>Sheet1!$C$1</c:f>
              <c:strCache>
                <c:ptCount val="1"/>
                <c:pt idx="0">
                  <c:v>2023թ. ճշտված ծրագիր</c:v>
                </c:pt>
              </c:strCache>
            </c:strRef>
          </c:tx>
          <c:spPr>
            <a:solidFill>
              <a:srgbClr val="C0504D">
                <a:lumMod val="40000"/>
                <a:lumOff val="60000"/>
              </a:srgbClr>
            </a:solidFill>
            <a:scene3d>
              <a:camera prst="orthographicFront"/>
              <a:lightRig rig="threePt" dir="t"/>
            </a:scene3d>
          </c:spPr>
          <c:invertIfNegative val="0"/>
          <c:dLbls>
            <c:dLbl>
              <c:idx val="0"/>
              <c:layout>
                <c:manualLayout>
                  <c:x val="-2.1078001649674185E-2"/>
                  <c:y val="1.8816999496010615E-2"/>
                </c:manualLayout>
              </c:layout>
              <c:spPr>
                <a:noFill/>
                <a:ln w="25399">
                  <a:noFill/>
                </a:ln>
              </c:spPr>
              <c:txPr>
                <a:bodyPr/>
                <a:lstStyle/>
                <a:p>
                  <a:pPr>
                    <a:defRPr sz="90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7E-456F-9760-5AD159E37E53}"/>
                </c:ext>
              </c:extLst>
            </c:dLbl>
            <c:dLbl>
              <c:idx val="1"/>
              <c:layout>
                <c:manualLayout>
                  <c:x val="-2.1440741615660446E-2"/>
                  <c:y val="9.3448792716371732E-3"/>
                </c:manualLayout>
              </c:layout>
              <c:spPr>
                <a:noFill/>
                <a:ln w="25399">
                  <a:noFill/>
                </a:ln>
              </c:spPr>
              <c:txPr>
                <a:bodyPr/>
                <a:lstStyle/>
                <a:p>
                  <a:pPr>
                    <a:defRPr sz="90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7E-456F-9760-5AD159E37E53}"/>
                </c:ext>
              </c:extLst>
            </c:dLbl>
            <c:dLbl>
              <c:idx val="2"/>
              <c:layout>
                <c:manualLayout>
                  <c:x val="-1.5035893362925967E-2"/>
                  <c:y val="7.3126894050961838E-3"/>
                </c:manualLayout>
              </c:layout>
              <c:spPr>
                <a:noFill/>
                <a:ln w="25399">
                  <a:noFill/>
                </a:ln>
              </c:spPr>
              <c:txPr>
                <a:bodyPr/>
                <a:lstStyle/>
                <a:p>
                  <a:pPr>
                    <a:defRPr sz="90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7E-456F-9760-5AD159E37E53}"/>
                </c:ext>
              </c:extLst>
            </c:dLbl>
            <c:dLbl>
              <c:idx val="3"/>
              <c:layout>
                <c:manualLayout>
                  <c:x val="6.6610423697038125E-3"/>
                  <c:y val="-2.8664495114006514E-2"/>
                </c:manualLayout>
              </c:layout>
              <c:spPr>
                <a:noFill/>
                <a:ln w="25399">
                  <a:noFill/>
                </a:ln>
              </c:spPr>
              <c:txPr>
                <a:bodyPr/>
                <a:lstStyle/>
                <a:p>
                  <a:pPr>
                    <a:defRPr sz="90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E7E-456F-9760-5AD159E37E53}"/>
                </c:ext>
              </c:extLst>
            </c:dLbl>
            <c:dLbl>
              <c:idx val="4"/>
              <c:layout>
                <c:manualLayout>
                  <c:x val="8.0309604156623277E-3"/>
                  <c:y val="2.7897099181820612E-3"/>
                </c:manualLayout>
              </c:layout>
              <c:spPr>
                <a:noFill/>
                <a:ln w="25399">
                  <a:noFill/>
                </a:ln>
              </c:spPr>
              <c:txPr>
                <a:bodyPr/>
                <a:lstStyle/>
                <a:p>
                  <a:pPr>
                    <a:defRPr sz="90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7E-456F-9760-5AD159E37E53}"/>
                </c:ext>
              </c:extLst>
            </c:dLbl>
            <c:spPr>
              <a:noFill/>
              <a:ln w="25399">
                <a:noFill/>
              </a:ln>
            </c:spPr>
            <c:txPr>
              <a:bodyPr wrap="square" lIns="38100" tIns="19050" rIns="38100" bIns="19050" anchor="ctr">
                <a:spAutoFit/>
              </a:bodyPr>
              <a:lstStyle/>
              <a:p>
                <a:pPr>
                  <a:defRPr sz="900" b="1" i="0" u="none" strike="noStrike" baseline="0">
                    <a:solidFill>
                      <a:srgbClr val="993366"/>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Եկամուտներ</c:v>
                </c:pt>
                <c:pt idx="1">
                  <c:v>Ծախսեր</c:v>
                </c:pt>
                <c:pt idx="2">
                  <c:v>Պակասուրդ</c:v>
                </c:pt>
              </c:strCache>
            </c:strRef>
          </c:cat>
          <c:val>
            <c:numRef>
              <c:f>Sheet1!$C$2:$C$4</c:f>
              <c:numCache>
                <c:formatCode>_(* #,##0.0_);_(* \(#,##0.0\);_(* "-"??_);_(@_)</c:formatCode>
                <c:ptCount val="3"/>
                <c:pt idx="0">
                  <c:v>2356.8984319000006</c:v>
                </c:pt>
                <c:pt idx="1">
                  <c:v>2624.7387478999999</c:v>
                </c:pt>
                <c:pt idx="2">
                  <c:v>267.84031599999952</c:v>
                </c:pt>
              </c:numCache>
            </c:numRef>
          </c:val>
          <c:extLst>
            <c:ext xmlns:c16="http://schemas.microsoft.com/office/drawing/2014/chart" uri="{C3380CC4-5D6E-409C-BE32-E72D297353CC}">
              <c16:uniqueId val="{0000000E-9E7E-456F-9760-5AD159E37E53}"/>
            </c:ext>
          </c:extLst>
        </c:ser>
        <c:ser>
          <c:idx val="2"/>
          <c:order val="2"/>
          <c:tx>
            <c:strRef>
              <c:f>Sheet1!$D$1</c:f>
              <c:strCache>
                <c:ptCount val="1"/>
                <c:pt idx="0">
                  <c:v>2023թ. փաստ</c:v>
                </c:pt>
              </c:strCache>
            </c:strRef>
          </c:tx>
          <c:spPr>
            <a:solidFill>
              <a:srgbClr val="1F497D">
                <a:lumMod val="40000"/>
                <a:lumOff val="60000"/>
              </a:srgbClr>
            </a:solidFill>
            <a:ln>
              <a:solidFill>
                <a:schemeClr val="tx2"/>
              </a:solidFill>
            </a:ln>
            <a:scene3d>
              <a:camera prst="orthographicFront"/>
              <a:lightRig rig="threePt" dir="t"/>
            </a:scene3d>
          </c:spPr>
          <c:invertIfNegative val="0"/>
          <c:dLbls>
            <c:dLbl>
              <c:idx val="0"/>
              <c:layout>
                <c:manualLayout>
                  <c:x val="2.3870832551791685E-3"/>
                  <c:y val="-4.0219660821699029E-3"/>
                </c:manualLayout>
              </c:layout>
              <c:spPr>
                <a:noFill/>
                <a:ln w="25399">
                  <a:noFill/>
                </a:ln>
              </c:spPr>
              <c:txPr>
                <a:bodyPr/>
                <a:lstStyle/>
                <a:p>
                  <a:pPr>
                    <a:defRPr sz="90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7E-456F-9760-5AD159E37E53}"/>
                </c:ext>
              </c:extLst>
            </c:dLbl>
            <c:dLbl>
              <c:idx val="1"/>
              <c:layout>
                <c:manualLayout>
                  <c:x val="-1.306554511843201E-3"/>
                  <c:y val="5.6682440879428728E-3"/>
                </c:manualLayout>
              </c:layout>
              <c:spPr>
                <a:noFill/>
                <a:ln w="25399">
                  <a:noFill/>
                </a:ln>
              </c:spPr>
              <c:txPr>
                <a:bodyPr/>
                <a:lstStyle/>
                <a:p>
                  <a:pPr>
                    <a:defRPr sz="90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7E-456F-9760-5AD159E37E53}"/>
                </c:ext>
              </c:extLst>
            </c:dLbl>
            <c:dLbl>
              <c:idx val="2"/>
              <c:layout>
                <c:manualLayout>
                  <c:x val="-3.9383420538992974E-3"/>
                  <c:y val="-2.0777452693725006E-3"/>
                </c:manualLayout>
              </c:layout>
              <c:spPr>
                <a:noFill/>
                <a:ln w="25399">
                  <a:noFill/>
                </a:ln>
              </c:spPr>
              <c:txPr>
                <a:bodyPr/>
                <a:lstStyle/>
                <a:p>
                  <a:pPr>
                    <a:defRPr sz="90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E7E-456F-9760-5AD159E37E53}"/>
                </c:ext>
              </c:extLst>
            </c:dLbl>
            <c:dLbl>
              <c:idx val="3"/>
              <c:layout>
                <c:manualLayout>
                  <c:x val="2.3809523809523815E-2"/>
                  <c:y val="1.8241042345276882E-2"/>
                </c:manualLayout>
              </c:layout>
              <c:spPr>
                <a:noFill/>
                <a:ln w="25399">
                  <a:noFill/>
                </a:ln>
              </c:spPr>
              <c:txPr>
                <a:bodyPr/>
                <a:lstStyle/>
                <a:p>
                  <a:pPr>
                    <a:defRPr sz="90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E7E-456F-9760-5AD159E37E53}"/>
                </c:ext>
              </c:extLst>
            </c:dLbl>
            <c:dLbl>
              <c:idx val="4"/>
              <c:layout>
                <c:manualLayout>
                  <c:x val="1.1290642241148429E-2"/>
                  <c:y val="5.7622406319731692E-3"/>
                </c:manualLayout>
              </c:layout>
              <c:spPr>
                <a:noFill/>
                <a:ln w="25399">
                  <a:noFill/>
                </a:ln>
              </c:spPr>
              <c:txPr>
                <a:bodyPr/>
                <a:lstStyle/>
                <a:p>
                  <a:pPr>
                    <a:defRPr sz="90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E7E-456F-9760-5AD159E37E53}"/>
                </c:ext>
              </c:extLst>
            </c:dLbl>
            <c:spPr>
              <a:noFill/>
              <a:ln w="25399">
                <a:noFill/>
              </a:ln>
            </c:spPr>
            <c:txPr>
              <a:bodyPr wrap="square" lIns="38100" tIns="19050" rIns="38100" bIns="19050" anchor="ctr">
                <a:spAutoFit/>
              </a:bodyPr>
              <a:lstStyle/>
              <a:p>
                <a:pPr>
                  <a:defRPr sz="90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Եկամուտներ</c:v>
                </c:pt>
                <c:pt idx="1">
                  <c:v>Ծախսեր</c:v>
                </c:pt>
                <c:pt idx="2">
                  <c:v>Պակասուրդ</c:v>
                </c:pt>
              </c:strCache>
            </c:strRef>
          </c:cat>
          <c:val>
            <c:numRef>
              <c:f>Sheet1!$D$2:$D$4</c:f>
              <c:numCache>
                <c:formatCode>_(* #,##0.0_);_(* \(#,##0.0\);_(* "-"??_);_(@_)</c:formatCode>
                <c:ptCount val="3"/>
                <c:pt idx="0">
                  <c:v>2358.7836064419998</c:v>
                </c:pt>
                <c:pt idx="1">
                  <c:v>2547.6498919400001</c:v>
                </c:pt>
                <c:pt idx="2">
                  <c:v>188.86628549800014</c:v>
                </c:pt>
              </c:numCache>
            </c:numRef>
          </c:val>
          <c:extLst>
            <c:ext xmlns:c16="http://schemas.microsoft.com/office/drawing/2014/chart" uri="{C3380CC4-5D6E-409C-BE32-E72D297353CC}">
              <c16:uniqueId val="{00000014-9E7E-456F-9760-5AD159E37E53}"/>
            </c:ext>
          </c:extLst>
        </c:ser>
        <c:dLbls>
          <c:showLegendKey val="0"/>
          <c:showVal val="0"/>
          <c:showCatName val="0"/>
          <c:showSerName val="0"/>
          <c:showPercent val="0"/>
          <c:showBubbleSize val="0"/>
        </c:dLbls>
        <c:gapWidth val="150"/>
        <c:axId val="177920112"/>
        <c:axId val="1"/>
      </c:barChart>
      <c:lineChart>
        <c:grouping val="standard"/>
        <c:varyColors val="0"/>
        <c:ser>
          <c:idx val="3"/>
          <c:order val="3"/>
          <c:tx>
            <c:strRef>
              <c:f>Sheet1!$E$1</c:f>
              <c:strCache>
                <c:ptCount val="1"/>
                <c:pt idx="0">
                  <c:v>Ճշտված ծրագրի կատարողական</c:v>
                </c:pt>
              </c:strCache>
            </c:strRef>
          </c:tx>
          <c:spPr>
            <a:ln>
              <a:solidFill>
                <a:srgbClr val="4F81BD">
                  <a:lumMod val="50000"/>
                </a:srgbClr>
              </a:solidFill>
            </a:ln>
          </c:spPr>
          <c:marker>
            <c:spPr>
              <a:ln>
                <a:solidFill>
                  <a:srgbClr val="4F81BD">
                    <a:lumMod val="50000"/>
                  </a:srgbClr>
                </a:solidFill>
              </a:ln>
            </c:spPr>
          </c:marker>
          <c:dLbls>
            <c:dLbl>
              <c:idx val="0"/>
              <c:layout>
                <c:manualLayout>
                  <c:x val="2.5914482208711252E-2"/>
                  <c:y val="3.3250207813798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E7E-456F-9760-5AD159E37E53}"/>
                </c:ext>
              </c:extLst>
            </c:dLbl>
            <c:dLbl>
              <c:idx val="1"/>
              <c:layout>
                <c:manualLayout>
                  <c:x val="1.7259978425026967E-2"/>
                  <c:y val="3.32502078137988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E7E-456F-9760-5AD159E37E53}"/>
                </c:ext>
              </c:extLst>
            </c:dLbl>
            <c:spPr>
              <a:noFill/>
              <a:ln>
                <a:noFill/>
              </a:ln>
              <a:effectLst/>
            </c:spPr>
            <c:txPr>
              <a:bodyPr wrap="square" lIns="38100" tIns="19050" rIns="38100" bIns="19050" anchor="ctr">
                <a:spAutoFit/>
              </a:bodyPr>
              <a:lstStyle/>
              <a:p>
                <a:pPr>
                  <a:defRPr sz="900" b="1">
                    <a:solidFill>
                      <a:schemeClr val="accent1">
                        <a:lumMod val="50000"/>
                      </a:schemeClr>
                    </a:solidFill>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Եկամուտներ</c:v>
                </c:pt>
                <c:pt idx="1">
                  <c:v>Ծախսեր</c:v>
                </c:pt>
                <c:pt idx="2">
                  <c:v>Պակասուրդ</c:v>
                </c:pt>
              </c:strCache>
            </c:strRef>
          </c:cat>
          <c:val>
            <c:numRef>
              <c:f>Sheet1!$E$2:$E$4</c:f>
              <c:numCache>
                <c:formatCode>0.0%</c:formatCode>
                <c:ptCount val="3"/>
                <c:pt idx="0">
                  <c:v>1.0007998539591201</c:v>
                </c:pt>
                <c:pt idx="1">
                  <c:v>0.97062989372878461</c:v>
                </c:pt>
                <c:pt idx="2">
                  <c:v>0.70514509659554192</c:v>
                </c:pt>
              </c:numCache>
            </c:numRef>
          </c:val>
          <c:smooth val="0"/>
          <c:extLst>
            <c:ext xmlns:c16="http://schemas.microsoft.com/office/drawing/2014/chart" uri="{C3380CC4-5D6E-409C-BE32-E72D297353CC}">
              <c16:uniqueId val="{00000017-9E7E-456F-9760-5AD159E37E53}"/>
            </c:ext>
          </c:extLst>
        </c:ser>
        <c:ser>
          <c:idx val="4"/>
          <c:order val="4"/>
          <c:tx>
            <c:strRef>
              <c:f>Sheet1!$F$1</c:f>
              <c:strCache>
                <c:ptCount val="1"/>
                <c:pt idx="0">
                  <c:v>2023 / 2022 փաստ</c:v>
                </c:pt>
              </c:strCache>
            </c:strRef>
          </c:tx>
          <c:dLbls>
            <c:dLbl>
              <c:idx val="0"/>
              <c:layout>
                <c:manualLayout>
                  <c:x val="-2.7907903917073658E-2"/>
                  <c:y val="-2.6600166251039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E7E-456F-9760-5AD159E37E53}"/>
                </c:ext>
              </c:extLst>
            </c:dLbl>
            <c:dLbl>
              <c:idx val="1"/>
              <c:layout>
                <c:manualLayout>
                  <c:x val="-4.5848699292335364E-2"/>
                  <c:y val="3.6575228595178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E7E-456F-9760-5AD159E37E53}"/>
                </c:ext>
              </c:extLst>
            </c:dLbl>
            <c:dLbl>
              <c:idx val="2"/>
              <c:layout>
                <c:manualLayout>
                  <c:x val="-1.9934217083624042E-2"/>
                  <c:y val="3.3250207813798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E7E-456F-9760-5AD159E37E53}"/>
                </c:ext>
              </c:extLst>
            </c:dLbl>
            <c:spPr>
              <a:noFill/>
              <a:ln>
                <a:noFill/>
              </a:ln>
              <a:effectLst/>
            </c:spPr>
            <c:txPr>
              <a:bodyPr wrap="square" lIns="38100" tIns="19050" rIns="38100" bIns="19050" anchor="ctr">
                <a:spAutoFit/>
              </a:bodyPr>
              <a:lstStyle/>
              <a:p>
                <a:pPr>
                  <a:defRPr sz="900" b="1">
                    <a:solidFill>
                      <a:schemeClr val="accent5">
                        <a:lumMod val="75000"/>
                      </a:schemeClr>
                    </a:solidFill>
                    <a:latin typeface="GHEA Grapalat" panose="02000506050000020003"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Sheet1!$A$2:$A$4</c:f>
              <c:strCache>
                <c:ptCount val="3"/>
                <c:pt idx="0">
                  <c:v>Եկամուտներ</c:v>
                </c:pt>
                <c:pt idx="1">
                  <c:v>Ծախսեր</c:v>
                </c:pt>
                <c:pt idx="2">
                  <c:v>Պակասուրդ</c:v>
                </c:pt>
              </c:strCache>
            </c:strRef>
          </c:cat>
          <c:val>
            <c:numRef>
              <c:f>Sheet1!$F$2:$F$4</c:f>
              <c:numCache>
                <c:formatCode>0.0%</c:formatCode>
                <c:ptCount val="3"/>
                <c:pt idx="0">
                  <c:v>1.1433226364811517</c:v>
                </c:pt>
                <c:pt idx="1">
                  <c:v>1.1360122074058314</c:v>
                </c:pt>
                <c:pt idx="2">
                  <c:v>1.0520033907503115</c:v>
                </c:pt>
              </c:numCache>
            </c:numRef>
          </c:val>
          <c:smooth val="0"/>
          <c:extLst>
            <c:ext xmlns:c16="http://schemas.microsoft.com/office/drawing/2014/chart" uri="{C3380CC4-5D6E-409C-BE32-E72D297353CC}">
              <c16:uniqueId val="{0000001B-9E7E-456F-9760-5AD159E37E53}"/>
            </c:ext>
          </c:extLst>
        </c:ser>
        <c:dLbls>
          <c:showLegendKey val="0"/>
          <c:showVal val="0"/>
          <c:showCatName val="0"/>
          <c:showSerName val="0"/>
          <c:showPercent val="0"/>
          <c:showBubbleSize val="0"/>
        </c:dLbls>
        <c:marker val="1"/>
        <c:smooth val="0"/>
        <c:axId val="3"/>
        <c:axId val="4"/>
      </c:lineChart>
      <c:catAx>
        <c:axId val="177920112"/>
        <c:scaling>
          <c:orientation val="minMax"/>
        </c:scaling>
        <c:delete val="0"/>
        <c:axPos val="b"/>
        <c:numFmt formatCode="General" sourceLinked="0"/>
        <c:majorTickMark val="out"/>
        <c:minorTickMark val="none"/>
        <c:tickLblPos val="nextTo"/>
        <c:txPr>
          <a:bodyPr rot="0" vert="horz"/>
          <a:lstStyle/>
          <a:p>
            <a:pPr>
              <a:defRPr sz="1000" b="1" i="0" u="none" strike="noStrike" baseline="0">
                <a:solidFill>
                  <a:srgbClr val="333399"/>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2800"/>
          <c:min val="0"/>
        </c:scaling>
        <c:delete val="0"/>
        <c:axPos val="l"/>
        <c:majorGridlines/>
        <c:numFmt formatCode="_(* #,##0.0_);_(* \(#,##0.0\);_(* &quot;-&quot;??_);_(@_)" sourceLinked="1"/>
        <c:majorTickMark val="out"/>
        <c:minorTickMark val="none"/>
        <c:tickLblPos val="nextTo"/>
        <c:txPr>
          <a:bodyPr rot="0" vert="horz"/>
          <a:lstStyle/>
          <a:p>
            <a:pPr>
              <a:defRPr sz="1000" b="1" i="0" u="none" strike="noStrike" baseline="0">
                <a:solidFill>
                  <a:srgbClr val="333399"/>
                </a:solidFill>
                <a:latin typeface="GHEA Grapalat"/>
                <a:ea typeface="GHEA Grapalat"/>
                <a:cs typeface="GHEA Grapalat"/>
              </a:defRPr>
            </a:pPr>
            <a:endParaRPr lang="en-US"/>
          </a:p>
        </c:txPr>
        <c:crossAx val="177920112"/>
        <c:crosses val="autoZero"/>
        <c:crossBetween val="between"/>
        <c:majorUnit val="4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1.2"/>
          <c:min val="0.4"/>
        </c:scaling>
        <c:delete val="0"/>
        <c:axPos val="r"/>
        <c:numFmt formatCode="0.0%" sourceLinked="1"/>
        <c:majorTickMark val="out"/>
        <c:minorTickMark val="none"/>
        <c:tickLblPos val="nextTo"/>
        <c:txPr>
          <a:bodyPr rot="0" vert="horz"/>
          <a:lstStyle/>
          <a:p>
            <a:pPr>
              <a:defRPr sz="1000" b="1" i="0" u="none" strike="noStrike" baseline="0">
                <a:solidFill>
                  <a:srgbClr val="333399"/>
                </a:solidFill>
                <a:latin typeface="GHEA Grapalat"/>
                <a:ea typeface="GHEA Grapalat"/>
                <a:cs typeface="GHEA Grapalat"/>
              </a:defRPr>
            </a:pPr>
            <a:endParaRPr lang="en-US"/>
          </a:p>
        </c:txPr>
        <c:crossAx val="3"/>
        <c:crosses val="max"/>
        <c:crossBetween val="between"/>
        <c:majorUnit val="0.2"/>
      </c:valAx>
    </c:plotArea>
    <c:legend>
      <c:legendPos val="r"/>
      <c:layout>
        <c:manualLayout>
          <c:xMode val="edge"/>
          <c:yMode val="edge"/>
          <c:x val="7.7763851730235116E-3"/>
          <c:y val="0.82992021259187987"/>
          <c:w val="0.98079346032109782"/>
          <c:h val="0.17007978740812013"/>
        </c:manualLayout>
      </c:layout>
      <c:overlay val="0"/>
      <c:txPr>
        <a:bodyPr/>
        <a:lstStyle/>
        <a:p>
          <a:pPr>
            <a:defRPr sz="900" b="1" i="0" u="none" strike="noStrike" baseline="0">
              <a:solidFill>
                <a:srgbClr val="333399"/>
              </a:solidFill>
              <a:latin typeface="GHEA Grapalat"/>
              <a:ea typeface="GHEA Grapalat"/>
              <a:cs typeface="GHEA Grapalat"/>
            </a:defRPr>
          </a:pPr>
          <a:endParaRPr lang="en-US"/>
        </a:p>
      </c:txPr>
    </c:legend>
    <c:plotVisOnly val="1"/>
    <c:dispBlanksAs val="gap"/>
    <c:showDLblsOverMax val="0"/>
  </c:chart>
  <c:txPr>
    <a:bodyPr/>
    <a:lstStyle/>
    <a:p>
      <a:pPr>
        <a:defRPr sz="107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hy-AM" sz="1000" dirty="0">
                <a:latin typeface="GHEA Grapalat" panose="02000506050000020003" pitchFamily="50" charset="0"/>
              </a:rPr>
              <a:t>Պարենի</a:t>
            </a:r>
            <a:r>
              <a:rPr lang="hy-AM" sz="1000" baseline="0" dirty="0">
                <a:latin typeface="GHEA Grapalat" panose="02000506050000020003" pitchFamily="50" charset="0"/>
              </a:rPr>
              <a:t> միջազգային գներ</a:t>
            </a:r>
            <a:endParaRPr lang="en-US" sz="1000" dirty="0">
              <a:latin typeface="GHEA Grapalat" panose="02000506050000020003" pitchFamily="50" charset="0"/>
            </a:endParaRPr>
          </a:p>
        </c:rich>
      </c:tx>
      <c:layout>
        <c:manualLayout>
          <c:xMode val="edge"/>
          <c:yMode val="edge"/>
          <c:x val="0.27089836027161202"/>
          <c:y val="9.1074681238615673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6885866638027966"/>
          <c:y val="0.13275569037476873"/>
          <c:w val="0.80339904545830076"/>
          <c:h val="0.52001778466216309"/>
        </c:manualLayout>
      </c:layout>
      <c:lineChart>
        <c:grouping val="standard"/>
        <c:varyColors val="0"/>
        <c:ser>
          <c:idx val="0"/>
          <c:order val="0"/>
          <c:tx>
            <c:strRef>
              <c:f>Sheet1!$D$1</c:f>
              <c:strCache>
                <c:ptCount val="1"/>
                <c:pt idx="0">
                  <c:v>Միս</c:v>
                </c:pt>
              </c:strCache>
            </c:strRef>
          </c:tx>
          <c:spPr>
            <a:ln w="12700" cap="rnd">
              <a:solidFill>
                <a:schemeClr val="bg1">
                  <a:lumMod val="50000"/>
                </a:schemeClr>
              </a:solidFill>
              <a:round/>
            </a:ln>
            <a:effectLst/>
          </c:spPr>
          <c:marker>
            <c:symbol val="none"/>
          </c:marker>
          <c:cat>
            <c:multiLvlStrRef>
              <c:f>Sheet1!$A$2:$B$61</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2021</c:v>
                  </c:pt>
                  <c:pt idx="12">
                    <c:v>2022</c:v>
                  </c:pt>
                  <c:pt idx="24">
                    <c:v>2023</c:v>
                  </c:pt>
                </c:lvl>
              </c:multiLvlStrCache>
            </c:multiLvlStrRef>
          </c:cat>
          <c:val>
            <c:numRef>
              <c:f>Sheet1!$D$2:$D$61</c:f>
              <c:numCache>
                <c:formatCode>0.0</c:formatCode>
                <c:ptCount val="36"/>
                <c:pt idx="0">
                  <c:v>104.00018051327531</c:v>
                </c:pt>
                <c:pt idx="1">
                  <c:v>105.95893633292587</c:v>
                </c:pt>
                <c:pt idx="2">
                  <c:v>109.20436144823053</c:v>
                </c:pt>
                <c:pt idx="3">
                  <c:v>113.08705779161301</c:v>
                </c:pt>
                <c:pt idx="4">
                  <c:v>116.38077467368926</c:v>
                </c:pt>
                <c:pt idx="5">
                  <c:v>119.95958468735375</c:v>
                </c:pt>
                <c:pt idx="6">
                  <c:v>123.67339307268786</c:v>
                </c:pt>
                <c:pt idx="7">
                  <c:v>122.9359923531395</c:v>
                </c:pt>
                <c:pt idx="8">
                  <c:v>122.12209010220813</c:v>
                </c:pt>
                <c:pt idx="9">
                  <c:v>121.34972751815869</c:v>
                </c:pt>
                <c:pt idx="10">
                  <c:v>121.93538976479982</c:v>
                </c:pt>
                <c:pt idx="11">
                  <c:v>120.3316311831653</c:v>
                </c:pt>
                <c:pt idx="12">
                  <c:v>121.54282491034134</c:v>
                </c:pt>
                <c:pt idx="13">
                  <c:v>123.41343700517467</c:v>
                </c:pt>
                <c:pt idx="14">
                  <c:v>129.31863354144474</c:v>
                </c:pt>
                <c:pt idx="15">
                  <c:v>132.11451837876544</c:v>
                </c:pt>
                <c:pt idx="16">
                  <c:v>133.16726615138023</c:v>
                </c:pt>
                <c:pt idx="17">
                  <c:v>136.47240432057984</c:v>
                </c:pt>
                <c:pt idx="18">
                  <c:v>134.44629883580902</c:v>
                </c:pt>
                <c:pt idx="19">
                  <c:v>131.23894152039051</c:v>
                </c:pt>
                <c:pt idx="20">
                  <c:v>130.3523200881308</c:v>
                </c:pt>
                <c:pt idx="21">
                  <c:v>126.61319947289506</c:v>
                </c:pt>
                <c:pt idx="22">
                  <c:v>124.22928767560416</c:v>
                </c:pt>
                <c:pt idx="23">
                  <c:v>121.8208849987623</c:v>
                </c:pt>
                <c:pt idx="24">
                  <c:v>120.43665627393959</c:v>
                </c:pt>
                <c:pt idx="25">
                  <c:v>122.80532362970983</c:v>
                </c:pt>
                <c:pt idx="26">
                  <c:v>124.29773352435258</c:v>
                </c:pt>
                <c:pt idx="27">
                  <c:v>126.62345565402664</c:v>
                </c:pt>
                <c:pt idx="28">
                  <c:v>127.98607374742997</c:v>
                </c:pt>
                <c:pt idx="29">
                  <c:v>128.92178591694537</c:v>
                </c:pt>
                <c:pt idx="30">
                  <c:v>128.42102586180263</c:v>
                </c:pt>
                <c:pt idx="31">
                  <c:v>124.85698252371478</c:v>
                </c:pt>
                <c:pt idx="32">
                  <c:v>123.62432638704151</c:v>
                </c:pt>
                <c:pt idx="33">
                  <c:v>121.67998480835874</c:v>
                </c:pt>
                <c:pt idx="34">
                  <c:v>120.83139757366845</c:v>
                </c:pt>
                <c:pt idx="35">
                  <c:v>119.6312756736865</c:v>
                </c:pt>
              </c:numCache>
            </c:numRef>
          </c:val>
          <c:smooth val="0"/>
          <c:extLst>
            <c:ext xmlns:c16="http://schemas.microsoft.com/office/drawing/2014/chart" uri="{C3380CC4-5D6E-409C-BE32-E72D297353CC}">
              <c16:uniqueId val="{00000000-C4BF-44E9-9F5C-10A448B288DA}"/>
            </c:ext>
          </c:extLst>
        </c:ser>
        <c:ser>
          <c:idx val="1"/>
          <c:order val="1"/>
          <c:tx>
            <c:strRef>
              <c:f>Sheet1!$E$1</c:f>
              <c:strCache>
                <c:ptCount val="1"/>
                <c:pt idx="0">
                  <c:v>Կաթնամթերք</c:v>
                </c:pt>
              </c:strCache>
            </c:strRef>
          </c:tx>
          <c:spPr>
            <a:ln w="15875" cap="rnd">
              <a:solidFill>
                <a:schemeClr val="accent1"/>
              </a:solidFill>
              <a:round/>
            </a:ln>
            <a:effectLst/>
          </c:spPr>
          <c:marker>
            <c:symbol val="none"/>
          </c:marker>
          <c:cat>
            <c:multiLvlStrRef>
              <c:f>Sheet1!$A$2:$B$61</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2021</c:v>
                  </c:pt>
                  <c:pt idx="12">
                    <c:v>2022</c:v>
                  </c:pt>
                  <c:pt idx="24">
                    <c:v>2023</c:v>
                  </c:pt>
                </c:lvl>
              </c:multiLvlStrCache>
            </c:multiLvlStrRef>
          </c:cat>
          <c:val>
            <c:numRef>
              <c:f>Sheet1!$E$2:$E$61</c:f>
              <c:numCache>
                <c:formatCode>0.0</c:formatCode>
                <c:ptCount val="36"/>
                <c:pt idx="0">
                  <c:v>110.20312246920356</c:v>
                </c:pt>
                <c:pt idx="1">
                  <c:v>112.01347204740341</c:v>
                </c:pt>
                <c:pt idx="2">
                  <c:v>116.35791851074396</c:v>
                </c:pt>
                <c:pt idx="3">
                  <c:v>117.98773818082701</c:v>
                </c:pt>
                <c:pt idx="4">
                  <c:v>119.99502104091046</c:v>
                </c:pt>
                <c:pt idx="5">
                  <c:v>118.78863620491821</c:v>
                </c:pt>
                <c:pt idx="6">
                  <c:v>115.63454509861253</c:v>
                </c:pt>
                <c:pt idx="7">
                  <c:v>115.07162667689985</c:v>
                </c:pt>
                <c:pt idx="8">
                  <c:v>117.02290932854433</c:v>
                </c:pt>
                <c:pt idx="9">
                  <c:v>120.32030282356355</c:v>
                </c:pt>
                <c:pt idx="10">
                  <c:v>124.80382329993753</c:v>
                </c:pt>
                <c:pt idx="11">
                  <c:v>127.75314168728802</c:v>
                </c:pt>
                <c:pt idx="12">
                  <c:v>131.38839047060878</c:v>
                </c:pt>
                <c:pt idx="13">
                  <c:v>140.20189444991058</c:v>
                </c:pt>
                <c:pt idx="14">
                  <c:v>144.46315367173901</c:v>
                </c:pt>
                <c:pt idx="15">
                  <c:v>145.31319437878705</c:v>
                </c:pt>
                <c:pt idx="16">
                  <c:v>142.82546142349045</c:v>
                </c:pt>
                <c:pt idx="17">
                  <c:v>148.77295834364918</c:v>
                </c:pt>
                <c:pt idx="18">
                  <c:v>145.09144041732978</c:v>
                </c:pt>
                <c:pt idx="19">
                  <c:v>142.00683409562455</c:v>
                </c:pt>
                <c:pt idx="20">
                  <c:v>141.35492692661768</c:v>
                </c:pt>
                <c:pt idx="21">
                  <c:v>137.94649153309936</c:v>
                </c:pt>
                <c:pt idx="22">
                  <c:v>136.0964363201924</c:v>
                </c:pt>
                <c:pt idx="23">
                  <c:v>136.87362784925605</c:v>
                </c:pt>
                <c:pt idx="24">
                  <c:v>133.2711941909495</c:v>
                </c:pt>
                <c:pt idx="25">
                  <c:v>128.13713542034475</c:v>
                </c:pt>
                <c:pt idx="26">
                  <c:v>125.5976608532889</c:v>
                </c:pt>
                <c:pt idx="27">
                  <c:v>121.41364369303766</c:v>
                </c:pt>
                <c:pt idx="28">
                  <c:v>116.66796615667587</c:v>
                </c:pt>
                <c:pt idx="29">
                  <c:v>115.62800112883801</c:v>
                </c:pt>
                <c:pt idx="30">
                  <c:v>114.83021998504393</c:v>
                </c:pt>
                <c:pt idx="31">
                  <c:v>110.14840424531263</c:v>
                </c:pt>
                <c:pt idx="32">
                  <c:v>107.88496951656472</c:v>
                </c:pt>
                <c:pt idx="33">
                  <c:v>110.61279196999178</c:v>
                </c:pt>
                <c:pt idx="34">
                  <c:v>113.1586350439143</c:v>
                </c:pt>
                <c:pt idx="35">
                  <c:v>115.00492596995312</c:v>
                </c:pt>
              </c:numCache>
            </c:numRef>
          </c:val>
          <c:smooth val="0"/>
          <c:extLst>
            <c:ext xmlns:c16="http://schemas.microsoft.com/office/drawing/2014/chart" uri="{C3380CC4-5D6E-409C-BE32-E72D297353CC}">
              <c16:uniqueId val="{00000001-C4BF-44E9-9F5C-10A448B288DA}"/>
            </c:ext>
          </c:extLst>
        </c:ser>
        <c:ser>
          <c:idx val="2"/>
          <c:order val="2"/>
          <c:tx>
            <c:strRef>
              <c:f>Sheet1!$F$1</c:f>
              <c:strCache>
                <c:ptCount val="1"/>
                <c:pt idx="0">
                  <c:v>Հացահատիկ</c:v>
                </c:pt>
              </c:strCache>
            </c:strRef>
          </c:tx>
          <c:spPr>
            <a:ln w="12700" cap="rnd">
              <a:solidFill>
                <a:srgbClr val="8B53AD"/>
              </a:solidFill>
              <a:round/>
            </a:ln>
            <a:effectLst/>
          </c:spPr>
          <c:marker>
            <c:symbol val="none"/>
          </c:marker>
          <c:cat>
            <c:multiLvlStrRef>
              <c:f>Sheet1!$A$2:$B$61</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2021</c:v>
                  </c:pt>
                  <c:pt idx="12">
                    <c:v>2022</c:v>
                  </c:pt>
                  <c:pt idx="24">
                    <c:v>2023</c:v>
                  </c:pt>
                </c:lvl>
              </c:multiLvlStrCache>
            </c:multiLvlStrRef>
          </c:cat>
          <c:val>
            <c:numRef>
              <c:f>Sheet1!$F$2:$F$61</c:f>
              <c:numCache>
                <c:formatCode>0.0</c:formatCode>
                <c:ptCount val="36"/>
                <c:pt idx="0">
                  <c:v>122.83525898681131</c:v>
                </c:pt>
                <c:pt idx="1">
                  <c:v>123.95325316936005</c:v>
                </c:pt>
                <c:pt idx="2">
                  <c:v>121.75339483791809</c:v>
                </c:pt>
                <c:pt idx="3">
                  <c:v>124.00589966739793</c:v>
                </c:pt>
                <c:pt idx="4">
                  <c:v>131.37017225284697</c:v>
                </c:pt>
                <c:pt idx="5">
                  <c:v>128.04821188790831</c:v>
                </c:pt>
                <c:pt idx="6">
                  <c:v>124.06125093955555</c:v>
                </c:pt>
                <c:pt idx="7">
                  <c:v>128.12056089305887</c:v>
                </c:pt>
                <c:pt idx="8">
                  <c:v>130.52668449223728</c:v>
                </c:pt>
                <c:pt idx="9">
                  <c:v>134.7576081189911</c:v>
                </c:pt>
                <c:pt idx="10">
                  <c:v>138.98475844737547</c:v>
                </c:pt>
                <c:pt idx="11">
                  <c:v>138.05150811785779</c:v>
                </c:pt>
                <c:pt idx="12">
                  <c:v>138.20150153537679</c:v>
                </c:pt>
                <c:pt idx="13">
                  <c:v>142.74817414022243</c:v>
                </c:pt>
                <c:pt idx="14">
                  <c:v>167.1723725042124</c:v>
                </c:pt>
                <c:pt idx="15">
                  <c:v>166.72569891241511</c:v>
                </c:pt>
                <c:pt idx="16">
                  <c:v>170.50289594114409</c:v>
                </c:pt>
                <c:pt idx="17">
                  <c:v>163.44365022121542</c:v>
                </c:pt>
                <c:pt idx="18">
                  <c:v>144.69558297650883</c:v>
                </c:pt>
                <c:pt idx="19">
                  <c:v>143.04370356207207</c:v>
                </c:pt>
                <c:pt idx="20">
                  <c:v>145.34256159766957</c:v>
                </c:pt>
                <c:pt idx="21">
                  <c:v>149.63321614291354</c:v>
                </c:pt>
                <c:pt idx="22">
                  <c:v>147.49795083868722</c:v>
                </c:pt>
                <c:pt idx="23">
                  <c:v>144.69298147846806</c:v>
                </c:pt>
                <c:pt idx="24">
                  <c:v>144.92698641546843</c:v>
                </c:pt>
                <c:pt idx="25">
                  <c:v>144.16416316386986</c:v>
                </c:pt>
                <c:pt idx="26">
                  <c:v>136.14462283416228</c:v>
                </c:pt>
                <c:pt idx="27">
                  <c:v>133.77294032195991</c:v>
                </c:pt>
                <c:pt idx="28">
                  <c:v>127.0229375737151</c:v>
                </c:pt>
                <c:pt idx="29">
                  <c:v>124.40059132190768</c:v>
                </c:pt>
                <c:pt idx="30">
                  <c:v>123.67107287353399</c:v>
                </c:pt>
                <c:pt idx="31">
                  <c:v>122.81920659581708</c:v>
                </c:pt>
                <c:pt idx="32">
                  <c:v>124.09612447748671</c:v>
                </c:pt>
                <c:pt idx="33">
                  <c:v>122.60051725263892</c:v>
                </c:pt>
                <c:pt idx="34">
                  <c:v>118.93744058584635</c:v>
                </c:pt>
                <c:pt idx="35">
                  <c:v>120.69027020285463</c:v>
                </c:pt>
              </c:numCache>
            </c:numRef>
          </c:val>
          <c:smooth val="0"/>
          <c:extLst>
            <c:ext xmlns:c16="http://schemas.microsoft.com/office/drawing/2014/chart" uri="{C3380CC4-5D6E-409C-BE32-E72D297353CC}">
              <c16:uniqueId val="{00000002-C4BF-44E9-9F5C-10A448B288DA}"/>
            </c:ext>
          </c:extLst>
        </c:ser>
        <c:ser>
          <c:idx val="3"/>
          <c:order val="3"/>
          <c:tx>
            <c:strRef>
              <c:f>Sheet1!$G$1</c:f>
              <c:strCache>
                <c:ptCount val="1"/>
                <c:pt idx="0">
                  <c:v>Բուսական յուղեր</c:v>
                </c:pt>
              </c:strCache>
            </c:strRef>
          </c:tx>
          <c:spPr>
            <a:ln w="12700" cap="rnd">
              <a:solidFill>
                <a:srgbClr val="30BCD8"/>
              </a:solidFill>
              <a:round/>
            </a:ln>
            <a:effectLst/>
          </c:spPr>
          <c:marker>
            <c:symbol val="none"/>
          </c:marker>
          <c:cat>
            <c:multiLvlStrRef>
              <c:f>Sheet1!$A$2:$B$61</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2021</c:v>
                  </c:pt>
                  <c:pt idx="12">
                    <c:v>2022</c:v>
                  </c:pt>
                  <c:pt idx="24">
                    <c:v>2023</c:v>
                  </c:pt>
                </c:lvl>
              </c:multiLvlStrCache>
            </c:multiLvlStrRef>
          </c:cat>
          <c:val>
            <c:numRef>
              <c:f>Sheet1!$G$2:$G$61</c:f>
              <c:numCache>
                <c:formatCode>0.0</c:formatCode>
                <c:ptCount val="36"/>
                <c:pt idx="0">
                  <c:v>173.03516139386724</c:v>
                </c:pt>
                <c:pt idx="1">
                  <c:v>183.73558324521639</c:v>
                </c:pt>
                <c:pt idx="2">
                  <c:v>198.48742240136227</c:v>
                </c:pt>
                <c:pt idx="3">
                  <c:v>202.08746281888722</c:v>
                </c:pt>
                <c:pt idx="4">
                  <c:v>217.89223210508541</c:v>
                </c:pt>
                <c:pt idx="5">
                  <c:v>196.46708388723403</c:v>
                </c:pt>
                <c:pt idx="6">
                  <c:v>193.74461309045728</c:v>
                </c:pt>
                <c:pt idx="7">
                  <c:v>206.66142036391179</c:v>
                </c:pt>
                <c:pt idx="8">
                  <c:v>210.03624559668773</c:v>
                </c:pt>
                <c:pt idx="9">
                  <c:v>230.30414407291863</c:v>
                </c:pt>
                <c:pt idx="10">
                  <c:v>229.95241258820283</c:v>
                </c:pt>
                <c:pt idx="11">
                  <c:v>222.41455002447412</c:v>
                </c:pt>
                <c:pt idx="12">
                  <c:v>231.66721156204446</c:v>
                </c:pt>
                <c:pt idx="13">
                  <c:v>251.3365728438678</c:v>
                </c:pt>
                <c:pt idx="14">
                  <c:v>313.77720677985673</c:v>
                </c:pt>
                <c:pt idx="15">
                  <c:v>295.96024430789657</c:v>
                </c:pt>
                <c:pt idx="16">
                  <c:v>285.63001933404212</c:v>
                </c:pt>
                <c:pt idx="17">
                  <c:v>263.89296419451284</c:v>
                </c:pt>
                <c:pt idx="18">
                  <c:v>210.34719343638744</c:v>
                </c:pt>
                <c:pt idx="19">
                  <c:v>203.49817760835785</c:v>
                </c:pt>
                <c:pt idx="20">
                  <c:v>190.1029284524889</c:v>
                </c:pt>
                <c:pt idx="21">
                  <c:v>188.49833853760259</c:v>
                </c:pt>
                <c:pt idx="22">
                  <c:v>192.76226734476404</c:v>
                </c:pt>
                <c:pt idx="23">
                  <c:v>180.16935522996457</c:v>
                </c:pt>
                <c:pt idx="24">
                  <c:v>174.95068241007854</c:v>
                </c:pt>
                <c:pt idx="25">
                  <c:v>169.29049786435638</c:v>
                </c:pt>
                <c:pt idx="26">
                  <c:v>164.20379142631597</c:v>
                </c:pt>
                <c:pt idx="27">
                  <c:v>162.01505722191894</c:v>
                </c:pt>
                <c:pt idx="28">
                  <c:v>147.87614701606566</c:v>
                </c:pt>
                <c:pt idx="29">
                  <c:v>144.27186696819604</c:v>
                </c:pt>
                <c:pt idx="30">
                  <c:v>161.73595868426494</c:v>
                </c:pt>
                <c:pt idx="31">
                  <c:v>156.77174837707108</c:v>
                </c:pt>
                <c:pt idx="32">
                  <c:v>150.59708963531318</c:v>
                </c:pt>
                <c:pt idx="33">
                  <c:v>149.5283561004486</c:v>
                </c:pt>
                <c:pt idx="34">
                  <c:v>154.65475199844806</c:v>
                </c:pt>
                <c:pt idx="35">
                  <c:v>152.55236291668453</c:v>
                </c:pt>
              </c:numCache>
            </c:numRef>
          </c:val>
          <c:smooth val="0"/>
          <c:extLst>
            <c:ext xmlns:c16="http://schemas.microsoft.com/office/drawing/2014/chart" uri="{C3380CC4-5D6E-409C-BE32-E72D297353CC}">
              <c16:uniqueId val="{00000003-C4BF-44E9-9F5C-10A448B288DA}"/>
            </c:ext>
          </c:extLst>
        </c:ser>
        <c:ser>
          <c:idx val="4"/>
          <c:order val="4"/>
          <c:tx>
            <c:strRef>
              <c:f>Sheet1!$H$1</c:f>
              <c:strCache>
                <c:ptCount val="1"/>
                <c:pt idx="0">
                  <c:v>Շաքարավազ</c:v>
                </c:pt>
              </c:strCache>
            </c:strRef>
          </c:tx>
          <c:spPr>
            <a:ln w="12700" cap="rnd">
              <a:solidFill>
                <a:schemeClr val="accent6"/>
              </a:solidFill>
              <a:round/>
            </a:ln>
            <a:effectLst/>
          </c:spPr>
          <c:marker>
            <c:symbol val="none"/>
          </c:marker>
          <c:cat>
            <c:multiLvlStrRef>
              <c:f>Sheet1!$A$2:$B$61</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2021</c:v>
                  </c:pt>
                  <c:pt idx="12">
                    <c:v>2022</c:v>
                  </c:pt>
                  <c:pt idx="24">
                    <c:v>2023</c:v>
                  </c:pt>
                </c:lvl>
              </c:multiLvlStrCache>
            </c:multiLvlStrRef>
          </c:cat>
          <c:val>
            <c:numRef>
              <c:f>Sheet1!$H$2:$H$61</c:f>
              <c:numCache>
                <c:formatCode>0.0</c:formatCode>
                <c:ptCount val="36"/>
                <c:pt idx="0">
                  <c:v>118.67333191519532</c:v>
                </c:pt>
                <c:pt idx="1">
                  <c:v>126.25469758207471</c:v>
                </c:pt>
                <c:pt idx="2">
                  <c:v>121.24216555836099</c:v>
                </c:pt>
                <c:pt idx="3">
                  <c:v>126.0181048949396</c:v>
                </c:pt>
                <c:pt idx="4">
                  <c:v>134.60433950223356</c:v>
                </c:pt>
                <c:pt idx="5">
                  <c:v>135.77962135715802</c:v>
                </c:pt>
                <c:pt idx="6">
                  <c:v>138.07345954761399</c:v>
                </c:pt>
                <c:pt idx="7">
                  <c:v>151.92512231440114</c:v>
                </c:pt>
                <c:pt idx="8">
                  <c:v>152.74055165567609</c:v>
                </c:pt>
                <c:pt idx="9">
                  <c:v>150.0636473833666</c:v>
                </c:pt>
                <c:pt idx="10">
                  <c:v>151.47486350421894</c:v>
                </c:pt>
                <c:pt idx="11">
                  <c:v>146.74537332482456</c:v>
                </c:pt>
                <c:pt idx="12">
                  <c:v>142.00018233202667</c:v>
                </c:pt>
                <c:pt idx="13">
                  <c:v>139.30759412890876</c:v>
                </c:pt>
                <c:pt idx="14">
                  <c:v>148.61253695636762</c:v>
                </c:pt>
                <c:pt idx="15">
                  <c:v>153.18726512089628</c:v>
                </c:pt>
                <c:pt idx="16">
                  <c:v>151.7301283414877</c:v>
                </c:pt>
                <c:pt idx="17">
                  <c:v>147.81961284833019</c:v>
                </c:pt>
                <c:pt idx="18">
                  <c:v>142.21931841587241</c:v>
                </c:pt>
                <c:pt idx="19">
                  <c:v>139.23587025887187</c:v>
                </c:pt>
                <c:pt idx="20">
                  <c:v>138.22945472594489</c:v>
                </c:pt>
                <c:pt idx="21">
                  <c:v>136.84862727619594</c:v>
                </c:pt>
                <c:pt idx="22">
                  <c:v>144.17499822732759</c:v>
                </c:pt>
                <c:pt idx="23">
                  <c:v>147.68286382836484</c:v>
                </c:pt>
                <c:pt idx="24">
                  <c:v>147.19259326789648</c:v>
                </c:pt>
                <c:pt idx="25">
                  <c:v>157.75792384599026</c:v>
                </c:pt>
                <c:pt idx="26">
                  <c:v>160.05783536651165</c:v>
                </c:pt>
                <c:pt idx="27">
                  <c:v>188.29439051788162</c:v>
                </c:pt>
                <c:pt idx="28">
                  <c:v>198.14223923987808</c:v>
                </c:pt>
                <c:pt idx="29">
                  <c:v>191.77125434304764</c:v>
                </c:pt>
                <c:pt idx="30">
                  <c:v>184.42344249619305</c:v>
                </c:pt>
                <c:pt idx="31">
                  <c:v>186.77709645496341</c:v>
                </c:pt>
                <c:pt idx="32">
                  <c:v>205.07423277046763</c:v>
                </c:pt>
                <c:pt idx="33">
                  <c:v>200.6239807133235</c:v>
                </c:pt>
                <c:pt idx="34">
                  <c:v>203.41062185350637</c:v>
                </c:pt>
                <c:pt idx="35">
                  <c:v>169.68170266124795</c:v>
                </c:pt>
              </c:numCache>
            </c:numRef>
          </c:val>
          <c:smooth val="0"/>
          <c:extLst>
            <c:ext xmlns:c16="http://schemas.microsoft.com/office/drawing/2014/chart" uri="{C3380CC4-5D6E-409C-BE32-E72D297353CC}">
              <c16:uniqueId val="{00000004-C4BF-44E9-9F5C-10A448B288DA}"/>
            </c:ext>
          </c:extLst>
        </c:ser>
        <c:ser>
          <c:idx val="5"/>
          <c:order val="5"/>
          <c:tx>
            <c:strRef>
              <c:f>Sheet1!$C$1</c:f>
              <c:strCache>
                <c:ptCount val="1"/>
                <c:pt idx="0">
                  <c:v>Պարենի գնի համաթիվ</c:v>
                </c:pt>
              </c:strCache>
            </c:strRef>
          </c:tx>
          <c:spPr>
            <a:ln w="28575" cap="rnd">
              <a:solidFill>
                <a:schemeClr val="tx2"/>
              </a:solidFill>
              <a:round/>
            </a:ln>
            <a:effectLst/>
          </c:spPr>
          <c:marker>
            <c:symbol val="none"/>
          </c:marker>
          <c:cat>
            <c:multiLvlStrRef>
              <c:f>Sheet1!$A$2:$B$61</c:f>
              <c:multiLvlStrCache>
                <c:ptCount val="36"/>
                <c:lvl>
                  <c:pt idx="2">
                    <c:v>3</c:v>
                  </c:pt>
                  <c:pt idx="5">
                    <c:v>6</c:v>
                  </c:pt>
                  <c:pt idx="8">
                    <c:v>9</c:v>
                  </c:pt>
                  <c:pt idx="11">
                    <c:v>12</c:v>
                  </c:pt>
                  <c:pt idx="14">
                    <c:v>3</c:v>
                  </c:pt>
                  <c:pt idx="17">
                    <c:v>6</c:v>
                  </c:pt>
                  <c:pt idx="20">
                    <c:v>9</c:v>
                  </c:pt>
                  <c:pt idx="23">
                    <c:v>12</c:v>
                  </c:pt>
                  <c:pt idx="26">
                    <c:v>3</c:v>
                  </c:pt>
                  <c:pt idx="29">
                    <c:v>6</c:v>
                  </c:pt>
                  <c:pt idx="32">
                    <c:v>9</c:v>
                  </c:pt>
                  <c:pt idx="35">
                    <c:v>12</c:v>
                  </c:pt>
                </c:lvl>
                <c:lvl>
                  <c:pt idx="0">
                    <c:v>2021</c:v>
                  </c:pt>
                  <c:pt idx="12">
                    <c:v>2022</c:v>
                  </c:pt>
                  <c:pt idx="24">
                    <c:v>2023</c:v>
                  </c:pt>
                </c:lvl>
              </c:multiLvlStrCache>
            </c:multiLvlStrRef>
          </c:cat>
          <c:val>
            <c:numRef>
              <c:f>Sheet1!$C$2:$C$61</c:f>
              <c:numCache>
                <c:formatCode>0.0</c:formatCode>
                <c:ptCount val="36"/>
                <c:pt idx="0">
                  <c:v>121.65831839495753</c:v>
                </c:pt>
                <c:pt idx="1">
                  <c:v>124.92143317820711</c:v>
                </c:pt>
                <c:pt idx="2">
                  <c:v>127.77072558939832</c:v>
                </c:pt>
                <c:pt idx="3">
                  <c:v>130.81089912356762</c:v>
                </c:pt>
                <c:pt idx="4">
                  <c:v>137.30426601932751</c:v>
                </c:pt>
                <c:pt idx="5">
                  <c:v>134.25232125150248</c:v>
                </c:pt>
                <c:pt idx="6">
                  <c:v>133.4884829370381</c:v>
                </c:pt>
                <c:pt idx="7">
                  <c:v>137.12484937262627</c:v>
                </c:pt>
                <c:pt idx="8">
                  <c:v>138.44409662675565</c:v>
                </c:pt>
                <c:pt idx="9">
                  <c:v>142.76834637008389</c:v>
                </c:pt>
                <c:pt idx="10">
                  <c:v>145.00858965514425</c:v>
                </c:pt>
                <c:pt idx="11">
                  <c:v>143.26851703879638</c:v>
                </c:pt>
                <c:pt idx="12">
                  <c:v>145.3079002302855</c:v>
                </c:pt>
                <c:pt idx="13">
                  <c:v>151.35332825484298</c:v>
                </c:pt>
                <c:pt idx="14">
                  <c:v>171.15477337302912</c:v>
                </c:pt>
                <c:pt idx="15">
                  <c:v>169.78507056106341</c:v>
                </c:pt>
                <c:pt idx="16">
                  <c:v>169.37547831364941</c:v>
                </c:pt>
                <c:pt idx="17">
                  <c:v>165.79125941340135</c:v>
                </c:pt>
                <c:pt idx="18">
                  <c:v>150.64279187151291</c:v>
                </c:pt>
                <c:pt idx="19">
                  <c:v>147.43552710500325</c:v>
                </c:pt>
                <c:pt idx="20">
                  <c:v>145.78756264512978</c:v>
                </c:pt>
                <c:pt idx="21">
                  <c:v>145.07676688971267</c:v>
                </c:pt>
                <c:pt idx="22">
                  <c:v>144.38990540625946</c:v>
                </c:pt>
                <c:pt idx="23">
                  <c:v>141.2361280986444</c:v>
                </c:pt>
                <c:pt idx="24">
                  <c:v>139.52897883078353</c:v>
                </c:pt>
                <c:pt idx="25">
                  <c:v>139.11382843526951</c:v>
                </c:pt>
                <c:pt idx="26">
                  <c:v>136.10214787870848</c:v>
                </c:pt>
                <c:pt idx="27">
                  <c:v>136.87155374480952</c:v>
                </c:pt>
                <c:pt idx="28">
                  <c:v>133.03852214584032</c:v>
                </c:pt>
                <c:pt idx="29">
                  <c:v>131.462372473926</c:v>
                </c:pt>
                <c:pt idx="30">
                  <c:v>133.008108169076</c:v>
                </c:pt>
                <c:pt idx="31">
                  <c:v>130.28434732389235</c:v>
                </c:pt>
                <c:pt idx="32">
                  <c:v>130.15283586625065</c:v>
                </c:pt>
                <c:pt idx="33">
                  <c:v>129.03407090603176</c:v>
                </c:pt>
                <c:pt idx="34">
                  <c:v>128.88961066101996</c:v>
                </c:pt>
                <c:pt idx="35">
                  <c:v>126.99524321670783</c:v>
                </c:pt>
              </c:numCache>
            </c:numRef>
          </c:val>
          <c:smooth val="0"/>
          <c:extLst>
            <c:ext xmlns:c16="http://schemas.microsoft.com/office/drawing/2014/chart" uri="{C3380CC4-5D6E-409C-BE32-E72D297353CC}">
              <c16:uniqueId val="{00000005-C4BF-44E9-9F5C-10A448B288DA}"/>
            </c:ext>
          </c:extLst>
        </c:ser>
        <c:dLbls>
          <c:showLegendKey val="0"/>
          <c:showVal val="0"/>
          <c:showCatName val="0"/>
          <c:showSerName val="0"/>
          <c:showPercent val="0"/>
          <c:showBubbleSize val="0"/>
        </c:dLbls>
        <c:smooth val="0"/>
        <c:axId val="553697808"/>
        <c:axId val="553683664"/>
      </c:lineChart>
      <c:catAx>
        <c:axId val="55369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53683664"/>
        <c:crosses val="autoZero"/>
        <c:auto val="1"/>
        <c:lblAlgn val="ctr"/>
        <c:lblOffset val="0"/>
        <c:noMultiLvlLbl val="0"/>
      </c:catAx>
      <c:valAx>
        <c:axId val="553683664"/>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r>
                  <a:rPr lang="hy-AM" sz="900" dirty="0">
                    <a:latin typeface="GHEA Grapalat" panose="02000506050000020003" pitchFamily="50" charset="0"/>
                  </a:rPr>
                  <a:t>Ինդեքս,</a:t>
                </a:r>
                <a:r>
                  <a:rPr lang="hy-AM" sz="900" baseline="0" dirty="0">
                    <a:latin typeface="GHEA Grapalat" panose="02000506050000020003" pitchFamily="50" charset="0"/>
                  </a:rPr>
                  <a:t> </a:t>
                </a:r>
                <a:r>
                  <a:rPr lang="hy-AM" sz="900" dirty="0">
                    <a:latin typeface="GHEA Grapalat" panose="02000506050000020003" pitchFamily="50" charset="0"/>
                  </a:rPr>
                  <a:t>2019թ.</a:t>
                </a:r>
                <a:r>
                  <a:rPr lang="hy-AM" sz="900" baseline="0" dirty="0">
                    <a:latin typeface="GHEA Grapalat" panose="02000506050000020003" pitchFamily="50" charset="0"/>
                  </a:rPr>
                  <a:t> հունվար </a:t>
                </a:r>
                <a:r>
                  <a:rPr lang="en-US" sz="900" baseline="0" dirty="0">
                    <a:latin typeface="GHEA Grapalat" panose="02000506050000020003" pitchFamily="50" charset="0"/>
                  </a:rPr>
                  <a:t>=100</a:t>
                </a:r>
                <a:endParaRPr lang="en-US" sz="900" dirty="0">
                  <a:latin typeface="GHEA Grapalat" panose="02000506050000020003" pitchFamily="50" charset="0"/>
                </a:endParaRPr>
              </a:p>
            </c:rich>
          </c:tx>
          <c:layout>
            <c:manualLayout>
              <c:xMode val="edge"/>
              <c:yMode val="edge"/>
              <c:x val="5.775339301183945E-3"/>
              <c:y val="0.10185310887863155"/>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crossAx val="553697808"/>
        <c:crosses val="autoZero"/>
        <c:crossBetween val="between"/>
      </c:valAx>
      <c:spPr>
        <a:noFill/>
        <a:ln w="25400">
          <a:noFill/>
        </a:ln>
        <a:effectLst/>
      </c:spPr>
    </c:plotArea>
    <c:legend>
      <c:legendPos val="b"/>
      <c:layout>
        <c:manualLayout>
          <c:xMode val="edge"/>
          <c:yMode val="edge"/>
          <c:x val="0"/>
          <c:y val="0.80963993230354403"/>
          <c:w val="1"/>
          <c:h val="0.1903600676964559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0238095238096"/>
          <c:y val="3.3434455872169082E-2"/>
          <c:w val="0.90870169874599005"/>
          <c:h val="0.7505331797386835"/>
        </c:manualLayout>
      </c:layout>
      <c:barChart>
        <c:barDir val="col"/>
        <c:grouping val="clustered"/>
        <c:varyColors val="0"/>
        <c:ser>
          <c:idx val="0"/>
          <c:order val="0"/>
          <c:tx>
            <c:strRef>
              <c:f>Sheet1!$A$2</c:f>
              <c:strCache>
                <c:ptCount val="1"/>
                <c:pt idx="0">
                  <c:v>Պետական բյուջեի եկամուտներ</c:v>
                </c:pt>
              </c:strCache>
            </c:strRef>
          </c:tx>
          <c:spPr>
            <a:solidFill>
              <a:srgbClr val="8064A2"/>
            </a:solidFill>
            <a:scene3d>
              <a:camera prst="orthographicFront"/>
              <a:lightRig rig="threePt" dir="t"/>
            </a:scene3d>
          </c:spPr>
          <c:invertIfNegative val="0"/>
          <c:dPt>
            <c:idx val="0"/>
            <c:invertIfNegative val="0"/>
            <c:bubble3D val="0"/>
            <c:spPr>
              <a:solidFill>
                <a:srgbClr val="8064A2">
                  <a:lumMod val="60000"/>
                  <a:lumOff val="40000"/>
                </a:srgbClr>
              </a:solidFill>
              <a:scene3d>
                <a:camera prst="orthographicFront"/>
                <a:lightRig rig="threePt" dir="t"/>
              </a:scene3d>
            </c:spPr>
            <c:extLst>
              <c:ext xmlns:c16="http://schemas.microsoft.com/office/drawing/2014/chart" uri="{C3380CC4-5D6E-409C-BE32-E72D297353CC}">
                <c16:uniqueId val="{00000001-F7E9-4EE3-AB32-4FECFAB56FF6}"/>
              </c:ext>
            </c:extLst>
          </c:dPt>
          <c:dPt>
            <c:idx val="1"/>
            <c:invertIfNegative val="0"/>
            <c:bubble3D val="0"/>
            <c:spPr>
              <a:solidFill>
                <a:srgbClr val="8064A2">
                  <a:lumMod val="60000"/>
                  <a:lumOff val="40000"/>
                </a:srgbClr>
              </a:solidFill>
              <a:scene3d>
                <a:camera prst="orthographicFront"/>
                <a:lightRig rig="threePt" dir="t"/>
              </a:scene3d>
            </c:spPr>
            <c:extLst>
              <c:ext xmlns:c16="http://schemas.microsoft.com/office/drawing/2014/chart" uri="{C3380CC4-5D6E-409C-BE32-E72D297353CC}">
                <c16:uniqueId val="{00000003-F7E9-4EE3-AB32-4FECFAB56FF6}"/>
              </c:ext>
            </c:extLst>
          </c:dPt>
          <c:dPt>
            <c:idx val="2"/>
            <c:invertIfNegative val="0"/>
            <c:bubble3D val="0"/>
            <c:spPr>
              <a:solidFill>
                <a:srgbClr val="8064A2">
                  <a:lumMod val="60000"/>
                  <a:lumOff val="40000"/>
                </a:srgbClr>
              </a:solidFill>
              <a:scene3d>
                <a:camera prst="orthographicFront"/>
                <a:lightRig rig="threePt" dir="t"/>
              </a:scene3d>
            </c:spPr>
            <c:extLst>
              <c:ext xmlns:c16="http://schemas.microsoft.com/office/drawing/2014/chart" uri="{C3380CC4-5D6E-409C-BE32-E72D297353CC}">
                <c16:uniqueId val="{00000005-F7E9-4EE3-AB32-4FECFAB56FF6}"/>
              </c:ext>
            </c:extLst>
          </c:dPt>
          <c:dLbls>
            <c:dLbl>
              <c:idx val="0"/>
              <c:layout>
                <c:manualLayout>
                  <c:x val="-2.2158225614698778E-2"/>
                  <c:y val="5.2117687773048467E-3"/>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E9-4EE3-AB32-4FECFAB56FF6}"/>
                </c:ext>
              </c:extLst>
            </c:dLbl>
            <c:dLbl>
              <c:idx val="1"/>
              <c:layout>
                <c:manualLayout>
                  <c:x val="-1.5306122448979612E-2"/>
                  <c:y val="0"/>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7E9-4EE3-AB32-4FECFAB56FF6}"/>
                </c:ext>
              </c:extLst>
            </c:dLbl>
            <c:dLbl>
              <c:idx val="2"/>
              <c:layout>
                <c:manualLayout>
                  <c:x val="-1.0991195678139018E-2"/>
                  <c:y val="3.5884353695765756E-3"/>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7E9-4EE3-AB32-4FECFAB56FF6}"/>
                </c:ext>
              </c:extLst>
            </c:dLbl>
            <c:dLbl>
              <c:idx val="3"/>
              <c:layout>
                <c:manualLayout>
                  <c:x val="-6.9443998071669647E-3"/>
                  <c:y val="1.0423452768729647E-2"/>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7E9-4EE3-AB32-4FECFAB56FF6}"/>
                </c:ext>
              </c:extLst>
            </c:dLbl>
            <c:dLbl>
              <c:idx val="4"/>
              <c:layout>
                <c:manualLayout>
                  <c:x val="-1.700680272108844E-2"/>
                  <c:y val="2.6058631921824131E-3"/>
                </c:manualLayout>
              </c:layout>
              <c:spPr>
                <a:noFill/>
                <a:ln w="25399">
                  <a:noFill/>
                </a:ln>
              </c:spPr>
              <c:txPr>
                <a:bodyPr/>
                <a:lstStyle/>
                <a:p>
                  <a:pPr>
                    <a:defRPr sz="1070" b="1" i="0" u="none" strike="noStrike" baseline="0">
                      <a:solidFill>
                        <a:srgbClr val="666699"/>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7E9-4EE3-AB32-4FECFAB56FF6}"/>
                </c:ext>
              </c:extLst>
            </c:dLbl>
            <c:spPr>
              <a:noFill/>
              <a:ln w="25399">
                <a:noFill/>
              </a:ln>
            </c:spPr>
            <c:txPr>
              <a:bodyPr wrap="square" lIns="38100" tIns="19050" rIns="38100" bIns="19050" anchor="ctr">
                <a:spAutoFit/>
              </a:bodyPr>
              <a:lstStyle/>
              <a:p>
                <a:pPr>
                  <a:defRPr sz="1070" b="1" i="0" u="none" strike="noStrike" baseline="0">
                    <a:solidFill>
                      <a:srgbClr val="6666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Sheet1!$B$2:$D$2</c:f>
              <c:numCache>
                <c:formatCode>_(* #,##0.0_);_(* \(#,##0.0\);_(* "-"??_);_(@_)</c:formatCode>
                <c:ptCount val="3"/>
                <c:pt idx="0">
                  <c:v>1683.8314631999999</c:v>
                </c:pt>
                <c:pt idx="1">
                  <c:v>2063.0953426000001</c:v>
                </c:pt>
                <c:pt idx="2">
                  <c:v>2358.7836063999998</c:v>
                </c:pt>
              </c:numCache>
            </c:numRef>
          </c:val>
          <c:extLst>
            <c:ext xmlns:c16="http://schemas.microsoft.com/office/drawing/2014/chart" uri="{C3380CC4-5D6E-409C-BE32-E72D297353CC}">
              <c16:uniqueId val="{00000008-F7E9-4EE3-AB32-4FECFAB56FF6}"/>
            </c:ext>
          </c:extLst>
        </c:ser>
        <c:ser>
          <c:idx val="1"/>
          <c:order val="1"/>
          <c:tx>
            <c:strRef>
              <c:f>Sheet1!$A$3</c:f>
              <c:strCache>
                <c:ptCount val="1"/>
                <c:pt idx="0">
                  <c:v>Հարկեր և տուրքեր</c:v>
                </c:pt>
              </c:strCache>
            </c:strRef>
          </c:tx>
          <c:spPr>
            <a:solidFill>
              <a:srgbClr val="C0504D">
                <a:lumMod val="40000"/>
                <a:lumOff val="60000"/>
              </a:srgbClr>
            </a:solidFill>
            <a:scene3d>
              <a:camera prst="orthographicFront"/>
              <a:lightRig rig="threePt" dir="t"/>
            </a:scene3d>
          </c:spPr>
          <c:invertIfNegative val="0"/>
          <c:dLbls>
            <c:dLbl>
              <c:idx val="0"/>
              <c:layout>
                <c:manualLayout>
                  <c:x val="1.1612660964777357E-2"/>
                  <c:y val="1.8816899984430844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E9-4EE3-AB32-4FECFAB56FF6}"/>
                </c:ext>
              </c:extLst>
            </c:dLbl>
            <c:dLbl>
              <c:idx val="1"/>
              <c:layout>
                <c:manualLayout>
                  <c:x val="8.4605742337922774E-3"/>
                  <c:y val="6.0198409290856307E-3"/>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7E9-4EE3-AB32-4FECFAB56FF6}"/>
                </c:ext>
              </c:extLst>
            </c:dLbl>
            <c:dLbl>
              <c:idx val="2"/>
              <c:layout>
                <c:manualLayout>
                  <c:x val="1.0878526375115521E-2"/>
                  <c:y val="7.3127579150660494E-3"/>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7E9-4EE3-AB32-4FECFAB56FF6}"/>
                </c:ext>
              </c:extLst>
            </c:dLbl>
            <c:dLbl>
              <c:idx val="3"/>
              <c:layout>
                <c:manualLayout>
                  <c:x val="6.6610423697038125E-3"/>
                  <c:y val="-2.8664495114006514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7E9-4EE3-AB32-4FECFAB56FF6}"/>
                </c:ext>
              </c:extLst>
            </c:dLbl>
            <c:dLbl>
              <c:idx val="4"/>
              <c:layout>
                <c:manualLayout>
                  <c:x val="8.0309604156623277E-3"/>
                  <c:y val="2.7897099181820612E-3"/>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7E9-4EE3-AB32-4FECFAB56FF6}"/>
                </c:ext>
              </c:extLst>
            </c:dLbl>
            <c:spPr>
              <a:noFill/>
              <a:ln w="25399">
                <a:noFill/>
              </a:ln>
            </c:spPr>
            <c:txPr>
              <a:bodyPr wrap="square" lIns="38100" tIns="19050" rIns="38100" bIns="19050" anchor="ctr">
                <a:spAutoFit/>
              </a:bodyPr>
              <a:lstStyle/>
              <a:p>
                <a:pPr>
                  <a:defRPr sz="1070" b="1" i="0" u="none" strike="noStrike" baseline="0">
                    <a:solidFill>
                      <a:srgbClr val="993366"/>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Sheet1!$B$3:$D$3</c:f>
              <c:numCache>
                <c:formatCode>_(* #,##0.0_);_(* \(#,##0.0\);_(* "-"??_);_(@_)</c:formatCode>
                <c:ptCount val="3"/>
                <c:pt idx="0">
                  <c:v>1586.9001966999999</c:v>
                </c:pt>
                <c:pt idx="1">
                  <c:v>1925.9686770000001</c:v>
                </c:pt>
                <c:pt idx="2">
                  <c:v>2221.9248348000001</c:v>
                </c:pt>
              </c:numCache>
            </c:numRef>
          </c:val>
          <c:extLst>
            <c:ext xmlns:c16="http://schemas.microsoft.com/office/drawing/2014/chart" uri="{C3380CC4-5D6E-409C-BE32-E72D297353CC}">
              <c16:uniqueId val="{0000000E-F7E9-4EE3-AB32-4FECFAB56FF6}"/>
            </c:ext>
          </c:extLst>
        </c:ser>
        <c:dLbls>
          <c:showLegendKey val="0"/>
          <c:showVal val="0"/>
          <c:showCatName val="0"/>
          <c:showSerName val="0"/>
          <c:showPercent val="0"/>
          <c:showBubbleSize val="0"/>
        </c:dLbls>
        <c:gapWidth val="150"/>
        <c:axId val="177920112"/>
        <c:axId val="1"/>
      </c:barChart>
      <c:lineChart>
        <c:grouping val="standard"/>
        <c:varyColors val="0"/>
        <c:ser>
          <c:idx val="2"/>
          <c:order val="2"/>
          <c:tx>
            <c:strRef>
              <c:f>Sheet1!$A$4</c:f>
              <c:strCache>
                <c:ptCount val="1"/>
                <c:pt idx="0">
                  <c:v>Եկամուտներ / ՀՆԱ</c:v>
                </c:pt>
              </c:strCache>
            </c:strRef>
          </c:tx>
          <c:spPr>
            <a:ln>
              <a:solidFill>
                <a:schemeClr val="tx2"/>
              </a:solidFill>
            </a:ln>
          </c:spPr>
          <c:marker>
            <c:spPr>
              <a:solidFill>
                <a:schemeClr val="tx2"/>
              </a:solidFill>
              <a:ln>
                <a:solidFill>
                  <a:schemeClr val="tx2"/>
                </a:solidFill>
              </a:ln>
            </c:spPr>
          </c:marker>
          <c:dLbls>
            <c:dLbl>
              <c:idx val="0"/>
              <c:layout>
                <c:manualLayout>
                  <c:x val="-3.349454344522728E-2"/>
                  <c:y val="-3.7272142452781681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7E9-4EE3-AB32-4FECFAB56FF6}"/>
                </c:ext>
              </c:extLst>
            </c:dLbl>
            <c:dLbl>
              <c:idx val="1"/>
              <c:layout>
                <c:manualLayout>
                  <c:x val="-4.9148611557077997E-2"/>
                  <c:y val="-4.027195204161671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7E9-4EE3-AB32-4FECFAB56FF6}"/>
                </c:ext>
              </c:extLst>
            </c:dLbl>
            <c:dLbl>
              <c:idx val="2"/>
              <c:layout>
                <c:manualLayout>
                  <c:x val="-3.9383892802873381E-3"/>
                  <c:y val="-3.5328083989501283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7E9-4EE3-AB32-4FECFAB56FF6}"/>
                </c:ext>
              </c:extLst>
            </c:dLbl>
            <c:dLbl>
              <c:idx val="3"/>
              <c:layout>
                <c:manualLayout>
                  <c:x val="2.3809523809523815E-2"/>
                  <c:y val="1.8241042345276882E-2"/>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7E9-4EE3-AB32-4FECFAB56FF6}"/>
                </c:ext>
              </c:extLst>
            </c:dLbl>
            <c:dLbl>
              <c:idx val="4"/>
              <c:layout>
                <c:manualLayout>
                  <c:x val="1.1290642241148429E-2"/>
                  <c:y val="5.7622406319731692E-3"/>
                </c:manualLayout>
              </c:layout>
              <c:spPr>
                <a:noFill/>
                <a:ln w="25399">
                  <a:noFill/>
                </a:ln>
              </c:spPr>
              <c:txPr>
                <a:bodyPr/>
                <a:lstStyle/>
                <a:p>
                  <a:pPr>
                    <a:defRPr sz="1070"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7E9-4EE3-AB32-4FECFAB56FF6}"/>
                </c:ext>
              </c:extLst>
            </c:dLbl>
            <c:spPr>
              <a:noFill/>
              <a:ln w="25399">
                <a:noFill/>
              </a:ln>
            </c:spPr>
            <c:txPr>
              <a:bodyPr wrap="square" lIns="38100" tIns="19050" rIns="38100" bIns="19050" anchor="ctr">
                <a:spAutoFit/>
              </a:bodyPr>
              <a:lstStyle/>
              <a:p>
                <a:pPr>
                  <a:defRPr sz="1070"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Sheet1!$B$4:$D$4</c:f>
              <c:numCache>
                <c:formatCode>0.0%</c:formatCode>
                <c:ptCount val="3"/>
                <c:pt idx="0">
                  <c:v>0.24083023106798396</c:v>
                </c:pt>
                <c:pt idx="1">
                  <c:v>0.24267611541897838</c:v>
                </c:pt>
                <c:pt idx="2">
                  <c:v>0.24822041065357453</c:v>
                </c:pt>
              </c:numCache>
            </c:numRef>
          </c:val>
          <c:smooth val="0"/>
          <c:extLst>
            <c:ext xmlns:c16="http://schemas.microsoft.com/office/drawing/2014/chart" uri="{C3380CC4-5D6E-409C-BE32-E72D297353CC}">
              <c16:uniqueId val="{00000014-F7E9-4EE3-AB32-4FECFAB56FF6}"/>
            </c:ext>
          </c:extLst>
        </c:ser>
        <c:ser>
          <c:idx val="3"/>
          <c:order val="3"/>
          <c:tx>
            <c:strRef>
              <c:f>Sheet1!$A$5</c:f>
              <c:strCache>
                <c:ptCount val="1"/>
                <c:pt idx="0">
                  <c:v>Հարկեր / ՀՆԱ</c:v>
                </c:pt>
              </c:strCache>
            </c:strRef>
          </c:tx>
          <c:spPr>
            <a:ln>
              <a:solidFill>
                <a:srgbClr val="C0504D"/>
              </a:solidFill>
            </a:ln>
          </c:spPr>
          <c:marker>
            <c:symbol val="diamond"/>
            <c:size val="5"/>
            <c:spPr>
              <a:solidFill>
                <a:srgbClr val="C0504D"/>
              </a:solidFill>
              <a:ln>
                <a:solidFill>
                  <a:srgbClr val="C0504D"/>
                </a:solidFill>
              </a:ln>
            </c:spPr>
          </c:marker>
          <c:dLbls>
            <c:dLbl>
              <c:idx val="0"/>
              <c:layout>
                <c:manualLayout>
                  <c:x val="-4.287166735736981E-2"/>
                  <c:y val="3.2976686737687194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7E9-4EE3-AB32-4FECFAB56FF6}"/>
                </c:ext>
              </c:extLst>
            </c:dLbl>
            <c:dLbl>
              <c:idx val="1"/>
              <c:layout>
                <c:manualLayout>
                  <c:x val="-4.6285951098217967E-2"/>
                  <c:y val="4.1055529823477953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7E9-4EE3-AB32-4FECFAB56FF6}"/>
                </c:ext>
              </c:extLst>
            </c:dLbl>
            <c:dLbl>
              <c:idx val="2"/>
              <c:layout>
                <c:manualLayout>
                  <c:x val="-3.397734493714602E-2"/>
                  <c:y val="4.2938860583603515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7E9-4EE3-AB32-4FECFAB56FF6}"/>
                </c:ext>
              </c:extLst>
            </c:dLbl>
            <c:dLbl>
              <c:idx val="3"/>
              <c:layout>
                <c:manualLayout>
                  <c:x val="-3.288004178049176E-2"/>
                  <c:y val="2.2167893508425577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F7E9-4EE3-AB32-4FECFAB56FF6}"/>
                </c:ext>
              </c:extLst>
            </c:dLbl>
            <c:dLbl>
              <c:idx val="4"/>
              <c:layout>
                <c:manualLayout>
                  <c:x val="1.1337913118003104E-2"/>
                  <c:y val="-1.2258842237554178E-2"/>
                </c:manualLayout>
              </c:layout>
              <c:spPr>
                <a:noFill/>
                <a:ln w="25399">
                  <a:noFill/>
                </a:ln>
              </c:spPr>
              <c:txPr>
                <a:bodyPr/>
                <a:lstStyle/>
                <a:p>
                  <a:pPr>
                    <a:defRPr sz="1070" b="1" i="0" u="none" strike="noStrike" baseline="0">
                      <a:solidFill>
                        <a:srgbClr val="993366"/>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7E9-4EE3-AB32-4FECFAB56FF6}"/>
                </c:ext>
              </c:extLst>
            </c:dLbl>
            <c:spPr>
              <a:noFill/>
              <a:ln w="25399">
                <a:noFill/>
              </a:ln>
            </c:spPr>
            <c:txPr>
              <a:bodyPr wrap="square" lIns="38100" tIns="19050" rIns="38100" bIns="19050" anchor="ctr">
                <a:spAutoFit/>
              </a:bodyPr>
              <a:lstStyle/>
              <a:p>
                <a:pPr>
                  <a:defRPr sz="1070" b="1" i="0" u="none" strike="noStrike" baseline="0">
                    <a:solidFill>
                      <a:srgbClr val="993366"/>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Sheet1!$B$5:$D$5</c:f>
              <c:numCache>
                <c:formatCode>0.0%</c:formatCode>
                <c:ptCount val="3"/>
                <c:pt idx="0">
                  <c:v>0.22696662309405777</c:v>
                </c:pt>
                <c:pt idx="1">
                  <c:v>0.22654629056775177</c:v>
                </c:pt>
                <c:pt idx="2">
                  <c:v>0.23381843651981962</c:v>
                </c:pt>
              </c:numCache>
            </c:numRef>
          </c:val>
          <c:smooth val="0"/>
          <c:extLst>
            <c:ext xmlns:c16="http://schemas.microsoft.com/office/drawing/2014/chart" uri="{C3380CC4-5D6E-409C-BE32-E72D297353CC}">
              <c16:uniqueId val="{0000001A-F7E9-4EE3-AB32-4FECFAB56FF6}"/>
            </c:ext>
          </c:extLst>
        </c:ser>
        <c:dLbls>
          <c:showLegendKey val="0"/>
          <c:showVal val="0"/>
          <c:showCatName val="0"/>
          <c:showSerName val="0"/>
          <c:showPercent val="0"/>
          <c:showBubbleSize val="0"/>
        </c:dLbls>
        <c:marker val="1"/>
        <c:smooth val="0"/>
        <c:axId val="3"/>
        <c:axId val="4"/>
      </c:lineChart>
      <c:catAx>
        <c:axId val="177920112"/>
        <c:scaling>
          <c:orientation val="minMax"/>
        </c:scaling>
        <c:delete val="0"/>
        <c:axPos val="b"/>
        <c:numFmt formatCode="General" sourceLinked="0"/>
        <c:majorTickMark val="out"/>
        <c:minorTickMark val="none"/>
        <c:tickLblPos val="nextTo"/>
        <c:txPr>
          <a:bodyPr rot="0" vert="horz"/>
          <a:lstStyle/>
          <a:p>
            <a:pPr>
              <a:defRPr sz="1070" b="1" i="0" u="none" strike="noStrike" baseline="0">
                <a:solidFill>
                  <a:srgbClr val="333399"/>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2400"/>
          <c:min val="0"/>
        </c:scaling>
        <c:delete val="0"/>
        <c:axPos val="l"/>
        <c:majorGridlines/>
        <c:numFmt formatCode="_(* #,##0.0_);_(* \(#,##0.0\);_(* &quot;-&quot;??_);_(@_)" sourceLinked="1"/>
        <c:majorTickMark val="out"/>
        <c:minorTickMark val="none"/>
        <c:tickLblPos val="nextTo"/>
        <c:txPr>
          <a:bodyPr rot="0" vert="horz"/>
          <a:lstStyle/>
          <a:p>
            <a:pPr>
              <a:defRPr sz="1070" b="1" i="0" u="none" strike="noStrike" baseline="0">
                <a:solidFill>
                  <a:srgbClr val="333399"/>
                </a:solidFill>
                <a:latin typeface="GHEA Grapalat"/>
                <a:ea typeface="GHEA Grapalat"/>
                <a:cs typeface="GHEA Grapalat"/>
              </a:defRPr>
            </a:pPr>
            <a:endParaRPr lang="en-US"/>
          </a:p>
        </c:txPr>
        <c:crossAx val="177920112"/>
        <c:crosses val="autoZero"/>
        <c:crossBetween val="between"/>
        <c:majorUnit val="4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0.4"/>
          <c:min val="0"/>
        </c:scaling>
        <c:delete val="0"/>
        <c:axPos val="r"/>
        <c:numFmt formatCode="0.0%" sourceLinked="1"/>
        <c:majorTickMark val="out"/>
        <c:minorTickMark val="none"/>
        <c:tickLblPos val="nextTo"/>
        <c:txPr>
          <a:bodyPr rot="0" vert="horz"/>
          <a:lstStyle/>
          <a:p>
            <a:pPr>
              <a:defRPr sz="1070" b="1" i="0" u="none" strike="noStrike" baseline="0">
                <a:solidFill>
                  <a:srgbClr val="333399"/>
                </a:solidFill>
                <a:latin typeface="GHEA Grapalat"/>
                <a:ea typeface="GHEA Grapalat"/>
                <a:cs typeface="GHEA Grapalat"/>
              </a:defRPr>
            </a:pPr>
            <a:endParaRPr lang="en-US"/>
          </a:p>
        </c:txPr>
        <c:crossAx val="3"/>
        <c:crosses val="max"/>
        <c:crossBetween val="between"/>
        <c:majorUnit val="0.1"/>
      </c:valAx>
    </c:plotArea>
    <c:legend>
      <c:legendPos val="r"/>
      <c:layout>
        <c:manualLayout>
          <c:xMode val="edge"/>
          <c:yMode val="edge"/>
          <c:x val="1.9736842105263157E-2"/>
          <c:y val="0.87979539641943738"/>
          <c:w val="0.98026315789473684"/>
          <c:h val="0.11764705882352941"/>
        </c:manualLayout>
      </c:layout>
      <c:overlay val="0"/>
      <c:txPr>
        <a:bodyPr/>
        <a:lstStyle/>
        <a:p>
          <a:pPr>
            <a:defRPr sz="905" b="1" i="0" u="none" strike="noStrike" baseline="0">
              <a:solidFill>
                <a:srgbClr val="333399"/>
              </a:solidFill>
              <a:latin typeface="GHEA Grapalat"/>
              <a:ea typeface="GHEA Grapalat"/>
              <a:cs typeface="GHEA Grapalat"/>
            </a:defRPr>
          </a:pPr>
          <a:endParaRPr lang="en-US"/>
        </a:p>
      </c:txPr>
    </c:legend>
    <c:plotVisOnly val="1"/>
    <c:dispBlanksAs val="gap"/>
    <c:showDLblsOverMax val="0"/>
  </c:chart>
  <c:txPr>
    <a:bodyPr/>
    <a:lstStyle/>
    <a:p>
      <a:pPr>
        <a:defRPr sz="107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overlay val="0"/>
      <c:txPr>
        <a:bodyPr/>
        <a:lstStyle/>
        <a:p>
          <a:pPr>
            <a:defRPr sz="1000"/>
          </a:pPr>
          <a:endParaRPr lang="en-US"/>
        </a:p>
      </c:txPr>
    </c:title>
    <c:autoTitleDeleted val="0"/>
    <c:plotArea>
      <c:layout>
        <c:manualLayout>
          <c:layoutTarget val="inner"/>
          <c:xMode val="edge"/>
          <c:yMode val="edge"/>
          <c:x val="0.11175233158604747"/>
          <c:y val="9.7304382406744605E-2"/>
          <c:w val="0.8829606441961837"/>
          <c:h val="0.72305058916458587"/>
        </c:manualLayout>
      </c:layout>
      <c:doughnutChart>
        <c:varyColors val="1"/>
        <c:ser>
          <c:idx val="1"/>
          <c:order val="0"/>
          <c:tx>
            <c:strRef>
              <c:f>Sheet1!$C$1</c:f>
              <c:strCache>
                <c:ptCount val="1"/>
                <c:pt idx="0">
                  <c:v>2022թ. փաստ</c:v>
                </c:pt>
              </c:strCache>
            </c:strRef>
          </c:tx>
          <c:spPr>
            <a:solidFill>
              <a:schemeClr val="tx2">
                <a:lumMod val="40000"/>
                <a:lumOff val="60000"/>
              </a:schemeClr>
            </a:solidFill>
          </c:spPr>
          <c:dPt>
            <c:idx val="0"/>
            <c:bubble3D val="0"/>
            <c:extLst>
              <c:ext xmlns:c16="http://schemas.microsoft.com/office/drawing/2014/chart" uri="{C3380CC4-5D6E-409C-BE32-E72D297353CC}">
                <c16:uniqueId val="{00000000-B7E5-4232-A589-6C6023FB6FBA}"/>
              </c:ext>
            </c:extLst>
          </c:dPt>
          <c:dPt>
            <c:idx val="1"/>
            <c:bubble3D val="0"/>
            <c:spPr>
              <a:solidFill>
                <a:srgbClr val="9BBB59">
                  <a:lumMod val="60000"/>
                  <a:lumOff val="40000"/>
                </a:srgbClr>
              </a:solidFill>
            </c:spPr>
            <c:extLst>
              <c:ext xmlns:c16="http://schemas.microsoft.com/office/drawing/2014/chart" uri="{C3380CC4-5D6E-409C-BE32-E72D297353CC}">
                <c16:uniqueId val="{00000002-B7E5-4232-A589-6C6023FB6FBA}"/>
              </c:ext>
            </c:extLst>
          </c:dPt>
          <c:dPt>
            <c:idx val="2"/>
            <c:bubble3D val="0"/>
            <c:spPr>
              <a:solidFill>
                <a:srgbClr val="C0504D">
                  <a:lumMod val="75000"/>
                </a:srgbClr>
              </a:solidFill>
            </c:spPr>
            <c:extLst>
              <c:ext xmlns:c16="http://schemas.microsoft.com/office/drawing/2014/chart" uri="{C3380CC4-5D6E-409C-BE32-E72D297353CC}">
                <c16:uniqueId val="{00000003-B7E5-4232-A589-6C6023FB6FBA}"/>
              </c:ext>
            </c:extLst>
          </c:dPt>
          <c:dLbls>
            <c:dLbl>
              <c:idx val="1"/>
              <c:layout>
                <c:manualLayout>
                  <c:x val="-2.457505631783747E-2"/>
                  <c:y val="-5.252525252525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E5-4232-A589-6C6023FB6FBA}"/>
                </c:ext>
              </c:extLst>
            </c:dLbl>
            <c:dLbl>
              <c:idx val="2"/>
              <c:layout>
                <c:manualLayout>
                  <c:x val="6.5533483514233049E-2"/>
                  <c:y val="-8.888888888888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E5-4232-A589-6C6023FB6FBA}"/>
                </c:ext>
              </c:extLst>
            </c:dLbl>
            <c:numFmt formatCode="0.0%" sourceLinked="0"/>
            <c:spPr>
              <a:noFill/>
              <a:ln w="25172">
                <a:noFill/>
              </a:ln>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Sheet1!$A$2:$A$4</c:f>
              <c:strCache>
                <c:ptCount val="3"/>
                <c:pt idx="0">
                  <c:v>Հարկեր և տուրքեր</c:v>
                </c:pt>
                <c:pt idx="1">
                  <c:v>Այլ եկամուտներ</c:v>
                </c:pt>
                <c:pt idx="2">
                  <c:v>Պաշտոնական
դրամաշնորհներ</c:v>
                </c:pt>
              </c:strCache>
            </c:strRef>
          </c:cat>
          <c:val>
            <c:numRef>
              <c:f>Sheet1!$C$2:$C$4</c:f>
              <c:numCache>
                <c:formatCode>0.00%</c:formatCode>
                <c:ptCount val="3"/>
                <c:pt idx="0">
                  <c:v>0.93353352956185387</c:v>
                </c:pt>
                <c:pt idx="1">
                  <c:v>5.9200448073368647E-2</c:v>
                </c:pt>
                <c:pt idx="2">
                  <c:v>7.2660223647775498E-3</c:v>
                </c:pt>
              </c:numCache>
            </c:numRef>
          </c:val>
          <c:extLst>
            <c:ext xmlns:c16="http://schemas.microsoft.com/office/drawing/2014/chart" uri="{C3380CC4-5D6E-409C-BE32-E72D297353CC}">
              <c16:uniqueId val="{00000004-B7E5-4232-A589-6C6023FB6FBA}"/>
            </c:ext>
          </c:extLst>
        </c:ser>
        <c:dLbls>
          <c:showLegendKey val="0"/>
          <c:showVal val="0"/>
          <c:showCatName val="0"/>
          <c:showSerName val="0"/>
          <c:showPercent val="0"/>
          <c:showBubbleSize val="0"/>
          <c:showLeaderLines val="0"/>
        </c:dLbls>
        <c:firstSliceAng val="0"/>
        <c:holeSize val="50"/>
      </c:doughnutChart>
      <c:spPr>
        <a:ln w="0">
          <a:noFill/>
        </a:ln>
      </c:spPr>
    </c:plotArea>
    <c:legend>
      <c:legendPos val="b"/>
      <c:layout>
        <c:manualLayout>
          <c:xMode val="edge"/>
          <c:yMode val="edge"/>
          <c:x val="0"/>
          <c:y val="0.8869033643521832"/>
          <c:w val="0.98915664634904077"/>
          <c:h val="0.11309663564781673"/>
        </c:manualLayout>
      </c:layout>
      <c:overlay val="0"/>
      <c:txPr>
        <a:bodyPr/>
        <a:lstStyle/>
        <a:p>
          <a:pPr>
            <a:defRPr sz="800" baseline="0"/>
          </a:pPr>
          <a:endParaRPr lang="en-US"/>
        </a:p>
      </c:txPr>
    </c:legend>
    <c:plotVisOnly val="1"/>
    <c:dispBlanksAs val="zero"/>
    <c:showDLblsOverMax val="0"/>
  </c:chart>
  <c:spPr>
    <a:ln w="0"/>
  </c:spPr>
  <c:txPr>
    <a:bodyPr/>
    <a:lstStyle/>
    <a:p>
      <a:pPr>
        <a:defRPr>
          <a:latin typeface="GHEA Grapalat" panose="02000506050000020003" pitchFamily="50" charset="0"/>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title>
      <c:overlay val="0"/>
      <c:txPr>
        <a:bodyPr/>
        <a:lstStyle/>
        <a:p>
          <a:pPr>
            <a:defRPr sz="1000"/>
          </a:pPr>
          <a:endParaRPr lang="en-US"/>
        </a:p>
      </c:txPr>
    </c:title>
    <c:autoTitleDeleted val="0"/>
    <c:plotArea>
      <c:layout>
        <c:manualLayout>
          <c:layoutTarget val="inner"/>
          <c:xMode val="edge"/>
          <c:yMode val="edge"/>
          <c:x val="0.11175233158604747"/>
          <c:y val="9.7304382406744605E-2"/>
          <c:w val="0.8829606441961837"/>
          <c:h val="0.72305058916458587"/>
        </c:manualLayout>
      </c:layout>
      <c:doughnutChart>
        <c:varyColors val="1"/>
        <c:ser>
          <c:idx val="1"/>
          <c:order val="0"/>
          <c:tx>
            <c:strRef>
              <c:f>Sheet1!$C$1</c:f>
              <c:strCache>
                <c:ptCount val="1"/>
                <c:pt idx="0">
                  <c:v>2023թ. փաստ</c:v>
                </c:pt>
              </c:strCache>
            </c:strRef>
          </c:tx>
          <c:spPr>
            <a:solidFill>
              <a:schemeClr val="tx2">
                <a:lumMod val="40000"/>
                <a:lumOff val="60000"/>
              </a:schemeClr>
            </a:solidFill>
          </c:spPr>
          <c:dPt>
            <c:idx val="0"/>
            <c:bubble3D val="0"/>
            <c:extLst>
              <c:ext xmlns:c16="http://schemas.microsoft.com/office/drawing/2014/chart" uri="{C3380CC4-5D6E-409C-BE32-E72D297353CC}">
                <c16:uniqueId val="{00000000-2E92-4854-B1D1-56744D957D3B}"/>
              </c:ext>
            </c:extLst>
          </c:dPt>
          <c:dPt>
            <c:idx val="1"/>
            <c:bubble3D val="0"/>
            <c:spPr>
              <a:solidFill>
                <a:srgbClr val="9BBB59">
                  <a:lumMod val="60000"/>
                  <a:lumOff val="40000"/>
                </a:srgbClr>
              </a:solidFill>
            </c:spPr>
            <c:extLst>
              <c:ext xmlns:c16="http://schemas.microsoft.com/office/drawing/2014/chart" uri="{C3380CC4-5D6E-409C-BE32-E72D297353CC}">
                <c16:uniqueId val="{00000002-2E92-4854-B1D1-56744D957D3B}"/>
              </c:ext>
            </c:extLst>
          </c:dPt>
          <c:dPt>
            <c:idx val="2"/>
            <c:bubble3D val="0"/>
            <c:spPr>
              <a:solidFill>
                <a:srgbClr val="C0504D">
                  <a:lumMod val="75000"/>
                </a:srgbClr>
              </a:solidFill>
            </c:spPr>
            <c:extLst>
              <c:ext xmlns:c16="http://schemas.microsoft.com/office/drawing/2014/chart" uri="{C3380CC4-5D6E-409C-BE32-E72D297353CC}">
                <c16:uniqueId val="{00000004-2E92-4854-B1D1-56744D957D3B}"/>
              </c:ext>
            </c:extLst>
          </c:dPt>
          <c:dLbls>
            <c:dLbl>
              <c:idx val="1"/>
              <c:layout>
                <c:manualLayout>
                  <c:x val="-2.457505631783747E-2"/>
                  <c:y val="-5.252525252525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92-4854-B1D1-56744D957D3B}"/>
                </c:ext>
              </c:extLst>
            </c:dLbl>
            <c:dLbl>
              <c:idx val="2"/>
              <c:layout>
                <c:manualLayout>
                  <c:x val="6.5533483514233049E-2"/>
                  <c:y val="-8.888888888888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92-4854-B1D1-56744D957D3B}"/>
                </c:ext>
              </c:extLst>
            </c:dLbl>
            <c:numFmt formatCode="0.0%" sourceLinked="0"/>
            <c:spPr>
              <a:noFill/>
              <a:ln w="25172">
                <a:noFill/>
              </a:ln>
            </c:spPr>
            <c:showLegendKey val="0"/>
            <c:showVal val="1"/>
            <c:showCatName val="0"/>
            <c:showSerName val="0"/>
            <c:showPercent val="0"/>
            <c:showBubbleSize val="0"/>
            <c:showLeaderLines val="0"/>
            <c:extLst>
              <c:ext xmlns:c15="http://schemas.microsoft.com/office/drawing/2012/chart" uri="{CE6537A1-D6FC-4f65-9D91-7224C49458BB}"/>
            </c:extLst>
          </c:dLbls>
          <c:cat>
            <c:strRef>
              <c:f>Sheet1!$A$2:$A$4</c:f>
              <c:strCache>
                <c:ptCount val="3"/>
                <c:pt idx="0">
                  <c:v>Հարկեր և տուրքեր</c:v>
                </c:pt>
                <c:pt idx="1">
                  <c:v>Այլ եկամուտներ</c:v>
                </c:pt>
                <c:pt idx="2">
                  <c:v>Պաշտոնական
դրամաշնորհներ</c:v>
                </c:pt>
              </c:strCache>
            </c:strRef>
          </c:cat>
          <c:val>
            <c:numRef>
              <c:f>Sheet1!$C$2:$C$4</c:f>
              <c:numCache>
                <c:formatCode>0.00%</c:formatCode>
                <c:ptCount val="3"/>
                <c:pt idx="0">
                  <c:v>0.94197908988825163</c:v>
                </c:pt>
                <c:pt idx="1">
                  <c:v>5.245934602235669E-2</c:v>
                </c:pt>
                <c:pt idx="2">
                  <c:v>5.561564089391664E-3</c:v>
                </c:pt>
              </c:numCache>
            </c:numRef>
          </c:val>
          <c:extLst>
            <c:ext xmlns:c16="http://schemas.microsoft.com/office/drawing/2014/chart" uri="{C3380CC4-5D6E-409C-BE32-E72D297353CC}">
              <c16:uniqueId val="{00000005-2E92-4854-B1D1-56744D957D3B}"/>
            </c:ext>
          </c:extLst>
        </c:ser>
        <c:dLbls>
          <c:showLegendKey val="0"/>
          <c:showVal val="0"/>
          <c:showCatName val="0"/>
          <c:showSerName val="0"/>
          <c:showPercent val="0"/>
          <c:showBubbleSize val="0"/>
          <c:showLeaderLines val="0"/>
        </c:dLbls>
        <c:firstSliceAng val="0"/>
        <c:holeSize val="50"/>
      </c:doughnutChart>
      <c:spPr>
        <a:ln w="0">
          <a:noFill/>
        </a:ln>
      </c:spPr>
    </c:plotArea>
    <c:legend>
      <c:legendPos val="b"/>
      <c:layout>
        <c:manualLayout>
          <c:xMode val="edge"/>
          <c:yMode val="edge"/>
          <c:x val="0"/>
          <c:y val="0.8869033643521832"/>
          <c:w val="0.98915664634904077"/>
          <c:h val="0.11309663564781673"/>
        </c:manualLayout>
      </c:layout>
      <c:overlay val="0"/>
      <c:txPr>
        <a:bodyPr/>
        <a:lstStyle/>
        <a:p>
          <a:pPr>
            <a:defRPr sz="800" baseline="0"/>
          </a:pPr>
          <a:endParaRPr lang="en-US"/>
        </a:p>
      </c:txPr>
    </c:legend>
    <c:plotVisOnly val="1"/>
    <c:dispBlanksAs val="zero"/>
    <c:showDLblsOverMax val="0"/>
  </c:chart>
  <c:spPr>
    <a:ln w="0"/>
  </c:spPr>
  <c:txPr>
    <a:bodyPr/>
    <a:lstStyle/>
    <a:p>
      <a:pPr>
        <a:defRPr>
          <a:latin typeface="GHEA Grapalat" panose="02000506050000020003" pitchFamily="50" charset="0"/>
        </a:defRPr>
      </a:pPr>
      <a:endParaRPr lang="en-US"/>
    </a:p>
  </c:tx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2633156320576207"/>
          <c:y val="1.5133596806146359E-2"/>
          <c:w val="0.63850378441066957"/>
          <c:h val="0.83872314570373552"/>
        </c:manualLayout>
      </c:layout>
      <c:barChart>
        <c:barDir val="bar"/>
        <c:grouping val="clustered"/>
        <c:varyColors val="0"/>
        <c:ser>
          <c:idx val="0"/>
          <c:order val="0"/>
          <c:tx>
            <c:strRef>
              <c:f>Sheet1!$B$1</c:f>
              <c:strCache>
                <c:ptCount val="1"/>
                <c:pt idx="0">
                  <c:v>2023թ. տարեկան ճշտված ծրագիր</c:v>
                </c:pt>
              </c:strCache>
            </c:strRef>
          </c:tx>
          <c:spPr>
            <a:solidFill>
              <a:schemeClr val="accent3"/>
            </a:solidFill>
          </c:spPr>
          <c:invertIfNegative val="0"/>
          <c:dLbls>
            <c:dLbl>
              <c:idx val="0"/>
              <c:layout>
                <c:manualLayout>
                  <c:x val="-5.7140917730112021E-3"/>
                  <c:y val="6.90317430233682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BC-4F6C-B3C4-BED4A11AB1F3}"/>
                </c:ext>
              </c:extLst>
            </c:dLbl>
            <c:dLbl>
              <c:idx val="1"/>
              <c:layout>
                <c:manualLayout>
                  <c:x val="0"/>
                  <c:y val="8.95255147717099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BC-4F6C-B3C4-BED4A11AB1F3}"/>
                </c:ext>
              </c:extLst>
            </c:dLbl>
            <c:dLbl>
              <c:idx val="3"/>
              <c:layout>
                <c:manualLayout>
                  <c:x val="-5.891173784678681E-3"/>
                  <c:y val="3.18951548497216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BC-4F6C-B3C4-BED4A11AB1F3}"/>
                </c:ext>
              </c:extLst>
            </c:dLbl>
            <c:dLbl>
              <c:idx val="4"/>
              <c:layout>
                <c:manualLayout>
                  <c:x val="1.14942528735632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BC-4F6C-B3C4-BED4A11AB1F3}"/>
                </c:ext>
              </c:extLst>
            </c:dLbl>
            <c:dLbl>
              <c:idx val="6"/>
              <c:layout>
                <c:manualLayout>
                  <c:x val="-1.4048369001953096E-16"/>
                  <c:y val="8.752735229759245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BC-4F6C-B3C4-BED4A11AB1F3}"/>
                </c:ext>
              </c:extLst>
            </c:dLbl>
            <c:dLbl>
              <c:idx val="13"/>
              <c:layout>
                <c:manualLayout>
                  <c:x val="-1.9157088122606066E-3"/>
                  <c:y val="8.752735229759299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BC-4F6C-B3C4-BED4A11AB1F3}"/>
                </c:ext>
              </c:extLst>
            </c:dLbl>
            <c:numFmt formatCode="#,##0.0" sourceLinked="0"/>
            <c:spPr>
              <a:noFill/>
              <a:ln w="25386">
                <a:noFill/>
              </a:ln>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 ԱՄՆ </c:v>
                </c:pt>
                <c:pt idx="1">
                  <c:v>Արևելյան եվրոպայի էներգախնայողության և
 շրջակա միջավայրի գործընկերության հիմնադրամ</c:v>
                </c:pt>
                <c:pt idx="2">
                  <c:v>Գերմանիա</c:v>
                </c:pt>
                <c:pt idx="3">
                  <c:v>Գերմանիայի զարգացման և Եվրոպական
միության հարևանության ներդրումային բանկ</c:v>
                </c:pt>
                <c:pt idx="4">
                  <c:v>Գլոբալ էկոլոգիական հիմնադրամ</c:v>
                </c:pt>
                <c:pt idx="5">
                  <c:v>Գլոբալ հիմնադրամ</c:v>
                </c:pt>
                <c:pt idx="6">
                  <c:v>ԵՄ</c:v>
                </c:pt>
                <c:pt idx="7">
                  <c:v>Եվրասիական զարգացման բանկ</c:v>
                </c:pt>
                <c:pt idx="8">
                  <c:v>Համաշխարհային բանկ</c:v>
                </c:pt>
                <c:pt idx="9">
                  <c:v>ՄԱԿ</c:v>
                </c:pt>
                <c:pt idx="10">
                  <c:v>Միացյալ Թագավորության կառավարություն</c:v>
                </c:pt>
                <c:pt idx="11">
                  <c:v>ՌԴ</c:v>
                </c:pt>
                <c:pt idx="12">
                  <c:v>ՎԶԵԲ</c:v>
                </c:pt>
                <c:pt idx="13">
                  <c:v>Ֆրանսիա</c:v>
                </c:pt>
              </c:strCache>
            </c:strRef>
          </c:cat>
          <c:val>
            <c:numRef>
              <c:f>Sheet1!$B$2:$B$15</c:f>
              <c:numCache>
                <c:formatCode>##,##0.0;\(##,##0.0\);\-</c:formatCode>
                <c:ptCount val="14"/>
                <c:pt idx="0">
                  <c:v>270.10000000000002</c:v>
                </c:pt>
                <c:pt idx="1">
                  <c:v>1732.1</c:v>
                </c:pt>
                <c:pt idx="2">
                  <c:v>2268.1999999999998</c:v>
                </c:pt>
                <c:pt idx="3">
                  <c:v>10.8</c:v>
                </c:pt>
                <c:pt idx="4">
                  <c:v>477.7</c:v>
                </c:pt>
                <c:pt idx="5">
                  <c:v>1200.5</c:v>
                </c:pt>
                <c:pt idx="6">
                  <c:v>2502.6</c:v>
                </c:pt>
                <c:pt idx="7">
                  <c:v>1103.5</c:v>
                </c:pt>
                <c:pt idx="8">
                  <c:v>43</c:v>
                </c:pt>
                <c:pt idx="9">
                  <c:v>166.4</c:v>
                </c:pt>
                <c:pt idx="10">
                  <c:v>21.4</c:v>
                </c:pt>
                <c:pt idx="11">
                  <c:v>771.2</c:v>
                </c:pt>
                <c:pt idx="12">
                  <c:v>667.4</c:v>
                </c:pt>
                <c:pt idx="13">
                  <c:v>25.4</c:v>
                </c:pt>
              </c:numCache>
            </c:numRef>
          </c:val>
          <c:extLst>
            <c:ext xmlns:c16="http://schemas.microsoft.com/office/drawing/2014/chart" uri="{C3380CC4-5D6E-409C-BE32-E72D297353CC}">
              <c16:uniqueId val="{00000006-A8BC-4F6C-B3C4-BED4A11AB1F3}"/>
            </c:ext>
          </c:extLst>
        </c:ser>
        <c:ser>
          <c:idx val="1"/>
          <c:order val="1"/>
          <c:tx>
            <c:strRef>
              <c:f>Sheet1!$C$1</c:f>
              <c:strCache>
                <c:ptCount val="1"/>
                <c:pt idx="0">
                  <c:v>2023թ. փաստ</c:v>
                </c:pt>
              </c:strCache>
            </c:strRef>
          </c:tx>
          <c:spPr>
            <a:solidFill>
              <a:schemeClr val="accent4"/>
            </a:solidFill>
          </c:spPr>
          <c:invertIfNegative val="0"/>
          <c:dLbls>
            <c:dLbl>
              <c:idx val="1"/>
              <c:layout>
                <c:manualLayout>
                  <c:x val="1.9157088122605363E-3"/>
                  <c:y val="-1.4587892049598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8BC-4F6C-B3C4-BED4A11AB1F3}"/>
                </c:ext>
              </c:extLst>
            </c:dLbl>
            <c:dLbl>
              <c:idx val="2"/>
              <c:layout>
                <c:manualLayout>
                  <c:x val="0"/>
                  <c:y val="-2.98394122716580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BC-4F6C-B3C4-BED4A11AB1F3}"/>
                </c:ext>
              </c:extLst>
            </c:dLbl>
            <c:dLbl>
              <c:idx val="10"/>
              <c:layout>
                <c:manualLayout>
                  <c:x val="7.6628352490421452E-3"/>
                  <c:y val="-2.917578409919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8BC-4F6C-B3C4-BED4A11AB1F3}"/>
                </c:ext>
              </c:extLst>
            </c:dLbl>
            <c:numFmt formatCode="#,##0.0" sourceLinked="0"/>
            <c:spPr>
              <a:noFill/>
              <a:ln w="25386">
                <a:noFill/>
              </a:ln>
            </c:spPr>
            <c:txPr>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 ԱՄՆ </c:v>
                </c:pt>
                <c:pt idx="1">
                  <c:v>Արևելյան եվրոպայի էներգախնայողության և
 շրջակա միջավայրի գործընկերության հիմնադրամ</c:v>
                </c:pt>
                <c:pt idx="2">
                  <c:v>Գերմանիա</c:v>
                </c:pt>
                <c:pt idx="3">
                  <c:v>Գերմանիայի զարգացման և Եվրոպական
միության հարևանության ներդրումային բանկ</c:v>
                </c:pt>
                <c:pt idx="4">
                  <c:v>Գլոբալ էկոլոգիական հիմնադրամ</c:v>
                </c:pt>
                <c:pt idx="5">
                  <c:v>Գլոբալ հիմնադրամ</c:v>
                </c:pt>
                <c:pt idx="6">
                  <c:v>ԵՄ</c:v>
                </c:pt>
                <c:pt idx="7">
                  <c:v>Եվրասիական զարգացման բանկ</c:v>
                </c:pt>
                <c:pt idx="8">
                  <c:v>Համաշխարհային բանկ</c:v>
                </c:pt>
                <c:pt idx="9">
                  <c:v>ՄԱԿ</c:v>
                </c:pt>
                <c:pt idx="10">
                  <c:v>Միացյալ Թագավորության կառավարություն</c:v>
                </c:pt>
                <c:pt idx="11">
                  <c:v>ՌԴ</c:v>
                </c:pt>
                <c:pt idx="12">
                  <c:v>ՎԶԵԲ</c:v>
                </c:pt>
                <c:pt idx="13">
                  <c:v>Ֆրանսիա</c:v>
                </c:pt>
              </c:strCache>
            </c:strRef>
          </c:cat>
          <c:val>
            <c:numRef>
              <c:f>Sheet1!$C$2:$C$15</c:f>
              <c:numCache>
                <c:formatCode>##,##0.0;\(##,##0.0\);\-</c:formatCode>
                <c:ptCount val="14"/>
                <c:pt idx="0">
                  <c:v>237.5</c:v>
                </c:pt>
                <c:pt idx="1">
                  <c:v>1715.4</c:v>
                </c:pt>
                <c:pt idx="2">
                  <c:v>1243.9000000000001</c:v>
                </c:pt>
                <c:pt idx="3">
                  <c:v>10.6</c:v>
                </c:pt>
                <c:pt idx="4">
                  <c:v>340.6</c:v>
                </c:pt>
                <c:pt idx="5">
                  <c:v>1436.1</c:v>
                </c:pt>
                <c:pt idx="6">
                  <c:v>2669.9</c:v>
                </c:pt>
                <c:pt idx="7">
                  <c:v>669.5</c:v>
                </c:pt>
                <c:pt idx="8">
                  <c:v>0</c:v>
                </c:pt>
                <c:pt idx="9">
                  <c:v>111.2</c:v>
                </c:pt>
                <c:pt idx="10">
                  <c:v>15.4</c:v>
                </c:pt>
                <c:pt idx="11">
                  <c:v>96.2</c:v>
                </c:pt>
                <c:pt idx="12">
                  <c:v>574.79999999999995</c:v>
                </c:pt>
                <c:pt idx="13">
                  <c:v>206.4</c:v>
                </c:pt>
              </c:numCache>
            </c:numRef>
          </c:val>
          <c:extLst>
            <c:ext xmlns:c16="http://schemas.microsoft.com/office/drawing/2014/chart" uri="{C3380CC4-5D6E-409C-BE32-E72D297353CC}">
              <c16:uniqueId val="{0000000A-A8BC-4F6C-B3C4-BED4A11AB1F3}"/>
            </c:ext>
          </c:extLst>
        </c:ser>
        <c:dLbls>
          <c:showLegendKey val="0"/>
          <c:showVal val="0"/>
          <c:showCatName val="0"/>
          <c:showSerName val="0"/>
          <c:showPercent val="0"/>
          <c:showBubbleSize val="0"/>
        </c:dLbls>
        <c:gapWidth val="150"/>
        <c:axId val="298080128"/>
        <c:axId val="298081664"/>
      </c:barChart>
      <c:catAx>
        <c:axId val="298080128"/>
        <c:scaling>
          <c:orientation val="minMax"/>
        </c:scaling>
        <c:delete val="0"/>
        <c:axPos val="l"/>
        <c:numFmt formatCode="General" sourceLinked="0"/>
        <c:majorTickMark val="out"/>
        <c:minorTickMark val="none"/>
        <c:tickLblPos val="nextTo"/>
        <c:txPr>
          <a:bodyPr/>
          <a:lstStyle/>
          <a:p>
            <a:pPr>
              <a:defRPr sz="700"/>
            </a:pPr>
            <a:endParaRPr lang="en-US"/>
          </a:p>
        </c:txPr>
        <c:crossAx val="298081664"/>
        <c:crosses val="autoZero"/>
        <c:auto val="1"/>
        <c:lblAlgn val="ctr"/>
        <c:lblOffset val="100"/>
        <c:noMultiLvlLbl val="0"/>
      </c:catAx>
      <c:valAx>
        <c:axId val="298081664"/>
        <c:scaling>
          <c:orientation val="minMax"/>
        </c:scaling>
        <c:delete val="0"/>
        <c:axPos val="b"/>
        <c:majorGridlines/>
        <c:numFmt formatCode="#,##0.0" sourceLinked="0"/>
        <c:majorTickMark val="out"/>
        <c:minorTickMark val="none"/>
        <c:tickLblPos val="nextTo"/>
        <c:txPr>
          <a:bodyPr/>
          <a:lstStyle/>
          <a:p>
            <a:pPr>
              <a:defRPr sz="900" baseline="0"/>
            </a:pPr>
            <a:endParaRPr lang="en-US"/>
          </a:p>
        </c:txPr>
        <c:crossAx val="298080128"/>
        <c:crosses val="autoZero"/>
        <c:crossBetween val="between"/>
        <c:majorUnit val="500"/>
      </c:valAx>
      <c:spPr>
        <a:ln>
          <a:solidFill>
            <a:sysClr val="window" lastClr="FFFFFF">
              <a:lumMod val="85000"/>
            </a:sysClr>
          </a:solidFill>
        </a:ln>
      </c:spPr>
    </c:plotArea>
    <c:legend>
      <c:legendPos val="r"/>
      <c:layout>
        <c:manualLayout>
          <c:xMode val="edge"/>
          <c:yMode val="edge"/>
          <c:x val="1.9655789683050386E-5"/>
          <c:y val="0.93235864035514082"/>
          <c:w val="0.99939220601909062"/>
          <c:h val="5.7466260653345147E-2"/>
        </c:manualLayout>
      </c:layout>
      <c:overlay val="1"/>
      <c:spPr>
        <a:effectLst>
          <a:glow>
            <a:schemeClr val="accent1">
              <a:alpha val="40000"/>
            </a:schemeClr>
          </a:glow>
        </a:effectLst>
      </c:spPr>
      <c:txPr>
        <a:bodyPr/>
        <a:lstStyle/>
        <a:p>
          <a:pPr algn="just">
            <a:defRPr sz="900" baseline="0"/>
          </a:pPr>
          <a:endParaRPr lang="en-US"/>
        </a:p>
      </c:txPr>
    </c:legend>
    <c:plotVisOnly val="1"/>
    <c:dispBlanksAs val="gap"/>
    <c:showDLblsOverMax val="0"/>
  </c:chart>
  <c:txPr>
    <a:bodyPr/>
    <a:lstStyle/>
    <a:p>
      <a:pPr>
        <a:defRPr>
          <a:latin typeface="GHEA Grapalat" panose="02000506050000020003" pitchFamily="50" charset="0"/>
        </a:defRPr>
      </a:pPr>
      <a:endParaRPr lang="en-US"/>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02380952380952"/>
          <c:y val="3.3434455872169075E-2"/>
          <c:w val="0.90870169874599005"/>
          <c:h val="0.66517972945689485"/>
        </c:manualLayout>
      </c:layout>
      <c:barChart>
        <c:barDir val="col"/>
        <c:grouping val="clustered"/>
        <c:varyColors val="0"/>
        <c:ser>
          <c:idx val="0"/>
          <c:order val="0"/>
          <c:tx>
            <c:strRef>
              <c:f>Sheet1!$A$2</c:f>
              <c:strCache>
                <c:ptCount val="1"/>
                <c:pt idx="0">
                  <c:v>Պետական բյուջեի ծախսեր</c:v>
                </c:pt>
              </c:strCache>
            </c:strRef>
          </c:tx>
          <c:spPr>
            <a:solidFill>
              <a:srgbClr val="4BACC6"/>
            </a:solidFill>
            <a:scene3d>
              <a:camera prst="orthographicFront"/>
              <a:lightRig rig="threePt" dir="t"/>
            </a:scene3d>
          </c:spPr>
          <c:invertIfNegative val="0"/>
          <c:dLbls>
            <c:spPr>
              <a:noFill/>
              <a:ln w="25400">
                <a:noFill/>
              </a:ln>
            </c:spPr>
            <c:txPr>
              <a:bodyPr/>
              <a:lstStyle/>
              <a:p>
                <a:pPr>
                  <a:defRPr sz="1000" b="1" i="0" baseline="0">
                    <a:solidFill>
                      <a:schemeClr val="accent5">
                        <a:lumMod val="50000"/>
                      </a:schemeClr>
                    </a:solidFill>
                    <a:latin typeface="GHEA Grapalat" pitchFamily="50"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Sheet1!$B$2:$D$2</c:f>
              <c:numCache>
                <c:formatCode>_(* #,##0.0_);_(* \(#,##0.0\);_(* "-"??_);_(@_)</c:formatCode>
                <c:ptCount val="3"/>
                <c:pt idx="0">
                  <c:v>2004.3009903699999</c:v>
                </c:pt>
                <c:pt idx="1">
                  <c:v>2242.62545361</c:v>
                </c:pt>
                <c:pt idx="2">
                  <c:v>2547.6</c:v>
                </c:pt>
              </c:numCache>
            </c:numRef>
          </c:val>
          <c:extLst>
            <c:ext xmlns:c16="http://schemas.microsoft.com/office/drawing/2014/chart" uri="{C3380CC4-5D6E-409C-BE32-E72D297353CC}">
              <c16:uniqueId val="{00000005-E0F0-45B5-BBBE-C49786CA1E31}"/>
            </c:ext>
          </c:extLst>
        </c:ser>
        <c:ser>
          <c:idx val="1"/>
          <c:order val="1"/>
          <c:tx>
            <c:strRef>
              <c:f>Sheet1!$A$3</c:f>
              <c:strCache>
                <c:ptCount val="1"/>
                <c:pt idx="0">
                  <c:v>Ընթացիկ ծախսեր</c:v>
                </c:pt>
              </c:strCache>
            </c:strRef>
          </c:tx>
          <c:spPr>
            <a:solidFill>
              <a:schemeClr val="accent2">
                <a:lumMod val="60000"/>
                <a:lumOff val="40000"/>
              </a:schemeClr>
            </a:solidFill>
            <a:scene3d>
              <a:camera prst="orthographicFront"/>
              <a:lightRig rig="threePt" dir="t"/>
            </a:scene3d>
          </c:spPr>
          <c:invertIfNegative val="0"/>
          <c:dLbls>
            <c:spPr>
              <a:noFill/>
              <a:ln w="25400">
                <a:noFill/>
              </a:ln>
            </c:spPr>
            <c:txPr>
              <a:bodyPr/>
              <a:lstStyle/>
              <a:p>
                <a:pPr>
                  <a:defRPr sz="1000" b="1" i="0" baseline="0">
                    <a:solidFill>
                      <a:schemeClr val="accent2">
                        <a:lumMod val="75000"/>
                      </a:schemeClr>
                    </a:solidFill>
                    <a:latin typeface="GHEA Grapalat" pitchFamily="50"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Sheet1!$B$3:$D$3</c:f>
              <c:numCache>
                <c:formatCode>_(* #,##0.0_);_(* \(#,##0.0\);_(* "-"??_);_(@_)</c:formatCode>
                <c:ptCount val="3"/>
                <c:pt idx="0">
                  <c:v>1787.9663948100001</c:v>
                </c:pt>
                <c:pt idx="1">
                  <c:v>1862.2313212700001</c:v>
                </c:pt>
                <c:pt idx="2">
                  <c:v>2075.1</c:v>
                </c:pt>
              </c:numCache>
            </c:numRef>
          </c:val>
          <c:extLst>
            <c:ext xmlns:c16="http://schemas.microsoft.com/office/drawing/2014/chart" uri="{C3380CC4-5D6E-409C-BE32-E72D297353CC}">
              <c16:uniqueId val="{0000000B-E0F0-45B5-BBBE-C49786CA1E31}"/>
            </c:ext>
          </c:extLst>
        </c:ser>
        <c:ser>
          <c:idx val="2"/>
          <c:order val="2"/>
          <c:tx>
            <c:strRef>
              <c:f>Sheet1!$A$4</c:f>
              <c:strCache>
                <c:ptCount val="1"/>
                <c:pt idx="0">
                  <c:v>Կապիտալ ծախսեր</c:v>
                </c:pt>
              </c:strCache>
            </c:strRef>
          </c:tx>
          <c:spPr>
            <a:solidFill>
              <a:schemeClr val="tx2">
                <a:lumMod val="60000"/>
                <a:lumOff val="40000"/>
              </a:schemeClr>
            </a:solidFill>
            <a:ln>
              <a:solidFill>
                <a:schemeClr val="tx2"/>
              </a:solidFill>
            </a:ln>
            <a:scene3d>
              <a:camera prst="orthographicFront"/>
              <a:lightRig rig="threePt" dir="t"/>
            </a:scene3d>
          </c:spPr>
          <c:invertIfNegative val="0"/>
          <c:dLbls>
            <c:dLbl>
              <c:idx val="2"/>
              <c:layout>
                <c:manualLayout>
                  <c:x val="-2.0999580008399833E-3"/>
                  <c:y val="0.1032576477509276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F0-45B5-BBBE-C49786CA1E31}"/>
                </c:ext>
              </c:extLst>
            </c:dLbl>
            <c:spPr>
              <a:noFill/>
              <a:ln w="25400">
                <a:noFill/>
              </a:ln>
            </c:spPr>
            <c:txPr>
              <a:bodyPr/>
              <a:lstStyle/>
              <a:p>
                <a:pPr>
                  <a:defRPr sz="1000" b="1" i="0" baseline="0">
                    <a:solidFill>
                      <a:schemeClr val="tx2">
                        <a:lumMod val="50000"/>
                      </a:schemeClr>
                    </a:solidFill>
                    <a:latin typeface="GHEA Grapalat" pitchFamily="50"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Sheet1!$B$4:$D$4</c:f>
              <c:numCache>
                <c:formatCode>_(* #,##0.0_);_(* \(#,##0.0\);_(* "-"??_);_(@_)</c:formatCode>
                <c:ptCount val="3"/>
                <c:pt idx="0">
                  <c:v>218.39952757</c:v>
                </c:pt>
                <c:pt idx="1">
                  <c:v>389.11973379</c:v>
                </c:pt>
                <c:pt idx="2">
                  <c:v>494.4</c:v>
                </c:pt>
              </c:numCache>
            </c:numRef>
          </c:val>
          <c:extLst>
            <c:ext xmlns:c16="http://schemas.microsoft.com/office/drawing/2014/chart" uri="{C3380CC4-5D6E-409C-BE32-E72D297353CC}">
              <c16:uniqueId val="{00000011-E0F0-45B5-BBBE-C49786CA1E31}"/>
            </c:ext>
          </c:extLst>
        </c:ser>
        <c:dLbls>
          <c:showLegendKey val="0"/>
          <c:showVal val="0"/>
          <c:showCatName val="0"/>
          <c:showSerName val="0"/>
          <c:showPercent val="0"/>
          <c:showBubbleSize val="0"/>
        </c:dLbls>
        <c:gapWidth val="150"/>
        <c:axId val="178676448"/>
        <c:axId val="1"/>
      </c:barChart>
      <c:lineChart>
        <c:grouping val="standard"/>
        <c:varyColors val="0"/>
        <c:ser>
          <c:idx val="3"/>
          <c:order val="3"/>
          <c:tx>
            <c:strRef>
              <c:f>Sheet1!$A$5</c:f>
              <c:strCache>
                <c:ptCount val="1"/>
                <c:pt idx="0">
                  <c:v>Ծախսեր / ՀՆԱ</c:v>
                </c:pt>
              </c:strCache>
            </c:strRef>
          </c:tx>
          <c:spPr>
            <a:ln>
              <a:solidFill>
                <a:srgbClr val="297083"/>
              </a:solidFill>
            </a:ln>
          </c:spPr>
          <c:marker>
            <c:symbol val="diamond"/>
            <c:size val="5"/>
            <c:spPr>
              <a:solidFill>
                <a:srgbClr val="297083">
                  <a:alpha val="99000"/>
                </a:srgbClr>
              </a:solidFill>
              <a:ln w="25400">
                <a:solidFill>
                  <a:srgbClr val="297083"/>
                </a:solidFill>
              </a:ln>
            </c:spPr>
          </c:marker>
          <c:dLbls>
            <c:dLbl>
              <c:idx val="0"/>
              <c:layout>
                <c:manualLayout>
                  <c:x val="-5.4256631402805018E-2"/>
                  <c:y val="-2.56123291700606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0F0-45B5-BBBE-C49786CA1E31}"/>
                </c:ext>
              </c:extLst>
            </c:dLbl>
            <c:dLbl>
              <c:idx val="1"/>
              <c:layout>
                <c:manualLayout>
                  <c:x val="-3.9101383326664178E-2"/>
                  <c:y val="-3.61257240474251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0F0-45B5-BBBE-C49786CA1E31}"/>
                </c:ext>
              </c:extLst>
            </c:dLbl>
            <c:dLbl>
              <c:idx val="2"/>
              <c:layout>
                <c:manualLayout>
                  <c:x val="-4.3843771734003889E-2"/>
                  <c:y val="-3.0719565266857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0F0-45B5-BBBE-C49786CA1E31}"/>
                </c:ext>
              </c:extLst>
            </c:dLbl>
            <c:dLbl>
              <c:idx val="3"/>
              <c:layout>
                <c:manualLayout>
                  <c:x val="-3.2880041780491726E-2"/>
                  <c:y val="2.2167893508425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0F0-45B5-BBBE-C49786CA1E31}"/>
                </c:ext>
              </c:extLst>
            </c:dLbl>
            <c:dLbl>
              <c:idx val="4"/>
              <c:layout>
                <c:manualLayout>
                  <c:x val="1.1337913118003107E-2"/>
                  <c:y val="-1.2258842237554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0F0-45B5-BBBE-C49786CA1E31}"/>
                </c:ext>
              </c:extLst>
            </c:dLbl>
            <c:spPr>
              <a:noFill/>
              <a:ln w="25400">
                <a:noFill/>
              </a:ln>
            </c:spPr>
            <c:txPr>
              <a:bodyPr/>
              <a:lstStyle/>
              <a:p>
                <a:pPr>
                  <a:defRPr sz="1000" b="1" i="0" baseline="0">
                    <a:solidFill>
                      <a:schemeClr val="accent4">
                        <a:lumMod val="75000"/>
                      </a:schemeClr>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Sheet1!$B$5:$D$5</c:f>
              <c:numCache>
                <c:formatCode>0.0%</c:formatCode>
                <c:ptCount val="3"/>
                <c:pt idx="0">
                  <c:v>0.28702729634540519</c:v>
                </c:pt>
                <c:pt idx="1">
                  <c:v>0.2639383368154376</c:v>
                </c:pt>
                <c:pt idx="2">
                  <c:v>0.26809000895801149</c:v>
                </c:pt>
              </c:numCache>
            </c:numRef>
          </c:val>
          <c:smooth val="0"/>
          <c:extLst>
            <c:ext xmlns:c16="http://schemas.microsoft.com/office/drawing/2014/chart" uri="{C3380CC4-5D6E-409C-BE32-E72D297353CC}">
              <c16:uniqueId val="{00000017-E0F0-45B5-BBBE-C49786CA1E31}"/>
            </c:ext>
          </c:extLst>
        </c:ser>
        <c:ser>
          <c:idx val="4"/>
          <c:order val="4"/>
          <c:tx>
            <c:strRef>
              <c:f>Sheet1!$A$6</c:f>
              <c:strCache>
                <c:ptCount val="1"/>
                <c:pt idx="0">
                  <c:v>Ընթացիկ ծախսեր / ՀՆԱ</c:v>
                </c:pt>
              </c:strCache>
            </c:strRef>
          </c:tx>
          <c:spPr>
            <a:ln>
              <a:solidFill>
                <a:srgbClr val="C0504D">
                  <a:lumMod val="75000"/>
                </a:srgbClr>
              </a:solidFill>
            </a:ln>
          </c:spPr>
          <c:marker>
            <c:spPr>
              <a:ln w="15875">
                <a:solidFill>
                  <a:srgbClr val="C0504D">
                    <a:lumMod val="75000"/>
                  </a:srgbClr>
                </a:solidFill>
              </a:ln>
            </c:spPr>
          </c:marker>
          <c:dLbls>
            <c:dLbl>
              <c:idx val="0"/>
              <c:layout>
                <c:manualLayout>
                  <c:x val="-6.7216513937437827E-2"/>
                  <c:y val="-2.55622680785591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0F0-45B5-BBBE-C49786CA1E31}"/>
                </c:ext>
              </c:extLst>
            </c:dLbl>
            <c:dLbl>
              <c:idx val="1"/>
              <c:layout>
                <c:manualLayout>
                  <c:x val="-3.4754635615949096E-2"/>
                  <c:y val="-4.1944689564666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0F0-45B5-BBBE-C49786CA1E31}"/>
                </c:ext>
              </c:extLst>
            </c:dLbl>
            <c:dLbl>
              <c:idx val="2"/>
              <c:layout>
                <c:manualLayout>
                  <c:x val="-3.9648033810977326E-2"/>
                  <c:y val="-3.8799325730835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0F0-45B5-BBBE-C49786CA1E31}"/>
                </c:ext>
              </c:extLst>
            </c:dLbl>
            <c:spPr>
              <a:noFill/>
              <a:ln w="25400">
                <a:noFill/>
              </a:ln>
            </c:spPr>
            <c:txPr>
              <a:bodyPr/>
              <a:lstStyle/>
              <a:p>
                <a:pPr>
                  <a:defRPr sz="1000" b="1" i="0" baseline="0">
                    <a:solidFill>
                      <a:schemeClr val="tx2"/>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Sheet1!$B$6:$D$6</c:f>
              <c:numCache>
                <c:formatCode>0.0%</c:formatCode>
                <c:ptCount val="3"/>
                <c:pt idx="0">
                  <c:v>0.25604695239112679</c:v>
                </c:pt>
                <c:pt idx="1">
                  <c:v>0.21916911578365356</c:v>
                </c:pt>
                <c:pt idx="2">
                  <c:v>0.21836770984015139</c:v>
                </c:pt>
              </c:numCache>
            </c:numRef>
          </c:val>
          <c:smooth val="0"/>
          <c:extLst>
            <c:ext xmlns:c16="http://schemas.microsoft.com/office/drawing/2014/chart" uri="{C3380CC4-5D6E-409C-BE32-E72D297353CC}">
              <c16:uniqueId val="{0000001B-E0F0-45B5-BBBE-C49786CA1E31}"/>
            </c:ext>
          </c:extLst>
        </c:ser>
        <c:ser>
          <c:idx val="5"/>
          <c:order val="5"/>
          <c:tx>
            <c:strRef>
              <c:f>Sheet1!$A$7</c:f>
              <c:strCache>
                <c:ptCount val="1"/>
                <c:pt idx="0">
                  <c:v>Կապիտալ ծախսեր / ՀՆԱ</c:v>
                </c:pt>
              </c:strCache>
            </c:strRef>
          </c:tx>
          <c:spPr>
            <a:ln>
              <a:solidFill>
                <a:srgbClr val="235591"/>
              </a:solidFill>
            </a:ln>
          </c:spPr>
          <c:marker>
            <c:spPr>
              <a:solidFill>
                <a:srgbClr val="235591"/>
              </a:solidFill>
              <a:ln>
                <a:solidFill>
                  <a:srgbClr val="235591"/>
                </a:solidFill>
              </a:ln>
            </c:spPr>
          </c:marker>
          <c:dPt>
            <c:idx val="0"/>
            <c:bubble3D val="0"/>
            <c:extLst>
              <c:ext xmlns:c16="http://schemas.microsoft.com/office/drawing/2014/chart" uri="{C3380CC4-5D6E-409C-BE32-E72D297353CC}">
                <c16:uniqueId val="{0000001C-E0F0-45B5-BBBE-C49786CA1E31}"/>
              </c:ext>
            </c:extLst>
          </c:dPt>
          <c:dPt>
            <c:idx val="1"/>
            <c:bubble3D val="0"/>
            <c:extLst>
              <c:ext xmlns:c16="http://schemas.microsoft.com/office/drawing/2014/chart" uri="{C3380CC4-5D6E-409C-BE32-E72D297353CC}">
                <c16:uniqueId val="{0000001D-E0F0-45B5-BBBE-C49786CA1E31}"/>
              </c:ext>
            </c:extLst>
          </c:dPt>
          <c:dLbls>
            <c:dLbl>
              <c:idx val="0"/>
              <c:layout>
                <c:manualLayout>
                  <c:x val="-3.9772727272727272E-2"/>
                  <c:y val="-4.4444444444444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E0F0-45B5-BBBE-C49786CA1E31}"/>
                </c:ext>
              </c:extLst>
            </c:dLbl>
            <c:dLbl>
              <c:idx val="1"/>
              <c:layout>
                <c:manualLayout>
                  <c:x val="-3.0303030303030304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E0F0-45B5-BBBE-C49786CA1E31}"/>
                </c:ext>
              </c:extLst>
            </c:dLbl>
            <c:dLbl>
              <c:idx val="2"/>
              <c:layout>
                <c:manualLayout>
                  <c:x val="-2.9255740046794782E-2"/>
                  <c:y val="-4.4444387469117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0F0-45B5-BBBE-C49786CA1E31}"/>
                </c:ext>
              </c:extLst>
            </c:dLbl>
            <c:spPr>
              <a:noFill/>
              <a:ln w="25400">
                <a:noFill/>
              </a:ln>
            </c:spPr>
            <c:txPr>
              <a:bodyPr/>
              <a:lstStyle/>
              <a:p>
                <a:pPr>
                  <a:defRPr sz="1000" b="1" i="0" baseline="0">
                    <a:solidFill>
                      <a:schemeClr val="accent2">
                        <a:lumMod val="75000"/>
                      </a:schemeClr>
                    </a:solidFill>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Sheet1!$B$7:$D$7</c:f>
              <c:numCache>
                <c:formatCode>0.0%</c:formatCode>
                <c:ptCount val="3"/>
                <c:pt idx="0">
                  <c:v>3.1276053957324419E-2</c:v>
                </c:pt>
                <c:pt idx="1">
                  <c:v>4.5796151645953333E-2</c:v>
                </c:pt>
                <c:pt idx="2">
                  <c:v>5.2026888219830779E-2</c:v>
                </c:pt>
              </c:numCache>
            </c:numRef>
          </c:val>
          <c:smooth val="0"/>
          <c:extLst>
            <c:ext xmlns:c16="http://schemas.microsoft.com/office/drawing/2014/chart" uri="{C3380CC4-5D6E-409C-BE32-E72D297353CC}">
              <c16:uniqueId val="{0000001F-E0F0-45B5-BBBE-C49786CA1E31}"/>
            </c:ext>
          </c:extLst>
        </c:ser>
        <c:dLbls>
          <c:showLegendKey val="0"/>
          <c:showVal val="0"/>
          <c:showCatName val="0"/>
          <c:showSerName val="0"/>
          <c:showPercent val="0"/>
          <c:showBubbleSize val="0"/>
        </c:dLbls>
        <c:marker val="1"/>
        <c:smooth val="0"/>
        <c:axId val="3"/>
        <c:axId val="4"/>
      </c:lineChart>
      <c:catAx>
        <c:axId val="178676448"/>
        <c:scaling>
          <c:orientation val="minMax"/>
        </c:scaling>
        <c:delete val="0"/>
        <c:axPos val="b"/>
        <c:numFmt formatCode="General" sourceLinked="0"/>
        <c:majorTickMark val="out"/>
        <c:minorTickMark val="none"/>
        <c:tickLblPos val="nextTo"/>
        <c:txPr>
          <a:bodyPr/>
          <a:lstStyle/>
          <a:p>
            <a:pPr>
              <a:defRPr sz="1000" b="1" i="0" baseline="0">
                <a:solidFill>
                  <a:schemeClr val="tx2"/>
                </a:solidFill>
                <a:latin typeface="GHEA Grapalat" pitchFamily="50" charset="0"/>
              </a:defRPr>
            </a:pPr>
            <a:endParaRPr lang="en-US"/>
          </a:p>
        </c:txPr>
        <c:crossAx val="1"/>
        <c:crosses val="autoZero"/>
        <c:auto val="1"/>
        <c:lblAlgn val="ctr"/>
        <c:lblOffset val="100"/>
        <c:noMultiLvlLbl val="0"/>
      </c:catAx>
      <c:valAx>
        <c:axId val="1"/>
        <c:scaling>
          <c:orientation val="minMax"/>
          <c:max val="2600"/>
          <c:min val="0"/>
        </c:scaling>
        <c:delete val="0"/>
        <c:axPos val="l"/>
        <c:majorGridlines/>
        <c:numFmt formatCode="_(* #,##0.0_);_(* \(#,##0.0\);_(* &quot;-&quot;??_);_(@_)" sourceLinked="1"/>
        <c:majorTickMark val="out"/>
        <c:minorTickMark val="none"/>
        <c:tickLblPos val="nextTo"/>
        <c:txPr>
          <a:bodyPr/>
          <a:lstStyle/>
          <a:p>
            <a:pPr>
              <a:defRPr sz="1000" b="1" i="0" baseline="0">
                <a:solidFill>
                  <a:schemeClr val="tx2"/>
                </a:solidFill>
                <a:latin typeface="GHEA Grapalat" pitchFamily="50" charset="0"/>
              </a:defRPr>
            </a:pPr>
            <a:endParaRPr lang="en-US"/>
          </a:p>
        </c:txPr>
        <c:crossAx val="178676448"/>
        <c:crosses val="autoZero"/>
        <c:crossBetween val="between"/>
        <c:majorUnit val="4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0.30000000000000004"/>
          <c:min val="0"/>
        </c:scaling>
        <c:delete val="0"/>
        <c:axPos val="r"/>
        <c:numFmt formatCode="0.0%" sourceLinked="0"/>
        <c:majorTickMark val="out"/>
        <c:minorTickMark val="none"/>
        <c:tickLblPos val="nextTo"/>
        <c:txPr>
          <a:bodyPr/>
          <a:lstStyle/>
          <a:p>
            <a:pPr>
              <a:defRPr sz="1000" b="1" i="0" baseline="0">
                <a:solidFill>
                  <a:schemeClr val="tx2"/>
                </a:solidFill>
                <a:latin typeface="GHEA Grapalat" pitchFamily="50" charset="0"/>
              </a:defRPr>
            </a:pPr>
            <a:endParaRPr lang="en-US"/>
          </a:p>
        </c:txPr>
        <c:crossAx val="3"/>
        <c:crosses val="max"/>
        <c:crossBetween val="between"/>
        <c:majorUnit val="5.000000000000001E-2"/>
      </c:valAx>
    </c:plotArea>
    <c:legend>
      <c:legendPos val="r"/>
      <c:layout>
        <c:manualLayout>
          <c:xMode val="edge"/>
          <c:yMode val="edge"/>
          <c:x val="1.7187500000000001E-2"/>
          <c:y val="0.8368580060422961"/>
          <c:w val="0.96875"/>
          <c:h val="0.16012084592145015"/>
        </c:manualLayout>
      </c:layout>
      <c:overlay val="0"/>
      <c:txPr>
        <a:bodyPr/>
        <a:lstStyle/>
        <a:p>
          <a:pPr>
            <a:defRPr sz="1000" b="1" i="0" baseline="0">
              <a:solidFill>
                <a:schemeClr val="tx2"/>
              </a:solidFill>
              <a:latin typeface="GHEA Grapalat" pitchFamily="50" charset="0"/>
            </a:defRPr>
          </a:pPr>
          <a:endParaRPr lang="en-US"/>
        </a:p>
      </c:txPr>
    </c:legend>
    <c:plotVisOnly val="1"/>
    <c:dispBlanksAs val="gap"/>
    <c:showDLblsOverMax val="0"/>
  </c:chart>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144380182565675"/>
          <c:y val="3.7777492797113718E-2"/>
          <c:w val="0.90870169874599005"/>
          <c:h val="0.76645817191056465"/>
        </c:manualLayout>
      </c:layout>
      <c:barChart>
        <c:barDir val="col"/>
        <c:grouping val="stacked"/>
        <c:varyColors val="0"/>
        <c:ser>
          <c:idx val="1"/>
          <c:order val="1"/>
          <c:tx>
            <c:strRef>
              <c:f>Sheet1!$A$3</c:f>
              <c:strCache>
                <c:ptCount val="1"/>
                <c:pt idx="0">
                  <c:v>Ներքին աղբյուրներ</c:v>
                </c:pt>
              </c:strCache>
            </c:strRef>
          </c:tx>
          <c:spPr>
            <a:solidFill>
              <a:srgbClr val="9BBB59">
                <a:lumMod val="60000"/>
                <a:lumOff val="40000"/>
              </a:srgbClr>
            </a:solidFill>
            <a:scene3d>
              <a:camera prst="orthographicFront"/>
              <a:lightRig rig="threePt" dir="t"/>
            </a:scene3d>
          </c:spPr>
          <c:invertIfNegative val="0"/>
          <c:dLbls>
            <c:dLbl>
              <c:idx val="1"/>
              <c:layout>
                <c:manualLayout>
                  <c:x val="0"/>
                  <c:y val="-0.190492512753333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BD-48A0-B5D6-B953E05EFAFF}"/>
                </c:ext>
              </c:extLst>
            </c:dLbl>
            <c:spPr>
              <a:noFill/>
              <a:ln w="27081">
                <a:noFill/>
              </a:ln>
            </c:spPr>
            <c:txPr>
              <a:bodyPr/>
              <a:lstStyle/>
              <a:p>
                <a:pPr>
                  <a:defRPr sz="1066" b="1" i="0" u="none" strike="noStrike" baseline="0">
                    <a:solidFill>
                      <a:schemeClr val="accent3">
                        <a:lumMod val="50000"/>
                      </a:schemeClr>
                    </a:solidFill>
                    <a:latin typeface="GHEA Grapalat"/>
                    <a:ea typeface="GHEA Grapalat"/>
                    <a:cs typeface="GHEA Grapalat"/>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Sheet1!$B$3:$D$3</c:f>
              <c:numCache>
                <c:formatCode>0.0</c:formatCode>
                <c:ptCount val="3"/>
                <c:pt idx="0" formatCode="_(* #,##0.0_);_(* \(#,##0.0\);_(* &quot;-&quot;??_);_(@_)">
                  <c:v>101.21892348</c:v>
                </c:pt>
                <c:pt idx="1">
                  <c:v>288.08251970700002</c:v>
                </c:pt>
                <c:pt idx="2">
                  <c:v>412.34762409000001</c:v>
                </c:pt>
              </c:numCache>
            </c:numRef>
          </c:val>
          <c:extLst>
            <c:ext xmlns:c16="http://schemas.microsoft.com/office/drawing/2014/chart" uri="{C3380CC4-5D6E-409C-BE32-E72D297353CC}">
              <c16:uniqueId val="{00000005-1FBD-48A0-B5D6-B953E05EFAFF}"/>
            </c:ext>
          </c:extLst>
        </c:ser>
        <c:ser>
          <c:idx val="2"/>
          <c:order val="2"/>
          <c:tx>
            <c:strRef>
              <c:f>Sheet1!$A$4</c:f>
              <c:strCache>
                <c:ptCount val="1"/>
                <c:pt idx="0">
                  <c:v>Արտաքին աղբյուրներ</c:v>
                </c:pt>
              </c:strCache>
            </c:strRef>
          </c:tx>
          <c:spPr>
            <a:solidFill>
              <a:srgbClr val="F79646">
                <a:lumMod val="60000"/>
                <a:lumOff val="40000"/>
              </a:srgbClr>
            </a:solidFill>
            <a:scene3d>
              <a:camera prst="orthographicFront"/>
              <a:lightRig rig="threePt" dir="t"/>
            </a:scene3d>
          </c:spPr>
          <c:invertIfNegative val="0"/>
          <c:dLbls>
            <c:dLbl>
              <c:idx val="0"/>
              <c:layout>
                <c:manualLayout>
                  <c:x val="-3.6403264335594797E-3"/>
                  <c:y val="2.440107871709551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BD-48A0-B5D6-B953E05EFAFF}"/>
                </c:ext>
              </c:extLst>
            </c:dLbl>
            <c:dLbl>
              <c:idx val="1"/>
              <c:layout>
                <c:manualLayout>
                  <c:x val="-1.5340781517354579E-3"/>
                  <c:y val="3.437140390024536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BD-48A0-B5D6-B953E05EFAFF}"/>
                </c:ext>
              </c:extLst>
            </c:dLbl>
            <c:dLbl>
              <c:idx val="2"/>
              <c:layout>
                <c:manualLayout>
                  <c:x val="2.6830495745553931E-3"/>
                  <c:y val="-9.381039096497302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BD-48A0-B5D6-B953E05EFAFF}"/>
                </c:ext>
              </c:extLst>
            </c:dLbl>
            <c:dLbl>
              <c:idx val="3"/>
              <c:layout>
                <c:manualLayout>
                  <c:x val="8.8522107813446393E-3"/>
                  <c:y val="1.17842049404841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BD-48A0-B5D6-B953E05EFAFF}"/>
                </c:ext>
              </c:extLst>
            </c:dLbl>
            <c:dLbl>
              <c:idx val="4"/>
              <c:layout>
                <c:manualLayout>
                  <c:x val="1.1290642241148429E-2"/>
                  <c:y val="5.762240631973160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FBD-48A0-B5D6-B953E05EFAFF}"/>
                </c:ext>
              </c:extLst>
            </c:dLbl>
            <c:spPr>
              <a:noFill/>
              <a:ln w="27081">
                <a:noFill/>
              </a:ln>
            </c:spPr>
            <c:txPr>
              <a:bodyPr/>
              <a:lstStyle/>
              <a:p>
                <a:pPr>
                  <a:defRPr sz="1066" b="1" i="0" u="none" strike="noStrike" baseline="0">
                    <a:solidFill>
                      <a:schemeClr val="accent6">
                        <a:lumMod val="50000"/>
                      </a:schemeClr>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Sheet1!$B$4:$D$4</c:f>
              <c:numCache>
                <c:formatCode>0.0</c:formatCode>
                <c:ptCount val="3"/>
                <c:pt idx="0" formatCode="_(* #,##0.0_);_(* \(#,##0.0\);_(* &quot;-&quot;??_);_(@_)">
                  <c:v>219.25060372999999</c:v>
                </c:pt>
                <c:pt idx="1">
                  <c:v>-108.61489435999999</c:v>
                </c:pt>
                <c:pt idx="2">
                  <c:v>-223.48172934999999</c:v>
                </c:pt>
              </c:numCache>
            </c:numRef>
          </c:val>
          <c:extLst>
            <c:ext xmlns:c16="http://schemas.microsoft.com/office/drawing/2014/chart" uri="{C3380CC4-5D6E-409C-BE32-E72D297353CC}">
              <c16:uniqueId val="{0000000B-1FBD-48A0-B5D6-B953E05EFAFF}"/>
            </c:ext>
          </c:extLst>
        </c:ser>
        <c:dLbls>
          <c:showLegendKey val="0"/>
          <c:showVal val="0"/>
          <c:showCatName val="0"/>
          <c:showSerName val="0"/>
          <c:showPercent val="0"/>
          <c:showBubbleSize val="0"/>
        </c:dLbls>
        <c:gapWidth val="260"/>
        <c:overlap val="100"/>
        <c:axId val="171747872"/>
        <c:axId val="1"/>
      </c:barChart>
      <c:lineChart>
        <c:grouping val="standard"/>
        <c:varyColors val="0"/>
        <c:ser>
          <c:idx val="0"/>
          <c:order val="0"/>
          <c:tx>
            <c:strRef>
              <c:f>Sheet1!$A$2</c:f>
              <c:strCache>
                <c:ptCount val="1"/>
                <c:pt idx="0">
                  <c:v>Պետական բյուջեի դեֆիցիտ</c:v>
                </c:pt>
              </c:strCache>
            </c:strRef>
          </c:tx>
          <c:spPr>
            <a:ln w="20310">
              <a:prstDash val="dash"/>
            </a:ln>
          </c:spPr>
          <c:marker>
            <c:symbol val="none"/>
          </c:marker>
          <c:dPt>
            <c:idx val="1"/>
            <c:bubble3D val="0"/>
            <c:spPr>
              <a:ln w="20310">
                <a:solidFill>
                  <a:srgbClr val="1F497D"/>
                </a:solidFill>
                <a:prstDash val="dash"/>
              </a:ln>
            </c:spPr>
            <c:extLst>
              <c:ext xmlns:c16="http://schemas.microsoft.com/office/drawing/2014/chart" uri="{C3380CC4-5D6E-409C-BE32-E72D297353CC}">
                <c16:uniqueId val="{0000000D-1FBD-48A0-B5D6-B953E05EFAFF}"/>
              </c:ext>
            </c:extLst>
          </c:dPt>
          <c:dPt>
            <c:idx val="2"/>
            <c:bubble3D val="0"/>
            <c:spPr>
              <a:ln w="20310">
                <a:solidFill>
                  <a:srgbClr val="1F497D"/>
                </a:solidFill>
                <a:prstDash val="dash"/>
              </a:ln>
            </c:spPr>
            <c:extLst>
              <c:ext xmlns:c16="http://schemas.microsoft.com/office/drawing/2014/chart" uri="{C3380CC4-5D6E-409C-BE32-E72D297353CC}">
                <c16:uniqueId val="{0000000F-1FBD-48A0-B5D6-B953E05EFAFF}"/>
              </c:ext>
            </c:extLst>
          </c:dPt>
          <c:dLbls>
            <c:dLbl>
              <c:idx val="0"/>
              <c:layout>
                <c:manualLayout>
                  <c:x val="-8.7161092942293475E-2"/>
                  <c:y val="3.9581043693853355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FBD-48A0-B5D6-B953E05EFAFF}"/>
                </c:ext>
              </c:extLst>
            </c:dLbl>
            <c:dLbl>
              <c:idx val="1"/>
              <c:layout>
                <c:manualLayout>
                  <c:x val="-2.4849626152464669E-2"/>
                  <c:y val="-5.57409591471390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FBD-48A0-B5D6-B953E05EFAFF}"/>
                </c:ext>
              </c:extLst>
            </c:dLbl>
            <c:dLbl>
              <c:idx val="2"/>
              <c:layout>
                <c:manualLayout>
                  <c:x val="-4.3986665924592529E-2"/>
                  <c:y val="-3.5327588389292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FBD-48A0-B5D6-B953E05EFAFF}"/>
                </c:ext>
              </c:extLst>
            </c:dLbl>
            <c:spPr>
              <a:noFill/>
              <a:ln w="27081">
                <a:noFill/>
              </a:ln>
            </c:spPr>
            <c:txPr>
              <a:bodyPr/>
              <a:lstStyle/>
              <a:p>
                <a:pPr>
                  <a:defRPr sz="1066" b="1" i="0" u="none" strike="noStrike" baseline="0">
                    <a:solidFill>
                      <a:schemeClr val="tx2"/>
                    </a:solidFill>
                    <a:latin typeface="GHEA Grapalat"/>
                    <a:ea typeface="GHEA Grapalat"/>
                    <a:cs typeface="GHEA Grapalat"/>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Sheet1!$B$2:$D$2</c:f>
              <c:numCache>
                <c:formatCode>0.0</c:formatCode>
                <c:ptCount val="3"/>
                <c:pt idx="0" formatCode="_(* #,##0.0_);_(* \(#,##0.0\);_(* &quot;-&quot;??_);_(@_)">
                  <c:v>320.46952721000002</c:v>
                </c:pt>
                <c:pt idx="1">
                  <c:v>179.46762534699999</c:v>
                </c:pt>
                <c:pt idx="2">
                  <c:v>188.87652094000001</c:v>
                </c:pt>
              </c:numCache>
            </c:numRef>
          </c:val>
          <c:smooth val="0"/>
          <c:extLst>
            <c:ext xmlns:c16="http://schemas.microsoft.com/office/drawing/2014/chart" uri="{C3380CC4-5D6E-409C-BE32-E72D297353CC}">
              <c16:uniqueId val="{00000013-1FBD-48A0-B5D6-B953E05EFAFF}"/>
            </c:ext>
          </c:extLst>
        </c:ser>
        <c:dLbls>
          <c:showLegendKey val="0"/>
          <c:showVal val="0"/>
          <c:showCatName val="0"/>
          <c:showSerName val="0"/>
          <c:showPercent val="0"/>
          <c:showBubbleSize val="0"/>
        </c:dLbls>
        <c:marker val="1"/>
        <c:smooth val="0"/>
        <c:axId val="171747872"/>
        <c:axId val="1"/>
      </c:lineChart>
      <c:lineChart>
        <c:grouping val="standard"/>
        <c:varyColors val="0"/>
        <c:ser>
          <c:idx val="3"/>
          <c:order val="3"/>
          <c:tx>
            <c:strRef>
              <c:f>Sheet1!$A$5</c:f>
              <c:strCache>
                <c:ptCount val="1"/>
                <c:pt idx="0">
                  <c:v>Դեֆիցիտ / ՀՆԱ</c:v>
                </c:pt>
              </c:strCache>
            </c:strRef>
          </c:tx>
          <c:marker>
            <c:symbol val="diamond"/>
            <c:size val="5"/>
          </c:marker>
          <c:dLbls>
            <c:dLbl>
              <c:idx val="0"/>
              <c:layout>
                <c:manualLayout>
                  <c:x val="-7.6811983057450683E-2"/>
                  <c:y val="-9.810874941984648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FBD-48A0-B5D6-B953E05EFAFF}"/>
                </c:ext>
              </c:extLst>
            </c:dLbl>
            <c:spPr>
              <a:noFill/>
              <a:ln w="27081">
                <a:noFill/>
              </a:ln>
            </c:spPr>
            <c:txPr>
              <a:bodyPr/>
              <a:lstStyle/>
              <a:p>
                <a:pPr>
                  <a:defRPr sz="1066" b="1" i="0" u="none" strike="noStrike" baseline="0">
                    <a:solidFill>
                      <a:schemeClr val="accent4">
                        <a:lumMod val="75000"/>
                      </a:schemeClr>
                    </a:solidFill>
                    <a:latin typeface="GHEA Grapalat"/>
                    <a:ea typeface="GHEA Grapalat"/>
                    <a:cs typeface="GHEA Grapalat"/>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Sheet1!$B$5:$D$5</c:f>
              <c:numCache>
                <c:formatCode>0.0%</c:formatCode>
                <c:ptCount val="3"/>
                <c:pt idx="0">
                  <c:v>4.5893807414423525E-2</c:v>
                </c:pt>
                <c:pt idx="1">
                  <c:v>2.1100000000000001E-2</c:v>
                </c:pt>
                <c:pt idx="2">
                  <c:v>1.9900000000000001E-2</c:v>
                </c:pt>
              </c:numCache>
            </c:numRef>
          </c:val>
          <c:smooth val="0"/>
          <c:extLst>
            <c:ext xmlns:c16="http://schemas.microsoft.com/office/drawing/2014/chart" uri="{C3380CC4-5D6E-409C-BE32-E72D297353CC}">
              <c16:uniqueId val="{00000019-1FBD-48A0-B5D6-B953E05EFAFF}"/>
            </c:ext>
          </c:extLst>
        </c:ser>
        <c:dLbls>
          <c:showLegendKey val="0"/>
          <c:showVal val="0"/>
          <c:showCatName val="0"/>
          <c:showSerName val="0"/>
          <c:showPercent val="0"/>
          <c:showBubbleSize val="0"/>
        </c:dLbls>
        <c:marker val="1"/>
        <c:smooth val="0"/>
        <c:axId val="3"/>
        <c:axId val="4"/>
      </c:lineChart>
      <c:catAx>
        <c:axId val="171747872"/>
        <c:scaling>
          <c:orientation val="minMax"/>
        </c:scaling>
        <c:delete val="0"/>
        <c:axPos val="b"/>
        <c:numFmt formatCode="General" sourceLinked="0"/>
        <c:majorTickMark val="out"/>
        <c:minorTickMark val="none"/>
        <c:tickLblPos val="nextTo"/>
        <c:txPr>
          <a:bodyPr rot="0" vert="horz"/>
          <a:lstStyle/>
          <a:p>
            <a:pPr>
              <a:defRPr sz="900" b="1" i="0" u="none" strike="noStrike" baseline="0">
                <a:solidFill>
                  <a:srgbClr val="333399"/>
                </a:solidFill>
                <a:latin typeface="GHEA Grapalat"/>
                <a:ea typeface="GHEA Grapalat"/>
                <a:cs typeface="GHEA Grapalat"/>
              </a:defRPr>
            </a:pPr>
            <a:endParaRPr lang="en-US"/>
          </a:p>
        </c:txPr>
        <c:crossAx val="1"/>
        <c:crosses val="autoZero"/>
        <c:auto val="1"/>
        <c:lblAlgn val="ctr"/>
        <c:lblOffset val="250"/>
        <c:noMultiLvlLbl val="0"/>
      </c:catAx>
      <c:valAx>
        <c:axId val="1"/>
        <c:scaling>
          <c:orientation val="minMax"/>
          <c:max val="450"/>
          <c:min val="-250"/>
        </c:scaling>
        <c:delete val="0"/>
        <c:axPos val="l"/>
        <c:majorGridlines/>
        <c:numFmt formatCode="_(* #,##0.0_);_(* \(#,##0.0\);_(* &quot;-&quot;??_);_(@_)" sourceLinked="1"/>
        <c:majorTickMark val="out"/>
        <c:minorTickMark val="none"/>
        <c:tickLblPos val="nextTo"/>
        <c:txPr>
          <a:bodyPr rot="0" vert="horz"/>
          <a:lstStyle/>
          <a:p>
            <a:pPr>
              <a:defRPr sz="900" b="1" i="0" u="none" strike="noStrike" baseline="0">
                <a:solidFill>
                  <a:srgbClr val="333399"/>
                </a:solidFill>
                <a:latin typeface="GHEA Grapalat"/>
                <a:ea typeface="GHEA Grapalat"/>
                <a:cs typeface="GHEA Grapalat"/>
              </a:defRPr>
            </a:pPr>
            <a:endParaRPr lang="en-US"/>
          </a:p>
        </c:txPr>
        <c:crossAx val="171747872"/>
        <c:crosses val="autoZero"/>
        <c:crossBetween val="between"/>
        <c:majorUnit val="100"/>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5.000000000000001E-2"/>
          <c:min val="-1.0000000000000002E-2"/>
        </c:scaling>
        <c:delete val="0"/>
        <c:axPos val="r"/>
        <c:numFmt formatCode="0.0%" sourceLinked="1"/>
        <c:majorTickMark val="out"/>
        <c:minorTickMark val="none"/>
        <c:tickLblPos val="nextTo"/>
        <c:txPr>
          <a:bodyPr rot="0" vert="horz"/>
          <a:lstStyle/>
          <a:p>
            <a:pPr>
              <a:defRPr sz="900" b="1" i="0" u="none" strike="noStrike" baseline="0">
                <a:solidFill>
                  <a:srgbClr val="333399"/>
                </a:solidFill>
                <a:latin typeface="GHEA Grapalat"/>
                <a:ea typeface="GHEA Grapalat"/>
                <a:cs typeface="GHEA Grapalat"/>
              </a:defRPr>
            </a:pPr>
            <a:endParaRPr lang="en-US"/>
          </a:p>
        </c:txPr>
        <c:crossAx val="3"/>
        <c:crosses val="max"/>
        <c:crossBetween val="between"/>
      </c:valAx>
    </c:plotArea>
    <c:legend>
      <c:legendPos val="b"/>
      <c:layout>
        <c:manualLayout>
          <c:xMode val="edge"/>
          <c:yMode val="edge"/>
          <c:x val="1.8432792363977012E-2"/>
          <c:y val="0.83778398218151018"/>
          <c:w val="0.91410031141605685"/>
          <c:h val="0.15765138919388066"/>
        </c:manualLayout>
      </c:layout>
      <c:overlay val="0"/>
      <c:txPr>
        <a:bodyPr/>
        <a:lstStyle/>
        <a:p>
          <a:pPr>
            <a:defRPr sz="981" b="1" i="0" u="none" strike="noStrike" baseline="0">
              <a:solidFill>
                <a:srgbClr val="333399"/>
              </a:solidFill>
              <a:latin typeface="GHEA Grapalat"/>
              <a:ea typeface="GHEA Grapalat"/>
              <a:cs typeface="GHEA Grapalat"/>
            </a:defRPr>
          </a:pPr>
          <a:endParaRPr lang="en-US"/>
        </a:p>
      </c:txPr>
    </c:legend>
    <c:plotVisOnly val="1"/>
    <c:dispBlanksAs val="gap"/>
    <c:showDLblsOverMax val="0"/>
  </c:chart>
  <c:txPr>
    <a:bodyPr/>
    <a:lstStyle/>
    <a:p>
      <a:pPr>
        <a:defRPr sz="1065"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713466301935558"/>
          <c:y val="4.5008821342364738E-2"/>
          <c:w val="0.69265765349778152"/>
          <c:h val="0.77947494134385131"/>
        </c:manualLayout>
      </c:layout>
      <c:barChart>
        <c:barDir val="bar"/>
        <c:grouping val="clustered"/>
        <c:varyColors val="0"/>
        <c:ser>
          <c:idx val="0"/>
          <c:order val="0"/>
          <c:tx>
            <c:strRef>
              <c:f>Sheet1!$B$1</c:f>
              <c:strCache>
                <c:ptCount val="1"/>
                <c:pt idx="0">
                  <c:v>2023թ. ճշտված ծրագիր</c:v>
                </c:pt>
              </c:strCache>
            </c:strRef>
          </c:tx>
          <c:spPr>
            <a:solidFill>
              <a:srgbClr val="FFC000"/>
            </a:solidFill>
          </c:spPr>
          <c:invertIfNegative val="0"/>
          <c:dLbls>
            <c:dLbl>
              <c:idx val="6"/>
              <c:layout>
                <c:manualLayout>
                  <c:x val="0"/>
                  <c:y val="2.4550266186744402E-2"/>
                </c:manualLayout>
              </c:layout>
              <c:numFmt formatCode="#,##0.0" sourceLinked="0"/>
              <c:spPr/>
              <c:txPr>
                <a:bodyPr/>
                <a:lstStyle/>
                <a:p>
                  <a:pPr>
                    <a:defRPr sz="899" baseline="0">
                      <a:latin typeface="GHEA Grapalat" pitchFamily="50"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3A-4521-B2DD-AAD3FA9928B8}"/>
                </c:ext>
              </c:extLst>
            </c:dLbl>
            <c:numFmt formatCode="#,##0.0" sourceLinked="0"/>
            <c:spPr>
              <a:noFill/>
              <a:ln w="25370">
                <a:noFill/>
              </a:ln>
            </c:spPr>
            <c:txPr>
              <a:bodyPr/>
              <a:lstStyle/>
              <a:p>
                <a:pPr>
                  <a:defRPr sz="899" baseline="0">
                    <a:latin typeface="GHEA Grapalat"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Այլ դոնորներ</c:v>
                </c:pt>
                <c:pt idx="1">
                  <c:v>Վերակառուցման և զարգացման
եվրոպական բանկ</c:v>
                </c:pt>
                <c:pt idx="2">
                  <c:v>Եվրոպական ներդրումային բանկ</c:v>
                </c:pt>
                <c:pt idx="3">
                  <c:v>Եվրասիական զարգացման բանկ</c:v>
                </c:pt>
                <c:pt idx="4">
                  <c:v>Ֆրանսիա</c:v>
                </c:pt>
                <c:pt idx="5">
                  <c:v>Գերմանիա (Վերականգնման
վարկերի բանկ)</c:v>
                </c:pt>
                <c:pt idx="6">
                  <c:v>Ասիական զարգացման բանկ</c:v>
                </c:pt>
                <c:pt idx="7">
                  <c:v>Համաշխարհային բանկ</c:v>
                </c:pt>
              </c:strCache>
            </c:strRef>
          </c:cat>
          <c:val>
            <c:numRef>
              <c:f>Sheet1!$B$2:$B$9</c:f>
              <c:numCache>
                <c:formatCode>General</c:formatCode>
                <c:ptCount val="8"/>
                <c:pt idx="0">
                  <c:v>0.119363</c:v>
                </c:pt>
                <c:pt idx="1">
                  <c:v>8.5331129000000008</c:v>
                </c:pt>
                <c:pt idx="2">
                  <c:v>3.3283931</c:v>
                </c:pt>
                <c:pt idx="3">
                  <c:v>8.5990754000000003</c:v>
                </c:pt>
                <c:pt idx="4">
                  <c:v>1.7231380000000001</c:v>
                </c:pt>
                <c:pt idx="5">
                  <c:v>7.7806103999999996</c:v>
                </c:pt>
                <c:pt idx="6">
                  <c:v>20.408460900000001</c:v>
                </c:pt>
                <c:pt idx="7">
                  <c:v>23.690124000000001</c:v>
                </c:pt>
              </c:numCache>
            </c:numRef>
          </c:val>
          <c:extLst>
            <c:ext xmlns:c16="http://schemas.microsoft.com/office/drawing/2014/chart" uri="{C3380CC4-5D6E-409C-BE32-E72D297353CC}">
              <c16:uniqueId val="{00000001-C33A-4521-B2DD-AAD3FA9928B8}"/>
            </c:ext>
          </c:extLst>
        </c:ser>
        <c:ser>
          <c:idx val="1"/>
          <c:order val="1"/>
          <c:tx>
            <c:strRef>
              <c:f>Sheet1!$C$1</c:f>
              <c:strCache>
                <c:ptCount val="1"/>
                <c:pt idx="0">
                  <c:v>2023թ. փաստացի</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2-C33A-4521-B2DD-AAD3FA9928B8}"/>
              </c:ext>
            </c:extLst>
          </c:dPt>
          <c:dPt>
            <c:idx val="1"/>
            <c:invertIfNegative val="0"/>
            <c:bubble3D val="0"/>
            <c:extLst>
              <c:ext xmlns:c16="http://schemas.microsoft.com/office/drawing/2014/chart" uri="{C3380CC4-5D6E-409C-BE32-E72D297353CC}">
                <c16:uniqueId val="{00000003-C33A-4521-B2DD-AAD3FA9928B8}"/>
              </c:ext>
            </c:extLst>
          </c:dPt>
          <c:dPt>
            <c:idx val="2"/>
            <c:invertIfNegative val="0"/>
            <c:bubble3D val="0"/>
            <c:extLst>
              <c:ext xmlns:c16="http://schemas.microsoft.com/office/drawing/2014/chart" uri="{C3380CC4-5D6E-409C-BE32-E72D297353CC}">
                <c16:uniqueId val="{00000004-C33A-4521-B2DD-AAD3FA9928B8}"/>
              </c:ext>
            </c:extLst>
          </c:dPt>
          <c:dPt>
            <c:idx val="3"/>
            <c:invertIfNegative val="0"/>
            <c:bubble3D val="0"/>
            <c:extLst>
              <c:ext xmlns:c16="http://schemas.microsoft.com/office/drawing/2014/chart" uri="{C3380CC4-5D6E-409C-BE32-E72D297353CC}">
                <c16:uniqueId val="{00000005-C33A-4521-B2DD-AAD3FA9928B8}"/>
              </c:ext>
            </c:extLst>
          </c:dPt>
          <c:dPt>
            <c:idx val="6"/>
            <c:invertIfNegative val="0"/>
            <c:bubble3D val="0"/>
            <c:extLst>
              <c:ext xmlns:c16="http://schemas.microsoft.com/office/drawing/2014/chart" uri="{C3380CC4-5D6E-409C-BE32-E72D297353CC}">
                <c16:uniqueId val="{00000006-C33A-4521-B2DD-AAD3FA9928B8}"/>
              </c:ext>
            </c:extLst>
          </c:dPt>
          <c:dPt>
            <c:idx val="7"/>
            <c:invertIfNegative val="0"/>
            <c:bubble3D val="0"/>
            <c:extLst>
              <c:ext xmlns:c16="http://schemas.microsoft.com/office/drawing/2014/chart" uri="{C3380CC4-5D6E-409C-BE32-E72D297353CC}">
                <c16:uniqueId val="{00000007-C33A-4521-B2DD-AAD3FA9928B8}"/>
              </c:ext>
            </c:extLst>
          </c:dPt>
          <c:dLbls>
            <c:dLbl>
              <c:idx val="0"/>
              <c:layout>
                <c:manualLayout>
                  <c:x val="-1.9930244145490781E-3"/>
                  <c:y val="-4.027621547306604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33A-4521-B2DD-AAD3FA9928B8}"/>
                </c:ext>
              </c:extLst>
            </c:dLbl>
            <c:dLbl>
              <c:idx val="1"/>
              <c:layout>
                <c:manualLayout>
                  <c:x val="-2.1957815272664306E-6"/>
                  <c:y val="-3.980127484064491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3A-4521-B2DD-AAD3FA9928B8}"/>
                </c:ext>
              </c:extLst>
            </c:dLbl>
            <c:dLbl>
              <c:idx val="2"/>
              <c:layout>
                <c:manualLayout>
                  <c:x val="-2.1814459296307146E-3"/>
                  <c:y val="-3.603927527098725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3A-4521-B2DD-AAD3FA9928B8}"/>
                </c:ext>
              </c:extLst>
            </c:dLbl>
            <c:dLbl>
              <c:idx val="3"/>
              <c:layout>
                <c:manualLayout>
                  <c:x val="3.9756991546159781E-3"/>
                  <c:y val="-4.23830382790843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3A-4521-B2DD-AAD3FA9928B8}"/>
                </c:ext>
              </c:extLst>
            </c:dLbl>
            <c:dLbl>
              <c:idx val="4"/>
              <c:layout>
                <c:manualLayout>
                  <c:x val="-1.821989548825653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3A-4521-B2DD-AAD3FA9928B8}"/>
                </c:ext>
              </c:extLst>
            </c:dLbl>
            <c:dLbl>
              <c:idx val="5"/>
              <c:layout>
                <c:manualLayout>
                  <c:x val="4.555770892864145E-4"/>
                  <c:y val="-4.09171103112406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3A-4521-B2DD-AAD3FA9928B8}"/>
                </c:ext>
              </c:extLst>
            </c:dLbl>
            <c:dLbl>
              <c:idx val="6"/>
              <c:layout>
                <c:manualLayout>
                  <c:x val="5.9824067710373911E-3"/>
                  <c:y val="-3.69485064366954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33A-4521-B2DD-AAD3FA9928B8}"/>
                </c:ext>
              </c:extLst>
            </c:dLbl>
            <c:dLbl>
              <c:idx val="7"/>
              <c:layout>
                <c:manualLayout>
                  <c:x val="4.083369433027252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33A-4521-B2DD-AAD3FA9928B8}"/>
                </c:ext>
              </c:extLst>
            </c:dLbl>
            <c:numFmt formatCode="#,##0.0" sourceLinked="0"/>
            <c:spPr>
              <a:noFill/>
              <a:ln w="27049">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solidFill>
                    <a:latin typeface="GHEA Grapalat" pitchFamily="50"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Այլ դոնորներ</c:v>
                </c:pt>
                <c:pt idx="1">
                  <c:v>Վերակառուցման և զարգացման
եվրոպական բանկ</c:v>
                </c:pt>
                <c:pt idx="2">
                  <c:v>Եվրոպական ներդրումային բանկ</c:v>
                </c:pt>
                <c:pt idx="3">
                  <c:v>Եվրասիական զարգացման բանկ</c:v>
                </c:pt>
                <c:pt idx="4">
                  <c:v>Ֆրանսիա</c:v>
                </c:pt>
                <c:pt idx="5">
                  <c:v>Գերմանիա (Վերականգնման
վարկերի բանկ)</c:v>
                </c:pt>
                <c:pt idx="6">
                  <c:v>Ասիական զարգացման բանկ</c:v>
                </c:pt>
                <c:pt idx="7">
                  <c:v>Համաշխարհային բանկ</c:v>
                </c:pt>
              </c:strCache>
            </c:strRef>
          </c:cat>
          <c:val>
            <c:numRef>
              <c:f>Sheet1!$C$2:$C$9</c:f>
              <c:numCache>
                <c:formatCode>_(* #,##0.00_);_(* \(#,##0.00\);_(* "-"??_);_(@_)</c:formatCode>
                <c:ptCount val="8"/>
                <c:pt idx="0">
                  <c:v>0</c:v>
                </c:pt>
                <c:pt idx="1">
                  <c:v>8.1405032599999991</c:v>
                </c:pt>
                <c:pt idx="2">
                  <c:v>4.4059999999999997</c:v>
                </c:pt>
                <c:pt idx="3">
                  <c:v>9.2452139500000001</c:v>
                </c:pt>
                <c:pt idx="4">
                  <c:v>0</c:v>
                </c:pt>
                <c:pt idx="5">
                  <c:v>7.3442103400000001</c:v>
                </c:pt>
                <c:pt idx="6">
                  <c:v>17.811482510000001</c:v>
                </c:pt>
                <c:pt idx="7">
                  <c:v>15.65562006</c:v>
                </c:pt>
              </c:numCache>
            </c:numRef>
          </c:val>
          <c:extLst>
            <c:ext xmlns:c16="http://schemas.microsoft.com/office/drawing/2014/chart" uri="{C3380CC4-5D6E-409C-BE32-E72D297353CC}">
              <c16:uniqueId val="{0000000A-C33A-4521-B2DD-AAD3FA9928B8}"/>
            </c:ext>
          </c:extLst>
        </c:ser>
        <c:dLbls>
          <c:showLegendKey val="0"/>
          <c:showVal val="0"/>
          <c:showCatName val="0"/>
          <c:showSerName val="0"/>
          <c:showPercent val="0"/>
          <c:showBubbleSize val="0"/>
        </c:dLbls>
        <c:gapWidth val="100"/>
        <c:axId val="172870024"/>
        <c:axId val="1"/>
      </c:barChart>
      <c:catAx>
        <c:axId val="172870024"/>
        <c:scaling>
          <c:orientation val="minMax"/>
        </c:scaling>
        <c:delete val="0"/>
        <c:axPos val="l"/>
        <c:numFmt formatCode="General" sourceLinked="1"/>
        <c:majorTickMark val="out"/>
        <c:minorTickMark val="none"/>
        <c:tickLblPos val="nextTo"/>
        <c:spPr>
          <a:noFill/>
          <a:ln w="13525" cap="flat" cmpd="sng" algn="ctr">
            <a:solidFill>
              <a:schemeClr val="tx1">
                <a:lumMod val="15000"/>
                <a:lumOff val="85000"/>
              </a:schemeClr>
            </a:solidFill>
            <a:round/>
          </a:ln>
          <a:effectLst/>
        </c:spPr>
        <c:txPr>
          <a:bodyPr rot="-60000000" spcFirstLastPara="1" vertOverflow="ellipsis" vert="horz" wrap="square" anchor="ctr" anchorCtr="1"/>
          <a:lstStyle/>
          <a:p>
            <a:pPr>
              <a:defRPr sz="852" b="0" i="0" u="none" strike="noStrike" kern="1200" baseline="0">
                <a:solidFill>
                  <a:schemeClr val="tx1"/>
                </a:solidFill>
                <a:latin typeface="GHEA Grapalat" pitchFamily="50" charset="0"/>
                <a:ea typeface="+mn-ea"/>
                <a:cs typeface="+mn-cs"/>
              </a:defRPr>
            </a:pPr>
            <a:endParaRPr lang="en-US"/>
          </a:p>
        </c:txPr>
        <c:crossAx val="1"/>
        <c:crosses val="autoZero"/>
        <c:auto val="1"/>
        <c:lblAlgn val="ctr"/>
        <c:lblOffset val="100"/>
        <c:noMultiLvlLbl val="0"/>
      </c:catAx>
      <c:valAx>
        <c:axId val="1"/>
        <c:scaling>
          <c:orientation val="minMax"/>
          <c:min val="0"/>
        </c:scaling>
        <c:delete val="0"/>
        <c:axPos val="b"/>
        <c:majorGridlines>
          <c:spPr>
            <a:ln w="10144" cap="flat" cmpd="sng" algn="ctr">
              <a:solidFill>
                <a:schemeClr val="tx1">
                  <a:lumMod val="15000"/>
                  <a:lumOff val="85000"/>
                </a:schemeClr>
              </a:solidFill>
              <a:round/>
            </a:ln>
            <a:effectLst/>
          </c:spPr>
        </c:majorGridlines>
        <c:numFmt formatCode="_(* #,##0_);_(* \(#,##0\);_(* &quot;-&quot;_);_(@_)" sourceLinked="0"/>
        <c:majorTickMark val="out"/>
        <c:minorTickMark val="none"/>
        <c:tickLblPos val="nextTo"/>
        <c:spPr>
          <a:ln w="10144">
            <a:noFill/>
          </a:ln>
        </c:spPr>
        <c:txPr>
          <a:bodyPr rot="-60000000" spcFirstLastPara="1" vertOverflow="ellipsis" vert="horz" wrap="square" anchor="ctr" anchorCtr="1"/>
          <a:lstStyle/>
          <a:p>
            <a:pPr>
              <a:defRPr sz="999" b="0" i="0" u="none" strike="noStrike" kern="1200" baseline="0">
                <a:solidFill>
                  <a:schemeClr val="tx1"/>
                </a:solidFill>
                <a:latin typeface="+mn-lt"/>
                <a:ea typeface="+mn-ea"/>
                <a:cs typeface="+mn-cs"/>
              </a:defRPr>
            </a:pPr>
            <a:endParaRPr lang="en-US"/>
          </a:p>
        </c:txPr>
        <c:crossAx val="172870024"/>
        <c:crosses val="autoZero"/>
        <c:crossBetween val="between"/>
      </c:valAx>
      <c:spPr>
        <a:solidFill>
          <a:schemeClr val="bg1"/>
        </a:solidFill>
        <a:ln>
          <a:solidFill>
            <a:schemeClr val="accent1">
              <a:lumMod val="20000"/>
              <a:lumOff val="80000"/>
            </a:schemeClr>
          </a:solidFill>
        </a:ln>
        <a:effectLst/>
      </c:spPr>
    </c:plotArea>
    <c:legend>
      <c:legendPos val="b"/>
      <c:overlay val="0"/>
      <c:txPr>
        <a:bodyPr/>
        <a:lstStyle/>
        <a:p>
          <a:pPr>
            <a:defRPr>
              <a:latin typeface="GHEA Grapalat" pitchFamily="50" charset="0"/>
            </a:defRPr>
          </a:pPr>
          <a:endParaRPr lang="en-US"/>
        </a:p>
      </c:txPr>
    </c:legend>
    <c:plotVisOnly val="1"/>
    <c:dispBlanksAs val="gap"/>
    <c:showDLblsOverMax val="0"/>
  </c:chart>
  <c:spPr>
    <a:solidFill>
      <a:schemeClr val="bg1"/>
    </a:solidFill>
    <a:ln w="10144" cap="flat" cmpd="sng" algn="ctr">
      <a:solidFill>
        <a:schemeClr val="tx1"/>
      </a:solidFill>
      <a:round/>
    </a:ln>
    <a:effectLst/>
  </c:spPr>
  <c:txPr>
    <a:bodyPr/>
    <a:lstStyle/>
    <a:p>
      <a:pPr>
        <a:defRPr/>
      </a:pPr>
      <a:endParaRPr lang="en-US"/>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211964807418949"/>
          <c:y val="4.1335069957638339E-2"/>
          <c:w val="0.90870169874599005"/>
          <c:h val="0.72741621292782621"/>
        </c:manualLayout>
      </c:layout>
      <c:barChart>
        <c:barDir val="col"/>
        <c:grouping val="stacked"/>
        <c:varyColors val="0"/>
        <c:ser>
          <c:idx val="1"/>
          <c:order val="1"/>
          <c:tx>
            <c:strRef>
              <c:f>Sheet1!$A$3</c:f>
              <c:strCache>
                <c:ptCount val="1"/>
                <c:pt idx="0">
                  <c:v>ՀՀ արտաքին պետական պարտք</c:v>
                </c:pt>
              </c:strCache>
            </c:strRef>
          </c:tx>
          <c:spPr>
            <a:solidFill>
              <a:srgbClr val="A6C36B"/>
            </a:solidFill>
            <a:scene3d>
              <a:camera prst="orthographicFront"/>
              <a:lightRig rig="threePt" dir="t"/>
            </a:scene3d>
          </c:spPr>
          <c:invertIfNegative val="0"/>
          <c:dLbls>
            <c:dLbl>
              <c:idx val="0"/>
              <c:layout>
                <c:manualLayout>
                  <c:x val="-1.1600161864222208E-3"/>
                  <c:y val="-7.2453368721437034E-3"/>
                </c:manualLayout>
              </c:layout>
              <c:spPr>
                <a:noFill/>
                <a:ln w="27060">
                  <a:noFill/>
                </a:ln>
              </c:spPr>
              <c:txPr>
                <a:bodyPr/>
                <a:lstStyle/>
                <a:p>
                  <a:pPr>
                    <a:defRPr sz="1064" b="1" i="0" u="none" strike="noStrike" baseline="0">
                      <a:solidFill>
                        <a:schemeClr val="accent3">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5B4-4E5F-9CB3-5A0AAF8727A6}"/>
                </c:ext>
              </c:extLst>
            </c:dLbl>
            <c:dLbl>
              <c:idx val="1"/>
              <c:layout>
                <c:manualLayout>
                  <c:x val="-2.6446307085812525E-3"/>
                  <c:y val="-1.7650216954156891E-3"/>
                </c:manualLayout>
              </c:layout>
              <c:spPr>
                <a:noFill/>
                <a:ln w="27060">
                  <a:noFill/>
                </a:ln>
              </c:spPr>
              <c:txPr>
                <a:bodyPr/>
                <a:lstStyle/>
                <a:p>
                  <a:pPr>
                    <a:defRPr sz="1064" b="1" i="0" u="none" strike="noStrike" baseline="0">
                      <a:solidFill>
                        <a:schemeClr val="accent3">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5B4-4E5F-9CB3-5A0AAF8727A6}"/>
                </c:ext>
              </c:extLst>
            </c:dLbl>
            <c:dLbl>
              <c:idx val="2"/>
              <c:layout>
                <c:manualLayout>
                  <c:x val="-8.6586404694062439E-4"/>
                  <c:y val="5.4394343697237316E-3"/>
                </c:manualLayout>
              </c:layout>
              <c:spPr>
                <a:noFill/>
                <a:ln w="27060">
                  <a:noFill/>
                </a:ln>
              </c:spPr>
              <c:txPr>
                <a:bodyPr/>
                <a:lstStyle/>
                <a:p>
                  <a:pPr>
                    <a:defRPr sz="1064" b="1" i="0" u="none" strike="noStrike" baseline="0">
                      <a:solidFill>
                        <a:schemeClr val="accent3">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5B4-4E5F-9CB3-5A0AAF8727A6}"/>
                </c:ext>
              </c:extLst>
            </c:dLbl>
            <c:dLbl>
              <c:idx val="3"/>
              <c:layout>
                <c:manualLayout>
                  <c:x val="5.7157783161720169E-2"/>
                  <c:y val="2.5192617051900769E-2"/>
                </c:manualLayout>
              </c:layout>
              <c:spPr>
                <a:noFill/>
                <a:ln w="27060">
                  <a:noFill/>
                </a:ln>
              </c:spPr>
              <c:txPr>
                <a:bodyPr/>
                <a:lstStyle/>
                <a:p>
                  <a:pPr>
                    <a:defRPr sz="1064" b="1" i="0" u="none" strike="noStrike" baseline="0">
                      <a:solidFill>
                        <a:schemeClr val="accent3">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5B4-4E5F-9CB3-5A0AAF8727A6}"/>
                </c:ext>
              </c:extLst>
            </c:dLbl>
            <c:dLbl>
              <c:idx val="4"/>
              <c:layout>
                <c:manualLayout>
                  <c:x val="2.5462962962962982E-2"/>
                  <c:y val="8.3682008368201471E-3"/>
                </c:manualLayout>
              </c:layout>
              <c:spPr>
                <a:noFill/>
                <a:ln w="27060">
                  <a:noFill/>
                </a:ln>
              </c:spPr>
              <c:txPr>
                <a:bodyPr/>
                <a:lstStyle/>
                <a:p>
                  <a:pPr>
                    <a:defRPr sz="1064" b="1" i="0" u="none" strike="noStrike" baseline="0">
                      <a:solidFill>
                        <a:schemeClr val="accent3">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5B4-4E5F-9CB3-5A0AAF8727A6}"/>
                </c:ext>
              </c:extLst>
            </c:dLbl>
            <c:spPr>
              <a:noFill/>
              <a:ln w="27060">
                <a:noFill/>
              </a:ln>
            </c:spPr>
            <c:txPr>
              <a:bodyPr wrap="square" lIns="38100" tIns="19050" rIns="38100" bIns="19050" anchor="ctr">
                <a:spAutoFit/>
              </a:bodyPr>
              <a:lstStyle/>
              <a:p>
                <a:pPr>
                  <a:defRPr sz="1064" b="1" i="0" u="none" strike="noStrike" baseline="0">
                    <a:solidFill>
                      <a:schemeClr val="accent3">
                        <a:lumMod val="50000"/>
                      </a:schemeClr>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Sheet1!$B$3:$D$3</c:f>
              <c:numCache>
                <c:formatCode>_(* #,##0.0_);_(* \(#,##0.0\);_(* "-"??_);_(@_)</c:formatCode>
                <c:ptCount val="3"/>
                <c:pt idx="0">
                  <c:v>3192.1608858873078</c:v>
                </c:pt>
                <c:pt idx="1">
                  <c:v>2536.7076684492226</c:v>
                </c:pt>
                <c:pt idx="2">
                  <c:v>2631.7</c:v>
                </c:pt>
              </c:numCache>
            </c:numRef>
          </c:val>
          <c:extLst>
            <c:ext xmlns:c16="http://schemas.microsoft.com/office/drawing/2014/chart" uri="{C3380CC4-5D6E-409C-BE32-E72D297353CC}">
              <c16:uniqueId val="{00000005-85B4-4E5F-9CB3-5A0AAF8727A6}"/>
            </c:ext>
          </c:extLst>
        </c:ser>
        <c:ser>
          <c:idx val="2"/>
          <c:order val="2"/>
          <c:tx>
            <c:strRef>
              <c:f>Sheet1!$A$4</c:f>
              <c:strCache>
                <c:ptCount val="1"/>
                <c:pt idx="0">
                  <c:v>ՀՀ ներքին պետական պարտք</c:v>
                </c:pt>
              </c:strCache>
            </c:strRef>
          </c:tx>
          <c:spPr>
            <a:solidFill>
              <a:srgbClr val="F79646">
                <a:lumMod val="60000"/>
                <a:lumOff val="40000"/>
              </a:srgbClr>
            </a:solidFill>
            <a:ln w="0">
              <a:noFill/>
            </a:ln>
            <a:scene3d>
              <a:camera prst="orthographicFront"/>
              <a:lightRig rig="threePt" dir="t"/>
            </a:scene3d>
          </c:spPr>
          <c:invertIfNegative val="0"/>
          <c:dLbls>
            <c:dLbl>
              <c:idx val="0"/>
              <c:layout>
                <c:manualLayout>
                  <c:x val="-7.779637567125121E-4"/>
                  <c:y val="2.3745413658421116E-2"/>
                </c:manualLayout>
              </c:layout>
              <c:spPr>
                <a:noFill/>
                <a:ln w="27060">
                  <a:noFill/>
                </a:ln>
              </c:spPr>
              <c:txPr>
                <a:bodyPr/>
                <a:lstStyle/>
                <a:p>
                  <a:pPr>
                    <a:defRPr sz="1064" b="1" i="0" u="none" strike="noStrike" baseline="0">
                      <a:solidFill>
                        <a:schemeClr val="accent2">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5B4-4E5F-9CB3-5A0AAF8727A6}"/>
                </c:ext>
              </c:extLst>
            </c:dLbl>
            <c:dLbl>
              <c:idx val="1"/>
              <c:layout>
                <c:manualLayout>
                  <c:x val="-4.3626622143930124E-4"/>
                  <c:y val="8.4263497844799348E-2"/>
                </c:manualLayout>
              </c:layout>
              <c:spPr>
                <a:noFill/>
                <a:ln w="27060">
                  <a:noFill/>
                </a:ln>
              </c:spPr>
              <c:txPr>
                <a:bodyPr/>
                <a:lstStyle/>
                <a:p>
                  <a:pPr>
                    <a:defRPr sz="1064" b="1" i="0" u="none" strike="noStrike" baseline="0">
                      <a:solidFill>
                        <a:schemeClr val="accent2">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5B4-4E5F-9CB3-5A0AAF8727A6}"/>
                </c:ext>
              </c:extLst>
            </c:dLbl>
            <c:dLbl>
              <c:idx val="2"/>
              <c:layout>
                <c:manualLayout>
                  <c:x val="1.3165021039036786E-3"/>
                  <c:y val="0.1089740196784886"/>
                </c:manualLayout>
              </c:layout>
              <c:spPr>
                <a:noFill/>
                <a:ln w="27060">
                  <a:noFill/>
                </a:ln>
              </c:spPr>
              <c:txPr>
                <a:bodyPr/>
                <a:lstStyle/>
                <a:p>
                  <a:pPr>
                    <a:defRPr sz="1064" b="1" i="0" u="none" strike="noStrike" baseline="0">
                      <a:solidFill>
                        <a:schemeClr val="accent2">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5B4-4E5F-9CB3-5A0AAF8727A6}"/>
                </c:ext>
              </c:extLst>
            </c:dLbl>
            <c:dLbl>
              <c:idx val="3"/>
              <c:layout>
                <c:manualLayout>
                  <c:x val="2.6709401709401708E-2"/>
                  <c:y val="-2.7894900234244915E-3"/>
                </c:manualLayout>
              </c:layout>
              <c:spPr>
                <a:noFill/>
                <a:ln w="27060">
                  <a:noFill/>
                </a:ln>
              </c:spPr>
              <c:txPr>
                <a:bodyPr/>
                <a:lstStyle/>
                <a:p>
                  <a:pPr>
                    <a:defRPr sz="1064" b="1" i="0" u="none" strike="noStrike" baseline="0">
                      <a:solidFill>
                        <a:schemeClr val="accent2">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5B4-4E5F-9CB3-5A0AAF8727A6}"/>
                </c:ext>
              </c:extLst>
            </c:dLbl>
            <c:dLbl>
              <c:idx val="4"/>
              <c:layout>
                <c:manualLayout>
                  <c:x val="2.3236949811022801E-2"/>
                  <c:y val="-6.0367454068241465E-4"/>
                </c:manualLayout>
              </c:layout>
              <c:spPr>
                <a:noFill/>
                <a:ln w="27060">
                  <a:noFill/>
                </a:ln>
              </c:spPr>
              <c:txPr>
                <a:bodyPr/>
                <a:lstStyle/>
                <a:p>
                  <a:pPr>
                    <a:defRPr sz="1064" b="1" i="0" u="none" strike="noStrike" baseline="0">
                      <a:solidFill>
                        <a:schemeClr val="accent2">
                          <a:lumMod val="50000"/>
                        </a:schemeClr>
                      </a:solidFill>
                      <a:latin typeface="GHEA Grapalat"/>
                      <a:ea typeface="GHEA Grapalat"/>
                      <a:cs typeface="GHEA Grapalat"/>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5B4-4E5F-9CB3-5A0AAF8727A6}"/>
                </c:ext>
              </c:extLst>
            </c:dLbl>
            <c:spPr>
              <a:noFill/>
              <a:ln w="27060">
                <a:noFill/>
              </a:ln>
            </c:spPr>
            <c:txPr>
              <a:bodyPr wrap="square" lIns="38100" tIns="19050" rIns="38100" bIns="19050" anchor="ctr">
                <a:spAutoFit/>
              </a:bodyPr>
              <a:lstStyle/>
              <a:p>
                <a:pPr>
                  <a:defRPr sz="1064" b="1" i="0" u="none" strike="noStrike" baseline="0">
                    <a:solidFill>
                      <a:schemeClr val="accent2">
                        <a:lumMod val="50000"/>
                      </a:schemeClr>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Sheet1!$B$4:$D$4</c:f>
              <c:numCache>
                <c:formatCode>_(* #,##0.0_);_(* \(#,##0.0\);_(* "-"??_);_(@_)</c:formatCode>
                <c:ptCount val="3"/>
                <c:pt idx="0">
                  <c:v>1237.4391618000002</c:v>
                </c:pt>
                <c:pt idx="1">
                  <c:v>1649.9576776065232</c:v>
                </c:pt>
                <c:pt idx="2">
                  <c:v>2163.1999999999998</c:v>
                </c:pt>
              </c:numCache>
            </c:numRef>
          </c:val>
          <c:extLst>
            <c:ext xmlns:c16="http://schemas.microsoft.com/office/drawing/2014/chart" uri="{C3380CC4-5D6E-409C-BE32-E72D297353CC}">
              <c16:uniqueId val="{0000000B-85B4-4E5F-9CB3-5A0AAF8727A6}"/>
            </c:ext>
          </c:extLst>
        </c:ser>
        <c:dLbls>
          <c:showLegendKey val="0"/>
          <c:showVal val="0"/>
          <c:showCatName val="0"/>
          <c:showSerName val="0"/>
          <c:showPercent val="0"/>
          <c:showBubbleSize val="0"/>
        </c:dLbls>
        <c:gapWidth val="195"/>
        <c:overlap val="100"/>
        <c:axId val="183434296"/>
        <c:axId val="1"/>
      </c:barChart>
      <c:lineChart>
        <c:grouping val="standard"/>
        <c:varyColors val="0"/>
        <c:ser>
          <c:idx val="0"/>
          <c:order val="0"/>
          <c:tx>
            <c:strRef>
              <c:f>Sheet1!$A$2</c:f>
              <c:strCache>
                <c:ptCount val="1"/>
                <c:pt idx="0">
                  <c:v>ՀՀ պետական պարտք</c:v>
                </c:pt>
              </c:strCache>
            </c:strRef>
          </c:tx>
          <c:spPr>
            <a:ln w="20296">
              <a:solidFill>
                <a:srgbClr val="1F497D"/>
              </a:solidFill>
              <a:prstDash val="dash"/>
            </a:ln>
          </c:spPr>
          <c:marker>
            <c:symbol val="none"/>
          </c:marker>
          <c:dLbls>
            <c:dLbl>
              <c:idx val="0"/>
              <c:layout>
                <c:manualLayout>
                  <c:x val="-8.3596468680408653E-2"/>
                  <c:y val="3.1417453849882739E-2"/>
                </c:manualLayout>
              </c:layout>
              <c:spPr>
                <a:noFill/>
                <a:ln w="27060">
                  <a:noFill/>
                </a:ln>
              </c:spPr>
              <c:txPr>
                <a:bodyPr/>
                <a:lstStyle/>
                <a:p>
                  <a:pPr>
                    <a:defRPr sz="1064"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5B4-4E5F-9CB3-5A0AAF8727A6}"/>
                </c:ext>
              </c:extLst>
            </c:dLbl>
            <c:dLbl>
              <c:idx val="1"/>
              <c:layout>
                <c:manualLayout>
                  <c:x val="-5.1218126036132273E-2"/>
                  <c:y val="-3.6489839768365062E-2"/>
                </c:manualLayout>
              </c:layout>
              <c:spPr>
                <a:noFill/>
                <a:ln w="27060">
                  <a:noFill/>
                </a:ln>
              </c:spPr>
              <c:txPr>
                <a:bodyPr/>
                <a:lstStyle/>
                <a:p>
                  <a:pPr>
                    <a:defRPr sz="1064"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5B4-4E5F-9CB3-5A0AAF8727A6}"/>
                </c:ext>
              </c:extLst>
            </c:dLbl>
            <c:dLbl>
              <c:idx val="2"/>
              <c:layout>
                <c:manualLayout>
                  <c:x val="-5.2324446265846522E-2"/>
                  <c:y val="-3.1615157802773831E-2"/>
                </c:manualLayout>
              </c:layout>
              <c:spPr>
                <a:noFill/>
                <a:ln w="27060">
                  <a:noFill/>
                </a:ln>
              </c:spPr>
              <c:txPr>
                <a:bodyPr/>
                <a:lstStyle/>
                <a:p>
                  <a:pPr>
                    <a:defRPr sz="1064"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5B4-4E5F-9CB3-5A0AAF8727A6}"/>
                </c:ext>
              </c:extLst>
            </c:dLbl>
            <c:dLbl>
              <c:idx val="3"/>
              <c:layout>
                <c:manualLayout>
                  <c:x val="-1.718323276215725E-2"/>
                  <c:y val="6.484114858776981E-3"/>
                </c:manualLayout>
              </c:layout>
              <c:spPr>
                <a:noFill/>
                <a:ln w="27060">
                  <a:noFill/>
                </a:ln>
              </c:spPr>
              <c:txPr>
                <a:bodyPr/>
                <a:lstStyle/>
                <a:p>
                  <a:pPr>
                    <a:defRPr sz="1064"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5B4-4E5F-9CB3-5A0AAF8727A6}"/>
                </c:ext>
              </c:extLst>
            </c:dLbl>
            <c:dLbl>
              <c:idx val="4"/>
              <c:layout>
                <c:manualLayout>
                  <c:x val="-8.3690473780280508E-3"/>
                  <c:y val="1.1761272378266215E-2"/>
                </c:manualLayout>
              </c:layout>
              <c:spPr>
                <a:noFill/>
                <a:ln w="27060">
                  <a:noFill/>
                </a:ln>
              </c:spPr>
              <c:txPr>
                <a:bodyPr/>
                <a:lstStyle/>
                <a:p>
                  <a:pPr>
                    <a:defRPr sz="1064" b="1" i="0" u="none" strike="noStrike" baseline="0">
                      <a:solidFill>
                        <a:srgbClr val="3333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5B4-4E5F-9CB3-5A0AAF8727A6}"/>
                </c:ext>
              </c:extLst>
            </c:dLbl>
            <c:spPr>
              <a:noFill/>
              <a:ln w="27060">
                <a:noFill/>
              </a:ln>
            </c:spPr>
            <c:txPr>
              <a:bodyPr wrap="square" lIns="38100" tIns="19050" rIns="38100" bIns="19050" anchor="ctr">
                <a:spAutoFit/>
              </a:bodyPr>
              <a:lstStyle/>
              <a:p>
                <a:pPr>
                  <a:defRPr sz="1064" b="1" i="0" u="none" strike="noStrike" baseline="0">
                    <a:solidFill>
                      <a:srgbClr val="3333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Sheet1!$B$2:$D$2</c:f>
              <c:numCache>
                <c:formatCode>_(* #,##0.0_);_(* \(#,##0.0\);_(* "-"??_);_(@_)</c:formatCode>
                <c:ptCount val="3"/>
                <c:pt idx="0">
                  <c:v>4429.6000000000004</c:v>
                </c:pt>
                <c:pt idx="1">
                  <c:v>4186.7</c:v>
                </c:pt>
                <c:pt idx="2">
                  <c:v>4794.8999999999996</c:v>
                </c:pt>
              </c:numCache>
            </c:numRef>
          </c:val>
          <c:smooth val="0"/>
          <c:extLst>
            <c:ext xmlns:c16="http://schemas.microsoft.com/office/drawing/2014/chart" uri="{C3380CC4-5D6E-409C-BE32-E72D297353CC}">
              <c16:uniqueId val="{00000011-85B4-4E5F-9CB3-5A0AAF8727A6}"/>
            </c:ext>
          </c:extLst>
        </c:ser>
        <c:dLbls>
          <c:showLegendKey val="0"/>
          <c:showVal val="0"/>
          <c:showCatName val="0"/>
          <c:showSerName val="0"/>
          <c:showPercent val="0"/>
          <c:showBubbleSize val="0"/>
        </c:dLbls>
        <c:marker val="1"/>
        <c:smooth val="0"/>
        <c:axId val="183434296"/>
        <c:axId val="1"/>
      </c:lineChart>
      <c:lineChart>
        <c:grouping val="standard"/>
        <c:varyColors val="0"/>
        <c:ser>
          <c:idx val="3"/>
          <c:order val="3"/>
          <c:tx>
            <c:strRef>
              <c:f>Sheet1!$A$5</c:f>
              <c:strCache>
                <c:ptCount val="1"/>
                <c:pt idx="0">
                  <c:v>Պետական պարտք / ՀՆԱ</c:v>
                </c:pt>
              </c:strCache>
            </c:strRef>
          </c:tx>
          <c:marker>
            <c:symbol val="diamond"/>
            <c:size val="5"/>
          </c:marker>
          <c:dLbls>
            <c:dLbl>
              <c:idx val="0"/>
              <c:layout>
                <c:manualLayout>
                  <c:x val="-4.8791228140507591E-2"/>
                  <c:y val="-3.2981513750049131E-2"/>
                </c:manualLayout>
              </c:layout>
              <c:spPr>
                <a:noFill/>
                <a:ln w="27060">
                  <a:noFill/>
                </a:ln>
              </c:spPr>
              <c:txPr>
                <a:bodyPr/>
                <a:lstStyle/>
                <a:p>
                  <a:pPr>
                    <a:defRPr sz="1064"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5B4-4E5F-9CB3-5A0AAF8727A6}"/>
                </c:ext>
              </c:extLst>
            </c:dLbl>
            <c:dLbl>
              <c:idx val="1"/>
              <c:layout>
                <c:manualLayout>
                  <c:x val="-4.1868508574792934E-2"/>
                  <c:y val="-2.9290814521728908E-2"/>
                </c:manualLayout>
              </c:layout>
              <c:spPr>
                <a:noFill/>
                <a:ln w="27060">
                  <a:noFill/>
                </a:ln>
              </c:spPr>
              <c:txPr>
                <a:bodyPr/>
                <a:lstStyle/>
                <a:p>
                  <a:pPr>
                    <a:defRPr sz="1064"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5B4-4E5F-9CB3-5A0AAF8727A6}"/>
                </c:ext>
              </c:extLst>
            </c:dLbl>
            <c:dLbl>
              <c:idx val="2"/>
              <c:layout>
                <c:manualLayout>
                  <c:x val="-3.8640078612197232E-2"/>
                  <c:y val="-3.7513333948211977E-2"/>
                </c:manualLayout>
              </c:layout>
              <c:spPr>
                <a:noFill/>
                <a:ln w="27060">
                  <a:noFill/>
                </a:ln>
              </c:spPr>
              <c:txPr>
                <a:bodyPr/>
                <a:lstStyle/>
                <a:p>
                  <a:pPr>
                    <a:defRPr sz="1064"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5B4-4E5F-9CB3-5A0AAF8727A6}"/>
                </c:ext>
              </c:extLst>
            </c:dLbl>
            <c:dLbl>
              <c:idx val="3"/>
              <c:layout>
                <c:manualLayout>
                  <c:x val="-3.1427915347591255E-2"/>
                  <c:y val="-3.1589101735417402E-2"/>
                </c:manualLayout>
              </c:layout>
              <c:spPr>
                <a:noFill/>
                <a:ln w="27060">
                  <a:noFill/>
                </a:ln>
              </c:spPr>
              <c:txPr>
                <a:bodyPr/>
                <a:lstStyle/>
                <a:p>
                  <a:pPr>
                    <a:defRPr sz="1064"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5B4-4E5F-9CB3-5A0AAF8727A6}"/>
                </c:ext>
              </c:extLst>
            </c:dLbl>
            <c:dLbl>
              <c:idx val="4"/>
              <c:layout>
                <c:manualLayout>
                  <c:x val="-1.5402281152467901E-2"/>
                  <c:y val="-3.1661769890703982E-2"/>
                </c:manualLayout>
              </c:layout>
              <c:spPr>
                <a:noFill/>
                <a:ln w="27060">
                  <a:noFill/>
                </a:ln>
              </c:spPr>
              <c:txPr>
                <a:bodyPr/>
                <a:lstStyle/>
                <a:p>
                  <a:pPr>
                    <a:defRPr sz="1064" b="1" i="0" u="none" strike="noStrike" baseline="0">
                      <a:solidFill>
                        <a:srgbClr val="666699"/>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5B4-4E5F-9CB3-5A0AAF8727A6}"/>
                </c:ext>
              </c:extLst>
            </c:dLbl>
            <c:spPr>
              <a:noFill/>
              <a:ln w="27060">
                <a:noFill/>
              </a:ln>
            </c:spPr>
            <c:txPr>
              <a:bodyPr wrap="square" lIns="38100" tIns="19050" rIns="38100" bIns="19050" anchor="ctr">
                <a:spAutoFit/>
              </a:bodyPr>
              <a:lstStyle/>
              <a:p>
                <a:pPr>
                  <a:defRPr sz="1064" b="1" i="0" u="none" strike="noStrike" baseline="0">
                    <a:solidFill>
                      <a:srgbClr val="666699"/>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Sheet1!$B$5:$D$5</c:f>
              <c:numCache>
                <c:formatCode>0.0%</c:formatCode>
                <c:ptCount val="3"/>
                <c:pt idx="0">
                  <c:v>0.63354416779196099</c:v>
                </c:pt>
                <c:pt idx="1">
                  <c:v>0.49246569547645758</c:v>
                </c:pt>
                <c:pt idx="2">
                  <c:v>0.50457451717959712</c:v>
                </c:pt>
              </c:numCache>
            </c:numRef>
          </c:val>
          <c:smooth val="0"/>
          <c:extLst>
            <c:ext xmlns:c16="http://schemas.microsoft.com/office/drawing/2014/chart" uri="{C3380CC4-5D6E-409C-BE32-E72D297353CC}">
              <c16:uniqueId val="{00000017-85B4-4E5F-9CB3-5A0AAF8727A6}"/>
            </c:ext>
          </c:extLst>
        </c:ser>
        <c:ser>
          <c:idx val="4"/>
          <c:order val="4"/>
          <c:tx>
            <c:strRef>
              <c:f>Sheet1!$A$6</c:f>
              <c:strCache>
                <c:ptCount val="1"/>
                <c:pt idx="0">
                  <c:v>Կառավարության պարտք / ՀՆԱ</c:v>
                </c:pt>
              </c:strCache>
            </c:strRef>
          </c:tx>
          <c:spPr>
            <a:ln>
              <a:solidFill>
                <a:srgbClr val="4BACC6">
                  <a:lumMod val="75000"/>
                </a:srgbClr>
              </a:solidFill>
            </a:ln>
          </c:spPr>
          <c:marker>
            <c:spPr>
              <a:ln>
                <a:solidFill>
                  <a:srgbClr val="4BACC6">
                    <a:lumMod val="75000"/>
                  </a:srgbClr>
                </a:solidFill>
              </a:ln>
            </c:spPr>
          </c:marker>
          <c:dLbls>
            <c:dLbl>
              <c:idx val="0"/>
              <c:layout>
                <c:manualLayout>
                  <c:x val="-8.978107296336385E-2"/>
                  <c:y val="-1.6759469126259384E-2"/>
                </c:manualLayout>
              </c:layout>
              <c:spPr/>
              <c:txPr>
                <a:bodyPr/>
                <a:lstStyle/>
                <a:p>
                  <a:pPr>
                    <a:defRPr sz="1064" b="1" i="0" u="none" strike="noStrike" baseline="0">
                      <a:solidFill>
                        <a:srgbClr val="00808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5B4-4E5F-9CB3-5A0AAF8727A6}"/>
                </c:ext>
              </c:extLst>
            </c:dLbl>
            <c:dLbl>
              <c:idx val="1"/>
              <c:layout>
                <c:manualLayout>
                  <c:x val="-4.482757265404725E-2"/>
                  <c:y val="3.4000026203047352E-2"/>
                </c:manualLayout>
              </c:layout>
              <c:spPr/>
              <c:txPr>
                <a:bodyPr/>
                <a:lstStyle/>
                <a:p>
                  <a:pPr>
                    <a:defRPr sz="1064" b="1" i="0" u="none" strike="noStrike" baseline="0">
                      <a:solidFill>
                        <a:srgbClr val="00808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5B4-4E5F-9CB3-5A0AAF8727A6}"/>
                </c:ext>
              </c:extLst>
            </c:dLbl>
            <c:dLbl>
              <c:idx val="2"/>
              <c:layout>
                <c:manualLayout>
                  <c:x val="-1.6076921202459755E-2"/>
                  <c:y val="4.3575667850170977E-4"/>
                </c:manualLayout>
              </c:layout>
              <c:spPr>
                <a:noFill/>
                <a:ln w="27060">
                  <a:noFill/>
                </a:ln>
              </c:spPr>
              <c:txPr>
                <a:bodyPr/>
                <a:lstStyle/>
                <a:p>
                  <a:pPr>
                    <a:defRPr sz="1064" b="1" i="0" u="none" strike="noStrike" baseline="0">
                      <a:solidFill>
                        <a:srgbClr val="008080"/>
                      </a:solidFill>
                      <a:latin typeface="GHEA Grapalat"/>
                      <a:ea typeface="GHEA Grapalat"/>
                      <a:cs typeface="GHEA Grapalat"/>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5B4-4E5F-9CB3-5A0AAF8727A6}"/>
                </c:ext>
              </c:extLst>
            </c:dLbl>
            <c:spPr>
              <a:noFill/>
              <a:ln w="27060">
                <a:noFill/>
              </a:ln>
            </c:spPr>
            <c:txPr>
              <a:bodyPr wrap="square" lIns="38100" tIns="19050" rIns="38100" bIns="19050" anchor="ctr">
                <a:spAutoFit/>
              </a:bodyPr>
              <a:lstStyle/>
              <a:p>
                <a:pPr>
                  <a:defRPr sz="1064" b="1" i="0" u="none" strike="noStrike" baseline="0">
                    <a:solidFill>
                      <a:srgbClr val="008080"/>
                    </a:solidFill>
                    <a:latin typeface="GHEA Grapalat"/>
                    <a:ea typeface="GHEA Grapalat"/>
                    <a:cs typeface="GHEA Grapala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Sheet1!$B$1:$D$1</c:f>
              <c:strCache>
                <c:ptCount val="3"/>
                <c:pt idx="0">
                  <c:v>2021</c:v>
                </c:pt>
                <c:pt idx="1">
                  <c:v>2022</c:v>
                </c:pt>
                <c:pt idx="2">
                  <c:v>2023</c:v>
                </c:pt>
              </c:strCache>
            </c:strRef>
          </c:cat>
          <c:val>
            <c:numRef>
              <c:f>Sheet1!$B$6:$D$6</c:f>
              <c:numCache>
                <c:formatCode>0.0%</c:formatCode>
                <c:ptCount val="3"/>
                <c:pt idx="0">
                  <c:v>0.6021126570178883</c:v>
                </c:pt>
                <c:pt idx="1">
                  <c:v>0.46694304293652622</c:v>
                </c:pt>
                <c:pt idx="2">
                  <c:v>0.48111673680460676</c:v>
                </c:pt>
              </c:numCache>
            </c:numRef>
          </c:val>
          <c:smooth val="0"/>
          <c:extLst>
            <c:ext xmlns:c16="http://schemas.microsoft.com/office/drawing/2014/chart" uri="{C3380CC4-5D6E-409C-BE32-E72D297353CC}">
              <c16:uniqueId val="{0000001B-85B4-4E5F-9CB3-5A0AAF8727A6}"/>
            </c:ext>
          </c:extLst>
        </c:ser>
        <c:dLbls>
          <c:showLegendKey val="0"/>
          <c:showVal val="0"/>
          <c:showCatName val="0"/>
          <c:showSerName val="0"/>
          <c:showPercent val="0"/>
          <c:showBubbleSize val="0"/>
        </c:dLbls>
        <c:marker val="1"/>
        <c:smooth val="0"/>
        <c:axId val="3"/>
        <c:axId val="4"/>
      </c:lineChart>
      <c:catAx>
        <c:axId val="183434296"/>
        <c:scaling>
          <c:orientation val="minMax"/>
        </c:scaling>
        <c:delete val="0"/>
        <c:axPos val="b"/>
        <c:numFmt formatCode="General" sourceLinked="0"/>
        <c:majorTickMark val="out"/>
        <c:minorTickMark val="none"/>
        <c:tickLblPos val="nextTo"/>
        <c:txPr>
          <a:bodyPr rot="0" vert="horz"/>
          <a:lstStyle/>
          <a:p>
            <a:pPr>
              <a:defRPr sz="1000" b="1" i="0" u="none" strike="noStrike" baseline="0">
                <a:solidFill>
                  <a:srgbClr val="333399"/>
                </a:solidFill>
                <a:latin typeface="GHEA Grapalat"/>
                <a:ea typeface="GHEA Grapalat"/>
                <a:cs typeface="GHEA Grapalat"/>
              </a:defRPr>
            </a:pPr>
            <a:endParaRPr lang="en-US"/>
          </a:p>
        </c:txPr>
        <c:crossAx val="1"/>
        <c:crosses val="autoZero"/>
        <c:auto val="1"/>
        <c:lblAlgn val="ctr"/>
        <c:lblOffset val="100"/>
        <c:noMultiLvlLbl val="0"/>
      </c:catAx>
      <c:valAx>
        <c:axId val="1"/>
        <c:scaling>
          <c:orientation val="minMax"/>
          <c:max val="5000"/>
        </c:scaling>
        <c:delete val="0"/>
        <c:axPos val="l"/>
        <c:majorGridlines/>
        <c:numFmt formatCode="_(* #,##0.0_);_(* \(#,##0.0\);_(* &quot;-&quot;??_);_(@_)" sourceLinked="1"/>
        <c:majorTickMark val="out"/>
        <c:minorTickMark val="none"/>
        <c:tickLblPos val="nextTo"/>
        <c:txPr>
          <a:bodyPr rot="0" vert="horz"/>
          <a:lstStyle/>
          <a:p>
            <a:pPr>
              <a:defRPr sz="1000" b="1" i="0" u="none" strike="noStrike" baseline="0">
                <a:solidFill>
                  <a:srgbClr val="333399"/>
                </a:solidFill>
                <a:latin typeface="GHEA Grapalat"/>
                <a:ea typeface="GHEA Grapalat"/>
                <a:cs typeface="GHEA Grapalat"/>
              </a:defRPr>
            </a:pPr>
            <a:endParaRPr lang="en-US"/>
          </a:p>
        </c:txPr>
        <c:crossAx val="183434296"/>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max val="0.65000000000000013"/>
          <c:min val="0"/>
        </c:scaling>
        <c:delete val="0"/>
        <c:axPos val="r"/>
        <c:numFmt formatCode="0.0%" sourceLinked="1"/>
        <c:majorTickMark val="out"/>
        <c:minorTickMark val="none"/>
        <c:tickLblPos val="nextTo"/>
        <c:txPr>
          <a:bodyPr rot="0" vert="horz"/>
          <a:lstStyle/>
          <a:p>
            <a:pPr>
              <a:defRPr sz="1000" b="1" i="0" u="none" strike="noStrike" baseline="0">
                <a:solidFill>
                  <a:srgbClr val="333399"/>
                </a:solidFill>
                <a:latin typeface="GHEA Grapalat"/>
                <a:ea typeface="GHEA Grapalat"/>
                <a:cs typeface="GHEA Grapalat"/>
              </a:defRPr>
            </a:pPr>
            <a:endParaRPr lang="en-US"/>
          </a:p>
        </c:txPr>
        <c:crossAx val="3"/>
        <c:crosses val="max"/>
        <c:crossBetween val="between"/>
      </c:valAx>
      <c:spPr>
        <a:ln w="40590"/>
      </c:spPr>
    </c:plotArea>
    <c:legend>
      <c:legendPos val="b"/>
      <c:layout>
        <c:manualLayout>
          <c:xMode val="edge"/>
          <c:yMode val="edge"/>
          <c:x val="5.4860037472484885E-3"/>
          <c:y val="0.84842392143437317"/>
          <c:w val="0.9945139962527515"/>
          <c:h val="0.12979197293432954"/>
        </c:manualLayout>
      </c:layout>
      <c:overlay val="0"/>
      <c:txPr>
        <a:bodyPr/>
        <a:lstStyle/>
        <a:p>
          <a:pPr>
            <a:defRPr sz="900" b="0" i="0" u="none" strike="noStrike" baseline="0">
              <a:solidFill>
                <a:srgbClr val="000000"/>
              </a:solidFill>
              <a:latin typeface="GHEA Grapalat" panose="02000506050000020003" pitchFamily="50" charset="0"/>
              <a:ea typeface="Calibri"/>
              <a:cs typeface="Calibri"/>
            </a:defRPr>
          </a:pPr>
          <a:endParaRPr lang="en-US"/>
        </a:p>
      </c:txPr>
    </c:legend>
    <c:plotVisOnly val="1"/>
    <c:dispBlanksAs val="gap"/>
    <c:showDLblsOverMax val="0"/>
  </c:chart>
  <c:txPr>
    <a:bodyPr/>
    <a:lstStyle/>
    <a:p>
      <a:pPr>
        <a:defRPr sz="1064" b="0" i="0" u="none" strike="noStrike" baseline="0">
          <a:solidFill>
            <a:srgbClr val="000000"/>
          </a:solidFill>
          <a:latin typeface="Calibri"/>
          <a:ea typeface="Calibri"/>
          <a:cs typeface="Calibri"/>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13891556238397"/>
          <c:y val="6.0392115415103316E-2"/>
          <c:w val="0.8351456372831445"/>
          <c:h val="0.651929731380542"/>
        </c:manualLayout>
      </c:layout>
      <c:barChart>
        <c:barDir val="col"/>
        <c:grouping val="stacked"/>
        <c:varyColors val="0"/>
        <c:ser>
          <c:idx val="1"/>
          <c:order val="1"/>
          <c:tx>
            <c:strRef>
              <c:f>Sheet1!$C$1</c:f>
              <c:strCache>
                <c:ptCount val="1"/>
                <c:pt idx="0">
                  <c:v>Զուտ անուղղակի հարկ</c:v>
                </c:pt>
              </c:strCache>
            </c:strRef>
          </c:tx>
          <c:spPr>
            <a:solidFill>
              <a:srgbClr val="4F81BD">
                <a:lumMod val="60000"/>
                <a:lumOff val="40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0.75220953537745217</c:v>
                </c:pt>
                <c:pt idx="1">
                  <c:v>-1.1331304573717087</c:v>
                </c:pt>
                <c:pt idx="2">
                  <c:v>0.80838605655436369</c:v>
                </c:pt>
                <c:pt idx="3">
                  <c:v>0.88702435749737785</c:v>
                </c:pt>
                <c:pt idx="4">
                  <c:v>1.1399568931623274</c:v>
                </c:pt>
              </c:numCache>
            </c:numRef>
          </c:val>
          <c:extLst>
            <c:ext xmlns:c16="http://schemas.microsoft.com/office/drawing/2014/chart" uri="{C3380CC4-5D6E-409C-BE32-E72D297353CC}">
              <c16:uniqueId val="{00000000-30BE-452A-8E7A-BB2B38E97269}"/>
            </c:ext>
          </c:extLst>
        </c:ser>
        <c:ser>
          <c:idx val="2"/>
          <c:order val="2"/>
          <c:tx>
            <c:strRef>
              <c:f>Sheet1!$D$1</c:f>
              <c:strCache>
                <c:ptCount val="1"/>
                <c:pt idx="0">
                  <c:v>Արդյունաբերություն</c:v>
                </c:pt>
              </c:strCache>
            </c:strRef>
          </c:tx>
          <c:spPr>
            <a:solidFill>
              <a:srgbClr val="4F81BD">
                <a:lumMod val="75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Sheet1!$D$2:$D$7</c:f>
              <c:numCache>
                <c:formatCode>0.0</c:formatCode>
                <c:ptCount val="5"/>
                <c:pt idx="0">
                  <c:v>2.1622213883023029</c:v>
                </c:pt>
                <c:pt idx="1">
                  <c:v>-0.25988576634384081</c:v>
                </c:pt>
                <c:pt idx="2">
                  <c:v>0.48378819255706407</c:v>
                </c:pt>
                <c:pt idx="3">
                  <c:v>1.1959561777232366</c:v>
                </c:pt>
                <c:pt idx="4">
                  <c:v>0.32046823151220516</c:v>
                </c:pt>
              </c:numCache>
            </c:numRef>
          </c:val>
          <c:extLst>
            <c:ext xmlns:c16="http://schemas.microsoft.com/office/drawing/2014/chart" uri="{C3380CC4-5D6E-409C-BE32-E72D297353CC}">
              <c16:uniqueId val="{00000001-30BE-452A-8E7A-BB2B38E97269}"/>
            </c:ext>
          </c:extLst>
        </c:ser>
        <c:ser>
          <c:idx val="3"/>
          <c:order val="3"/>
          <c:tx>
            <c:strRef>
              <c:f>Sheet1!$E$1</c:f>
              <c:strCache>
                <c:ptCount val="1"/>
                <c:pt idx="0">
                  <c:v>Գյուղատնտեսություն</c:v>
                </c:pt>
              </c:strCache>
            </c:strRef>
          </c:tx>
          <c:spPr>
            <a:solidFill>
              <a:srgbClr val="1F497D">
                <a:lumMod val="60000"/>
                <a:lumOff val="40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Sheet1!$E$2:$E$7</c:f>
              <c:numCache>
                <c:formatCode>0.0</c:formatCode>
                <c:ptCount val="5"/>
                <c:pt idx="0">
                  <c:v>-0.80644026167682636</c:v>
                </c:pt>
                <c:pt idx="1">
                  <c:v>-0.42852119183058857</c:v>
                </c:pt>
                <c:pt idx="2">
                  <c:v>-9.0982724281260238E-2</c:v>
                </c:pt>
                <c:pt idx="3">
                  <c:v>-7.9236935329144192E-2</c:v>
                </c:pt>
                <c:pt idx="4">
                  <c:v>1.9546110771577321E-2</c:v>
                </c:pt>
              </c:numCache>
            </c:numRef>
          </c:val>
          <c:extLst>
            <c:ext xmlns:c16="http://schemas.microsoft.com/office/drawing/2014/chart" uri="{C3380CC4-5D6E-409C-BE32-E72D297353CC}">
              <c16:uniqueId val="{00000002-30BE-452A-8E7A-BB2B38E97269}"/>
            </c:ext>
          </c:extLst>
        </c:ser>
        <c:ser>
          <c:idx val="4"/>
          <c:order val="4"/>
          <c:tx>
            <c:strRef>
              <c:f>Sheet1!$F$1</c:f>
              <c:strCache>
                <c:ptCount val="1"/>
                <c:pt idx="0">
                  <c:v>Շինարարություն</c:v>
                </c:pt>
              </c:strCache>
            </c:strRef>
          </c:tx>
          <c:spPr>
            <a:solidFill>
              <a:sysClr val="window" lastClr="FFFFFF">
                <a:lumMod val="75000"/>
              </a:sys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Sheet1!$F$2:$F$7</c:f>
              <c:numCache>
                <c:formatCode>0.0</c:formatCode>
                <c:ptCount val="5"/>
                <c:pt idx="0">
                  <c:v>0.4280740569780111</c:v>
                </c:pt>
                <c:pt idx="1">
                  <c:v>-0.37642104931984077</c:v>
                </c:pt>
                <c:pt idx="2">
                  <c:v>0.21459326801865192</c:v>
                </c:pt>
                <c:pt idx="3">
                  <c:v>1.2213888436739189</c:v>
                </c:pt>
                <c:pt idx="4">
                  <c:v>1.0713331883773984</c:v>
                </c:pt>
              </c:numCache>
            </c:numRef>
          </c:val>
          <c:extLst>
            <c:ext xmlns:c16="http://schemas.microsoft.com/office/drawing/2014/chart" uri="{C3380CC4-5D6E-409C-BE32-E72D297353CC}">
              <c16:uniqueId val="{00000003-30BE-452A-8E7A-BB2B38E97269}"/>
            </c:ext>
          </c:extLst>
        </c:ser>
        <c:ser>
          <c:idx val="5"/>
          <c:order val="5"/>
          <c:tx>
            <c:strRef>
              <c:f>Sheet1!$G$1</c:f>
              <c:strCache>
                <c:ptCount val="1"/>
                <c:pt idx="0">
                  <c:v>Ծառայություններ</c:v>
                </c:pt>
              </c:strCache>
            </c:strRef>
          </c:tx>
          <c:spPr>
            <a:solidFill>
              <a:srgbClr val="F79646">
                <a:lumMod val="60000"/>
                <a:lumOff val="40000"/>
              </a:srgbClr>
            </a:solidFill>
            <a:ln>
              <a:noFill/>
            </a:ln>
            <a:effectLst/>
          </c:spPr>
          <c:invertIfNegative val="0"/>
          <c:cat>
            <c:numRef>
              <c:f>Sheet1!$A$2:$A$7</c:f>
              <c:numCache>
                <c:formatCode>General</c:formatCode>
                <c:ptCount val="5"/>
                <c:pt idx="0">
                  <c:v>2019</c:v>
                </c:pt>
                <c:pt idx="1">
                  <c:v>2020</c:v>
                </c:pt>
                <c:pt idx="2">
                  <c:v>2021</c:v>
                </c:pt>
                <c:pt idx="3">
                  <c:v>2022</c:v>
                </c:pt>
                <c:pt idx="4">
                  <c:v>2023</c:v>
                </c:pt>
              </c:numCache>
            </c:numRef>
          </c:cat>
          <c:val>
            <c:numRef>
              <c:f>Sheet1!$G$2:$G$7</c:f>
              <c:numCache>
                <c:formatCode>0.0</c:formatCode>
                <c:ptCount val="5"/>
                <c:pt idx="0">
                  <c:v>5.0639352810190541</c:v>
                </c:pt>
                <c:pt idx="1">
                  <c:v>-5.0020415351340226</c:v>
                </c:pt>
                <c:pt idx="2">
                  <c:v>4.3842152071511782</c:v>
                </c:pt>
                <c:pt idx="3">
                  <c:v>9.3748675564346087</c:v>
                </c:pt>
                <c:pt idx="4">
                  <c:v>6.1336206103074895</c:v>
                </c:pt>
              </c:numCache>
            </c:numRef>
          </c:val>
          <c:extLst>
            <c:ext xmlns:c16="http://schemas.microsoft.com/office/drawing/2014/chart" uri="{C3380CC4-5D6E-409C-BE32-E72D297353CC}">
              <c16:uniqueId val="{00000004-30BE-452A-8E7A-BB2B38E97269}"/>
            </c:ext>
          </c:extLst>
        </c:ser>
        <c:dLbls>
          <c:showLegendKey val="0"/>
          <c:showVal val="0"/>
          <c:showCatName val="0"/>
          <c:showSerName val="0"/>
          <c:showPercent val="0"/>
          <c:showBubbleSize val="0"/>
        </c:dLbls>
        <c:gapWidth val="219"/>
        <c:overlap val="100"/>
        <c:axId val="310229504"/>
        <c:axId val="387355136"/>
      </c:barChart>
      <c:lineChart>
        <c:grouping val="standard"/>
        <c:varyColors val="0"/>
        <c:ser>
          <c:idx val="0"/>
          <c:order val="0"/>
          <c:tx>
            <c:strRef>
              <c:f>Sheet1!$B$1</c:f>
              <c:strCache>
                <c:ptCount val="1"/>
                <c:pt idx="0">
                  <c:v>ՀՆԱ</c:v>
                </c:pt>
              </c:strCache>
            </c:strRef>
          </c:tx>
          <c:spPr>
            <a:ln w="28575" cap="rnd">
              <a:solidFill>
                <a:srgbClr val="4F81BD"/>
              </a:solidFill>
              <a:round/>
            </a:ln>
            <a:effectLst/>
          </c:spPr>
          <c:marker>
            <c:symbol val="none"/>
          </c:marker>
          <c:dLbls>
            <c:dLbl>
              <c:idx val="0"/>
              <c:layout>
                <c:manualLayout>
                  <c:x val="-5.6910569105691054E-2"/>
                  <c:y val="5.3962900505902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BE-452A-8E7A-BB2B38E97269}"/>
                </c:ext>
              </c:extLst>
            </c:dLbl>
            <c:dLbl>
              <c:idx val="1"/>
              <c:layout>
                <c:manualLayout>
                  <c:x val="-5.6910569105691054E-2"/>
                  <c:y val="-3.3726812816188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BE-452A-8E7A-BB2B38E97269}"/>
                </c:ext>
              </c:extLst>
            </c:dLbl>
            <c:dLbl>
              <c:idx val="2"/>
              <c:layout>
                <c:manualLayout>
                  <c:x val="-0.10156968183855074"/>
                  <c:y val="-4.75787069617984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BE-452A-8E7A-BB2B38E97269}"/>
                </c:ext>
              </c:extLst>
            </c:dLbl>
            <c:dLbl>
              <c:idx val="3"/>
              <c:layout>
                <c:manualLayout>
                  <c:x val="-9.6883362140708015E-2"/>
                  <c:y val="-2.6185285018124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BE-452A-8E7A-BB2B38E97269}"/>
                </c:ext>
              </c:extLst>
            </c:dLbl>
            <c:dLbl>
              <c:idx val="4"/>
              <c:layout>
                <c:manualLayout>
                  <c:x val="-6.0975609756097712E-2"/>
                  <c:y val="6.07082630691399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BE-452A-8E7A-BB2B38E97269}"/>
                </c:ext>
              </c:extLst>
            </c:dLbl>
            <c:dLbl>
              <c:idx val="5"/>
              <c:layout>
                <c:manualLayout>
                  <c:x val="-2.4390243902439174E-2"/>
                  <c:y val="-2.69814502529511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0BE-452A-8E7A-BB2B38E97269}"/>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GHEA Grapalat" panose="02000506050000020003"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5"/>
                <c:pt idx="0">
                  <c:v>2019</c:v>
                </c:pt>
                <c:pt idx="1">
                  <c:v>2020</c:v>
                </c:pt>
                <c:pt idx="2">
                  <c:v>2021</c:v>
                </c:pt>
                <c:pt idx="3">
                  <c:v>2022</c:v>
                </c:pt>
                <c:pt idx="4">
                  <c:v>2023</c:v>
                </c:pt>
              </c:numCache>
            </c:numRef>
          </c:cat>
          <c:val>
            <c:numRef>
              <c:f>Sheet1!$B$2:$B$7</c:f>
              <c:numCache>
                <c:formatCode>0.0</c:formatCode>
                <c:ptCount val="5"/>
                <c:pt idx="0">
                  <c:v>7.5999999999999943</c:v>
                </c:pt>
                <c:pt idx="1">
                  <c:v>-7.200000000000002</c:v>
                </c:pt>
                <c:pt idx="2">
                  <c:v>5.799999999999998</c:v>
                </c:pt>
                <c:pt idx="3">
                  <c:v>12.599999999999996</c:v>
                </c:pt>
                <c:pt idx="4">
                  <c:v>8.6849250341309983</c:v>
                </c:pt>
              </c:numCache>
            </c:numRef>
          </c:val>
          <c:smooth val="0"/>
          <c:extLst>
            <c:ext xmlns:c16="http://schemas.microsoft.com/office/drawing/2014/chart" uri="{C3380CC4-5D6E-409C-BE32-E72D297353CC}">
              <c16:uniqueId val="{0000000B-30BE-452A-8E7A-BB2B38E97269}"/>
            </c:ext>
          </c:extLst>
        </c:ser>
        <c:dLbls>
          <c:showLegendKey val="0"/>
          <c:showVal val="0"/>
          <c:showCatName val="0"/>
          <c:showSerName val="0"/>
          <c:showPercent val="0"/>
          <c:showBubbleSize val="0"/>
        </c:dLbls>
        <c:marker val="1"/>
        <c:smooth val="0"/>
        <c:axId val="310229504"/>
        <c:axId val="387355136"/>
      </c:lineChart>
      <c:catAx>
        <c:axId val="3102295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87355136"/>
        <c:crosses val="autoZero"/>
        <c:auto val="1"/>
        <c:lblAlgn val="ctr"/>
        <c:lblOffset val="10"/>
        <c:noMultiLvlLbl val="0"/>
      </c:catAx>
      <c:valAx>
        <c:axId val="387355136"/>
        <c:scaling>
          <c:orientation val="minMax"/>
          <c:max val="13"/>
          <c:min val="-8"/>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10229504"/>
        <c:crosses val="autoZero"/>
        <c:crossBetween val="between"/>
        <c:majorUnit val="4"/>
      </c:valAx>
      <c:spPr>
        <a:solidFill>
          <a:schemeClr val="bg1"/>
        </a:solidFill>
        <a:ln>
          <a:noFill/>
        </a:ln>
        <a:effectLst/>
      </c:spPr>
    </c:plotArea>
    <c:legend>
      <c:legendPos val="b"/>
      <c:layout>
        <c:manualLayout>
          <c:xMode val="edge"/>
          <c:yMode val="edge"/>
          <c:x val="4.3963254593175856E-2"/>
          <c:y val="0.83203834765173745"/>
          <c:w val="0.95603674540682415"/>
          <c:h val="0.16796165234826255"/>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13891556238397"/>
          <c:y val="6.0392115415103316E-2"/>
          <c:w val="0.8351456372831445"/>
          <c:h val="0.66542045650701753"/>
        </c:manualLayout>
      </c:layout>
      <c:barChart>
        <c:barDir val="col"/>
        <c:grouping val="stacked"/>
        <c:varyColors val="0"/>
        <c:ser>
          <c:idx val="1"/>
          <c:order val="0"/>
          <c:tx>
            <c:strRef>
              <c:f>Sheet1!$C$1</c:f>
              <c:strCache>
                <c:ptCount val="1"/>
                <c:pt idx="0">
                  <c:v>Արդյունաբերություն</c:v>
                </c:pt>
              </c:strCache>
            </c:strRef>
          </c:tx>
          <c:spPr>
            <a:solidFill>
              <a:srgbClr val="4F81BD">
                <a:lumMod val="75000"/>
              </a:srgbClr>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Sheet1!$C$2:$C$7</c:f>
              <c:numCache>
                <c:formatCode>0.0</c:formatCode>
                <c:ptCount val="5"/>
                <c:pt idx="0">
                  <c:v>18.622463287683637</c:v>
                </c:pt>
                <c:pt idx="1">
                  <c:v>19.908953272735165</c:v>
                </c:pt>
                <c:pt idx="2">
                  <c:v>19.85382458807544</c:v>
                </c:pt>
                <c:pt idx="3">
                  <c:v>18.475972675438168</c:v>
                </c:pt>
                <c:pt idx="4">
                  <c:v>17.056517553718447</c:v>
                </c:pt>
              </c:numCache>
            </c:numRef>
          </c:val>
          <c:extLst>
            <c:ext xmlns:c16="http://schemas.microsoft.com/office/drawing/2014/chart" uri="{C3380CC4-5D6E-409C-BE32-E72D297353CC}">
              <c16:uniqueId val="{00000000-A0FB-4F3A-AFD0-5CA4A767C213}"/>
            </c:ext>
          </c:extLst>
        </c:ser>
        <c:ser>
          <c:idx val="2"/>
          <c:order val="1"/>
          <c:tx>
            <c:strRef>
              <c:f>Sheet1!$D$1</c:f>
              <c:strCache>
                <c:ptCount val="1"/>
                <c:pt idx="0">
                  <c:v>Գյուղատնտեսություն</c:v>
                </c:pt>
              </c:strCache>
            </c:strRef>
          </c:tx>
          <c:spPr>
            <a:solidFill>
              <a:srgbClr val="1F497D">
                <a:lumMod val="60000"/>
                <a:lumOff val="40000"/>
              </a:srgbClr>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Sheet1!$D$2:$D$7</c:f>
              <c:numCache>
                <c:formatCode>0.0</c:formatCode>
                <c:ptCount val="5"/>
                <c:pt idx="0">
                  <c:v>11.525610737958816</c:v>
                </c:pt>
                <c:pt idx="1">
                  <c:v>11.349805155454892</c:v>
                </c:pt>
                <c:pt idx="2">
                  <c:v>11.3435484176857</c:v>
                </c:pt>
                <c:pt idx="3">
                  <c:v>10.373136395612246</c:v>
                </c:pt>
                <c:pt idx="4">
                  <c:v>8.3955896857367591</c:v>
                </c:pt>
              </c:numCache>
            </c:numRef>
          </c:val>
          <c:extLst>
            <c:ext xmlns:c16="http://schemas.microsoft.com/office/drawing/2014/chart" uri="{C3380CC4-5D6E-409C-BE32-E72D297353CC}">
              <c16:uniqueId val="{00000001-A0FB-4F3A-AFD0-5CA4A767C213}"/>
            </c:ext>
          </c:extLst>
        </c:ser>
        <c:ser>
          <c:idx val="3"/>
          <c:order val="2"/>
          <c:tx>
            <c:strRef>
              <c:f>Sheet1!$E$1</c:f>
              <c:strCache>
                <c:ptCount val="1"/>
                <c:pt idx="0">
                  <c:v>Շինարարություն</c:v>
                </c:pt>
              </c:strCache>
            </c:strRef>
          </c:tx>
          <c:spPr>
            <a:solidFill>
              <a:sysClr val="window" lastClr="FFFFFF">
                <a:lumMod val="65000"/>
              </a:sysClr>
            </a:solidFill>
            <a:ln>
              <a:noFill/>
            </a:ln>
            <a:effectLst/>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Sheet1!$E$2:$E$7</c:f>
              <c:numCache>
                <c:formatCode>0.0</c:formatCode>
                <c:ptCount val="5"/>
                <c:pt idx="0">
                  <c:v>6.3491451696598507</c:v>
                </c:pt>
                <c:pt idx="1">
                  <c:v>6.9083424251944709</c:v>
                </c:pt>
                <c:pt idx="2">
                  <c:v>6.5105158233146376</c:v>
                </c:pt>
                <c:pt idx="3">
                  <c:v>6.80568828640763</c:v>
                </c:pt>
                <c:pt idx="4">
                  <c:v>6.8768717814808404</c:v>
                </c:pt>
              </c:numCache>
            </c:numRef>
          </c:val>
          <c:extLst>
            <c:ext xmlns:c16="http://schemas.microsoft.com/office/drawing/2014/chart" uri="{C3380CC4-5D6E-409C-BE32-E72D297353CC}">
              <c16:uniqueId val="{00000002-A0FB-4F3A-AFD0-5CA4A767C213}"/>
            </c:ext>
          </c:extLst>
        </c:ser>
        <c:ser>
          <c:idx val="4"/>
          <c:order val="3"/>
          <c:tx>
            <c:strRef>
              <c:f>Sheet1!$F$1</c:f>
              <c:strCache>
                <c:ptCount val="1"/>
                <c:pt idx="0">
                  <c:v>Ծառայություններ</c:v>
                </c:pt>
              </c:strCache>
            </c:strRef>
          </c:tx>
          <c:spPr>
            <a:solidFill>
              <a:srgbClr val="F79646">
                <a:lumMod val="60000"/>
                <a:lumOff val="40000"/>
              </a:srgbClr>
            </a:solidFill>
            <a:ln>
              <a:noFill/>
            </a:ln>
            <a:effectLst/>
          </c:spPr>
          <c:invertIfNegative val="0"/>
          <c:dLbls>
            <c:spPr>
              <a:noFill/>
              <a:ln>
                <a:noFill/>
              </a:ln>
              <a:effectLst/>
            </c:spPr>
            <c:txPr>
              <a:bodyPr wrap="square" lIns="38100" tIns="19050" rIns="38100" bIns="19050" anchor="ctr">
                <a:spAutoFit/>
              </a:bodyPr>
              <a:lstStyle/>
              <a:p>
                <a:pPr>
                  <a:defRPr sz="700">
                    <a:latin typeface="GHEA Grapalat" panose="02000506050000020003" pitchFamily="50"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Sheet1!$F$2:$F$7</c:f>
              <c:numCache>
                <c:formatCode>0.0</c:formatCode>
                <c:ptCount val="5"/>
                <c:pt idx="0">
                  <c:v>52.112404130880449</c:v>
                </c:pt>
                <c:pt idx="1">
                  <c:v>50.930889787878577</c:v>
                </c:pt>
                <c:pt idx="2">
                  <c:v>51.317988108832637</c:v>
                </c:pt>
                <c:pt idx="3">
                  <c:v>53.95999652058763</c:v>
                </c:pt>
                <c:pt idx="4">
                  <c:v>56.955810798327974</c:v>
                </c:pt>
              </c:numCache>
            </c:numRef>
          </c:val>
          <c:extLst>
            <c:ext xmlns:c16="http://schemas.microsoft.com/office/drawing/2014/chart" uri="{C3380CC4-5D6E-409C-BE32-E72D297353CC}">
              <c16:uniqueId val="{00000003-A0FB-4F3A-AFD0-5CA4A767C213}"/>
            </c:ext>
          </c:extLst>
        </c:ser>
        <c:ser>
          <c:idx val="0"/>
          <c:order val="4"/>
          <c:tx>
            <c:strRef>
              <c:f>Sheet1!$B$1</c:f>
              <c:strCache>
                <c:ptCount val="1"/>
                <c:pt idx="0">
                  <c:v>Զուտ անուղղակի հարկ</c:v>
                </c:pt>
              </c:strCache>
            </c:strRef>
          </c:tx>
          <c:spPr>
            <a:solidFill>
              <a:srgbClr val="4F81BD">
                <a:lumMod val="60000"/>
                <a:lumOff val="40000"/>
              </a:srgb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Sheet1!$A$2:$A$7</c:f>
              <c:numCache>
                <c:formatCode>General</c:formatCode>
                <c:ptCount val="5"/>
                <c:pt idx="0">
                  <c:v>2019</c:v>
                </c:pt>
                <c:pt idx="1">
                  <c:v>2020</c:v>
                </c:pt>
                <c:pt idx="2">
                  <c:v>2021</c:v>
                </c:pt>
                <c:pt idx="3">
                  <c:v>2022</c:v>
                </c:pt>
                <c:pt idx="4">
                  <c:v>2023</c:v>
                </c:pt>
              </c:numCache>
            </c:numRef>
          </c:cat>
          <c:val>
            <c:numRef>
              <c:f>Sheet1!$B$2:$B$7</c:f>
              <c:numCache>
                <c:formatCode>0.0</c:formatCode>
                <c:ptCount val="5"/>
                <c:pt idx="0">
                  <c:v>11.390376673817265</c:v>
                </c:pt>
                <c:pt idx="1">
                  <c:v>10.902009358736905</c:v>
                </c:pt>
                <c:pt idx="2">
                  <c:v>10.974123062091591</c:v>
                </c:pt>
                <c:pt idx="3">
                  <c:v>10.385206121954345</c:v>
                </c:pt>
                <c:pt idx="4">
                  <c:v>10.71521018073598</c:v>
                </c:pt>
              </c:numCache>
            </c:numRef>
          </c:val>
          <c:extLst>
            <c:ext xmlns:c16="http://schemas.microsoft.com/office/drawing/2014/chart" uri="{C3380CC4-5D6E-409C-BE32-E72D297353CC}">
              <c16:uniqueId val="{00000004-A0FB-4F3A-AFD0-5CA4A767C213}"/>
            </c:ext>
          </c:extLst>
        </c:ser>
        <c:dLbls>
          <c:dLblPos val="ctr"/>
          <c:showLegendKey val="0"/>
          <c:showVal val="1"/>
          <c:showCatName val="0"/>
          <c:showSerName val="0"/>
          <c:showPercent val="0"/>
          <c:showBubbleSize val="0"/>
        </c:dLbls>
        <c:gapWidth val="100"/>
        <c:overlap val="100"/>
        <c:axId val="389328896"/>
        <c:axId val="387355712"/>
      </c:barChart>
      <c:catAx>
        <c:axId val="38932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87355712"/>
        <c:crosses val="autoZero"/>
        <c:auto val="1"/>
        <c:lblAlgn val="ctr"/>
        <c:lblOffset val="10"/>
        <c:noMultiLvlLbl val="0"/>
      </c:catAx>
      <c:valAx>
        <c:axId val="387355712"/>
        <c:scaling>
          <c:orientation val="minMax"/>
          <c:max val="110"/>
          <c:min val="0"/>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GHEA Grapalat" panose="02000506050000020003" pitchFamily="50" charset="0"/>
                <a:ea typeface="+mn-ea"/>
                <a:cs typeface="+mn-cs"/>
              </a:defRPr>
            </a:pPr>
            <a:endParaRPr lang="en-US"/>
          </a:p>
        </c:txPr>
        <c:crossAx val="389328896"/>
        <c:crosses val="autoZero"/>
        <c:crossBetween val="between"/>
        <c:majorUnit val="20"/>
      </c:valAx>
      <c:spPr>
        <a:solidFill>
          <a:schemeClr val="bg1"/>
        </a:solidFill>
        <a:ln>
          <a:noFill/>
        </a:ln>
        <a:effectLst/>
      </c:spPr>
    </c:plotArea>
    <c:legend>
      <c:legendPos val="b"/>
      <c:layout>
        <c:manualLayout>
          <c:xMode val="edge"/>
          <c:yMode val="edge"/>
          <c:x val="7.241853914602138E-2"/>
          <c:y val="0.81854762252526192"/>
          <c:w val="0.87328692145189168"/>
          <c:h val="0.16491614770750621"/>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GHEA Grapalat" panose="02000506050000020003" pitchFamily="50" charset="0"/>
              <a:ea typeface="+mn-ea"/>
              <a:cs typeface="+mn-cs"/>
            </a:defRPr>
          </a:pPr>
          <a:endParaRPr lang="en-US"/>
        </a:p>
      </c:txPr>
    </c:legend>
    <c:plotVisOnly val="1"/>
    <c:dispBlanksAs val="gap"/>
    <c:showDLblsOverMax val="0"/>
  </c:chart>
  <c:spPr>
    <a:noFill/>
    <a:ln w="9525" cap="flat" cmpd="sng" algn="ctr">
      <a:solidFill>
        <a:schemeClr val="bg2"/>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45793248931685E-2"/>
          <c:y val="7.467724052393214E-2"/>
          <c:w val="0.87658476118247253"/>
          <c:h val="0.64441288514353379"/>
        </c:manualLayout>
      </c:layout>
      <c:barChart>
        <c:barDir val="col"/>
        <c:grouping val="clustered"/>
        <c:varyColors val="0"/>
        <c:ser>
          <c:idx val="1"/>
          <c:order val="1"/>
          <c:tx>
            <c:strRef>
              <c:f>Sheet1!$A$3</c:f>
              <c:strCache>
                <c:ptCount val="1"/>
                <c:pt idx="0">
                  <c:v>Արդյունաբերություն</c:v>
                </c:pt>
              </c:strCache>
            </c:strRef>
          </c:tx>
          <c:spPr>
            <a:solidFill>
              <a:srgbClr val="1F497D"/>
            </a:solidFill>
            <a:ln>
              <a:noFill/>
            </a:ln>
            <a:effectLst/>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Sheet1!$B$3:$M$3</c:f>
              <c:numCache>
                <c:formatCode>0.0</c:formatCode>
                <c:ptCount val="12"/>
                <c:pt idx="0">
                  <c:v>1.4000000000000057</c:v>
                </c:pt>
                <c:pt idx="1">
                  <c:v>1</c:v>
                </c:pt>
                <c:pt idx="2">
                  <c:v>3.5999999999999943</c:v>
                </c:pt>
                <c:pt idx="3">
                  <c:v>2.4000000000000057</c:v>
                </c:pt>
                <c:pt idx="4">
                  <c:v>3</c:v>
                </c:pt>
                <c:pt idx="5">
                  <c:v>1</c:v>
                </c:pt>
                <c:pt idx="6">
                  <c:v>0.5</c:v>
                </c:pt>
                <c:pt idx="7">
                  <c:v>-9.9999999999994316E-2</c:v>
                </c:pt>
                <c:pt idx="8">
                  <c:v>-0.59999999999999432</c:v>
                </c:pt>
                <c:pt idx="9">
                  <c:v>-0.5</c:v>
                </c:pt>
                <c:pt idx="10">
                  <c:v>2.0999999999999943</c:v>
                </c:pt>
                <c:pt idx="11">
                  <c:v>4.0999999999999943</c:v>
                </c:pt>
              </c:numCache>
            </c:numRef>
          </c:val>
          <c:extLst>
            <c:ext xmlns:c16="http://schemas.microsoft.com/office/drawing/2014/chart" uri="{C3380CC4-5D6E-409C-BE32-E72D297353CC}">
              <c16:uniqueId val="{00000000-9D18-43AB-B552-9060207D1081}"/>
            </c:ext>
          </c:extLst>
        </c:ser>
        <c:ser>
          <c:idx val="2"/>
          <c:order val="2"/>
          <c:tx>
            <c:strRef>
              <c:f>Sheet1!$A$4</c:f>
              <c:strCache>
                <c:ptCount val="1"/>
                <c:pt idx="0">
                  <c:v>Գյուղատնտեսություն</c:v>
                </c:pt>
              </c:strCache>
            </c:strRef>
          </c:tx>
          <c:spPr>
            <a:solidFill>
              <a:schemeClr val="accent3"/>
            </a:solidFill>
            <a:ln>
              <a:noFill/>
            </a:ln>
            <a:effectLst/>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Sheet1!$B$4:$M$4</c:f>
              <c:numCache>
                <c:formatCode>General</c:formatCode>
                <c:ptCount val="12"/>
                <c:pt idx="2" formatCode="0.0">
                  <c:v>0.79999999999999716</c:v>
                </c:pt>
                <c:pt idx="5" formatCode="0.0">
                  <c:v>1.5999999999999943</c:v>
                </c:pt>
                <c:pt idx="8" formatCode="0.0">
                  <c:v>1.5999999999999943</c:v>
                </c:pt>
                <c:pt idx="11" formatCode="0.0">
                  <c:v>0</c:v>
                </c:pt>
              </c:numCache>
            </c:numRef>
          </c:val>
          <c:extLst>
            <c:ext xmlns:c16="http://schemas.microsoft.com/office/drawing/2014/chart" uri="{C3380CC4-5D6E-409C-BE32-E72D297353CC}">
              <c16:uniqueId val="{00000001-9D18-43AB-B552-9060207D1081}"/>
            </c:ext>
          </c:extLst>
        </c:ser>
        <c:ser>
          <c:idx val="3"/>
          <c:order val="3"/>
          <c:tx>
            <c:strRef>
              <c:f>Sheet1!$A$5</c:f>
              <c:strCache>
                <c:ptCount val="1"/>
                <c:pt idx="0">
                  <c:v>Շինարարություն</c:v>
                </c:pt>
              </c:strCache>
            </c:strRef>
          </c:tx>
          <c:spPr>
            <a:solidFill>
              <a:schemeClr val="accent4"/>
            </a:solidFill>
            <a:ln>
              <a:noFill/>
            </a:ln>
            <a:effectLst/>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Sheet1!$B$5:$M$5</c:f>
              <c:numCache>
                <c:formatCode>0.0</c:formatCode>
                <c:ptCount val="12"/>
                <c:pt idx="0">
                  <c:v>12.200000000000003</c:v>
                </c:pt>
                <c:pt idx="1">
                  <c:v>13.900000000000006</c:v>
                </c:pt>
                <c:pt idx="2">
                  <c:v>16.599999999999994</c:v>
                </c:pt>
                <c:pt idx="3">
                  <c:v>19.299999999999997</c:v>
                </c:pt>
                <c:pt idx="4">
                  <c:v>16.700000000000003</c:v>
                </c:pt>
                <c:pt idx="5">
                  <c:v>17</c:v>
                </c:pt>
                <c:pt idx="6">
                  <c:v>17.200000000000003</c:v>
                </c:pt>
                <c:pt idx="7">
                  <c:v>17.299999999999997</c:v>
                </c:pt>
                <c:pt idx="8">
                  <c:v>17</c:v>
                </c:pt>
                <c:pt idx="9">
                  <c:v>16.400000000000006</c:v>
                </c:pt>
                <c:pt idx="10">
                  <c:v>15.599999999999994</c:v>
                </c:pt>
                <c:pt idx="11">
                  <c:v>14.799999999999997</c:v>
                </c:pt>
              </c:numCache>
            </c:numRef>
          </c:val>
          <c:extLst>
            <c:ext xmlns:c16="http://schemas.microsoft.com/office/drawing/2014/chart" uri="{C3380CC4-5D6E-409C-BE32-E72D297353CC}">
              <c16:uniqueId val="{00000002-9D18-43AB-B552-9060207D1081}"/>
            </c:ext>
          </c:extLst>
        </c:ser>
        <c:ser>
          <c:idx val="4"/>
          <c:order val="4"/>
          <c:tx>
            <c:strRef>
              <c:f>Sheet1!$A$6</c:f>
              <c:strCache>
                <c:ptCount val="1"/>
                <c:pt idx="0">
                  <c:v>Ծառայություններ</c:v>
                </c:pt>
              </c:strCache>
            </c:strRef>
          </c:tx>
          <c:spPr>
            <a:solidFill>
              <a:srgbClr val="4198AF"/>
            </a:solidFill>
            <a:ln>
              <a:noFill/>
            </a:ln>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Sheet1!$B$6:$M$6</c:f>
              <c:numCache>
                <c:formatCode>0.0</c:formatCode>
                <c:ptCount val="12"/>
                <c:pt idx="0">
                  <c:v>25.900000000000006</c:v>
                </c:pt>
                <c:pt idx="1">
                  <c:v>23.5</c:v>
                </c:pt>
                <c:pt idx="2">
                  <c:v>22.900000000000006</c:v>
                </c:pt>
                <c:pt idx="3">
                  <c:v>22.200000000000003</c:v>
                </c:pt>
                <c:pt idx="4">
                  <c:v>19.900000000000006</c:v>
                </c:pt>
                <c:pt idx="5">
                  <c:v>16.799999999999997</c:v>
                </c:pt>
                <c:pt idx="6">
                  <c:v>14.900000000000006</c:v>
                </c:pt>
                <c:pt idx="7">
                  <c:v>14.799999999999997</c:v>
                </c:pt>
                <c:pt idx="8">
                  <c:v>13.400000000000006</c:v>
                </c:pt>
                <c:pt idx="9">
                  <c:v>12.099999999999994</c:v>
                </c:pt>
                <c:pt idx="10">
                  <c:v>11.099999999999994</c:v>
                </c:pt>
                <c:pt idx="11">
                  <c:v>10.299999999999997</c:v>
                </c:pt>
              </c:numCache>
            </c:numRef>
          </c:val>
          <c:extLst>
            <c:ext xmlns:c16="http://schemas.microsoft.com/office/drawing/2014/chart" uri="{C3380CC4-5D6E-409C-BE32-E72D297353CC}">
              <c16:uniqueId val="{00000003-9D18-43AB-B552-9060207D1081}"/>
            </c:ext>
          </c:extLst>
        </c:ser>
        <c:ser>
          <c:idx val="5"/>
          <c:order val="5"/>
          <c:tx>
            <c:strRef>
              <c:f>Sheet1!$A$7</c:f>
              <c:strCache>
                <c:ptCount val="1"/>
                <c:pt idx="0">
                  <c:v>Առևտուր</c:v>
                </c:pt>
              </c:strCache>
            </c:strRef>
          </c:tx>
          <c:spPr>
            <a:solidFill>
              <a:srgbClr val="FAC090"/>
            </a:solidFill>
            <a:ln>
              <a:noFill/>
            </a:ln>
          </c:spPr>
          <c:invertIfNegative val="0"/>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Sheet1!$B$7:$M$7</c:f>
              <c:numCache>
                <c:formatCode>0.0</c:formatCode>
                <c:ptCount val="12"/>
                <c:pt idx="0">
                  <c:v>17.700000000000003</c:v>
                </c:pt>
                <c:pt idx="1">
                  <c:v>18</c:v>
                </c:pt>
                <c:pt idx="2">
                  <c:v>21</c:v>
                </c:pt>
                <c:pt idx="3">
                  <c:v>23.200000000000003</c:v>
                </c:pt>
                <c:pt idx="4">
                  <c:v>24.5</c:v>
                </c:pt>
                <c:pt idx="5">
                  <c:v>23.599999999999994</c:v>
                </c:pt>
                <c:pt idx="6">
                  <c:v>23</c:v>
                </c:pt>
                <c:pt idx="7">
                  <c:v>23.099999999999994</c:v>
                </c:pt>
                <c:pt idx="8">
                  <c:v>22.900000000000006</c:v>
                </c:pt>
                <c:pt idx="9">
                  <c:v>23.299999999999997</c:v>
                </c:pt>
                <c:pt idx="10">
                  <c:v>24.299999999999997</c:v>
                </c:pt>
                <c:pt idx="11">
                  <c:v>25.700000000000003</c:v>
                </c:pt>
              </c:numCache>
            </c:numRef>
          </c:val>
          <c:extLst>
            <c:ext xmlns:c16="http://schemas.microsoft.com/office/drawing/2014/chart" uri="{C3380CC4-5D6E-409C-BE32-E72D297353CC}">
              <c16:uniqueId val="{00000004-9D18-43AB-B552-9060207D1081}"/>
            </c:ext>
          </c:extLst>
        </c:ser>
        <c:dLbls>
          <c:showLegendKey val="0"/>
          <c:showVal val="0"/>
          <c:showCatName val="0"/>
          <c:showSerName val="0"/>
          <c:showPercent val="0"/>
          <c:showBubbleSize val="0"/>
        </c:dLbls>
        <c:gapWidth val="80"/>
        <c:overlap val="16"/>
        <c:axId val="389330944"/>
        <c:axId val="387358016"/>
      </c:barChart>
      <c:lineChart>
        <c:grouping val="standard"/>
        <c:varyColors val="0"/>
        <c:ser>
          <c:idx val="0"/>
          <c:order val="0"/>
          <c:tx>
            <c:strRef>
              <c:f>Sheet1!$A$2</c:f>
              <c:strCache>
                <c:ptCount val="1"/>
                <c:pt idx="0">
                  <c:v>ՏԱՑ, աջ առանցք</c:v>
                </c:pt>
              </c:strCache>
            </c:strRef>
          </c:tx>
          <c:spPr>
            <a:ln>
              <a:solidFill>
                <a:srgbClr val="4F81BD"/>
              </a:solidFill>
            </a:ln>
            <a:effectLst/>
          </c:spPr>
          <c:marker>
            <c:spPr>
              <a:solidFill>
                <a:srgbClr val="1F497D"/>
              </a:solidFill>
              <a:ln>
                <a:noFill/>
              </a:ln>
            </c:spPr>
          </c:marker>
          <c:dLbls>
            <c:dLbl>
              <c:idx val="0"/>
              <c:layout>
                <c:manualLayout>
                  <c:x val="-7.0196214076638674E-2"/>
                  <c:y val="-4.5243814427437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18-43AB-B552-9060207D1081}"/>
                </c:ext>
              </c:extLst>
            </c:dLbl>
            <c:dLbl>
              <c:idx val="1"/>
              <c:layout>
                <c:manualLayout>
                  <c:x val="-5.359975983109861E-2"/>
                  <c:y val="-5.2083759707875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18-43AB-B552-9060207D1081}"/>
                </c:ext>
              </c:extLst>
            </c:dLbl>
            <c:dLbl>
              <c:idx val="2"/>
              <c:layout>
                <c:manualLayout>
                  <c:x val="-6.1423310679320976E-2"/>
                  <c:y val="-4.9145885403942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18-43AB-B552-9060207D1081}"/>
                </c:ext>
              </c:extLst>
            </c:dLbl>
            <c:dLbl>
              <c:idx val="3"/>
              <c:layout>
                <c:manualLayout>
                  <c:x val="-6.201011945750131E-2"/>
                  <c:y val="-4.991529996697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18-43AB-B552-9060207D1081}"/>
                </c:ext>
              </c:extLst>
            </c:dLbl>
            <c:dLbl>
              <c:idx val="4"/>
              <c:layout>
                <c:manualLayout>
                  <c:x val="-6.1848713171110556E-2"/>
                  <c:y val="-4.991544319613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D18-43AB-B552-9060207D1081}"/>
                </c:ext>
              </c:extLst>
            </c:dLbl>
            <c:dLbl>
              <c:idx val="5"/>
              <c:layout>
                <c:manualLayout>
                  <c:x val="-6.2163282221301283E-2"/>
                  <c:y val="-5.1372297683035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D18-43AB-B552-9060207D1081}"/>
                </c:ext>
              </c:extLst>
            </c:dLbl>
            <c:dLbl>
              <c:idx val="6"/>
              <c:layout>
                <c:manualLayout>
                  <c:x val="-6.2163282221301283E-2"/>
                  <c:y val="-4.5696758835378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D18-43AB-B552-9060207D1081}"/>
                </c:ext>
              </c:extLst>
            </c:dLbl>
            <c:dLbl>
              <c:idx val="7"/>
              <c:layout>
                <c:manualLayout>
                  <c:x val="-5.8019063406547867E-2"/>
                  <c:y val="-3.9439016771330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D18-43AB-B552-9060207D1081}"/>
                </c:ext>
              </c:extLst>
            </c:dLbl>
            <c:dLbl>
              <c:idx val="8"/>
              <c:layout>
                <c:manualLayout>
                  <c:x val="-6.2163282221301283E-2"/>
                  <c:y val="-4.5696758835378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D18-43AB-B552-9060207D1081}"/>
                </c:ext>
              </c:extLst>
            </c:dLbl>
            <c:dLbl>
              <c:idx val="9"/>
              <c:layout>
                <c:manualLayout>
                  <c:x val="-6.6307501036054858E-2"/>
                  <c:y val="-4.5144716007626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D18-43AB-B552-9060207D1081}"/>
                </c:ext>
              </c:extLst>
            </c:dLbl>
            <c:dLbl>
              <c:idx val="10"/>
              <c:layout>
                <c:manualLayout>
                  <c:x val="-6.2163282221301436E-2"/>
                  <c:y val="-4.1039671682626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D18-43AB-B552-9060207D1081}"/>
                </c:ext>
              </c:extLst>
            </c:dLbl>
            <c:dLbl>
              <c:idx val="11"/>
              <c:layout>
                <c:manualLayout>
                  <c:x val="-5.3874844591794445E-2"/>
                  <c:y val="-4.1039671682626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D18-43AB-B552-9060207D1081}"/>
                </c:ext>
              </c:extLst>
            </c:dLbl>
            <c:spPr>
              <a:noFill/>
              <a:ln>
                <a:noFill/>
              </a:ln>
              <a:effectLst/>
            </c:spPr>
            <c:txPr>
              <a:bodyPr/>
              <a:lstStyle/>
              <a:p>
                <a:pPr>
                  <a:defRPr sz="8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Sheet1!$B$1:$M$1</c:f>
              <c:strCache>
                <c:ptCount val="12"/>
                <c:pt idx="0">
                  <c:v>I</c:v>
                </c:pt>
                <c:pt idx="1">
                  <c:v>I-II</c:v>
                </c:pt>
                <c:pt idx="2">
                  <c:v>I-III</c:v>
                </c:pt>
                <c:pt idx="3">
                  <c:v>I-IV</c:v>
                </c:pt>
                <c:pt idx="4">
                  <c:v>I-V</c:v>
                </c:pt>
                <c:pt idx="5">
                  <c:v>I-VI</c:v>
                </c:pt>
                <c:pt idx="6">
                  <c:v>I-VII</c:v>
                </c:pt>
                <c:pt idx="7">
                  <c:v>I-VIII</c:v>
                </c:pt>
                <c:pt idx="8">
                  <c:v>I-IX</c:v>
                </c:pt>
                <c:pt idx="9">
                  <c:v>I-X</c:v>
                </c:pt>
                <c:pt idx="10">
                  <c:v>I-XI</c:v>
                </c:pt>
                <c:pt idx="11">
                  <c:v>I-XII</c:v>
                </c:pt>
              </c:strCache>
            </c:strRef>
          </c:cat>
          <c:val>
            <c:numRef>
              <c:f>Sheet1!$B$2:$M$2</c:f>
              <c:numCache>
                <c:formatCode>0.0</c:formatCode>
                <c:ptCount val="12"/>
                <c:pt idx="0">
                  <c:v>11.082558667182113</c:v>
                </c:pt>
                <c:pt idx="1">
                  <c:v>11.208028012080391</c:v>
                </c:pt>
                <c:pt idx="2">
                  <c:v>12.204814563542612</c:v>
                </c:pt>
                <c:pt idx="3">
                  <c:v>12.230835530153186</c:v>
                </c:pt>
                <c:pt idx="4">
                  <c:v>12.538770552084586</c:v>
                </c:pt>
                <c:pt idx="5">
                  <c:v>11.400000000000006</c:v>
                </c:pt>
                <c:pt idx="6">
                  <c:v>10.400000000000006</c:v>
                </c:pt>
                <c:pt idx="7">
                  <c:v>10.400000000000006</c:v>
                </c:pt>
                <c:pt idx="8">
                  <c:v>9.7000000000000028</c:v>
                </c:pt>
                <c:pt idx="9">
                  <c:v>9.2000000000000028</c:v>
                </c:pt>
                <c:pt idx="10">
                  <c:v>9.4000000000000057</c:v>
                </c:pt>
                <c:pt idx="11">
                  <c:v>9.4000000000000057</c:v>
                </c:pt>
              </c:numCache>
            </c:numRef>
          </c:val>
          <c:smooth val="0"/>
          <c:extLst>
            <c:ext xmlns:c16="http://schemas.microsoft.com/office/drawing/2014/chart" uri="{C3380CC4-5D6E-409C-BE32-E72D297353CC}">
              <c16:uniqueId val="{00000011-9D18-43AB-B552-9060207D1081}"/>
            </c:ext>
          </c:extLst>
        </c:ser>
        <c:dLbls>
          <c:showLegendKey val="0"/>
          <c:showVal val="0"/>
          <c:showCatName val="0"/>
          <c:showSerName val="0"/>
          <c:showPercent val="0"/>
          <c:showBubbleSize val="0"/>
        </c:dLbls>
        <c:marker val="1"/>
        <c:smooth val="0"/>
        <c:axId val="391032320"/>
        <c:axId val="405200896"/>
      </c:lineChart>
      <c:catAx>
        <c:axId val="389330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lstStyle/>
          <a:p>
            <a:pPr>
              <a:defRPr sz="800">
                <a:solidFill>
                  <a:sysClr val="windowText" lastClr="000000"/>
                </a:solidFill>
              </a:defRPr>
            </a:pPr>
            <a:endParaRPr lang="en-US"/>
          </a:p>
        </c:txPr>
        <c:crossAx val="387358016"/>
        <c:crosses val="autoZero"/>
        <c:auto val="1"/>
        <c:lblAlgn val="ctr"/>
        <c:lblOffset val="100"/>
        <c:noMultiLvlLbl val="0"/>
      </c:catAx>
      <c:valAx>
        <c:axId val="387358016"/>
        <c:scaling>
          <c:orientation val="minMax"/>
          <c:max val="30"/>
          <c:min val="-3"/>
        </c:scaling>
        <c:delete val="0"/>
        <c:axPos val="l"/>
        <c:majorGridlines>
          <c:spPr>
            <a:ln w="6350" cap="flat" cmpd="sng" algn="ctr">
              <a:solidFill>
                <a:sysClr val="windowText" lastClr="000000">
                  <a:lumMod val="15000"/>
                  <a:lumOff val="85000"/>
                </a:sysClr>
              </a:solidFill>
              <a:round/>
            </a:ln>
            <a:effectLst/>
          </c:spPr>
        </c:majorGridlines>
        <c:numFmt formatCode="0.0" sourceLinked="1"/>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389330944"/>
        <c:crosses val="autoZero"/>
        <c:crossBetween val="between"/>
        <c:majorUnit val="6"/>
      </c:valAx>
      <c:valAx>
        <c:axId val="405200896"/>
        <c:scaling>
          <c:orientation val="minMax"/>
          <c:min val="0"/>
        </c:scaling>
        <c:delete val="0"/>
        <c:axPos val="r"/>
        <c:numFmt formatCode="0.0" sourceLinked="1"/>
        <c:majorTickMark val="out"/>
        <c:minorTickMark val="none"/>
        <c:tickLblPos val="nextTo"/>
        <c:spPr>
          <a:ln>
            <a:noFill/>
          </a:ln>
        </c:spPr>
        <c:txPr>
          <a:bodyPr/>
          <a:lstStyle/>
          <a:p>
            <a:pPr>
              <a:defRPr>
                <a:solidFill>
                  <a:sysClr val="windowText" lastClr="000000"/>
                </a:solidFill>
              </a:defRPr>
            </a:pPr>
            <a:endParaRPr lang="en-US"/>
          </a:p>
        </c:txPr>
        <c:crossAx val="391032320"/>
        <c:crosses val="max"/>
        <c:crossBetween val="between"/>
        <c:majorUnit val="2.5"/>
      </c:valAx>
      <c:catAx>
        <c:axId val="391032320"/>
        <c:scaling>
          <c:orientation val="minMax"/>
        </c:scaling>
        <c:delete val="1"/>
        <c:axPos val="b"/>
        <c:numFmt formatCode="General" sourceLinked="1"/>
        <c:majorTickMark val="out"/>
        <c:minorTickMark val="none"/>
        <c:tickLblPos val="none"/>
        <c:crossAx val="405200896"/>
        <c:crosses val="autoZero"/>
        <c:auto val="1"/>
        <c:lblAlgn val="ctr"/>
        <c:lblOffset val="100"/>
        <c:noMultiLvlLbl val="0"/>
      </c:catAx>
      <c:spPr>
        <a:solidFill>
          <a:sysClr val="window" lastClr="FFFFFF"/>
        </a:solidFill>
        <a:ln>
          <a:noFill/>
        </a:ln>
        <a:effectLst/>
      </c:spPr>
    </c:plotArea>
    <c:legend>
      <c:legendPos val="b"/>
      <c:layout>
        <c:manualLayout>
          <c:xMode val="edge"/>
          <c:yMode val="edge"/>
          <c:x val="3.9212662156607202E-2"/>
          <c:y val="0.82064339658692165"/>
          <c:w val="0.89647382445930079"/>
          <c:h val="0.1657248030016541"/>
        </c:manualLayout>
      </c:layout>
      <c:overlay val="0"/>
      <c:spPr>
        <a:noFill/>
        <a:ln>
          <a:noFill/>
        </a:ln>
        <a:effectLst/>
      </c:spPr>
      <c:txPr>
        <a:bodyPr rot="0" vert="horz"/>
        <a:lstStyle/>
        <a:p>
          <a:pPr>
            <a:defRPr sz="800">
              <a:solidFill>
                <a:sysClr val="windowText" lastClr="000000"/>
              </a:solidFill>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tx1">
          <a:lumMod val="15000"/>
          <a:lumOff val="85000"/>
        </a:schemeClr>
      </a:solidFill>
      <a:round/>
    </a:ln>
    <a:effectLst/>
  </c:spPr>
  <c:txPr>
    <a:bodyPr/>
    <a:lstStyle/>
    <a:p>
      <a:pPr>
        <a:defRPr sz="700">
          <a:latin typeface="GHEA Grapalat" panose="02000506050000020003" pitchFamily="50" charset="0"/>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CFDBF-248F-4193-A6E4-21A982F6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15791</TotalTime>
  <Pages>1</Pages>
  <Words>102583</Words>
  <Characters>584724</Characters>
  <Application>Microsoft Office Word</Application>
  <DocSecurity>0</DocSecurity>
  <Lines>4872</Lines>
  <Paragraphs>1371</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685936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Emma Ghaytanjyan</cp:lastModifiedBy>
  <cp:revision>754</cp:revision>
  <cp:lastPrinted>2024-04-10T08:00:00Z</cp:lastPrinted>
  <dcterms:created xsi:type="dcterms:W3CDTF">2023-06-09T11:14:00Z</dcterms:created>
  <dcterms:modified xsi:type="dcterms:W3CDTF">2024-06-14T08:52:00Z</dcterms:modified>
</cp:coreProperties>
</file>